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宋体" w:hAnsi="宋体" w:eastAsia="宋体"/>
          <w:b/>
          <w:bCs/>
          <w:sz w:val="28"/>
          <w:szCs w:val="28"/>
        </w:rPr>
        <w:id w:val="147476637"/>
        <w15:color w:val="DBDBDB"/>
        <w:docPartObj>
          <w:docPartGallery w:val="Table of Contents"/>
          <w:docPartUnique/>
        </w:docPartObj>
      </w:sdtPr>
      <w:sdtEndPr>
        <w:rPr>
          <w:rFonts w:hint="eastAsia" w:ascii="Times New Roman" w:hAnsi="Times New Roman" w:eastAsia="宋体"/>
          <w:b w:val="0"/>
          <w:bCs/>
          <w:color w:val="000000" w:themeColor="text1"/>
          <w:sz w:val="21"/>
          <w:szCs w:val="24"/>
          <w14:textFill>
            <w14:solidFill>
              <w14:schemeClr w14:val="tx1"/>
            </w14:solidFill>
          </w14:textFill>
        </w:rPr>
      </w:sdtEndPr>
      <w:sdtContent>
        <w:p w14:paraId="3C701E68">
          <w:pPr>
            <w:jc w:val="center"/>
            <w:rPr>
              <w:rFonts w:ascii="Times New Roman" w:hAnsi="Times New Roman" w:eastAsia="宋体"/>
              <w:b/>
              <w:bCs/>
              <w:sz w:val="28"/>
              <w:szCs w:val="28"/>
            </w:rPr>
          </w:pPr>
          <w:r>
            <w:rPr>
              <w:rFonts w:ascii="Times New Roman" w:hAnsi="Times New Roman" w:eastAsia="宋体"/>
              <w:b/>
              <w:bCs/>
              <w:sz w:val="28"/>
              <w:szCs w:val="28"/>
            </w:rPr>
            <w:t>目</w:t>
          </w:r>
          <w:r>
            <w:rPr>
              <w:rFonts w:hint="eastAsia" w:ascii="Times New Roman" w:hAnsi="Times New Roman" w:eastAsia="宋体"/>
              <w:b/>
              <w:bCs/>
              <w:sz w:val="28"/>
              <w:szCs w:val="28"/>
              <w:lang w:val="en-US" w:eastAsia="zh-CN"/>
            </w:rPr>
            <w:t xml:space="preserve"> </w:t>
          </w:r>
          <w:r>
            <w:rPr>
              <w:rFonts w:ascii="Times New Roman" w:hAnsi="Times New Roman" w:eastAsia="宋体"/>
              <w:b/>
              <w:bCs/>
              <w:sz w:val="28"/>
              <w:szCs w:val="28"/>
            </w:rPr>
            <w:t>录</w:t>
          </w:r>
        </w:p>
        <w:p w14:paraId="7C586219">
          <w:pPr>
            <w:pStyle w:val="43"/>
            <w:tabs>
              <w:tab w:val="right" w:leader="dot" w:pos="8306"/>
            </w:tabs>
            <w:spacing w:line="360" w:lineRule="auto"/>
            <w:rPr>
              <w:sz w:val="24"/>
              <w:szCs w:val="24"/>
            </w:rPr>
          </w:pPr>
          <w:r>
            <w:rPr>
              <w:rFonts w:hint="eastAsia"/>
            </w:rPr>
            <w:fldChar w:fldCharType="begin"/>
          </w:r>
          <w:r>
            <w:rPr>
              <w:rFonts w:hint="eastAsia"/>
            </w:rPr>
            <w:instrText xml:space="preserve">TOC \o "1-1" \h \u </w:instrText>
          </w:r>
          <w:r>
            <w:rPr>
              <w:rFonts w:hint="eastAsia"/>
            </w:rPr>
            <w:fldChar w:fldCharType="separate"/>
          </w:r>
          <w:r>
            <w:fldChar w:fldCharType="begin"/>
          </w:r>
          <w:r>
            <w:instrText xml:space="preserve"> HYPERLINK \l "_Toc24002" </w:instrText>
          </w:r>
          <w:r>
            <w:fldChar w:fldCharType="separate"/>
          </w:r>
          <w:r>
            <w:rPr>
              <w:b/>
              <w:bCs/>
              <w:sz w:val="24"/>
              <w:szCs w:val="24"/>
            </w:rPr>
            <w:t>一、建设项目基本情况</w:t>
          </w:r>
          <w:r>
            <w:rPr>
              <w:b/>
              <w:bCs/>
              <w:sz w:val="24"/>
              <w:szCs w:val="24"/>
            </w:rPr>
            <w:tab/>
          </w:r>
          <w:r>
            <w:rPr>
              <w:b/>
              <w:bCs/>
              <w:sz w:val="24"/>
              <w:szCs w:val="24"/>
            </w:rPr>
            <w:fldChar w:fldCharType="begin"/>
          </w:r>
          <w:r>
            <w:rPr>
              <w:b/>
              <w:bCs/>
              <w:sz w:val="24"/>
              <w:szCs w:val="24"/>
            </w:rPr>
            <w:instrText xml:space="preserve"> PAGEREF _Toc24002 \h </w:instrText>
          </w:r>
          <w:r>
            <w:rPr>
              <w:b/>
              <w:bCs/>
              <w:sz w:val="24"/>
              <w:szCs w:val="24"/>
            </w:rPr>
            <w:fldChar w:fldCharType="separate"/>
          </w:r>
          <w:r>
            <w:rPr>
              <w:b/>
              <w:bCs/>
              <w:sz w:val="24"/>
              <w:szCs w:val="24"/>
            </w:rPr>
            <w:t>- 1 -</w:t>
          </w:r>
          <w:r>
            <w:rPr>
              <w:b/>
              <w:bCs/>
              <w:sz w:val="24"/>
              <w:szCs w:val="24"/>
            </w:rPr>
            <w:fldChar w:fldCharType="end"/>
          </w:r>
          <w:r>
            <w:rPr>
              <w:b/>
              <w:bCs/>
              <w:sz w:val="24"/>
              <w:szCs w:val="24"/>
            </w:rPr>
            <w:fldChar w:fldCharType="end"/>
          </w:r>
        </w:p>
        <w:p w14:paraId="2A3F20BC">
          <w:pPr>
            <w:pStyle w:val="43"/>
            <w:tabs>
              <w:tab w:val="right" w:leader="dot" w:pos="8306"/>
            </w:tabs>
            <w:spacing w:line="360" w:lineRule="auto"/>
            <w:rPr>
              <w:b/>
              <w:bCs/>
              <w:sz w:val="24"/>
              <w:szCs w:val="24"/>
            </w:rPr>
          </w:pPr>
          <w:r>
            <w:fldChar w:fldCharType="begin"/>
          </w:r>
          <w:r>
            <w:instrText xml:space="preserve"> HYPERLINK \l "_Toc5527" </w:instrText>
          </w:r>
          <w:r>
            <w:fldChar w:fldCharType="separate"/>
          </w:r>
          <w:r>
            <w:rPr>
              <w:rFonts w:hint="eastAsia"/>
              <w:b/>
              <w:bCs/>
              <w:sz w:val="24"/>
              <w:szCs w:val="24"/>
            </w:rPr>
            <w:t>二、</w:t>
          </w:r>
          <w:r>
            <w:rPr>
              <w:b/>
              <w:bCs/>
              <w:sz w:val="24"/>
              <w:szCs w:val="24"/>
            </w:rPr>
            <w:t>建设项目</w:t>
          </w:r>
          <w:r>
            <w:rPr>
              <w:rFonts w:hint="eastAsia"/>
              <w:b/>
              <w:bCs/>
              <w:sz w:val="24"/>
              <w:szCs w:val="24"/>
            </w:rPr>
            <w:t>工程分析</w:t>
          </w:r>
          <w:r>
            <w:rPr>
              <w:b/>
              <w:bCs/>
              <w:sz w:val="24"/>
              <w:szCs w:val="24"/>
            </w:rPr>
            <w:tab/>
          </w:r>
          <w:r>
            <w:rPr>
              <w:b/>
              <w:bCs/>
              <w:sz w:val="24"/>
              <w:szCs w:val="24"/>
            </w:rPr>
            <w:fldChar w:fldCharType="begin"/>
          </w:r>
          <w:r>
            <w:rPr>
              <w:b/>
              <w:bCs/>
              <w:sz w:val="24"/>
              <w:szCs w:val="24"/>
            </w:rPr>
            <w:instrText xml:space="preserve"> PAGEREF _Toc5527 \h </w:instrText>
          </w:r>
          <w:r>
            <w:rPr>
              <w:b/>
              <w:bCs/>
              <w:sz w:val="24"/>
              <w:szCs w:val="24"/>
            </w:rPr>
            <w:fldChar w:fldCharType="separate"/>
          </w:r>
          <w:r>
            <w:rPr>
              <w:b/>
              <w:bCs/>
              <w:sz w:val="24"/>
              <w:szCs w:val="24"/>
            </w:rPr>
            <w:t>- 9 -</w:t>
          </w:r>
          <w:r>
            <w:rPr>
              <w:b/>
              <w:bCs/>
              <w:sz w:val="24"/>
              <w:szCs w:val="24"/>
            </w:rPr>
            <w:fldChar w:fldCharType="end"/>
          </w:r>
          <w:r>
            <w:rPr>
              <w:b/>
              <w:bCs/>
              <w:sz w:val="24"/>
              <w:szCs w:val="24"/>
            </w:rPr>
            <w:fldChar w:fldCharType="end"/>
          </w:r>
        </w:p>
        <w:p w14:paraId="022EF977">
          <w:pPr>
            <w:pStyle w:val="43"/>
            <w:tabs>
              <w:tab w:val="right" w:leader="dot" w:pos="8306"/>
            </w:tabs>
            <w:spacing w:line="360" w:lineRule="auto"/>
            <w:rPr>
              <w:b/>
              <w:bCs/>
              <w:sz w:val="24"/>
              <w:szCs w:val="24"/>
            </w:rPr>
          </w:pPr>
          <w:r>
            <w:fldChar w:fldCharType="begin"/>
          </w:r>
          <w:r>
            <w:instrText xml:space="preserve"> HYPERLINK \l "_Toc7372" </w:instrText>
          </w:r>
          <w:r>
            <w:fldChar w:fldCharType="separate"/>
          </w:r>
          <w:r>
            <w:rPr>
              <w:rFonts w:hint="eastAsia"/>
              <w:b/>
              <w:bCs/>
              <w:sz w:val="24"/>
              <w:szCs w:val="24"/>
            </w:rPr>
            <w:t>三、区域环境质量现状、环境保护目标及评价标准</w:t>
          </w:r>
          <w:r>
            <w:rPr>
              <w:b/>
              <w:bCs/>
              <w:sz w:val="24"/>
              <w:szCs w:val="24"/>
            </w:rPr>
            <w:tab/>
          </w:r>
          <w:r>
            <w:rPr>
              <w:b/>
              <w:bCs/>
              <w:sz w:val="24"/>
              <w:szCs w:val="24"/>
            </w:rPr>
            <w:fldChar w:fldCharType="begin"/>
          </w:r>
          <w:r>
            <w:rPr>
              <w:b/>
              <w:bCs/>
              <w:sz w:val="24"/>
              <w:szCs w:val="24"/>
            </w:rPr>
            <w:instrText xml:space="preserve"> PAGEREF _Toc7372 \h </w:instrText>
          </w:r>
          <w:r>
            <w:rPr>
              <w:b/>
              <w:bCs/>
              <w:sz w:val="24"/>
              <w:szCs w:val="24"/>
            </w:rPr>
            <w:fldChar w:fldCharType="separate"/>
          </w:r>
          <w:r>
            <w:rPr>
              <w:b/>
              <w:bCs/>
              <w:sz w:val="24"/>
              <w:szCs w:val="24"/>
            </w:rPr>
            <w:t>- 47 -</w:t>
          </w:r>
          <w:r>
            <w:rPr>
              <w:b/>
              <w:bCs/>
              <w:sz w:val="24"/>
              <w:szCs w:val="24"/>
            </w:rPr>
            <w:fldChar w:fldCharType="end"/>
          </w:r>
          <w:r>
            <w:rPr>
              <w:b/>
              <w:bCs/>
              <w:sz w:val="24"/>
              <w:szCs w:val="24"/>
            </w:rPr>
            <w:fldChar w:fldCharType="end"/>
          </w:r>
        </w:p>
        <w:p w14:paraId="11034063">
          <w:pPr>
            <w:pStyle w:val="43"/>
            <w:tabs>
              <w:tab w:val="right" w:leader="dot" w:pos="8306"/>
            </w:tabs>
            <w:spacing w:line="360" w:lineRule="auto"/>
            <w:rPr>
              <w:b/>
              <w:bCs/>
              <w:sz w:val="24"/>
              <w:szCs w:val="24"/>
            </w:rPr>
          </w:pPr>
          <w:r>
            <w:fldChar w:fldCharType="begin"/>
          </w:r>
          <w:r>
            <w:instrText xml:space="preserve"> HYPERLINK \l "_Toc14530" </w:instrText>
          </w:r>
          <w:r>
            <w:fldChar w:fldCharType="separate"/>
          </w:r>
          <w:r>
            <w:rPr>
              <w:rFonts w:hint="eastAsia"/>
              <w:b/>
              <w:bCs/>
              <w:sz w:val="24"/>
              <w:szCs w:val="24"/>
            </w:rPr>
            <w:t>四、主要环境影响和保护措施</w:t>
          </w:r>
          <w:r>
            <w:rPr>
              <w:b/>
              <w:bCs/>
              <w:sz w:val="24"/>
              <w:szCs w:val="24"/>
            </w:rPr>
            <w:tab/>
          </w:r>
          <w:r>
            <w:rPr>
              <w:b/>
              <w:bCs/>
              <w:sz w:val="24"/>
              <w:szCs w:val="24"/>
            </w:rPr>
            <w:fldChar w:fldCharType="begin"/>
          </w:r>
          <w:r>
            <w:rPr>
              <w:b/>
              <w:bCs/>
              <w:sz w:val="24"/>
              <w:szCs w:val="24"/>
            </w:rPr>
            <w:instrText xml:space="preserve"> PAGEREF _Toc14530 \h </w:instrText>
          </w:r>
          <w:r>
            <w:rPr>
              <w:b/>
              <w:bCs/>
              <w:sz w:val="24"/>
              <w:szCs w:val="24"/>
            </w:rPr>
            <w:fldChar w:fldCharType="separate"/>
          </w:r>
          <w:r>
            <w:rPr>
              <w:b/>
              <w:bCs/>
              <w:sz w:val="24"/>
              <w:szCs w:val="24"/>
            </w:rPr>
            <w:t>- 62 -</w:t>
          </w:r>
          <w:r>
            <w:rPr>
              <w:b/>
              <w:bCs/>
              <w:sz w:val="24"/>
              <w:szCs w:val="24"/>
            </w:rPr>
            <w:fldChar w:fldCharType="end"/>
          </w:r>
          <w:r>
            <w:rPr>
              <w:b/>
              <w:bCs/>
              <w:sz w:val="24"/>
              <w:szCs w:val="24"/>
            </w:rPr>
            <w:fldChar w:fldCharType="end"/>
          </w:r>
        </w:p>
        <w:p w14:paraId="0B82AFE2">
          <w:pPr>
            <w:pStyle w:val="43"/>
            <w:tabs>
              <w:tab w:val="right" w:leader="dot" w:pos="8306"/>
            </w:tabs>
            <w:spacing w:line="360" w:lineRule="auto"/>
            <w:rPr>
              <w:b/>
              <w:bCs/>
              <w:sz w:val="24"/>
              <w:szCs w:val="24"/>
            </w:rPr>
          </w:pPr>
          <w:r>
            <w:fldChar w:fldCharType="begin"/>
          </w:r>
          <w:r>
            <w:instrText xml:space="preserve"> HYPERLINK \l "_Toc9293" </w:instrText>
          </w:r>
          <w:r>
            <w:fldChar w:fldCharType="separate"/>
          </w:r>
          <w:r>
            <w:rPr>
              <w:rFonts w:hint="eastAsia"/>
              <w:b/>
              <w:bCs/>
              <w:sz w:val="24"/>
              <w:szCs w:val="24"/>
            </w:rPr>
            <w:t>五、环境保护措施监督检查清单</w:t>
          </w:r>
          <w:r>
            <w:rPr>
              <w:b/>
              <w:bCs/>
              <w:sz w:val="24"/>
              <w:szCs w:val="24"/>
            </w:rPr>
            <w:tab/>
          </w:r>
          <w:r>
            <w:rPr>
              <w:b/>
              <w:bCs/>
              <w:sz w:val="24"/>
              <w:szCs w:val="24"/>
            </w:rPr>
            <w:fldChar w:fldCharType="begin"/>
          </w:r>
          <w:r>
            <w:rPr>
              <w:b/>
              <w:bCs/>
              <w:sz w:val="24"/>
              <w:szCs w:val="24"/>
            </w:rPr>
            <w:instrText xml:space="preserve"> PAGEREF _Toc9293 \h </w:instrText>
          </w:r>
          <w:r>
            <w:rPr>
              <w:b/>
              <w:bCs/>
              <w:sz w:val="24"/>
              <w:szCs w:val="24"/>
            </w:rPr>
            <w:fldChar w:fldCharType="separate"/>
          </w:r>
          <w:r>
            <w:rPr>
              <w:b/>
              <w:bCs/>
              <w:sz w:val="24"/>
              <w:szCs w:val="24"/>
            </w:rPr>
            <w:t>- 84 -</w:t>
          </w:r>
          <w:r>
            <w:rPr>
              <w:b/>
              <w:bCs/>
              <w:sz w:val="24"/>
              <w:szCs w:val="24"/>
            </w:rPr>
            <w:fldChar w:fldCharType="end"/>
          </w:r>
          <w:r>
            <w:rPr>
              <w:b/>
              <w:bCs/>
              <w:sz w:val="24"/>
              <w:szCs w:val="24"/>
            </w:rPr>
            <w:fldChar w:fldCharType="end"/>
          </w:r>
        </w:p>
        <w:p w14:paraId="135462BD">
          <w:pPr>
            <w:pStyle w:val="43"/>
            <w:tabs>
              <w:tab w:val="right" w:leader="dot" w:pos="8306"/>
            </w:tabs>
            <w:spacing w:line="360" w:lineRule="auto"/>
            <w:rPr>
              <w:b/>
              <w:bCs/>
              <w:sz w:val="24"/>
              <w:szCs w:val="24"/>
            </w:rPr>
          </w:pPr>
          <w:r>
            <w:fldChar w:fldCharType="begin"/>
          </w:r>
          <w:r>
            <w:instrText xml:space="preserve"> HYPERLINK \l "_Toc27784" </w:instrText>
          </w:r>
          <w:r>
            <w:fldChar w:fldCharType="separate"/>
          </w:r>
          <w:r>
            <w:rPr>
              <w:rFonts w:hint="eastAsia"/>
              <w:b/>
              <w:bCs/>
              <w:sz w:val="24"/>
              <w:szCs w:val="24"/>
            </w:rPr>
            <w:t>六、结论</w:t>
          </w:r>
          <w:r>
            <w:rPr>
              <w:b/>
              <w:bCs/>
              <w:sz w:val="24"/>
              <w:szCs w:val="24"/>
            </w:rPr>
            <w:tab/>
          </w:r>
          <w:r>
            <w:rPr>
              <w:b/>
              <w:bCs/>
              <w:sz w:val="24"/>
              <w:szCs w:val="24"/>
            </w:rPr>
            <w:fldChar w:fldCharType="begin"/>
          </w:r>
          <w:r>
            <w:rPr>
              <w:b/>
              <w:bCs/>
              <w:sz w:val="24"/>
              <w:szCs w:val="24"/>
            </w:rPr>
            <w:instrText xml:space="preserve"> PAGEREF _Toc27784 \h </w:instrText>
          </w:r>
          <w:r>
            <w:rPr>
              <w:b/>
              <w:bCs/>
              <w:sz w:val="24"/>
              <w:szCs w:val="24"/>
            </w:rPr>
            <w:fldChar w:fldCharType="separate"/>
          </w:r>
          <w:r>
            <w:rPr>
              <w:b/>
              <w:bCs/>
              <w:sz w:val="24"/>
              <w:szCs w:val="24"/>
            </w:rPr>
            <w:t>- 86 -</w:t>
          </w:r>
          <w:r>
            <w:rPr>
              <w:b/>
              <w:bCs/>
              <w:sz w:val="24"/>
              <w:szCs w:val="24"/>
            </w:rPr>
            <w:fldChar w:fldCharType="end"/>
          </w:r>
          <w:r>
            <w:rPr>
              <w:b/>
              <w:bCs/>
              <w:sz w:val="24"/>
              <w:szCs w:val="24"/>
            </w:rPr>
            <w:fldChar w:fldCharType="end"/>
          </w:r>
        </w:p>
        <w:p w14:paraId="2C650C6E">
          <w:pPr>
            <w:pStyle w:val="43"/>
            <w:tabs>
              <w:tab w:val="right" w:leader="dot" w:pos="8306"/>
            </w:tabs>
            <w:spacing w:line="360" w:lineRule="auto"/>
            <w:rPr>
              <w:b/>
              <w:bCs/>
              <w:sz w:val="24"/>
              <w:szCs w:val="24"/>
            </w:rPr>
          </w:pPr>
          <w:r>
            <w:fldChar w:fldCharType="begin"/>
          </w:r>
          <w:r>
            <w:instrText xml:space="preserve"> HYPERLINK \l "_Toc32028" </w:instrText>
          </w:r>
          <w:r>
            <w:fldChar w:fldCharType="separate"/>
          </w:r>
          <w:r>
            <w:rPr>
              <w:rFonts w:hint="eastAsia"/>
              <w:b/>
              <w:bCs/>
              <w:sz w:val="24"/>
              <w:szCs w:val="24"/>
            </w:rPr>
            <w:t>附表</w:t>
          </w:r>
          <w:r>
            <w:rPr>
              <w:b/>
              <w:bCs/>
              <w:sz w:val="24"/>
              <w:szCs w:val="24"/>
            </w:rPr>
            <w:tab/>
          </w:r>
          <w:r>
            <w:rPr>
              <w:b/>
              <w:bCs/>
              <w:sz w:val="24"/>
              <w:szCs w:val="24"/>
            </w:rPr>
            <w:fldChar w:fldCharType="begin"/>
          </w:r>
          <w:r>
            <w:rPr>
              <w:b/>
              <w:bCs/>
              <w:sz w:val="24"/>
              <w:szCs w:val="24"/>
            </w:rPr>
            <w:instrText xml:space="preserve"> PAGEREF _Toc32028 \h </w:instrText>
          </w:r>
          <w:r>
            <w:rPr>
              <w:b/>
              <w:bCs/>
              <w:sz w:val="24"/>
              <w:szCs w:val="24"/>
            </w:rPr>
            <w:fldChar w:fldCharType="separate"/>
          </w:r>
          <w:r>
            <w:rPr>
              <w:b/>
              <w:bCs/>
              <w:sz w:val="24"/>
              <w:szCs w:val="24"/>
            </w:rPr>
            <w:t>- 87 -</w:t>
          </w:r>
          <w:r>
            <w:rPr>
              <w:b/>
              <w:bCs/>
              <w:sz w:val="24"/>
              <w:szCs w:val="24"/>
            </w:rPr>
            <w:fldChar w:fldCharType="end"/>
          </w:r>
          <w:r>
            <w:rPr>
              <w:b/>
              <w:bCs/>
              <w:sz w:val="24"/>
              <w:szCs w:val="24"/>
            </w:rPr>
            <w:fldChar w:fldCharType="end"/>
          </w:r>
        </w:p>
        <w:p w14:paraId="6D3C18C6">
          <w:pPr>
            <w:pStyle w:val="20"/>
            <w:rPr>
              <w:rFonts w:ascii="Times New Roman" w:hAnsi="Times New Roman" w:eastAsia="宋体"/>
            </w:rPr>
          </w:pPr>
          <w:r>
            <w:rPr>
              <w:rFonts w:hint="eastAsia" w:ascii="Times New Roman" w:hAnsi="Times New Roman" w:eastAsia="宋体"/>
            </w:rPr>
            <w:fldChar w:fldCharType="end"/>
          </w:r>
        </w:p>
        <w:p w14:paraId="68859CBA">
          <w:pPr>
            <w:pStyle w:val="20"/>
            <w:spacing w:line="360" w:lineRule="auto"/>
            <w:rPr>
              <w:rFonts w:ascii="Times New Roman" w:hAnsi="Times New Roman" w:eastAsia="宋体"/>
              <w:sz w:val="24"/>
            </w:rPr>
          </w:pPr>
          <w:r>
            <w:rPr>
              <w:rFonts w:hint="eastAsia" w:ascii="Times New Roman" w:hAnsi="Times New Roman" w:eastAsia="宋体"/>
              <w:sz w:val="24"/>
            </w:rPr>
            <w:t>附件：</w:t>
          </w:r>
        </w:p>
        <w:p w14:paraId="351D295E">
          <w:pPr>
            <w:pStyle w:val="21"/>
            <w:snapToGrid/>
            <w:ind w:firstLine="480" w:firstLineChars="200"/>
            <w:rPr>
              <w:rFonts w:hint="default" w:ascii="Times New Roman" w:hAnsi="Times New Roman" w:eastAsia="宋体"/>
              <w:bCs/>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附件1  委托书</w:t>
          </w:r>
        </w:p>
        <w:p w14:paraId="05A3DE0E">
          <w:pPr>
            <w:pStyle w:val="21"/>
            <w:snapToGrid/>
            <w:ind w:firstLine="480" w:firstLineChars="200"/>
            <w:rPr>
              <w:rFonts w:hint="default"/>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附件2  营业执照</w:t>
          </w:r>
        </w:p>
        <w:p w14:paraId="36C3CCF4">
          <w:pPr>
            <w:pStyle w:val="21"/>
            <w:snapToGrid/>
            <w:ind w:firstLine="480" w:firstLineChars="200"/>
            <w:rPr>
              <w:rFonts w:hint="default" w:ascii="Times New Roman" w:hAnsi="Times New Roman" w:eastAsia="宋体"/>
              <w:bCs/>
              <w:color w:val="000000" w:themeColor="text1"/>
              <w:lang w:val="en-US" w:eastAsia="zh-CN"/>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 xml:space="preserve">附件3  </w:t>
          </w:r>
          <w:r>
            <w:rPr>
              <w:rFonts w:hint="eastAsia" w:ascii="Times New Roman" w:hAnsi="Times New Roman" w:eastAsia="宋体"/>
              <w:bCs/>
              <w:color w:val="000000" w:themeColor="text1"/>
              <w:lang w:val="en-US" w:eastAsia="zh-CN"/>
              <w14:textFill>
                <w14:solidFill>
                  <w14:schemeClr w14:val="tx1"/>
                </w14:solidFill>
              </w14:textFill>
            </w:rPr>
            <w:t>原环评批复</w:t>
          </w:r>
        </w:p>
        <w:p w14:paraId="51802237">
          <w:pPr>
            <w:pStyle w:val="21"/>
            <w:snapToGrid/>
            <w:ind w:firstLine="480" w:firstLineChars="200"/>
            <w:rPr>
              <w:rFonts w:hint="default" w:ascii="Times New Roman" w:hAnsi="Times New Roman" w:eastAsia="宋体"/>
              <w:bCs/>
              <w:color w:val="000000" w:themeColor="text1"/>
              <w:lang w:val="en-US" w:eastAsia="zh-CN"/>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 xml:space="preserve">附件4  </w:t>
          </w:r>
          <w:r>
            <w:rPr>
              <w:rFonts w:hint="eastAsia" w:ascii="Times New Roman" w:hAnsi="Times New Roman" w:eastAsia="宋体"/>
              <w:bCs/>
              <w:color w:val="000000" w:themeColor="text1"/>
              <w:lang w:val="en-US" w:eastAsia="zh-CN"/>
              <w14:textFill>
                <w14:solidFill>
                  <w14:schemeClr w14:val="tx1"/>
                </w14:solidFill>
              </w14:textFill>
            </w:rPr>
            <w:t>环评登记表</w:t>
          </w:r>
        </w:p>
        <w:p w14:paraId="3EDFC2B6">
          <w:pPr>
            <w:pStyle w:val="21"/>
            <w:snapToGrid/>
            <w:ind w:firstLine="480" w:firstLineChars="200"/>
            <w:rPr>
              <w:rFonts w:hint="default" w:ascii="Times New Roman" w:hAnsi="Times New Roman" w:eastAsia="宋体"/>
              <w:bCs/>
              <w:color w:val="000000" w:themeColor="text1"/>
              <w:lang w:val="en-US" w:eastAsia="zh-CN"/>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 xml:space="preserve">附件5  </w:t>
          </w:r>
          <w:r>
            <w:rPr>
              <w:rFonts w:hint="eastAsia" w:ascii="Times New Roman" w:hAnsi="Times New Roman" w:eastAsia="宋体"/>
              <w:bCs/>
              <w:color w:val="000000" w:themeColor="text1"/>
              <w:lang w:val="en-US" w:eastAsia="zh-CN"/>
              <w14:textFill>
                <w14:solidFill>
                  <w14:schemeClr w14:val="tx1"/>
                </w14:solidFill>
              </w14:textFill>
            </w:rPr>
            <w:t>监测报告</w:t>
          </w:r>
        </w:p>
        <w:p w14:paraId="0CB17D97">
          <w:pPr>
            <w:pStyle w:val="21"/>
            <w:snapToGrid/>
            <w:ind w:firstLine="480" w:firstLineChars="200"/>
            <w:rPr>
              <w:rFonts w:hint="default" w:eastAsia="宋体" w:cs="Times New Roman"/>
              <w:color w:val="000000" w:themeColor="text1"/>
              <w:szCs w:val="24"/>
              <w:lang w:val="en-US" w:eastAsia="zh-CN"/>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 xml:space="preserve">附件6 </w:t>
          </w:r>
          <w:r>
            <w:rPr>
              <w:rFonts w:hint="eastAsia" w:eastAsia="宋体" w:cs="Times New Roman"/>
              <w:color w:val="000000" w:themeColor="text1"/>
              <w:szCs w:val="24"/>
              <w:lang w:val="en-US" w:eastAsia="zh-CN"/>
              <w14:textFill>
                <w14:solidFill>
                  <w14:schemeClr w14:val="tx1"/>
                </w14:solidFill>
              </w14:textFill>
            </w:rPr>
            <w:t>补充环评批复</w:t>
          </w:r>
        </w:p>
        <w:p w14:paraId="40C792B6">
          <w:pPr>
            <w:pStyle w:val="21"/>
            <w:snapToGrid/>
            <w:ind w:firstLine="480" w:firstLineChars="200"/>
            <w:rPr>
              <w:rFonts w:hint="default" w:eastAsia="宋体" w:cs="Times New Roman"/>
              <w:color w:val="000000" w:themeColor="text1"/>
              <w:szCs w:val="24"/>
              <w:lang w:val="en-US" w:eastAsia="zh-CN"/>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附件</w:t>
          </w:r>
          <w:r>
            <w:rPr>
              <w:rFonts w:hint="eastAsia" w:ascii="Times New Roman" w:hAnsi="Times New Roman" w:eastAsia="宋体"/>
              <w:bCs/>
              <w:color w:val="000000" w:themeColor="text1"/>
              <w:lang w:val="en-US" w:eastAsia="zh-CN"/>
              <w14:textFill>
                <w14:solidFill>
                  <w14:schemeClr w14:val="tx1"/>
                </w14:solidFill>
              </w14:textFill>
            </w:rPr>
            <w:t>7</w:t>
          </w:r>
          <w:r>
            <w:rPr>
              <w:rFonts w:ascii="Times New Roman" w:hAnsi="Times New Roman" w:eastAsia="宋体"/>
              <w:bCs/>
              <w:color w:val="000000" w:themeColor="text1"/>
              <w14:textFill>
                <w14:solidFill>
                  <w14:schemeClr w14:val="tx1"/>
                </w14:solidFill>
              </w14:textFill>
            </w:rPr>
            <w:t xml:space="preserve"> </w:t>
          </w:r>
          <w:r>
            <w:rPr>
              <w:rFonts w:hint="eastAsia" w:eastAsia="宋体" w:cs="Times New Roman"/>
              <w:color w:val="000000" w:themeColor="text1"/>
              <w:szCs w:val="24"/>
              <w:lang w:val="en-US" w:eastAsia="zh-CN"/>
              <w14:textFill>
                <w14:solidFill>
                  <w14:schemeClr w14:val="tx1"/>
                </w14:solidFill>
              </w14:textFill>
            </w:rPr>
            <w:t>原项目验收文件</w:t>
          </w:r>
        </w:p>
        <w:p w14:paraId="08920FCE">
          <w:pPr>
            <w:rPr>
              <w:rFonts w:hint="default"/>
            </w:rPr>
          </w:pPr>
        </w:p>
        <w:p w14:paraId="23B625A2">
          <w:pPr>
            <w:pStyle w:val="21"/>
            <w:snapToGrid/>
            <w:ind w:firstLine="420" w:firstLineChars="200"/>
            <w:rPr>
              <w:rFonts w:hint="default" w:ascii="Times New Roman" w:hAnsi="Times New Roman" w:eastAsia="宋体"/>
              <w:bCs/>
              <w:color w:val="000000" w:themeColor="text1"/>
              <w:sz w:val="21"/>
              <w:szCs w:val="24"/>
              <w14:textFill>
                <w14:solidFill>
                  <w14:schemeClr w14:val="tx1"/>
                </w14:solidFill>
              </w14:textFill>
            </w:rPr>
          </w:pPr>
        </w:p>
      </w:sdtContent>
    </w:sdt>
    <w:p w14:paraId="75698F00">
      <w:pPr>
        <w:pStyle w:val="20"/>
        <w:spacing w:line="360" w:lineRule="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附图：</w:t>
      </w:r>
    </w:p>
    <w:p w14:paraId="27E31206">
      <w:pPr>
        <w:pStyle w:val="21"/>
        <w:snapToGrid/>
        <w:ind w:firstLine="480" w:firstLineChars="200"/>
        <w:rPr>
          <w:rFonts w:hint="default" w:ascii="Times New Roman" w:hAnsi="Times New Roman" w:eastAsia="宋体"/>
          <w:bCs/>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附图1  项目地理位置图</w:t>
      </w:r>
    </w:p>
    <w:p w14:paraId="23952B34">
      <w:pPr>
        <w:pStyle w:val="21"/>
        <w:snapToGrid/>
        <w:ind w:firstLine="480" w:firstLineChars="200"/>
        <w:rPr>
          <w:rFonts w:hint="default" w:ascii="Times New Roman" w:hAnsi="Times New Roman" w:eastAsia="宋体"/>
          <w:bCs/>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附图2  平面布置图</w:t>
      </w:r>
    </w:p>
    <w:p w14:paraId="2586B991">
      <w:pPr>
        <w:pStyle w:val="21"/>
        <w:snapToGrid/>
        <w:ind w:firstLine="480" w:firstLineChars="200"/>
        <w:rPr>
          <w:rFonts w:hint="default" w:ascii="Times New Roman" w:hAnsi="Times New Roman" w:eastAsia="宋体"/>
          <w:bCs/>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附图3  区域水系图</w:t>
      </w:r>
    </w:p>
    <w:p w14:paraId="658B03E9">
      <w:pPr>
        <w:pStyle w:val="21"/>
        <w:snapToGrid/>
        <w:ind w:firstLine="480" w:firstLineChars="200"/>
        <w:rPr>
          <w:rFonts w:hint="default" w:ascii="Times New Roman" w:hAnsi="Times New Roman" w:eastAsia="宋体"/>
          <w:bCs/>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附图4  周边关系图</w:t>
      </w:r>
    </w:p>
    <w:p w14:paraId="4EBD0548"/>
    <w:p w14:paraId="230BFF79">
      <w:pPr>
        <w:rPr>
          <w:rFonts w:ascii="Times New Roman" w:hAnsi="Times New Roman" w:eastAsia="宋体"/>
          <w:bCs/>
        </w:rPr>
      </w:pPr>
      <w:r>
        <w:rPr>
          <w:rFonts w:hint="eastAsia" w:ascii="Times New Roman" w:hAnsi="Times New Roman" w:eastAsia="宋体"/>
          <w:bCs/>
        </w:rPr>
        <w:br w:type="page"/>
      </w:r>
    </w:p>
    <w:p w14:paraId="260BBD43">
      <w:pPr>
        <w:pStyle w:val="6"/>
        <w:spacing w:before="0" w:after="0"/>
        <w:jc w:val="center"/>
        <w:sectPr>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bookmarkStart w:id="0" w:name="_Toc24002"/>
    </w:p>
    <w:p w14:paraId="432B2F09">
      <w:pPr>
        <w:pStyle w:val="6"/>
        <w:spacing w:before="0" w:after="0"/>
        <w:jc w:val="center"/>
        <w:rPr>
          <w:rFonts w:ascii="黑体" w:hAnsi="黑体" w:cs="黑体"/>
          <w:color w:val="000000" w:themeColor="text1"/>
          <w:sz w:val="24"/>
          <w14:textFill>
            <w14:solidFill>
              <w14:schemeClr w14:val="tx1"/>
            </w14:solidFill>
          </w14:textFill>
        </w:rPr>
      </w:pPr>
      <w:r>
        <w:rPr>
          <w:color w:val="000000" w:themeColor="text1"/>
          <w14:textFill>
            <w14:solidFill>
              <w14:schemeClr w14:val="tx1"/>
            </w14:solidFill>
          </w14:textFill>
        </w:rPr>
        <w:t>一、建设项目基本情况</w:t>
      </w:r>
      <w:bookmarkEnd w:id="0"/>
    </w:p>
    <w:tbl>
      <w:tblPr>
        <w:tblStyle w:val="27"/>
        <w:tblW w:w="95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740"/>
        <w:gridCol w:w="2212"/>
        <w:gridCol w:w="2764"/>
      </w:tblGrid>
      <w:tr w14:paraId="6D97E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2" w:hRule="exact"/>
          <w:jc w:val="center"/>
        </w:trPr>
        <w:tc>
          <w:tcPr>
            <w:tcW w:w="1856" w:type="dxa"/>
            <w:tcMar>
              <w:top w:w="16" w:type="dxa"/>
              <w:left w:w="16" w:type="dxa"/>
              <w:right w:w="16" w:type="dxa"/>
            </w:tcMar>
            <w:vAlign w:val="center"/>
          </w:tcPr>
          <w:p w14:paraId="29B2294B">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建设项目名称</w:t>
            </w:r>
          </w:p>
        </w:tc>
        <w:tc>
          <w:tcPr>
            <w:tcW w:w="7716" w:type="dxa"/>
            <w:gridSpan w:val="3"/>
            <w:vAlign w:val="center"/>
          </w:tcPr>
          <w:p w14:paraId="5312D0E4">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芒市生活垃圾渗滤液处理站能力提升建设项目</w:t>
            </w:r>
          </w:p>
        </w:tc>
      </w:tr>
      <w:tr w14:paraId="32600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1856" w:type="dxa"/>
            <w:tcMar>
              <w:top w:w="16" w:type="dxa"/>
              <w:left w:w="16" w:type="dxa"/>
              <w:right w:w="16" w:type="dxa"/>
            </w:tcMar>
            <w:vAlign w:val="center"/>
          </w:tcPr>
          <w:p w14:paraId="25EFF343">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项目代码</w:t>
            </w:r>
          </w:p>
        </w:tc>
        <w:tc>
          <w:tcPr>
            <w:tcW w:w="7716" w:type="dxa"/>
            <w:gridSpan w:val="3"/>
            <w:vAlign w:val="center"/>
          </w:tcPr>
          <w:p w14:paraId="211545B3">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2303-533103-04-01-988227</w:t>
            </w:r>
          </w:p>
        </w:tc>
      </w:tr>
      <w:tr w14:paraId="45A22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exact"/>
          <w:jc w:val="center"/>
        </w:trPr>
        <w:tc>
          <w:tcPr>
            <w:tcW w:w="1856" w:type="dxa"/>
            <w:tcMar>
              <w:top w:w="16" w:type="dxa"/>
              <w:left w:w="16" w:type="dxa"/>
              <w:right w:w="16" w:type="dxa"/>
            </w:tcMar>
            <w:vAlign w:val="center"/>
          </w:tcPr>
          <w:p w14:paraId="0F9DBA96">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建设单位联系人</w:t>
            </w:r>
          </w:p>
        </w:tc>
        <w:tc>
          <w:tcPr>
            <w:tcW w:w="2740" w:type="dxa"/>
            <w:vAlign w:val="center"/>
          </w:tcPr>
          <w:p w14:paraId="133DAEFC">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陈明</w:t>
            </w:r>
          </w:p>
        </w:tc>
        <w:tc>
          <w:tcPr>
            <w:tcW w:w="2212" w:type="dxa"/>
            <w:vAlign w:val="center"/>
          </w:tcPr>
          <w:p w14:paraId="50BBBA37">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联系方式</w:t>
            </w:r>
          </w:p>
        </w:tc>
        <w:tc>
          <w:tcPr>
            <w:tcW w:w="2764" w:type="dxa"/>
            <w:vAlign w:val="center"/>
          </w:tcPr>
          <w:p w14:paraId="617B80D0">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133*****700</w:t>
            </w:r>
          </w:p>
        </w:tc>
      </w:tr>
      <w:tr w14:paraId="03AD6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1856" w:type="dxa"/>
            <w:tcMar>
              <w:top w:w="16" w:type="dxa"/>
              <w:left w:w="16" w:type="dxa"/>
              <w:right w:w="16" w:type="dxa"/>
            </w:tcMar>
            <w:vAlign w:val="center"/>
          </w:tcPr>
          <w:p w14:paraId="0E767E17">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p>
        </w:tc>
        <w:tc>
          <w:tcPr>
            <w:tcW w:w="7716" w:type="dxa"/>
            <w:gridSpan w:val="3"/>
            <w:vAlign w:val="center"/>
          </w:tcPr>
          <w:p w14:paraId="3B05B4EF">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 xml:space="preserve">  云南  </w:t>
            </w:r>
            <w:r>
              <w:rPr>
                <w:rFonts w:hint="default" w:ascii="Times New Roman" w:hAnsi="Times New Roman" w:eastAsia="宋体" w:cs="Times New Roman"/>
                <w:color w:val="000000" w:themeColor="text1"/>
                <w:sz w:val="24"/>
                <w14:textFill>
                  <w14:solidFill>
                    <w14:schemeClr w14:val="tx1"/>
                  </w14:solidFill>
                </w14:textFill>
              </w:rPr>
              <w:t>省</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德宏州</w:t>
            </w:r>
            <w:r>
              <w:rPr>
                <w:rFonts w:hint="default" w:ascii="Times New Roman" w:hAnsi="Times New Roman" w:eastAsia="宋体" w:cs="Times New Roman"/>
                <w:color w:val="000000" w:themeColor="text1"/>
                <w:sz w:val="24"/>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芒</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市</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芒市 </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镇</w:t>
            </w:r>
            <w:r>
              <w:rPr>
                <w:rFonts w:hint="default" w:ascii="Times New Roman" w:hAnsi="Times New Roman" w:eastAsia="宋体" w:cs="Times New Roman"/>
                <w:color w:val="000000" w:themeColor="text1"/>
                <w:sz w:val="24"/>
                <w:u w:val="single"/>
                <w14:textFill>
                  <w14:solidFill>
                    <w14:schemeClr w14:val="tx1"/>
                  </w14:solidFill>
                </w14:textFill>
              </w:rPr>
              <w:t xml:space="preserve"> </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 xml:space="preserve"> 街坡村后山 </w:t>
            </w:r>
            <w:r>
              <w:rPr>
                <w:rFonts w:hint="default" w:ascii="Times New Roman" w:hAnsi="Times New Roman" w:eastAsia="宋体" w:cs="Times New Roman"/>
                <w:color w:val="000000" w:themeColor="text1"/>
                <w:sz w:val="24"/>
                <w:u w:val="single"/>
                <w14:textFill>
                  <w14:solidFill>
                    <w14:schemeClr w14:val="tx1"/>
                  </w14:solidFill>
                </w14:textFill>
              </w:rPr>
              <w:t xml:space="preserve"> </w:t>
            </w:r>
          </w:p>
        </w:tc>
      </w:tr>
      <w:tr w14:paraId="66868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exact"/>
          <w:jc w:val="center"/>
        </w:trPr>
        <w:tc>
          <w:tcPr>
            <w:tcW w:w="1856" w:type="dxa"/>
            <w:tcMar>
              <w:top w:w="16" w:type="dxa"/>
              <w:left w:w="16" w:type="dxa"/>
              <w:right w:w="16" w:type="dxa"/>
            </w:tcMar>
            <w:vAlign w:val="center"/>
          </w:tcPr>
          <w:p w14:paraId="5656EA29">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地理坐标</w:t>
            </w:r>
          </w:p>
        </w:tc>
        <w:tc>
          <w:tcPr>
            <w:tcW w:w="7716" w:type="dxa"/>
            <w:gridSpan w:val="3"/>
            <w:vAlign w:val="center"/>
          </w:tcPr>
          <w:p w14:paraId="0F14218A">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（东经：</w:t>
            </w:r>
            <w:r>
              <w:rPr>
                <w:rFonts w:hint="default" w:ascii="Times New Roman" w:hAnsi="Times New Roman" w:eastAsia="宋体" w:cs="Times New Roman"/>
                <w:color w:val="000000" w:themeColor="text1"/>
                <w:sz w:val="24"/>
                <w:lang w:val="en-US" w:eastAsia="zh-CN"/>
                <w14:textFill>
                  <w14:solidFill>
                    <w14:schemeClr w14:val="tx1"/>
                  </w14:solidFill>
                </w14:textFill>
              </w:rPr>
              <w:t>98度36分46.972秒，北纬：24度28分12.662秒</w:t>
            </w:r>
            <w:r>
              <w:rPr>
                <w:rFonts w:hint="default" w:ascii="Times New Roman" w:hAnsi="Times New Roman" w:eastAsia="宋体" w:cs="Times New Roman"/>
                <w:color w:val="000000" w:themeColor="text1"/>
                <w:sz w:val="24"/>
                <w14:textFill>
                  <w14:solidFill>
                    <w14:schemeClr w14:val="tx1"/>
                  </w14:solidFill>
                </w14:textFill>
              </w:rPr>
              <w:t>）</w:t>
            </w:r>
          </w:p>
        </w:tc>
      </w:tr>
      <w:tr w14:paraId="46206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97" w:hRule="exact"/>
          <w:jc w:val="center"/>
        </w:trPr>
        <w:tc>
          <w:tcPr>
            <w:tcW w:w="1856" w:type="dxa"/>
            <w:tcMar>
              <w:top w:w="16" w:type="dxa"/>
              <w:left w:w="16" w:type="dxa"/>
              <w:right w:w="16" w:type="dxa"/>
            </w:tcMar>
            <w:vAlign w:val="center"/>
          </w:tcPr>
          <w:p w14:paraId="6BA3D7A4">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国民经济</w:t>
            </w:r>
          </w:p>
          <w:p w14:paraId="2FE59D71">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行业类别</w:t>
            </w:r>
          </w:p>
        </w:tc>
        <w:tc>
          <w:tcPr>
            <w:tcW w:w="2740" w:type="dxa"/>
            <w:vAlign w:val="center"/>
          </w:tcPr>
          <w:p w14:paraId="2EFF5A31">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sz w:val="24"/>
                <w:lang w:val="en-US" w:eastAsia="zh-CN"/>
              </w:rPr>
              <w:t>D4620 污水处理及其再生利用</w:t>
            </w:r>
          </w:p>
        </w:tc>
        <w:tc>
          <w:tcPr>
            <w:tcW w:w="2212" w:type="dxa"/>
            <w:vAlign w:val="center"/>
          </w:tcPr>
          <w:p w14:paraId="5537EEF2">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bookmarkStart w:id="1" w:name="_Hlk49843745"/>
            <w:r>
              <w:rPr>
                <w:rFonts w:hint="default" w:ascii="Times New Roman" w:hAnsi="Times New Roman" w:eastAsia="宋体" w:cs="Times New Roman"/>
                <w:color w:val="000000" w:themeColor="text1"/>
                <w:sz w:val="24"/>
                <w:highlight w:val="none"/>
                <w14:textFill>
                  <w14:solidFill>
                    <w14:schemeClr w14:val="tx1"/>
                  </w14:solidFill>
                </w14:textFill>
              </w:rPr>
              <w:t>建设项目</w:t>
            </w:r>
          </w:p>
          <w:p w14:paraId="42A66911">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行业类别</w:t>
            </w:r>
            <w:bookmarkEnd w:id="1"/>
          </w:p>
        </w:tc>
        <w:tc>
          <w:tcPr>
            <w:tcW w:w="2764" w:type="dxa"/>
            <w:vAlign w:val="center"/>
          </w:tcPr>
          <w:p w14:paraId="47F6ED3A">
            <w:pPr>
              <w:adjustRightInd w:val="0"/>
              <w:snapToGrid w:val="0"/>
              <w:jc w:val="center"/>
              <w:rPr>
                <w:rFonts w:hint="default" w:ascii="Times New Roman" w:hAnsi="Times New Roman" w:eastAsia="宋体" w:cs="Times New Roman"/>
                <w:color w:val="000000" w:themeColor="text1"/>
                <w:sz w:val="24"/>
                <w:highlight w:val="yellow"/>
                <w14:textFill>
                  <w14:solidFill>
                    <w14:schemeClr w14:val="tx1"/>
                  </w14:solidFill>
                </w14:textFill>
              </w:rPr>
            </w:pPr>
            <w:r>
              <w:rPr>
                <w:rFonts w:hint="default" w:ascii="Times New Roman" w:hAnsi="Times New Roman" w:eastAsia="宋体" w:cs="Times New Roman"/>
                <w:sz w:val="24"/>
                <w:lang w:val="en-US" w:eastAsia="zh-CN"/>
              </w:rPr>
              <w:t>“四十三 水的生产和供应业”中“95 污水处理及其再生利用；新建、扩建其他工业废水处理”</w:t>
            </w:r>
          </w:p>
        </w:tc>
      </w:tr>
      <w:tr w14:paraId="4BEBB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14" w:hRule="exact"/>
          <w:jc w:val="center"/>
        </w:trPr>
        <w:tc>
          <w:tcPr>
            <w:tcW w:w="1856" w:type="dxa"/>
            <w:tcMar>
              <w:top w:w="16" w:type="dxa"/>
              <w:left w:w="16" w:type="dxa"/>
              <w:right w:w="16" w:type="dxa"/>
            </w:tcMar>
            <w:vAlign w:val="center"/>
          </w:tcPr>
          <w:p w14:paraId="6B8309A7">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建设性质</w:t>
            </w:r>
          </w:p>
        </w:tc>
        <w:tc>
          <w:tcPr>
            <w:tcW w:w="2740" w:type="dxa"/>
            <w:vAlign w:val="center"/>
          </w:tcPr>
          <w:p w14:paraId="479CFF51">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新建（迁建）</w:t>
            </w:r>
          </w:p>
          <w:p w14:paraId="5C106557">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改建</w:t>
            </w:r>
          </w:p>
          <w:p w14:paraId="7A6791BB">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扩建</w:t>
            </w:r>
          </w:p>
          <w:p w14:paraId="4EF81077">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技术改造</w:t>
            </w:r>
          </w:p>
        </w:tc>
        <w:tc>
          <w:tcPr>
            <w:tcW w:w="2212" w:type="dxa"/>
            <w:vAlign w:val="center"/>
          </w:tcPr>
          <w:p w14:paraId="07A97AF8">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w:t>
            </w:r>
          </w:p>
          <w:p w14:paraId="54EFA3C0">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申报情形</w:t>
            </w:r>
          </w:p>
        </w:tc>
        <w:tc>
          <w:tcPr>
            <w:tcW w:w="2764" w:type="dxa"/>
            <w:vAlign w:val="center"/>
          </w:tcPr>
          <w:p w14:paraId="0E554736">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首次申报项目             </w:t>
            </w:r>
          </w:p>
          <w:p w14:paraId="518BA0B1">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不予批准后再次申报项目</w:t>
            </w:r>
          </w:p>
          <w:p w14:paraId="626E70F8">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 xml:space="preserve">超五年重新审核项目     </w:t>
            </w:r>
          </w:p>
          <w:p w14:paraId="2A795A2E">
            <w:pPr>
              <w:jc w:val="left"/>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重大变动重新报批项目</w:t>
            </w:r>
          </w:p>
        </w:tc>
      </w:tr>
      <w:tr w14:paraId="6CA62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9" w:hRule="exact"/>
          <w:jc w:val="center"/>
        </w:trPr>
        <w:tc>
          <w:tcPr>
            <w:tcW w:w="1856" w:type="dxa"/>
            <w:tcMar>
              <w:top w:w="16" w:type="dxa"/>
              <w:left w:w="16" w:type="dxa"/>
              <w:right w:w="16" w:type="dxa"/>
            </w:tcMar>
            <w:vAlign w:val="center"/>
          </w:tcPr>
          <w:p w14:paraId="77535A6C">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项目审批（核准/备案）部门（选填）</w:t>
            </w:r>
          </w:p>
        </w:tc>
        <w:tc>
          <w:tcPr>
            <w:tcW w:w="2740" w:type="dxa"/>
            <w:vAlign w:val="center"/>
          </w:tcPr>
          <w:p w14:paraId="480335D7">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芒市发展和改革局</w:t>
            </w:r>
          </w:p>
        </w:tc>
        <w:tc>
          <w:tcPr>
            <w:tcW w:w="2212" w:type="dxa"/>
            <w:vAlign w:val="center"/>
          </w:tcPr>
          <w:p w14:paraId="041B389F">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项目审批（核准/</w:t>
            </w:r>
          </w:p>
          <w:p w14:paraId="724904A7">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备案）文号（选填）</w:t>
            </w:r>
          </w:p>
        </w:tc>
        <w:tc>
          <w:tcPr>
            <w:tcW w:w="2764" w:type="dxa"/>
            <w:vAlign w:val="center"/>
          </w:tcPr>
          <w:p w14:paraId="756B4A2C">
            <w:pPr>
              <w:adjustRightInd w:val="0"/>
              <w:snapToGrid w:val="0"/>
              <w:jc w:val="center"/>
              <w:rPr>
                <w:rFonts w:hint="eastAsia" w:ascii="Times New Roman" w:hAnsi="Times New Roman" w:eastAsia="宋体" w:cs="Times New Roman"/>
                <w:color w:val="000000" w:themeColor="text1"/>
                <w:sz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tc>
      </w:tr>
      <w:tr w14:paraId="07293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exact"/>
          <w:jc w:val="center"/>
        </w:trPr>
        <w:tc>
          <w:tcPr>
            <w:tcW w:w="1856" w:type="dxa"/>
            <w:tcMar>
              <w:top w:w="16" w:type="dxa"/>
              <w:left w:w="16" w:type="dxa"/>
              <w:right w:w="16" w:type="dxa"/>
            </w:tcMar>
            <w:vAlign w:val="center"/>
          </w:tcPr>
          <w:p w14:paraId="7DE547DE">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总投资（万元）</w:t>
            </w:r>
          </w:p>
        </w:tc>
        <w:tc>
          <w:tcPr>
            <w:tcW w:w="2740" w:type="dxa"/>
            <w:vAlign w:val="center"/>
          </w:tcPr>
          <w:p w14:paraId="1BD6E166">
            <w:pPr>
              <w:adjustRightInd w:val="0"/>
              <w:snapToGrid w:val="0"/>
              <w:jc w:val="cente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210</w:t>
            </w:r>
          </w:p>
        </w:tc>
        <w:tc>
          <w:tcPr>
            <w:tcW w:w="2212" w:type="dxa"/>
            <w:tcMar>
              <w:top w:w="16" w:type="dxa"/>
              <w:left w:w="16" w:type="dxa"/>
              <w:right w:w="16" w:type="dxa"/>
            </w:tcMar>
            <w:vAlign w:val="center"/>
          </w:tcPr>
          <w:p w14:paraId="53C2FA3D">
            <w:pPr>
              <w:adjustRightInd w:val="0"/>
              <w:snapToGrid w:val="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环保投资（万元）</w:t>
            </w:r>
          </w:p>
        </w:tc>
        <w:tc>
          <w:tcPr>
            <w:tcW w:w="2764" w:type="dxa"/>
            <w:vAlign w:val="center"/>
          </w:tcPr>
          <w:p w14:paraId="37AA8926">
            <w:pPr>
              <w:adjustRightInd w:val="0"/>
              <w:snapToGrid w:val="0"/>
              <w:jc w:val="center"/>
              <w:rPr>
                <w:rFonts w:hint="default" w:ascii="Times New Roman" w:hAnsi="Times New Roman" w:eastAsia="宋体" w:cs="Times New Roman"/>
                <w:color w:val="000000" w:themeColor="text1"/>
                <w:sz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210</w:t>
            </w:r>
          </w:p>
        </w:tc>
      </w:tr>
      <w:tr w14:paraId="0191B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2" w:hRule="exact"/>
          <w:jc w:val="center"/>
        </w:trPr>
        <w:tc>
          <w:tcPr>
            <w:tcW w:w="1856" w:type="dxa"/>
            <w:tcMar>
              <w:top w:w="16" w:type="dxa"/>
              <w:left w:w="16" w:type="dxa"/>
              <w:right w:w="16" w:type="dxa"/>
            </w:tcMar>
            <w:vAlign w:val="center"/>
          </w:tcPr>
          <w:p w14:paraId="230F828D">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环保投资占比（%）</w:t>
            </w:r>
          </w:p>
        </w:tc>
        <w:tc>
          <w:tcPr>
            <w:tcW w:w="2740" w:type="dxa"/>
            <w:vAlign w:val="center"/>
          </w:tcPr>
          <w:p w14:paraId="690EB1CA">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100</w:t>
            </w:r>
          </w:p>
        </w:tc>
        <w:tc>
          <w:tcPr>
            <w:tcW w:w="2212" w:type="dxa"/>
            <w:tcMar>
              <w:top w:w="16" w:type="dxa"/>
              <w:left w:w="16" w:type="dxa"/>
              <w:right w:w="16" w:type="dxa"/>
            </w:tcMar>
            <w:vAlign w:val="center"/>
          </w:tcPr>
          <w:p w14:paraId="1228DC4D">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2764" w:type="dxa"/>
            <w:vAlign w:val="center"/>
          </w:tcPr>
          <w:p w14:paraId="21CEF90D">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4个月</w:t>
            </w:r>
          </w:p>
        </w:tc>
      </w:tr>
      <w:tr w14:paraId="573D3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856" w:type="dxa"/>
            <w:tcMar>
              <w:top w:w="16" w:type="dxa"/>
              <w:left w:w="16" w:type="dxa"/>
              <w:right w:w="16" w:type="dxa"/>
            </w:tcMar>
            <w:vAlign w:val="center"/>
          </w:tcPr>
          <w:p w14:paraId="71F73BA0">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是否开工建设</w:t>
            </w:r>
          </w:p>
        </w:tc>
        <w:tc>
          <w:tcPr>
            <w:tcW w:w="2740" w:type="dxa"/>
            <w:vAlign w:val="center"/>
          </w:tcPr>
          <w:p w14:paraId="70B9F2EF">
            <w:pPr>
              <w:adjustRightInd w:val="0"/>
              <w:snapToGrid w:val="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否</w:t>
            </w:r>
          </w:p>
          <w:p w14:paraId="45D7513E">
            <w:pPr>
              <w:adjustRightInd w:val="0"/>
              <w:snapToGrid w:val="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是：</w:t>
            </w:r>
            <w:r>
              <w:rPr>
                <w:rFonts w:hint="default" w:ascii="Times New Roman" w:hAnsi="Times New Roman" w:eastAsia="宋体" w:cs="Times New Roman"/>
                <w:color w:val="000000" w:themeColor="text1"/>
                <w:sz w:val="24"/>
                <w:u w:val="single"/>
                <w14:textFill>
                  <w14:solidFill>
                    <w14:schemeClr w14:val="tx1"/>
                  </w14:solidFill>
                </w14:textFill>
              </w:rPr>
              <w:t xml:space="preserve">   </w:t>
            </w:r>
          </w:p>
        </w:tc>
        <w:tc>
          <w:tcPr>
            <w:tcW w:w="2212" w:type="dxa"/>
            <w:tcMar>
              <w:top w:w="16" w:type="dxa"/>
              <w:left w:w="16" w:type="dxa"/>
              <w:right w:w="16" w:type="dxa"/>
            </w:tcMar>
            <w:vAlign w:val="center"/>
          </w:tcPr>
          <w:p w14:paraId="21835B56">
            <w:pPr>
              <w:adjustRightInd w:val="0"/>
              <w:snapToGrid w:val="0"/>
              <w:jc w:val="center"/>
              <w:rPr>
                <w:rFonts w:hint="default" w:ascii="Times New Roman" w:hAnsi="Times New Roman" w:eastAsia="宋体" w:cs="Times New Roman"/>
                <w:color w:val="000000" w:themeColor="text1"/>
                <w:spacing w:val="-6"/>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用地（用海）</w:t>
            </w:r>
          </w:p>
          <w:p w14:paraId="0806BD51">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面积（m</w:t>
            </w:r>
            <w:r>
              <w:rPr>
                <w:rFonts w:hint="default" w:ascii="Times New Roman" w:hAnsi="Times New Roman" w:eastAsia="宋体" w:cs="Times New Roman"/>
                <w:color w:val="000000" w:themeColor="text1"/>
                <w:spacing w:val="-6"/>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14:textFill>
                  <w14:solidFill>
                    <w14:schemeClr w14:val="tx1"/>
                  </w14:solidFill>
                </w14:textFill>
              </w:rPr>
              <w:t>）</w:t>
            </w:r>
          </w:p>
        </w:tc>
        <w:tc>
          <w:tcPr>
            <w:tcW w:w="2764" w:type="dxa"/>
            <w:vAlign w:val="center"/>
          </w:tcPr>
          <w:p w14:paraId="64F896F9">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150</w:t>
            </w:r>
          </w:p>
        </w:tc>
      </w:tr>
      <w:tr w14:paraId="21D6C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56" w:type="dxa"/>
            <w:vAlign w:val="center"/>
          </w:tcPr>
          <w:p w14:paraId="642609D9">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专项评价设置情况</w:t>
            </w:r>
          </w:p>
        </w:tc>
        <w:tc>
          <w:tcPr>
            <w:tcW w:w="7716" w:type="dxa"/>
            <w:gridSpan w:val="3"/>
            <w:vAlign w:val="center"/>
          </w:tcPr>
          <w:p w14:paraId="2D0B7941">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无</w:t>
            </w:r>
          </w:p>
        </w:tc>
      </w:tr>
      <w:tr w14:paraId="4971A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56" w:type="dxa"/>
            <w:vAlign w:val="center"/>
          </w:tcPr>
          <w:p w14:paraId="2338455E">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规划情况</w:t>
            </w:r>
          </w:p>
        </w:tc>
        <w:tc>
          <w:tcPr>
            <w:tcW w:w="7716" w:type="dxa"/>
            <w:gridSpan w:val="3"/>
            <w:vAlign w:val="center"/>
          </w:tcPr>
          <w:p w14:paraId="0873BE60">
            <w:pPr>
              <w:autoSpaceDE w:val="0"/>
              <w:autoSpaceDN w:val="0"/>
              <w:adjustRightInd w:val="0"/>
              <w:snapToGrid w:val="0"/>
              <w:spacing w:line="360" w:lineRule="auto"/>
              <w:jc w:val="center"/>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lang w:val="en-US" w:eastAsia="zh-CN" w:bidi="ar"/>
                <w14:textFill>
                  <w14:solidFill>
                    <w14:schemeClr w14:val="tx1"/>
                  </w14:solidFill>
                </w14:textFill>
              </w:rPr>
              <w:t>无</w:t>
            </w:r>
          </w:p>
        </w:tc>
      </w:tr>
      <w:tr w14:paraId="14FB8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6" w:type="dxa"/>
            <w:vAlign w:val="center"/>
          </w:tcPr>
          <w:p w14:paraId="7EA7F6D5">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规划环境影响</w:t>
            </w:r>
          </w:p>
          <w:p w14:paraId="2B02F21C">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评价情况</w:t>
            </w:r>
          </w:p>
        </w:tc>
        <w:tc>
          <w:tcPr>
            <w:tcW w:w="7716" w:type="dxa"/>
            <w:gridSpan w:val="3"/>
            <w:vAlign w:val="center"/>
          </w:tcPr>
          <w:p w14:paraId="3F9551CD">
            <w:pPr>
              <w:autoSpaceDE w:val="0"/>
              <w:autoSpaceDN w:val="0"/>
              <w:adjustRightInd w:val="0"/>
              <w:snapToGrid w:val="0"/>
              <w:spacing w:line="360" w:lineRule="auto"/>
              <w:jc w:val="center"/>
              <w:rPr>
                <w:rFonts w:hint="default" w:ascii="Times New Roman" w:hAnsi="Times New Roman" w:eastAsia="宋体" w:cs="Times New Roman"/>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4"/>
                <w:lang w:val="en-US" w:eastAsia="zh-CN" w:bidi="ar"/>
                <w14:textFill>
                  <w14:solidFill>
                    <w14:schemeClr w14:val="tx1"/>
                  </w14:solidFill>
                </w14:textFill>
              </w:rPr>
              <w:t>无</w:t>
            </w:r>
          </w:p>
        </w:tc>
      </w:tr>
      <w:tr w14:paraId="2E733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6" w:type="dxa"/>
            <w:vAlign w:val="center"/>
          </w:tcPr>
          <w:p w14:paraId="58BE23E5">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规划及规划环境影响评价符合性分析</w:t>
            </w:r>
          </w:p>
        </w:tc>
        <w:tc>
          <w:tcPr>
            <w:tcW w:w="7716" w:type="dxa"/>
            <w:gridSpan w:val="3"/>
            <w:vAlign w:val="center"/>
          </w:tcPr>
          <w:p w14:paraId="7962F0FC">
            <w:pPr>
              <w:autoSpaceDE w:val="0"/>
              <w:autoSpaceDN w:val="0"/>
              <w:adjustRightInd w:val="0"/>
              <w:snapToGrid w:val="0"/>
              <w:spacing w:line="360" w:lineRule="auto"/>
              <w:jc w:val="center"/>
              <w:rPr>
                <w:rFonts w:hint="default" w:ascii="Times New Roman" w:hAnsi="Times New Roman" w:eastAsia="宋体" w:cs="Times New Roman"/>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Cs/>
                <w:color w:val="000000" w:themeColor="text1"/>
                <w:kern w:val="0"/>
                <w:sz w:val="24"/>
                <w:lang w:val="en-US" w:eastAsia="zh-CN" w:bidi="ar"/>
                <w14:textFill>
                  <w14:solidFill>
                    <w14:schemeClr w14:val="tx1"/>
                  </w14:solidFill>
                </w14:textFill>
              </w:rPr>
              <w:t>无</w:t>
            </w:r>
          </w:p>
        </w:tc>
      </w:tr>
      <w:tr w14:paraId="37BBC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5" w:hRule="atLeast"/>
          <w:jc w:val="center"/>
        </w:trPr>
        <w:tc>
          <w:tcPr>
            <w:tcW w:w="1856" w:type="dxa"/>
            <w:vAlign w:val="center"/>
          </w:tcPr>
          <w:p w14:paraId="4FE96253">
            <w:pPr>
              <w:autoSpaceDE w:val="0"/>
              <w:autoSpaceDN w:val="0"/>
              <w:adjustRightInd w:val="0"/>
              <w:snapToGrid w:val="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其他符合性分析</w:t>
            </w:r>
          </w:p>
        </w:tc>
        <w:tc>
          <w:tcPr>
            <w:tcW w:w="7716" w:type="dxa"/>
            <w:gridSpan w:val="3"/>
            <w:vAlign w:val="center"/>
          </w:tcPr>
          <w:p w14:paraId="18E2082E">
            <w:pPr>
              <w:pStyle w:val="25"/>
              <w:spacing w:before="0" w:beforeAutospacing="0" w:after="0" w:afterAutospacing="0" w:line="36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1、产业政策符合性分析</w:t>
            </w:r>
          </w:p>
          <w:p w14:paraId="1493E308">
            <w:pPr>
              <w:spacing w:line="360" w:lineRule="auto"/>
              <w:ind w:firstLine="480" w:firstLineChars="200"/>
              <w:rPr>
                <w:rFonts w:ascii="Times New Roman" w:hAnsi="Times New Roman" w:cs="Times New Roman"/>
                <w:bCs/>
                <w:color w:val="000000" w:themeColor="text1"/>
                <w:sz w:val="24"/>
                <w14:textFill>
                  <w14:solidFill>
                    <w14:schemeClr w14:val="tx1"/>
                  </w14:solidFill>
                </w14:textFill>
              </w:rPr>
            </w:pPr>
            <w:r>
              <w:rPr>
                <w:rFonts w:ascii="Times New Roman" w:hAnsi="Times New Roman" w:cs="Times New Roman"/>
                <w:bCs/>
                <w:color w:val="000000" w:themeColor="text1"/>
                <w:sz w:val="24"/>
                <w14:textFill>
                  <w14:solidFill>
                    <w14:schemeClr w14:val="tx1"/>
                  </w14:solidFill>
                </w14:textFill>
              </w:rPr>
              <w:t>本项目为</w:t>
            </w:r>
            <w:r>
              <w:rPr>
                <w:rFonts w:hint="eastAsia" w:ascii="Times New Roman" w:hAnsi="Times New Roman" w:cs="Times New Roman"/>
                <w:bCs/>
                <w:color w:val="000000" w:themeColor="text1"/>
                <w:sz w:val="24"/>
                <w:lang w:val="en-US" w:eastAsia="zh-CN"/>
                <w14:textFill>
                  <w14:solidFill>
                    <w14:schemeClr w14:val="tx1"/>
                  </w14:solidFill>
                </w14:textFill>
              </w:rPr>
              <w:t>污水处理及其再生利用</w:t>
            </w:r>
            <w:r>
              <w:rPr>
                <w:rFonts w:ascii="Times New Roman" w:hAnsi="Times New Roman" w:cs="Times New Roman"/>
                <w:bCs/>
                <w:color w:val="000000" w:themeColor="text1"/>
                <w:sz w:val="24"/>
                <w14:textFill>
                  <w14:solidFill>
                    <w14:schemeClr w14:val="tx1"/>
                  </w14:solidFill>
                </w14:textFill>
              </w:rPr>
              <w:t>，</w:t>
            </w:r>
            <w:r>
              <w:rPr>
                <w:rFonts w:hint="eastAsia" w:ascii="Times New Roman" w:hAnsi="Times New Roman" w:cs="Times New Roman"/>
                <w:bCs/>
                <w:color w:val="000000" w:themeColor="text1"/>
                <w:sz w:val="24"/>
                <w:lang w:eastAsia="zh-CN"/>
                <w14:textFill>
                  <w14:solidFill>
                    <w14:schemeClr w14:val="tx1"/>
                  </w14:solidFill>
                </w14:textFill>
              </w:rPr>
              <w:t>经查询</w:t>
            </w:r>
            <w:r>
              <w:rPr>
                <w:rFonts w:ascii="Times New Roman" w:hAnsi="Times New Roman" w:cs="Times New Roman"/>
                <w:bCs/>
                <w:color w:val="000000" w:themeColor="text1"/>
                <w:sz w:val="24"/>
                <w14:textFill>
                  <w14:solidFill>
                    <w14:schemeClr w14:val="tx1"/>
                  </w14:solidFill>
                </w14:textFill>
              </w:rPr>
              <w:t>《产业结构调整指导目录(201</w:t>
            </w:r>
            <w:r>
              <w:rPr>
                <w:rFonts w:hint="eastAsia" w:ascii="Times New Roman" w:hAnsi="Times New Roman" w:cs="Times New Roman"/>
                <w:bCs/>
                <w:color w:val="000000" w:themeColor="text1"/>
                <w:sz w:val="24"/>
                <w:lang w:val="en-US" w:eastAsia="zh-CN"/>
                <w14:textFill>
                  <w14:solidFill>
                    <w14:schemeClr w14:val="tx1"/>
                  </w14:solidFill>
                </w14:textFill>
              </w:rPr>
              <w:t>9</w:t>
            </w:r>
            <w:r>
              <w:rPr>
                <w:rFonts w:ascii="Times New Roman" w:hAnsi="Times New Roman" w:cs="Times New Roman"/>
                <w:bCs/>
                <w:color w:val="000000" w:themeColor="text1"/>
                <w:sz w:val="24"/>
                <w14:textFill>
                  <w14:solidFill>
                    <w14:schemeClr w14:val="tx1"/>
                  </w14:solidFill>
                </w14:textFill>
              </w:rPr>
              <w:t>本)》</w:t>
            </w:r>
            <w:r>
              <w:rPr>
                <w:rFonts w:hint="eastAsia" w:ascii="Times New Roman" w:hAnsi="Times New Roman" w:cs="Times New Roman"/>
                <w:bCs/>
                <w:color w:val="000000" w:themeColor="text1"/>
                <w:sz w:val="24"/>
                <w:lang w:eastAsia="zh-CN"/>
                <w14:textFill>
                  <w14:solidFill>
                    <w14:schemeClr w14:val="tx1"/>
                  </w14:solidFill>
                </w14:textFill>
              </w:rPr>
              <w:t>，本项目属于</w:t>
            </w:r>
            <w:r>
              <w:rPr>
                <w:rFonts w:ascii="Times New Roman" w:hAnsi="Times New Roman" w:cs="Times New Roman"/>
                <w:bCs/>
                <w:color w:val="000000" w:themeColor="text1"/>
                <w:sz w:val="24"/>
                <w:lang w:val="en-US" w:eastAsia="zh-CN"/>
                <w14:textFill>
                  <w14:solidFill>
                    <w14:schemeClr w14:val="tx1"/>
                  </w14:solidFill>
                </w14:textFill>
              </w:rPr>
              <w:t>鼓励类</w:t>
            </w:r>
            <w:r>
              <w:rPr>
                <w:rFonts w:hint="eastAsia" w:ascii="Times New Roman" w:hAnsi="Times New Roman" w:cs="Times New Roman"/>
                <w:bCs/>
                <w:color w:val="000000" w:themeColor="text1"/>
                <w:sz w:val="24"/>
                <w:lang w:eastAsia="zh-CN"/>
                <w14:textFill>
                  <w14:solidFill>
                    <w14:schemeClr w14:val="tx1"/>
                  </w14:solidFill>
                </w14:textFill>
              </w:rPr>
              <w:t>“</w:t>
            </w:r>
            <w:r>
              <w:rPr>
                <w:rFonts w:ascii="Times New Roman" w:hAnsi="Times New Roman" w:cs="Times New Roman"/>
                <w:bCs/>
                <w:color w:val="000000" w:themeColor="text1"/>
                <w:sz w:val="24"/>
                <w:lang w:val="en-US" w:eastAsia="zh-CN"/>
                <w14:textFill>
                  <w14:solidFill>
                    <w14:schemeClr w14:val="tx1"/>
                  </w14:solidFill>
                </w14:textFill>
              </w:rPr>
              <w:t>四十三、环境保护与资源节约综合利用</w:t>
            </w:r>
            <w:r>
              <w:rPr>
                <w:rFonts w:hint="default" w:ascii="Times New Roman" w:hAnsi="Times New Roman" w:cs="Times New Roman"/>
                <w:bCs/>
                <w:color w:val="000000" w:themeColor="text1"/>
                <w:sz w:val="24"/>
                <w:lang w:val="en-US" w:eastAsia="zh-CN"/>
                <w14:textFill>
                  <w14:solidFill>
                    <w14:schemeClr w14:val="tx1"/>
                  </w14:solidFill>
                </w14:textFill>
              </w:rPr>
              <w:t>20</w:t>
            </w:r>
            <w:r>
              <w:rPr>
                <w:rFonts w:ascii="Times New Roman" w:hAnsi="Times New Roman" w:cs="Times New Roman"/>
                <w:bCs/>
                <w:color w:val="000000" w:themeColor="text1"/>
                <w:sz w:val="24"/>
                <w:lang w:val="en-US" w:eastAsia="zh-CN"/>
                <w14:textFill>
                  <w14:solidFill>
                    <w14:schemeClr w14:val="tx1"/>
                  </w14:solidFill>
                </w14:textFill>
              </w:rPr>
              <w:t>、城镇垃圾、农村生活垃圾、农村生活污水、污泥及其他固</w:t>
            </w:r>
            <w:r>
              <w:rPr>
                <w:rFonts w:hint="default" w:ascii="Times New Roman" w:hAnsi="Times New Roman" w:cs="Times New Roman"/>
                <w:bCs/>
                <w:color w:val="000000" w:themeColor="text1"/>
                <w:sz w:val="24"/>
                <w:lang w:val="en-US" w:eastAsia="zh-CN"/>
                <w14:textFill>
                  <w14:solidFill>
                    <w14:schemeClr w14:val="tx1"/>
                  </w14:solidFill>
                </w14:textFill>
              </w:rPr>
              <w:t>体废弃物减量化、资源化、无害化处理和综合利用工程</w:t>
            </w:r>
            <w:r>
              <w:rPr>
                <w:rFonts w:hint="eastAsia" w:ascii="Times New Roman" w:hAnsi="Times New Roman" w:cs="Times New Roman"/>
                <w:bCs/>
                <w:color w:val="000000" w:themeColor="text1"/>
                <w:sz w:val="24"/>
                <w:lang w:val="en-US" w:eastAsia="zh-CN"/>
                <w14:textFill>
                  <w14:solidFill>
                    <w14:schemeClr w14:val="tx1"/>
                  </w14:solidFill>
                </w14:textFill>
              </w:rPr>
              <w:t>”。</w:t>
            </w:r>
            <w:r>
              <w:rPr>
                <w:rFonts w:ascii="Times New Roman" w:hAnsi="Times New Roman" w:cs="Times New Roman"/>
                <w:bCs/>
                <w:color w:val="000000" w:themeColor="text1"/>
                <w:sz w:val="24"/>
                <w14:textFill>
                  <w14:solidFill>
                    <w14:schemeClr w14:val="tx1"/>
                  </w14:solidFill>
                </w14:textFill>
              </w:rPr>
              <w:t>据《部分工业行业淘汰落后生产工艺装备和产品指导目录(2010年本)》，本项目未使用淘汰落后的生产工艺装备。因此，本项目符合国家产业政策的规定。</w:t>
            </w:r>
          </w:p>
          <w:p w14:paraId="3BD843C5">
            <w:pPr>
              <w:pStyle w:val="25"/>
              <w:spacing w:before="0" w:beforeAutospacing="0" w:after="0" w:afterAutospacing="0" w:line="36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2、</w:t>
            </w:r>
            <w:r>
              <w:rPr>
                <w:rFonts w:ascii="Times New Roman" w:hAnsi="Times New Roman" w:cs="Times New Roman"/>
                <w:b/>
                <w:color w:val="000000" w:themeColor="text1"/>
                <w14:textFill>
                  <w14:solidFill>
                    <w14:schemeClr w14:val="tx1"/>
                  </w14:solidFill>
                </w14:textFill>
              </w:rPr>
              <w:t>项目选址合理性分析</w:t>
            </w:r>
          </w:p>
          <w:p w14:paraId="08A5E1E7">
            <w:pPr>
              <w:pStyle w:val="3"/>
              <w:bidi w:val="0"/>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4"/>
                <w:szCs w:val="24"/>
                <w:lang w:val="zh-CN" w:eastAsia="zh-CN" w:bidi="ar-SA"/>
                <w14:textFill>
                  <w14:solidFill>
                    <w14:schemeClr w14:val="tx1"/>
                  </w14:solidFill>
                </w14:textFill>
              </w:rPr>
              <w:t>项目位于</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芒市芒市镇街坡村后山，距市中心5.6km。离市区相对较远，紧邻国道320（K3533+200）以东1.2km处，道路运输容易，运输费用低。项目场地四面环山，山势较陡，项目选址不在风景名胜区内，评价区域内无国家和省级保护野生动物、植物及古树名木；场址所在地水、电供应均有保证，满足本项目生产及生活需求；项目</w:t>
            </w:r>
            <w:r>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场址50m内</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无</w:t>
            </w:r>
            <w:r>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居民</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10</w:t>
            </w:r>
            <w:r>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00m内</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无</w:t>
            </w:r>
            <w:r>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居民</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居住</w:t>
            </w:r>
            <w:r>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，该场址位于</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芒市</w:t>
            </w:r>
            <w:r>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城区夏季主导风和全年主导风的下风向</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。项目排放的污染物经合理处理后对环境影响小，环保措施合理可行，污染程度和范围均十分有限，因此，项目生产后对周围环境质量的影响不大。</w:t>
            </w:r>
          </w:p>
          <w:p w14:paraId="4E7D8D4B">
            <w:pPr>
              <w:pStyle w:val="3"/>
              <w:bidi w:val="0"/>
              <w:rPr>
                <w:rFonts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综上所述，项目不与区域环境相冲突，项目的建设符合当地环境的要求，该项目选址合理可行的。</w:t>
            </w:r>
          </w:p>
          <w:p w14:paraId="4E11C1BD">
            <w:pPr>
              <w:pStyle w:val="25"/>
              <w:spacing w:before="0" w:beforeAutospacing="0" w:after="0" w:afterAutospacing="0" w:line="360" w:lineRule="auto"/>
              <w:jc w:val="both"/>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“三线一单”的符合性分析</w:t>
            </w:r>
          </w:p>
          <w:p w14:paraId="696221E3">
            <w:pPr>
              <w:pStyle w:val="3"/>
              <w:bidi w:val="0"/>
              <w:rPr>
                <w:rFonts w:hint="default" w:ascii="Times New Roman" w:hAnsi="Times New Roman" w:cs="Times New Roman" w:eastAsiaTheme="minorEastAsia"/>
                <w:bCs/>
                <w:color w:val="000000" w:themeColor="text1"/>
                <w:kern w:val="2"/>
                <w:sz w:val="24"/>
                <w:szCs w:val="24"/>
                <w:lang w:val="zh-CN" w:eastAsia="zh-CN" w:bidi="ar-SA"/>
                <w14:textFill>
                  <w14:solidFill>
                    <w14:schemeClr w14:val="tx1"/>
                  </w14:solidFill>
                </w14:textFill>
              </w:rPr>
            </w:pPr>
            <w:r>
              <w:rPr>
                <w:rFonts w:hint="default" w:ascii="Times New Roman" w:hAnsi="Times New Roman" w:cs="Times New Roman" w:eastAsiaTheme="minorEastAsia"/>
                <w:bCs/>
                <w:color w:val="000000" w:themeColor="text1"/>
                <w:kern w:val="2"/>
                <w:sz w:val="24"/>
                <w:szCs w:val="24"/>
                <w:lang w:val="zh-CN" w:eastAsia="zh-CN" w:bidi="ar-SA"/>
                <w14:textFill>
                  <w14:solidFill>
                    <w14:schemeClr w14:val="tx1"/>
                  </w14:solidFill>
                </w14:textFill>
              </w:rPr>
              <w:t>根据《德宏州人民政府关于印发德宏州“三线一单”生态环境分区管控实施方案的通知》，生态保护红线和一般生态空间、环境质量底线、资源利用上线和生态环境准入清单（以下简称“三线一单”）基本情况如下：</w:t>
            </w:r>
          </w:p>
          <w:p w14:paraId="38E937E7">
            <w:pPr>
              <w:pStyle w:val="69"/>
              <w:keepNext w:val="0"/>
              <w:keepLines w:val="0"/>
              <w:suppressLineNumbers w:val="0"/>
              <w:spacing w:before="0" w:beforeAutospacing="0" w:after="0" w:afterAutospacing="0"/>
              <w:ind w:left="0" w:right="0"/>
              <w:rPr>
                <w:rFonts w:hint="default" w:ascii="Times New Roman" w:hAnsi="Times New Roman" w:cs="Times New Roman"/>
                <w:color w:val="auto"/>
                <w:lang w:bidi="ar"/>
              </w:rPr>
            </w:pPr>
            <w:r>
              <w:rPr>
                <w:rFonts w:hint="default" w:ascii="Times New Roman" w:hAnsi="Times New Roman" w:cs="Times New Roman"/>
                <w:color w:val="auto"/>
                <w:lang w:bidi="ar"/>
              </w:rPr>
              <w:t>表1-1   项目与“三线一单”文件相符合性分析</w:t>
            </w:r>
          </w:p>
          <w:tbl>
            <w:tblPr>
              <w:tblStyle w:val="27"/>
              <w:tblW w:w="7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572"/>
              <w:gridCol w:w="3160"/>
              <w:gridCol w:w="2312"/>
              <w:gridCol w:w="806"/>
            </w:tblGrid>
            <w:tr w14:paraId="6F3F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080" w:type="dxa"/>
                  <w:gridSpan w:val="2"/>
                  <w:vAlign w:val="center"/>
                </w:tcPr>
                <w:p w14:paraId="7B88CB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pacing w:val="2"/>
                      <w:sz w:val="21"/>
                      <w:szCs w:val="20"/>
                    </w:rPr>
                  </w:pPr>
                  <w:r>
                    <w:rPr>
                      <w:rFonts w:hint="default" w:ascii="Times New Roman" w:hAnsi="Times New Roman" w:cs="Times New Roman"/>
                      <w:b/>
                      <w:color w:val="auto"/>
                      <w:spacing w:val="2"/>
                      <w:sz w:val="21"/>
                      <w:szCs w:val="20"/>
                    </w:rPr>
                    <w:t>类别</w:t>
                  </w:r>
                </w:p>
              </w:tc>
              <w:tc>
                <w:tcPr>
                  <w:tcW w:w="3160" w:type="dxa"/>
                  <w:vAlign w:val="center"/>
                </w:tcPr>
                <w:p w14:paraId="68685A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pacing w:val="2"/>
                      <w:sz w:val="21"/>
                      <w:szCs w:val="20"/>
                    </w:rPr>
                  </w:pPr>
                  <w:r>
                    <w:rPr>
                      <w:rFonts w:hint="default" w:ascii="Times New Roman" w:hAnsi="Times New Roman" w:cs="Times New Roman"/>
                      <w:b/>
                      <w:color w:val="auto"/>
                      <w:spacing w:val="2"/>
                      <w:sz w:val="21"/>
                      <w:szCs w:val="20"/>
                    </w:rPr>
                    <w:t>文件内容</w:t>
                  </w:r>
                </w:p>
              </w:tc>
              <w:tc>
                <w:tcPr>
                  <w:tcW w:w="2312" w:type="dxa"/>
                  <w:vAlign w:val="center"/>
                </w:tcPr>
                <w:p w14:paraId="0833B7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pacing w:val="2"/>
                      <w:sz w:val="21"/>
                      <w:szCs w:val="20"/>
                    </w:rPr>
                  </w:pPr>
                  <w:r>
                    <w:rPr>
                      <w:rFonts w:hint="default" w:ascii="Times New Roman" w:hAnsi="Times New Roman" w:cs="Times New Roman"/>
                      <w:b/>
                      <w:color w:val="auto"/>
                      <w:spacing w:val="2"/>
                      <w:sz w:val="21"/>
                      <w:szCs w:val="20"/>
                    </w:rPr>
                    <w:t>项目情况</w:t>
                  </w:r>
                </w:p>
              </w:tc>
              <w:tc>
                <w:tcPr>
                  <w:tcW w:w="806" w:type="dxa"/>
                  <w:vAlign w:val="center"/>
                </w:tcPr>
                <w:p w14:paraId="570DB1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pacing w:val="2"/>
                      <w:sz w:val="21"/>
                      <w:szCs w:val="20"/>
                    </w:rPr>
                  </w:pPr>
                  <w:r>
                    <w:rPr>
                      <w:rFonts w:hint="default" w:ascii="Times New Roman" w:hAnsi="Times New Roman" w:cs="Times New Roman"/>
                      <w:b/>
                      <w:color w:val="auto"/>
                      <w:spacing w:val="2"/>
                      <w:sz w:val="21"/>
                      <w:szCs w:val="20"/>
                    </w:rPr>
                    <w:t>符合性</w:t>
                  </w:r>
                </w:p>
              </w:tc>
            </w:tr>
            <w:tr w14:paraId="0265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080" w:type="dxa"/>
                  <w:gridSpan w:val="2"/>
                  <w:vAlign w:val="center"/>
                </w:tcPr>
                <w:p w14:paraId="093F82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生态保护红线</w:t>
                  </w:r>
                </w:p>
              </w:tc>
              <w:tc>
                <w:tcPr>
                  <w:tcW w:w="3160" w:type="dxa"/>
                  <w:vAlign w:val="center"/>
                </w:tcPr>
                <w:p w14:paraId="3E08ED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执行《云南省人民政府关于发布云南省生态保护红线的通知》（云政发〔2018〕32号），生态保护红线评估调整成果获批后，按照批准成果执行。将未划入生态保护红线的自然保护区、国家公园、森林公园、风景名胜区、湿地公园、重要湿地、集中式饮用水水源地等生态功能重要区域、生态环境敏感区域划入一般生态空间。</w:t>
                  </w:r>
                </w:p>
              </w:tc>
              <w:tc>
                <w:tcPr>
                  <w:tcW w:w="2312" w:type="dxa"/>
                  <w:vAlign w:val="center"/>
                </w:tcPr>
                <w:p w14:paraId="4800E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项目位于</w:t>
                  </w:r>
                  <w:r>
                    <w:rPr>
                      <w:rFonts w:hint="eastAsia" w:ascii="Times New Roman" w:hAnsi="Times New Roman" w:cs="Times New Roman"/>
                      <w:color w:val="auto"/>
                      <w:spacing w:val="2"/>
                      <w:sz w:val="21"/>
                      <w:szCs w:val="20"/>
                      <w:lang w:val="en-US" w:eastAsia="zh-CN"/>
                    </w:rPr>
                    <w:t>芒市芒市镇街坡村后山</w:t>
                  </w:r>
                  <w:r>
                    <w:rPr>
                      <w:rFonts w:hint="default" w:ascii="Times New Roman" w:hAnsi="Times New Roman" w:cs="Times New Roman"/>
                      <w:color w:val="auto"/>
                      <w:spacing w:val="2"/>
                      <w:sz w:val="21"/>
                      <w:szCs w:val="20"/>
                    </w:rPr>
                    <w:t>，不属于风景名胜区、自然保护区、水源保护区和其他需要特别保护的区域内，不涉及基本农田，项目不压占生态保护红线范围</w:t>
                  </w:r>
                  <w:r>
                    <w:rPr>
                      <w:rFonts w:hint="default" w:ascii="Times New Roman" w:hAnsi="Times New Roman" w:cs="Times New Roman"/>
                      <w:color w:val="auto"/>
                      <w:spacing w:val="2"/>
                      <w:sz w:val="21"/>
                      <w:szCs w:val="20"/>
                      <w:lang w:eastAsia="zh-CN"/>
                    </w:rPr>
                    <w:t>、</w:t>
                  </w:r>
                  <w:r>
                    <w:rPr>
                      <w:rFonts w:hint="default" w:ascii="Times New Roman" w:hAnsi="Times New Roman" w:cs="Times New Roman"/>
                      <w:color w:val="auto"/>
                      <w:spacing w:val="2"/>
                      <w:sz w:val="21"/>
                      <w:szCs w:val="20"/>
                      <w:lang w:val="en-US" w:eastAsia="zh-CN"/>
                    </w:rPr>
                    <w:t>生态环境敏感区，</w:t>
                  </w:r>
                  <w:r>
                    <w:rPr>
                      <w:rFonts w:hint="default" w:ascii="Times New Roman" w:hAnsi="Times New Roman" w:cs="Times New Roman"/>
                      <w:color w:val="auto"/>
                      <w:spacing w:val="2"/>
                      <w:sz w:val="21"/>
                      <w:szCs w:val="20"/>
                    </w:rPr>
                    <w:t>项目选址符合生态保护红线的要求。</w:t>
                  </w:r>
                </w:p>
              </w:tc>
              <w:tc>
                <w:tcPr>
                  <w:tcW w:w="806" w:type="dxa"/>
                  <w:vAlign w:val="center"/>
                </w:tcPr>
                <w:p w14:paraId="04F24B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符合</w:t>
                  </w:r>
                </w:p>
              </w:tc>
            </w:tr>
            <w:tr w14:paraId="4F6F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trPr>
              <w:tc>
                <w:tcPr>
                  <w:tcW w:w="508" w:type="dxa"/>
                  <w:vMerge w:val="restart"/>
                  <w:vAlign w:val="center"/>
                </w:tcPr>
                <w:p w14:paraId="420C1C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环境质量底线</w:t>
                  </w:r>
                </w:p>
              </w:tc>
              <w:tc>
                <w:tcPr>
                  <w:tcW w:w="572" w:type="dxa"/>
                  <w:vAlign w:val="center"/>
                </w:tcPr>
                <w:p w14:paraId="6E2E46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水环</w:t>
                  </w:r>
                </w:p>
                <w:p w14:paraId="59B0B5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境质</w:t>
                  </w:r>
                </w:p>
                <w:p w14:paraId="63F6F4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量底</w:t>
                  </w:r>
                </w:p>
                <w:p w14:paraId="272560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kern w:val="0"/>
                      <w:sz w:val="21"/>
                      <w:szCs w:val="21"/>
                      <w:lang w:bidi="ar"/>
                    </w:rPr>
                    <w:t>线</w:t>
                  </w:r>
                </w:p>
              </w:tc>
              <w:tc>
                <w:tcPr>
                  <w:tcW w:w="3160" w:type="dxa"/>
                  <w:vAlign w:val="center"/>
                </w:tcPr>
                <w:p w14:paraId="38852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到2025年，全州水环境质量总体优良， 9个河流地表水断面中优良水体断面（达到或优于Ⅲ类）比例稳定达到100%，“十四五”新增监测断面水质达标率100%，水生生态系统功能进一步提升，县市及以上集中式饮用水水源水质巩固改善。到2035年，全州水环境质量持续优良，水生生态系统全面提升，实现“人水和谐”。</w:t>
                  </w:r>
                </w:p>
              </w:tc>
              <w:tc>
                <w:tcPr>
                  <w:tcW w:w="2312" w:type="dxa"/>
                  <w:vAlign w:val="center"/>
                </w:tcPr>
                <w:p w14:paraId="47F1C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rPr>
                  </w:pPr>
                  <w:r>
                    <w:rPr>
                      <w:rFonts w:hint="eastAsia" w:ascii="Times New Roman" w:hAnsi="Times New Roman" w:cs="Times New Roman"/>
                      <w:color w:val="auto"/>
                      <w:spacing w:val="2"/>
                      <w:sz w:val="21"/>
                      <w:szCs w:val="20"/>
                      <w:lang w:val="en-US" w:eastAsia="zh-CN"/>
                    </w:rPr>
                    <w:t>项目运行过程中受降雨及垃圾填埋量影响，各个季节渗滤液量不同渗滤液，经污水处理站处理达标后排入芒市污水处理厂。</w:t>
                  </w:r>
                  <w:r>
                    <w:rPr>
                      <w:rFonts w:hint="default" w:ascii="Times New Roman" w:hAnsi="Times New Roman" w:cs="Times New Roman"/>
                      <w:color w:val="auto"/>
                      <w:spacing w:val="2"/>
                      <w:sz w:val="21"/>
                      <w:szCs w:val="20"/>
                    </w:rPr>
                    <w:t>生活污水</w:t>
                  </w:r>
                  <w:r>
                    <w:rPr>
                      <w:rFonts w:hint="eastAsia" w:ascii="Times New Roman" w:hAnsi="Times New Roman" w:cs="Times New Roman"/>
                      <w:color w:val="auto"/>
                      <w:spacing w:val="2"/>
                      <w:sz w:val="21"/>
                      <w:szCs w:val="20"/>
                      <w:lang w:val="en-US" w:eastAsia="zh-CN"/>
                    </w:rPr>
                    <w:t>经化粪池预处理后，进入市政污水管网，最终进入污水处理厂处理</w:t>
                  </w:r>
                  <w:r>
                    <w:rPr>
                      <w:rFonts w:hint="default" w:ascii="Times New Roman" w:hAnsi="Times New Roman" w:cs="Times New Roman"/>
                      <w:color w:val="auto"/>
                      <w:spacing w:val="2"/>
                      <w:sz w:val="21"/>
                      <w:szCs w:val="20"/>
                    </w:rPr>
                    <w:t>。项目的建设不会突破水环境质量底线。</w:t>
                  </w:r>
                </w:p>
              </w:tc>
              <w:tc>
                <w:tcPr>
                  <w:tcW w:w="806" w:type="dxa"/>
                  <w:vAlign w:val="center"/>
                </w:tcPr>
                <w:p w14:paraId="0F9C5F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符合</w:t>
                  </w:r>
                </w:p>
              </w:tc>
            </w:tr>
            <w:tr w14:paraId="0D5D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trPr>
              <w:tc>
                <w:tcPr>
                  <w:tcW w:w="508" w:type="dxa"/>
                  <w:vMerge w:val="continue"/>
                  <w:vAlign w:val="center"/>
                </w:tcPr>
                <w:p w14:paraId="088343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p>
              </w:tc>
              <w:tc>
                <w:tcPr>
                  <w:tcW w:w="572" w:type="dxa"/>
                  <w:vAlign w:val="center"/>
                </w:tcPr>
                <w:p w14:paraId="3B9E39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大气</w:t>
                  </w:r>
                </w:p>
                <w:p w14:paraId="0CA865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环境</w:t>
                  </w:r>
                </w:p>
                <w:p w14:paraId="09865C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质量</w:t>
                  </w:r>
                </w:p>
                <w:p w14:paraId="3FFC6C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底线</w:t>
                  </w:r>
                </w:p>
              </w:tc>
              <w:tc>
                <w:tcPr>
                  <w:tcW w:w="3160" w:type="dxa"/>
                  <w:vAlign w:val="center"/>
                </w:tcPr>
                <w:p w14:paraId="7C936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lang w:val="en-US" w:eastAsia="zh-CN"/>
                    </w:rPr>
                  </w:pPr>
                  <w:r>
                    <w:rPr>
                      <w:rFonts w:hint="default" w:ascii="Times New Roman" w:hAnsi="Times New Roman" w:cs="Times New Roman"/>
                      <w:color w:val="auto"/>
                      <w:spacing w:val="2"/>
                      <w:sz w:val="21"/>
                      <w:szCs w:val="20"/>
                      <w:lang w:val="en-US" w:eastAsia="zh-CN"/>
                    </w:rPr>
                    <w:t>到2025年，全州空气质量优良率达到省级要求，中心城市环境空气质量稳定达到国家二级标准。2035年，全州空气质量优良率保持稳定，中心城市、各县市城市环境空气质量稳定达到国家二级标准。</w:t>
                  </w:r>
                </w:p>
              </w:tc>
              <w:tc>
                <w:tcPr>
                  <w:tcW w:w="2312" w:type="dxa"/>
                  <w:vAlign w:val="center"/>
                </w:tcPr>
                <w:p w14:paraId="02AB01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lang w:val="en-US" w:eastAsia="zh-CN"/>
                    </w:rPr>
                  </w:pPr>
                  <w:r>
                    <w:rPr>
                      <w:rFonts w:hint="default" w:ascii="Times New Roman" w:hAnsi="Times New Roman" w:cs="Times New Roman"/>
                      <w:color w:val="auto"/>
                      <w:spacing w:val="2"/>
                      <w:sz w:val="21"/>
                      <w:szCs w:val="20"/>
                      <w:lang w:val="en-US" w:eastAsia="zh-CN"/>
                    </w:rPr>
                    <w:t>项目所在区域为环境空气质量达标区，根据分析可知，本项目</w:t>
                  </w:r>
                  <w:r>
                    <w:rPr>
                      <w:rFonts w:hint="eastAsia" w:ascii="Times New Roman" w:hAnsi="Times New Roman" w:cs="Times New Roman"/>
                      <w:color w:val="auto"/>
                      <w:spacing w:val="2"/>
                      <w:sz w:val="21"/>
                      <w:szCs w:val="20"/>
                      <w:lang w:val="en-US" w:eastAsia="zh-CN"/>
                    </w:rPr>
                    <w:t>废气主要为恶臭气体，来源于垃圾和渗滤液的发酵，喷洒除臭剂、绿化净化后</w:t>
                  </w:r>
                  <w:r>
                    <w:rPr>
                      <w:rFonts w:hint="default" w:ascii="Times New Roman" w:hAnsi="Times New Roman" w:cs="Times New Roman"/>
                      <w:color w:val="auto"/>
                      <w:spacing w:val="2"/>
                      <w:sz w:val="21"/>
                      <w:szCs w:val="20"/>
                      <w:lang w:val="en-US" w:eastAsia="zh-CN"/>
                    </w:rPr>
                    <w:t>不会改变区域环境空气质量功能。</w:t>
                  </w:r>
                </w:p>
              </w:tc>
              <w:tc>
                <w:tcPr>
                  <w:tcW w:w="806" w:type="dxa"/>
                  <w:vAlign w:val="center"/>
                </w:tcPr>
                <w:p w14:paraId="36A16B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符合</w:t>
                  </w:r>
                </w:p>
              </w:tc>
            </w:tr>
            <w:tr w14:paraId="618D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trPr>
              <w:tc>
                <w:tcPr>
                  <w:tcW w:w="508" w:type="dxa"/>
                  <w:vMerge w:val="continue"/>
                  <w:vAlign w:val="center"/>
                </w:tcPr>
                <w:p w14:paraId="39A4A7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p>
              </w:tc>
              <w:tc>
                <w:tcPr>
                  <w:tcW w:w="572" w:type="dxa"/>
                  <w:vAlign w:val="center"/>
                </w:tcPr>
                <w:p w14:paraId="53595E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土壤环境风险防控底线</w:t>
                  </w:r>
                </w:p>
              </w:tc>
              <w:tc>
                <w:tcPr>
                  <w:tcW w:w="3160" w:type="dxa"/>
                  <w:vAlign w:val="center"/>
                </w:tcPr>
                <w:p w14:paraId="0F72B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rPr>
                  </w:pPr>
                  <w:r>
                    <w:rPr>
                      <w:rFonts w:hint="default" w:ascii="Times New Roman" w:hAnsi="Times New Roman" w:cs="Times New Roman"/>
                      <w:color w:val="auto"/>
                      <w:spacing w:val="2"/>
                      <w:kern w:val="0"/>
                      <w:sz w:val="21"/>
                      <w:szCs w:val="21"/>
                      <w:lang w:bidi="ar"/>
                    </w:rPr>
                    <w:t>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2312" w:type="dxa"/>
                  <w:vAlign w:val="center"/>
                </w:tcPr>
                <w:p w14:paraId="10469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项目建设过程中采取分区防渗措施可有效防止风险物质下渗进入土壤，对土壤环境影响较小，符合土壤环境风险防控底线。</w:t>
                  </w:r>
                </w:p>
              </w:tc>
              <w:tc>
                <w:tcPr>
                  <w:tcW w:w="806" w:type="dxa"/>
                  <w:vAlign w:val="center"/>
                </w:tcPr>
                <w:p w14:paraId="13D134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符合</w:t>
                  </w:r>
                </w:p>
              </w:tc>
            </w:tr>
            <w:tr w14:paraId="5657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trPr>
              <w:tc>
                <w:tcPr>
                  <w:tcW w:w="508" w:type="dxa"/>
                  <w:vAlign w:val="center"/>
                </w:tcPr>
                <w:p w14:paraId="7A0476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0"/>
                    </w:rPr>
                    <w:t>资源利用上限</w:t>
                  </w:r>
                </w:p>
              </w:tc>
              <w:tc>
                <w:tcPr>
                  <w:tcW w:w="572" w:type="dxa"/>
                  <w:vAlign w:val="center"/>
                </w:tcPr>
                <w:p w14:paraId="496DD6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资</w:t>
                  </w:r>
                </w:p>
                <w:p w14:paraId="6580FE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源利</w:t>
                  </w:r>
                </w:p>
                <w:p w14:paraId="2E981B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kern w:val="0"/>
                      <w:sz w:val="21"/>
                      <w:szCs w:val="21"/>
                      <w:lang w:bidi="ar"/>
                    </w:rPr>
                    <w:t>用上</w:t>
                  </w:r>
                </w:p>
                <w:p w14:paraId="67529E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kern w:val="0"/>
                      <w:sz w:val="21"/>
                      <w:szCs w:val="21"/>
                      <w:lang w:bidi="ar"/>
                    </w:rPr>
                    <w:t>线</w:t>
                  </w:r>
                </w:p>
              </w:tc>
              <w:tc>
                <w:tcPr>
                  <w:tcW w:w="3160" w:type="dxa"/>
                  <w:vAlign w:val="center"/>
                </w:tcPr>
                <w:p w14:paraId="4F58B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强化节约集约利用，持续提升资源能源利用效率，水资源、土地资源、能源消耗等达到云南省下达的总量和强度控制目标。</w:t>
                  </w:r>
                </w:p>
              </w:tc>
              <w:tc>
                <w:tcPr>
                  <w:tcW w:w="2312" w:type="dxa"/>
                  <w:vAlign w:val="center"/>
                </w:tcPr>
                <w:p w14:paraId="0B28D47A">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rPr>
                  </w:pPr>
                  <w:r>
                    <w:rPr>
                      <w:rFonts w:hint="default" w:ascii="Times New Roman" w:hAnsi="Times New Roman" w:cs="Times New Roman"/>
                      <w:color w:val="auto"/>
                    </w:rPr>
                    <w:t>本项目用水量少，</w:t>
                  </w:r>
                  <w:r>
                    <w:rPr>
                      <w:rFonts w:hint="eastAsia" w:ascii="Times New Roman" w:hAnsi="Times New Roman" w:cs="Times New Roman"/>
                      <w:color w:val="auto"/>
                      <w:lang w:val="en-US" w:eastAsia="zh-CN"/>
                    </w:rPr>
                    <w:t>产生的</w:t>
                  </w:r>
                  <w:r>
                    <w:rPr>
                      <w:rFonts w:hint="eastAsia" w:ascii="Times New Roman" w:hAnsi="Times New Roman" w:cs="Times New Roman"/>
                      <w:color w:val="auto"/>
                      <w:spacing w:val="2"/>
                      <w:sz w:val="21"/>
                      <w:szCs w:val="20"/>
                      <w:lang w:val="en-US" w:eastAsia="zh-CN"/>
                    </w:rPr>
                    <w:t>渗滤液经污水处理站处理达标后排入芒市污水处理厂。</w:t>
                  </w:r>
                  <w:r>
                    <w:rPr>
                      <w:rFonts w:hint="default" w:ascii="Times New Roman" w:hAnsi="Times New Roman" w:cs="Times New Roman"/>
                      <w:color w:val="auto"/>
                      <w:spacing w:val="2"/>
                      <w:sz w:val="21"/>
                      <w:szCs w:val="20"/>
                    </w:rPr>
                    <w:t>生活污水</w:t>
                  </w:r>
                  <w:r>
                    <w:rPr>
                      <w:rFonts w:hint="eastAsia" w:ascii="Times New Roman" w:hAnsi="Times New Roman" w:cs="Times New Roman"/>
                      <w:color w:val="auto"/>
                      <w:spacing w:val="2"/>
                      <w:sz w:val="21"/>
                      <w:szCs w:val="20"/>
                      <w:lang w:val="en-US" w:eastAsia="zh-CN"/>
                    </w:rPr>
                    <w:t>经化粪池预处理后，进入市政污水管网，最终进入污水处理厂处理</w:t>
                  </w:r>
                  <w:r>
                    <w:rPr>
                      <w:rFonts w:hint="default" w:ascii="Times New Roman" w:hAnsi="Times New Roman" w:cs="Times New Roman"/>
                      <w:color w:val="auto"/>
                      <w:spacing w:val="2"/>
                      <w:sz w:val="21"/>
                      <w:szCs w:val="20"/>
                    </w:rPr>
                    <w:t>。</w:t>
                  </w:r>
                  <w:r>
                    <w:rPr>
                      <w:rFonts w:hint="default" w:ascii="Times New Roman" w:hAnsi="Times New Roman" w:cs="Times New Roman"/>
                      <w:color w:val="auto"/>
                    </w:rPr>
                    <w:t>对当地水资源利用影响不明显，能满足水资源利用上线要求。</w:t>
                  </w:r>
                </w:p>
              </w:tc>
              <w:tc>
                <w:tcPr>
                  <w:tcW w:w="806" w:type="dxa"/>
                  <w:vAlign w:val="center"/>
                </w:tcPr>
                <w:p w14:paraId="16712E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0"/>
                    </w:rPr>
                  </w:pPr>
                  <w:r>
                    <w:rPr>
                      <w:rFonts w:hint="default" w:ascii="Times New Roman" w:hAnsi="Times New Roman" w:cs="Times New Roman"/>
                      <w:color w:val="auto"/>
                      <w:spacing w:val="2"/>
                      <w:sz w:val="21"/>
                      <w:szCs w:val="21"/>
                    </w:rPr>
                    <w:t>符合</w:t>
                  </w:r>
                </w:p>
              </w:tc>
            </w:tr>
            <w:tr w14:paraId="4DB5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080" w:type="dxa"/>
                  <w:gridSpan w:val="2"/>
                  <w:vMerge w:val="restart"/>
                  <w:vAlign w:val="center"/>
                </w:tcPr>
                <w:p w14:paraId="1E4A56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r>
                    <w:rPr>
                      <w:rFonts w:hint="default" w:ascii="Times New Roman" w:hAnsi="Times New Roman" w:cs="Times New Roman"/>
                      <w:color w:val="auto"/>
                      <w:spacing w:val="2"/>
                      <w:kern w:val="0"/>
                      <w:sz w:val="21"/>
                      <w:szCs w:val="21"/>
                      <w:lang w:bidi="ar"/>
                    </w:rPr>
                    <w:t>生态环境准入清单</w:t>
                  </w:r>
                </w:p>
              </w:tc>
              <w:tc>
                <w:tcPr>
                  <w:tcW w:w="3160" w:type="dxa"/>
                  <w:vAlign w:val="center"/>
                </w:tcPr>
                <w:p w14:paraId="69AA0B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芒市工业园区重点管控单元</w:t>
                  </w:r>
                </w:p>
              </w:tc>
              <w:tc>
                <w:tcPr>
                  <w:tcW w:w="2312" w:type="dxa"/>
                  <w:vMerge w:val="restart"/>
                  <w:vAlign w:val="center"/>
                </w:tcPr>
                <w:p w14:paraId="42C34730">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rPr>
                  </w:pPr>
                  <w:r>
                    <w:rPr>
                      <w:rFonts w:hint="default" w:ascii="Times New Roman" w:hAnsi="Times New Roman" w:cs="Times New Roman"/>
                      <w:color w:val="auto"/>
                    </w:rPr>
                    <w:t>本项目属于</w:t>
                  </w:r>
                  <w:r>
                    <w:rPr>
                      <w:rFonts w:hint="eastAsia" w:ascii="Times New Roman" w:hAnsi="Times New Roman" w:cs="Times New Roman"/>
                      <w:color w:val="auto"/>
                    </w:rPr>
                    <w:t>“</w:t>
                  </w:r>
                  <w:r>
                    <w:rPr>
                      <w:rFonts w:hint="eastAsia" w:ascii="Times New Roman" w:hAnsi="Times New Roman" w:cs="Times New Roman"/>
                      <w:color w:val="auto"/>
                      <w:lang w:eastAsia="zh-CN"/>
                    </w:rPr>
                    <w:t>四十三</w:t>
                  </w:r>
                  <w:r>
                    <w:rPr>
                      <w:rFonts w:hint="eastAsia" w:ascii="Times New Roman" w:hAnsi="Times New Roman" w:cs="Times New Roman"/>
                      <w:color w:val="auto"/>
                      <w:lang w:val="en-US" w:eastAsia="zh-CN"/>
                    </w:rPr>
                    <w:t xml:space="preserve"> 水的生产和供应业</w:t>
                  </w:r>
                  <w:r>
                    <w:rPr>
                      <w:rFonts w:hint="eastAsia" w:ascii="Times New Roman" w:hAnsi="Times New Roman" w:cs="Times New Roman"/>
                      <w:color w:val="auto"/>
                    </w:rPr>
                    <w:t>”</w:t>
                  </w:r>
                  <w:r>
                    <w:rPr>
                      <w:rFonts w:hint="default" w:ascii="Times New Roman" w:hAnsi="Times New Roman" w:cs="Times New Roman"/>
                      <w:color w:val="auto"/>
                    </w:rPr>
                    <w:t>中</w:t>
                  </w:r>
                  <w:r>
                    <w:rPr>
                      <w:rFonts w:hint="eastAsia" w:ascii="Times New Roman" w:hAnsi="Times New Roman" w:cs="Times New Roman"/>
                      <w:color w:val="auto"/>
                    </w:rPr>
                    <w:t>“</w:t>
                  </w:r>
                  <w:r>
                    <w:rPr>
                      <w:rFonts w:hint="eastAsia" w:ascii="Times New Roman" w:hAnsi="Times New Roman" w:cs="Times New Roman"/>
                      <w:color w:val="auto"/>
                      <w:lang w:val="en-US" w:eastAsia="zh-CN"/>
                    </w:rPr>
                    <w:t>95 污水处理及其再生利用；新建、扩建其他工业废水处理</w:t>
                  </w:r>
                  <w:r>
                    <w:rPr>
                      <w:rFonts w:hint="eastAsia" w:ascii="Times New Roman" w:hAnsi="Times New Roman" w:cs="Times New Roman"/>
                      <w:color w:val="auto"/>
                    </w:rPr>
                    <w:t>”</w:t>
                  </w:r>
                  <w:r>
                    <w:rPr>
                      <w:rFonts w:hint="default" w:ascii="Times New Roman" w:hAnsi="Times New Roman" w:cs="Times New Roman"/>
                      <w:color w:val="auto"/>
                    </w:rPr>
                    <w:t>，位于</w:t>
                  </w:r>
                  <w:r>
                    <w:rPr>
                      <w:rFonts w:hint="eastAsia" w:ascii="Times New Roman" w:hAnsi="Times New Roman" w:cs="Times New Roman"/>
                      <w:color w:val="auto"/>
                      <w:lang w:val="en-US" w:eastAsia="zh-CN"/>
                    </w:rPr>
                    <w:t>芒市镇街坡村后山</w:t>
                  </w:r>
                  <w:r>
                    <w:rPr>
                      <w:rFonts w:hint="default" w:ascii="Times New Roman" w:hAnsi="Times New Roman" w:cs="Times New Roman"/>
                      <w:color w:val="auto"/>
                    </w:rPr>
                    <w:t>。项目所处位置不属于工业园区重点管控单元、大气环境弱扩散、矿产资源、农业面源污染重点管控单元。属于一般管控单元。</w:t>
                  </w:r>
                </w:p>
              </w:tc>
              <w:tc>
                <w:tcPr>
                  <w:tcW w:w="806" w:type="dxa"/>
                  <w:vMerge w:val="restart"/>
                  <w:vAlign w:val="center"/>
                </w:tcPr>
                <w:p w14:paraId="41780F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符合</w:t>
                  </w:r>
                </w:p>
              </w:tc>
            </w:tr>
            <w:tr w14:paraId="2599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80" w:type="dxa"/>
                  <w:gridSpan w:val="2"/>
                  <w:vMerge w:val="continue"/>
                  <w:vAlign w:val="center"/>
                </w:tcPr>
                <w:p w14:paraId="7E6D98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p>
              </w:tc>
              <w:tc>
                <w:tcPr>
                  <w:tcW w:w="3160" w:type="dxa"/>
                  <w:vAlign w:val="center"/>
                </w:tcPr>
                <w:p w14:paraId="684E81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芒市大气环境弱扩散重点管控单元</w:t>
                  </w:r>
                </w:p>
              </w:tc>
              <w:tc>
                <w:tcPr>
                  <w:tcW w:w="2312" w:type="dxa"/>
                  <w:vMerge w:val="continue"/>
                  <w:vAlign w:val="center"/>
                </w:tcPr>
                <w:p w14:paraId="231452E6">
                  <w:pPr>
                    <w:pStyle w:val="70"/>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806" w:type="dxa"/>
                  <w:vMerge w:val="continue"/>
                  <w:vAlign w:val="center"/>
                </w:tcPr>
                <w:p w14:paraId="050DE4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p>
              </w:tc>
            </w:tr>
            <w:tr w14:paraId="64A7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080" w:type="dxa"/>
                  <w:gridSpan w:val="2"/>
                  <w:vMerge w:val="continue"/>
                  <w:vAlign w:val="center"/>
                </w:tcPr>
                <w:p w14:paraId="15ECB9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p>
              </w:tc>
              <w:tc>
                <w:tcPr>
                  <w:tcW w:w="3160" w:type="dxa"/>
                  <w:vAlign w:val="center"/>
                </w:tcPr>
                <w:p w14:paraId="67D736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芒市矿产资源重点管控单元</w:t>
                  </w:r>
                </w:p>
              </w:tc>
              <w:tc>
                <w:tcPr>
                  <w:tcW w:w="2312" w:type="dxa"/>
                  <w:vMerge w:val="continue"/>
                  <w:vAlign w:val="center"/>
                </w:tcPr>
                <w:p w14:paraId="33BF6BA8">
                  <w:pPr>
                    <w:pStyle w:val="70"/>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806" w:type="dxa"/>
                  <w:vMerge w:val="continue"/>
                  <w:vAlign w:val="center"/>
                </w:tcPr>
                <w:p w14:paraId="303A83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p>
              </w:tc>
            </w:tr>
            <w:tr w14:paraId="4EAF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1080" w:type="dxa"/>
                  <w:gridSpan w:val="2"/>
                  <w:vMerge w:val="continue"/>
                  <w:vAlign w:val="center"/>
                </w:tcPr>
                <w:p w14:paraId="3050E9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p>
              </w:tc>
              <w:tc>
                <w:tcPr>
                  <w:tcW w:w="3160" w:type="dxa"/>
                  <w:vAlign w:val="center"/>
                </w:tcPr>
                <w:p w14:paraId="79CE37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芒市农业面源污染重点管控单元</w:t>
                  </w:r>
                </w:p>
              </w:tc>
              <w:tc>
                <w:tcPr>
                  <w:tcW w:w="2312" w:type="dxa"/>
                  <w:vMerge w:val="continue"/>
                  <w:vAlign w:val="center"/>
                </w:tcPr>
                <w:p w14:paraId="123AD095">
                  <w:pPr>
                    <w:pStyle w:val="70"/>
                    <w:keepNext w:val="0"/>
                    <w:keepLines w:val="0"/>
                    <w:suppressLineNumbers w:val="0"/>
                    <w:spacing w:before="0" w:beforeAutospacing="0" w:after="0" w:afterAutospacing="0"/>
                    <w:ind w:left="0" w:right="0"/>
                    <w:rPr>
                      <w:rFonts w:hint="default" w:ascii="Times New Roman" w:hAnsi="Times New Roman" w:cs="Times New Roman"/>
                      <w:color w:val="auto"/>
                    </w:rPr>
                  </w:pPr>
                </w:p>
              </w:tc>
              <w:tc>
                <w:tcPr>
                  <w:tcW w:w="806" w:type="dxa"/>
                  <w:vMerge w:val="continue"/>
                  <w:vAlign w:val="center"/>
                </w:tcPr>
                <w:p w14:paraId="2A3CD8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p>
              </w:tc>
            </w:tr>
            <w:tr w14:paraId="3337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trPr>
              <w:tc>
                <w:tcPr>
                  <w:tcW w:w="1080" w:type="dxa"/>
                  <w:gridSpan w:val="2"/>
                  <w:vMerge w:val="restart"/>
                  <w:vAlign w:val="center"/>
                </w:tcPr>
                <w:p w14:paraId="058157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r>
                    <w:rPr>
                      <w:rFonts w:hint="default" w:ascii="Times New Roman" w:hAnsi="Times New Roman" w:cs="Times New Roman"/>
                      <w:color w:val="auto"/>
                      <w:spacing w:val="2"/>
                      <w:kern w:val="0"/>
                      <w:sz w:val="21"/>
                      <w:szCs w:val="21"/>
                      <w:lang w:bidi="ar"/>
                    </w:rPr>
                    <w:t>一般管控单元</w:t>
                  </w:r>
                </w:p>
              </w:tc>
              <w:tc>
                <w:tcPr>
                  <w:tcW w:w="3160" w:type="dxa"/>
                  <w:vAlign w:val="center"/>
                </w:tcPr>
                <w:p w14:paraId="3AA89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新建企业的布局应符合当地相关产业布局的要求；禁止在基本农田内从事非农业生产的活动。任何单位和个人不得改变或者占用基本农田保护区；禁止新建、改扩建中小水电（25万千瓦以下）项目，现有中小水电站应按照环评批复（环评批复未明确生态流量的根据来水量科学确定生态流量），确保连续稳定下泄生态流量</w:t>
                  </w:r>
                </w:p>
              </w:tc>
              <w:tc>
                <w:tcPr>
                  <w:tcW w:w="2312" w:type="dxa"/>
                  <w:vAlign w:val="center"/>
                </w:tcPr>
                <w:p w14:paraId="31873C6D">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rPr>
                  </w:pPr>
                  <w:r>
                    <w:rPr>
                      <w:rFonts w:hint="default" w:ascii="Times New Roman" w:hAnsi="Times New Roman" w:cs="Times New Roman"/>
                      <w:color w:val="auto"/>
                    </w:rPr>
                    <w:t>项目位于</w:t>
                  </w:r>
                  <w:r>
                    <w:rPr>
                      <w:rFonts w:hint="eastAsia" w:ascii="Times New Roman" w:hAnsi="Times New Roman" w:cs="Times New Roman"/>
                      <w:color w:val="auto"/>
                      <w:lang w:val="en-US" w:eastAsia="zh-CN"/>
                    </w:rPr>
                    <w:t>芒市镇街坡村后山</w:t>
                  </w:r>
                  <w:r>
                    <w:rPr>
                      <w:rFonts w:hint="default" w:ascii="Times New Roman" w:hAnsi="Times New Roman" w:cs="Times New Roman"/>
                      <w:color w:val="auto"/>
                    </w:rPr>
                    <w:t>，属于</w:t>
                  </w:r>
                  <w:r>
                    <w:rPr>
                      <w:rFonts w:hint="eastAsia" w:ascii="Times New Roman" w:hAnsi="Times New Roman" w:cs="Times New Roman"/>
                      <w:color w:val="auto"/>
                    </w:rPr>
                    <w:t>“</w:t>
                  </w:r>
                  <w:r>
                    <w:rPr>
                      <w:rFonts w:hint="eastAsia" w:ascii="Times New Roman" w:hAnsi="Times New Roman" w:cs="Times New Roman"/>
                      <w:color w:val="auto"/>
                      <w:lang w:eastAsia="zh-CN"/>
                    </w:rPr>
                    <w:t>四十三</w:t>
                  </w:r>
                  <w:r>
                    <w:rPr>
                      <w:rFonts w:hint="eastAsia" w:ascii="Times New Roman" w:hAnsi="Times New Roman" w:cs="Times New Roman"/>
                      <w:color w:val="auto"/>
                      <w:lang w:val="en-US" w:eastAsia="zh-CN"/>
                    </w:rPr>
                    <w:t xml:space="preserve"> 水的生产和供应业</w:t>
                  </w:r>
                  <w:r>
                    <w:rPr>
                      <w:rFonts w:hint="eastAsia" w:ascii="Times New Roman" w:hAnsi="Times New Roman" w:cs="Times New Roman"/>
                      <w:color w:val="auto"/>
                    </w:rPr>
                    <w:t>”</w:t>
                  </w:r>
                  <w:r>
                    <w:rPr>
                      <w:rFonts w:hint="default" w:ascii="Times New Roman" w:hAnsi="Times New Roman" w:cs="Times New Roman"/>
                      <w:color w:val="auto"/>
                    </w:rPr>
                    <w:t>中</w:t>
                  </w:r>
                  <w:r>
                    <w:rPr>
                      <w:rFonts w:hint="eastAsia" w:ascii="Times New Roman" w:hAnsi="Times New Roman" w:cs="Times New Roman"/>
                      <w:color w:val="auto"/>
                    </w:rPr>
                    <w:t>“</w:t>
                  </w:r>
                  <w:r>
                    <w:rPr>
                      <w:rFonts w:hint="eastAsia" w:ascii="Times New Roman" w:hAnsi="Times New Roman" w:cs="Times New Roman"/>
                      <w:color w:val="auto"/>
                      <w:lang w:val="en-US" w:eastAsia="zh-CN"/>
                    </w:rPr>
                    <w:t>95 污水处理及其再生利用；新建、扩建其他工业废水处理</w:t>
                  </w:r>
                  <w:r>
                    <w:rPr>
                      <w:rFonts w:hint="eastAsia" w:ascii="Times New Roman" w:hAnsi="Times New Roman" w:cs="Times New Roman"/>
                      <w:color w:val="auto"/>
                    </w:rPr>
                    <w:t>”</w:t>
                  </w:r>
                  <w:r>
                    <w:rPr>
                      <w:rFonts w:hint="default" w:ascii="Times New Roman" w:hAnsi="Times New Roman" w:cs="Times New Roman"/>
                      <w:color w:val="auto"/>
                    </w:rPr>
                    <w:t>，</w:t>
                  </w:r>
                  <w:r>
                    <w:rPr>
                      <w:rFonts w:hint="default" w:ascii="Times New Roman" w:hAnsi="Times New Roman" w:cs="Times New Roman"/>
                      <w:color w:val="auto"/>
                      <w:lang w:val="en-US" w:eastAsia="zh-CN"/>
                    </w:rPr>
                    <w:t>项目用地属于工业用地，</w:t>
                  </w:r>
                  <w:r>
                    <w:rPr>
                      <w:rFonts w:hint="default" w:ascii="Times New Roman" w:hAnsi="Times New Roman" w:cs="Times New Roman"/>
                      <w:color w:val="auto"/>
                    </w:rPr>
                    <w:t>不占用基本农田。</w:t>
                  </w:r>
                </w:p>
              </w:tc>
              <w:tc>
                <w:tcPr>
                  <w:tcW w:w="806" w:type="dxa"/>
                  <w:vAlign w:val="center"/>
                </w:tcPr>
                <w:p w14:paraId="3DAB8E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符合</w:t>
                  </w:r>
                </w:p>
              </w:tc>
            </w:tr>
            <w:tr w14:paraId="0D18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trPr>
              <w:tc>
                <w:tcPr>
                  <w:tcW w:w="1080" w:type="dxa"/>
                  <w:gridSpan w:val="2"/>
                  <w:vMerge w:val="continue"/>
                  <w:vAlign w:val="center"/>
                </w:tcPr>
                <w:p w14:paraId="30F1F3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p>
              </w:tc>
              <w:tc>
                <w:tcPr>
                  <w:tcW w:w="3160" w:type="dxa"/>
                  <w:vAlign w:val="center"/>
                </w:tcPr>
                <w:p w14:paraId="11415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落实生态环境保护基本要求，项目建设和运行应满足产业准入、总量控制、排放标准等管理规定；现有工业企业应达标排放，逐步提升清洁生产水平，减少污染物排放量；加强农业面源污染治理，严格控制化肥农药施用量，合理水产养殖布局，控制水产养殖污染，逐步削减农业面源污染物排放量</w:t>
                  </w:r>
                </w:p>
              </w:tc>
              <w:tc>
                <w:tcPr>
                  <w:tcW w:w="2312" w:type="dxa"/>
                  <w:vAlign w:val="center"/>
                </w:tcPr>
                <w:p w14:paraId="03B2BB48">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Times New Roman" w:hAnsi="Times New Roman" w:cs="Times New Roman" w:eastAsiaTheme="minorEastAsia"/>
                      <w:color w:val="auto"/>
                      <w:lang w:val="en-US" w:eastAsia="zh-CN"/>
                    </w:rPr>
                  </w:pPr>
                  <w:r>
                    <w:rPr>
                      <w:rFonts w:hint="default" w:ascii="Times New Roman" w:hAnsi="Times New Roman" w:cs="Times New Roman"/>
                      <w:color w:val="auto"/>
                    </w:rPr>
                    <w:t>项目在运行过程中采取了有效的污染防治措施，根据分析可知，项目排放的污染物均能达标排放。</w:t>
                  </w:r>
                </w:p>
              </w:tc>
              <w:tc>
                <w:tcPr>
                  <w:tcW w:w="806" w:type="dxa"/>
                  <w:vAlign w:val="center"/>
                </w:tcPr>
                <w:p w14:paraId="38F76A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符合</w:t>
                  </w:r>
                </w:p>
              </w:tc>
            </w:tr>
            <w:tr w14:paraId="0F8A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trPr>
              <w:tc>
                <w:tcPr>
                  <w:tcW w:w="1080" w:type="dxa"/>
                  <w:gridSpan w:val="2"/>
                  <w:vMerge w:val="continue"/>
                  <w:vAlign w:val="center"/>
                </w:tcPr>
                <w:p w14:paraId="2AF206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p>
              </w:tc>
              <w:tc>
                <w:tcPr>
                  <w:tcW w:w="3160" w:type="dxa"/>
                  <w:vAlign w:val="center"/>
                </w:tcPr>
                <w:p w14:paraId="72A62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加强环境风险防范应急体系建设，加强环境应急预案管理，定期开展应急演练，持续开展环境安全隐患排查整治，提升应急监测能力，加强应急物资管理；严格管控类农用地，不得在特定农产品禁止生产区域种植食用农产品。安全利用类农用地，应制定受污染耕地等安全利用方案，降低农产品超标风险</w:t>
                  </w:r>
                </w:p>
              </w:tc>
              <w:tc>
                <w:tcPr>
                  <w:tcW w:w="2312" w:type="dxa"/>
                  <w:vAlign w:val="center"/>
                </w:tcPr>
                <w:p w14:paraId="35F0CDBD">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rPr>
                  </w:pPr>
                  <w:r>
                    <w:rPr>
                      <w:rFonts w:hint="default" w:ascii="Times New Roman" w:hAnsi="Times New Roman" w:cs="Times New Roman"/>
                      <w:color w:val="auto"/>
                    </w:rPr>
                    <w:t>本项目还处于环评阶段，待</w:t>
                  </w:r>
                  <w:r>
                    <w:rPr>
                      <w:rFonts w:hint="default" w:ascii="Times New Roman" w:hAnsi="Times New Roman" w:cs="Times New Roman"/>
                      <w:color w:val="auto"/>
                      <w:lang w:val="en-US" w:eastAsia="zh-CN"/>
                    </w:rPr>
                    <w:t>环评通过后</w:t>
                  </w:r>
                  <w:r>
                    <w:rPr>
                      <w:rFonts w:hint="default" w:ascii="Times New Roman" w:hAnsi="Times New Roman" w:cs="Times New Roman"/>
                      <w:color w:val="auto"/>
                    </w:rPr>
                    <w:t>，建设单位将积极编制环境应急预案，</w:t>
                  </w:r>
                  <w:r>
                    <w:rPr>
                      <w:rFonts w:hint="default" w:ascii="Times New Roman" w:hAnsi="Times New Roman" w:cs="Times New Roman"/>
                      <w:color w:val="auto"/>
                      <w:lang w:val="en-US" w:eastAsia="zh-CN"/>
                    </w:rPr>
                    <w:t>项目建成后，</w:t>
                  </w:r>
                  <w:r>
                    <w:rPr>
                      <w:rFonts w:hint="default" w:ascii="Times New Roman" w:hAnsi="Times New Roman" w:cs="Times New Roman"/>
                      <w:color w:val="auto"/>
                    </w:rPr>
                    <w:t>定期开展应急演练，完善环境应急预案管理。</w:t>
                  </w:r>
                </w:p>
              </w:tc>
              <w:tc>
                <w:tcPr>
                  <w:tcW w:w="806" w:type="dxa"/>
                  <w:vAlign w:val="center"/>
                </w:tcPr>
                <w:p w14:paraId="02F581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符合</w:t>
                  </w:r>
                </w:p>
              </w:tc>
            </w:tr>
            <w:tr w14:paraId="3157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080" w:type="dxa"/>
                  <w:gridSpan w:val="2"/>
                  <w:vMerge w:val="continue"/>
                  <w:vAlign w:val="center"/>
                </w:tcPr>
                <w:p w14:paraId="0222FA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kern w:val="0"/>
                      <w:sz w:val="21"/>
                      <w:szCs w:val="21"/>
                      <w:lang w:bidi="ar"/>
                    </w:rPr>
                  </w:pPr>
                </w:p>
              </w:tc>
              <w:tc>
                <w:tcPr>
                  <w:tcW w:w="3160" w:type="dxa"/>
                  <w:vAlign w:val="center"/>
                </w:tcPr>
                <w:p w14:paraId="6A112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优化能源结构，加强能源清洁利用。提高土地利用效率，节约集约利用土地资源</w:t>
                  </w:r>
                </w:p>
              </w:tc>
              <w:tc>
                <w:tcPr>
                  <w:tcW w:w="2312" w:type="dxa"/>
                  <w:vAlign w:val="center"/>
                </w:tcPr>
                <w:p w14:paraId="66C6ADEB">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rPr>
                  </w:pPr>
                  <w:r>
                    <w:rPr>
                      <w:rFonts w:hint="default" w:ascii="Times New Roman" w:hAnsi="Times New Roman" w:cs="Times New Roman"/>
                      <w:color w:val="auto"/>
                    </w:rPr>
                    <w:t>本项目在运营过程中使用电等清洁能源，合理布局项目区平面布置，节约能源及土地资源</w:t>
                  </w:r>
                </w:p>
              </w:tc>
              <w:tc>
                <w:tcPr>
                  <w:tcW w:w="806" w:type="dxa"/>
                  <w:vAlign w:val="center"/>
                </w:tcPr>
                <w:p w14:paraId="72873B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pacing w:val="2"/>
                      <w:sz w:val="21"/>
                      <w:szCs w:val="21"/>
                    </w:rPr>
                  </w:pPr>
                  <w:r>
                    <w:rPr>
                      <w:rFonts w:hint="default" w:ascii="Times New Roman" w:hAnsi="Times New Roman" w:cs="Times New Roman"/>
                      <w:color w:val="auto"/>
                      <w:spacing w:val="2"/>
                      <w:sz w:val="21"/>
                      <w:szCs w:val="21"/>
                    </w:rPr>
                    <w:t>符合</w:t>
                  </w:r>
                </w:p>
              </w:tc>
            </w:tr>
          </w:tbl>
          <w:p w14:paraId="72C8B295">
            <w:pPr>
              <w:pStyle w:val="3"/>
              <w:bidi w:val="0"/>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根据表1-1，本项目建设符合</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《德宏州人民政府关于印发德宏州“三线一单”生态环境分区管控实施方案的通知》</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要求。</w:t>
            </w:r>
          </w:p>
          <w:p w14:paraId="2462AD41">
            <w:pPr>
              <w:pStyle w:val="25"/>
              <w:spacing w:before="0" w:beforeAutospacing="0" w:after="0" w:afterAutospacing="0" w:line="360" w:lineRule="auto"/>
              <w:jc w:val="both"/>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4、与《水污染防治行动计划》符合性判定的相符性分析</w:t>
            </w:r>
          </w:p>
          <w:p w14:paraId="0A099703">
            <w:pPr>
              <w:pStyle w:val="3"/>
              <w:bidi w:val="0"/>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水污染防治行动计划》简称“水十条”，是为切实加大水污染防治力度，保障国家水安全而制定的法规。本项目所涉及的地表水体为芒市河的木康至汇入口（龙江），水质功能为工业用水，本项目与《水污染防治行动计划》符合性分析详见表1-2。</w:t>
            </w:r>
          </w:p>
          <w:p w14:paraId="2D9D940D">
            <w:pPr>
              <w:spacing w:line="360" w:lineRule="auto"/>
              <w:ind w:firstLine="422" w:firstLineChars="200"/>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表1-</w:t>
            </w:r>
            <w:r>
              <w:rPr>
                <w:rFonts w:hint="eastAsia" w:ascii="Times New Roman" w:hAnsi="Times New Roman" w:eastAsia="宋体" w:cs="Times New Roman"/>
                <w:b/>
                <w:color w:val="000000" w:themeColor="text1"/>
                <w:szCs w:val="21"/>
                <w:lang w:val="en-US" w:eastAsia="zh-CN"/>
                <w14:textFill>
                  <w14:solidFill>
                    <w14:schemeClr w14:val="tx1"/>
                  </w14:solidFill>
                </w14:textFill>
              </w:rPr>
              <w:t>2</w:t>
            </w:r>
            <w:r>
              <w:rPr>
                <w:rFonts w:ascii="Times New Roman" w:hAnsi="Times New Roman" w:eastAsia="宋体" w:cs="Times New Roman"/>
                <w:b/>
                <w:color w:val="000000" w:themeColor="text1"/>
                <w:szCs w:val="21"/>
                <w14:textFill>
                  <w14:solidFill>
                    <w14:schemeClr w14:val="tx1"/>
                  </w14:solidFill>
                </w14:textFill>
              </w:rPr>
              <w:t xml:space="preserve">  与《水污染防治行动计划》符合性分析一览表</w:t>
            </w:r>
          </w:p>
          <w:tbl>
            <w:tblPr>
              <w:tblStyle w:val="27"/>
              <w:tblW w:w="7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4357"/>
              <w:gridCol w:w="2017"/>
            </w:tblGrid>
            <w:tr w14:paraId="6A0B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045" w:type="dxa"/>
                  <w:vAlign w:val="center"/>
                </w:tcPr>
                <w:p w14:paraId="161543A4">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序号</w:t>
                  </w:r>
                </w:p>
              </w:tc>
              <w:tc>
                <w:tcPr>
                  <w:tcW w:w="4357" w:type="dxa"/>
                  <w:vAlign w:val="center"/>
                </w:tcPr>
                <w:p w14:paraId="5DA56D19">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《水污染防治行动计划》措施要求描述</w:t>
                  </w:r>
                </w:p>
              </w:tc>
              <w:tc>
                <w:tcPr>
                  <w:tcW w:w="2017" w:type="dxa"/>
                  <w:vAlign w:val="center"/>
                </w:tcPr>
                <w:p w14:paraId="454FE41E">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iCs/>
                      <w:color w:val="000000" w:themeColor="text1"/>
                      <w:szCs w:val="21"/>
                      <w14:textFill>
                        <w14:solidFill>
                          <w14:schemeClr w14:val="tx1"/>
                        </w14:solidFill>
                      </w14:textFill>
                    </w:rPr>
                    <w:t>本项目符合性</w:t>
                  </w:r>
                </w:p>
              </w:tc>
            </w:tr>
            <w:tr w14:paraId="5C60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45" w:type="dxa"/>
                  <w:vAlign w:val="center"/>
                </w:tcPr>
                <w:p w14:paraId="0A4E4F16">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第一条</w:t>
                  </w:r>
                </w:p>
              </w:tc>
              <w:tc>
                <w:tcPr>
                  <w:tcW w:w="4357" w:type="dxa"/>
                  <w:vAlign w:val="center"/>
                </w:tcPr>
                <w:p w14:paraId="46D76D16">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全面控制污染物排放：① 狠抓工业污染防治，取缔“十小”企业（小型造纸、制革、印染、染料、炼焦、炼硫、炼砷、炼油、电镀、农药等严重污染水环境的生产项目），专项整治十大重点行业（制定造纸、焦化、氮肥、有色金属、印染、农副食品加工、原料药制造、制革、农药、电镀等行业专项治理方案，实施清洁化改造，新建、改建、扩建上述行业建设项目实行主要污染物排放等量或减量置换），集中治理工业集聚区水污染（新建、升级工业集聚区应同步规划、建设污水、垃圾集中处理等污染治理设施）；② 强化城镇生活污染治理，加快城镇污水处理设施建设与改造；③ 推进农业农村污染防治，防治畜禽养殖污染；④ 加强船舶港口污染控制，积极治理船舶污染。</w:t>
                  </w:r>
                </w:p>
              </w:tc>
              <w:tc>
                <w:tcPr>
                  <w:tcW w:w="2017" w:type="dxa"/>
                  <w:vAlign w:val="center"/>
                </w:tcPr>
                <w:p w14:paraId="05047DB5">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符合，本项目不属于《水污染防治行动计划》中“十小”行业及专项整治中十大重点行业，本项目</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四十三</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水的生产和供应业</w:t>
                  </w:r>
                  <w:r>
                    <w:rPr>
                      <w:rFonts w:hint="eastAsia"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中</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95 污水处理及其再生利用；新建、扩建其他工业废水处理</w:t>
                  </w:r>
                  <w:r>
                    <w:rPr>
                      <w:rFonts w:hint="eastAsia"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产生的渗滤液经污水处理站处理达标后排入芒市污水处理厂。</w:t>
                  </w:r>
                  <w:r>
                    <w:rPr>
                      <w:rFonts w:hint="default" w:ascii="Times New Roman" w:hAnsi="Times New Roman" w:eastAsia="宋体" w:cs="Times New Roman"/>
                      <w:color w:val="000000" w:themeColor="text1"/>
                      <w:szCs w:val="21"/>
                      <w14:textFill>
                        <w14:solidFill>
                          <w14:schemeClr w14:val="tx1"/>
                        </w14:solidFill>
                      </w14:textFill>
                    </w:rPr>
                    <w:t>生活污水</w:t>
                  </w:r>
                  <w:r>
                    <w:rPr>
                      <w:rFonts w:hint="eastAsia" w:ascii="Times New Roman" w:hAnsi="Times New Roman" w:eastAsia="宋体" w:cs="Times New Roman"/>
                      <w:color w:val="000000" w:themeColor="text1"/>
                      <w:szCs w:val="21"/>
                      <w:lang w:val="en-US" w:eastAsia="zh-CN"/>
                      <w14:textFill>
                        <w14:solidFill>
                          <w14:schemeClr w14:val="tx1"/>
                        </w14:solidFill>
                      </w14:textFill>
                    </w:rPr>
                    <w:t>经化粪池预处理后，进入市政污水管网，最终进入污水处理厂处理</w:t>
                  </w:r>
                  <w:r>
                    <w:rPr>
                      <w:rFonts w:ascii="Times New Roman" w:hAnsi="Times New Roman" w:eastAsia="宋体" w:cs="Times New Roman"/>
                      <w:color w:val="000000" w:themeColor="text1"/>
                      <w:szCs w:val="21"/>
                      <w14:textFill>
                        <w14:solidFill>
                          <w14:schemeClr w14:val="tx1"/>
                        </w14:solidFill>
                      </w14:textFill>
                    </w:rPr>
                    <w:t>。</w:t>
                  </w:r>
                </w:p>
              </w:tc>
            </w:tr>
            <w:tr w14:paraId="6A74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45" w:type="dxa"/>
                  <w:vAlign w:val="center"/>
                </w:tcPr>
                <w:p w14:paraId="60D4128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第二条</w:t>
                  </w:r>
                </w:p>
              </w:tc>
              <w:tc>
                <w:tcPr>
                  <w:tcW w:w="4357" w:type="dxa"/>
                  <w:vAlign w:val="center"/>
                </w:tcPr>
                <w:p w14:paraId="3832EE54">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i w:val="0"/>
                      <w:iCs w:val="0"/>
                      <w:color w:val="000000" w:themeColor="text1"/>
                      <w:szCs w:val="21"/>
                      <w14:textFill>
                        <w14:solidFill>
                          <w14:schemeClr w14:val="tx1"/>
                        </w14:solidFill>
                      </w14:textFill>
                    </w:rPr>
                    <w:t>推动经济结构转型升级：</w:t>
                  </w:r>
                  <w:r>
                    <w:rPr>
                      <w:rFonts w:ascii="Times New Roman" w:hAnsi="Times New Roman" w:eastAsia="宋体" w:cs="Times New Roman"/>
                      <w:color w:val="000000" w:themeColor="text1"/>
                      <w:szCs w:val="21"/>
                      <w14:textFill>
                        <w14:solidFill>
                          <w14:schemeClr w14:val="tx1"/>
                        </w14:solidFill>
                      </w14:textFill>
                    </w:rPr>
                    <w:t>① 调整产业结构，依法淘汰落后产能；② 优化空间布局，合理确定发展布局、结构和规模；③ 推进循环发展，加强工业水循环利用。</w:t>
                  </w:r>
                </w:p>
              </w:tc>
              <w:tc>
                <w:tcPr>
                  <w:tcW w:w="2017" w:type="dxa"/>
                  <w:vAlign w:val="center"/>
                </w:tcPr>
                <w:p w14:paraId="52FF5C85">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对照《产业结构调整指导目录（2019 年本）》相关规定，</w:t>
                  </w:r>
                  <w:r>
                    <w:rPr>
                      <w:rFonts w:hint="eastAsia" w:ascii="Times New Roman" w:hAnsi="Times New Roman" w:eastAsia="宋体" w:cs="Times New Roman"/>
                      <w:color w:val="000000" w:themeColor="text1"/>
                      <w:szCs w:val="21"/>
                      <w:lang w:eastAsia="zh-CN"/>
                      <w14:textFill>
                        <w14:solidFill>
                          <w14:schemeClr w14:val="tx1"/>
                        </w14:solidFill>
                      </w14:textFill>
                    </w:rPr>
                    <w:t>本项目属于</w:t>
                  </w:r>
                  <w:r>
                    <w:rPr>
                      <w:rFonts w:ascii="Times New Roman" w:hAnsi="Times New Roman" w:eastAsia="宋体" w:cs="Times New Roman"/>
                      <w:color w:val="000000" w:themeColor="text1"/>
                      <w:szCs w:val="21"/>
                      <w:lang w:val="en-US" w:eastAsia="zh-CN"/>
                      <w14:textFill>
                        <w14:solidFill>
                          <w14:schemeClr w14:val="tx1"/>
                        </w14:solidFill>
                      </w14:textFill>
                    </w:rPr>
                    <w:t>鼓励类</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ascii="Times New Roman" w:hAnsi="Times New Roman" w:eastAsia="宋体" w:cs="Times New Roman"/>
                      <w:color w:val="000000" w:themeColor="text1"/>
                      <w:szCs w:val="21"/>
                      <w:lang w:val="en-US" w:eastAsia="zh-CN"/>
                      <w14:textFill>
                        <w14:solidFill>
                          <w14:schemeClr w14:val="tx1"/>
                        </w14:solidFill>
                      </w14:textFill>
                    </w:rPr>
                    <w:t>四十三、环境保护与资源节约综合利用</w:t>
                  </w:r>
                  <w:r>
                    <w:rPr>
                      <w:rFonts w:hint="default" w:ascii="Times New Roman" w:hAnsi="Times New Roman" w:eastAsia="宋体" w:cs="Times New Roman"/>
                      <w:color w:val="000000" w:themeColor="text1"/>
                      <w:szCs w:val="21"/>
                      <w:lang w:val="en-US" w:eastAsia="zh-CN"/>
                      <w14:textFill>
                        <w14:solidFill>
                          <w14:schemeClr w14:val="tx1"/>
                        </w14:solidFill>
                      </w14:textFill>
                    </w:rPr>
                    <w:t>20</w:t>
                  </w:r>
                  <w:r>
                    <w:rPr>
                      <w:rFonts w:ascii="Times New Roman" w:hAnsi="Times New Roman" w:eastAsia="宋体" w:cs="Times New Roman"/>
                      <w:color w:val="000000" w:themeColor="text1"/>
                      <w:szCs w:val="21"/>
                      <w:lang w:val="en-US" w:eastAsia="zh-CN"/>
                      <w14:textFill>
                        <w14:solidFill>
                          <w14:schemeClr w14:val="tx1"/>
                        </w14:solidFill>
                      </w14:textFill>
                    </w:rPr>
                    <w:t>、城镇垃圾、农村生活垃圾、农村生活污水、污泥及其他固</w:t>
                  </w:r>
                  <w:r>
                    <w:rPr>
                      <w:rFonts w:hint="default" w:ascii="Times New Roman" w:hAnsi="Times New Roman" w:eastAsia="宋体" w:cs="Times New Roman"/>
                      <w:color w:val="000000" w:themeColor="text1"/>
                      <w:szCs w:val="21"/>
                      <w:lang w:val="en-US" w:eastAsia="zh-CN"/>
                      <w14:textFill>
                        <w14:solidFill>
                          <w14:schemeClr w14:val="tx1"/>
                        </w14:solidFill>
                      </w14:textFill>
                    </w:rPr>
                    <w:t>体废弃物减量化、资源化、无害化处理和综合利用工程</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生产过程仅</w:t>
                  </w:r>
                  <w:r>
                    <w:rPr>
                      <w:rFonts w:hint="eastAsia" w:ascii="Times New Roman" w:hAnsi="Times New Roman" w:eastAsia="宋体" w:cs="Times New Roman"/>
                      <w:color w:val="000000" w:themeColor="text1"/>
                      <w:szCs w:val="21"/>
                      <w:lang w:eastAsia="zh-CN"/>
                      <w14:textFill>
                        <w14:solidFill>
                          <w14:schemeClr w14:val="tx1"/>
                        </w14:solidFill>
                      </w14:textFill>
                    </w:rPr>
                    <w:t>洗涤塔废水、</w:t>
                  </w:r>
                  <w:r>
                    <w:rPr>
                      <w:rFonts w:ascii="Times New Roman" w:hAnsi="Times New Roman" w:eastAsia="宋体" w:cs="Times New Roman"/>
                      <w:color w:val="000000" w:themeColor="text1"/>
                      <w:szCs w:val="21"/>
                      <w:lang w:val="en-US"/>
                      <w14:textFill>
                        <w14:solidFill>
                          <w14:schemeClr w14:val="tx1"/>
                        </w14:solidFill>
                      </w14:textFill>
                    </w:rPr>
                    <w:t>工作人员生活污水以及设备冲洗废水</w:t>
                  </w:r>
                  <w:r>
                    <w:rPr>
                      <w:rFonts w:hint="eastAsia" w:ascii="Times New Roman" w:hAnsi="Times New Roman" w:eastAsia="宋体" w:cs="Times New Roman"/>
                      <w:color w:val="000000" w:themeColor="text1"/>
                      <w:szCs w:val="21"/>
                      <w:lang w:val="en-US" w:eastAsia="zh-CN"/>
                      <w14:textFill>
                        <w14:solidFill>
                          <w14:schemeClr w14:val="tx1"/>
                        </w14:solidFill>
                      </w14:textFill>
                    </w:rPr>
                    <w:t>经污水处理站处理达标后排入芒市污水处理厂。</w:t>
                  </w:r>
                  <w:r>
                    <w:rPr>
                      <w:rFonts w:hint="default" w:ascii="Times New Roman" w:hAnsi="Times New Roman" w:eastAsia="宋体" w:cs="Times New Roman"/>
                      <w:color w:val="000000" w:themeColor="text1"/>
                      <w:szCs w:val="21"/>
                      <w14:textFill>
                        <w14:solidFill>
                          <w14:schemeClr w14:val="tx1"/>
                        </w14:solidFill>
                      </w14:textFill>
                    </w:rPr>
                    <w:t>生活污水</w:t>
                  </w:r>
                  <w:r>
                    <w:rPr>
                      <w:rFonts w:hint="eastAsia" w:ascii="Times New Roman" w:hAnsi="Times New Roman" w:eastAsia="宋体" w:cs="Times New Roman"/>
                      <w:color w:val="000000" w:themeColor="text1"/>
                      <w:szCs w:val="21"/>
                      <w:lang w:val="en-US" w:eastAsia="zh-CN"/>
                      <w14:textFill>
                        <w14:solidFill>
                          <w14:schemeClr w14:val="tx1"/>
                        </w14:solidFill>
                      </w14:textFill>
                    </w:rPr>
                    <w:t>经化粪池预处理后，进入市政污水管网，最终进入污水处理厂处理。</w:t>
                  </w:r>
                </w:p>
              </w:tc>
            </w:tr>
            <w:tr w14:paraId="5124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1045" w:type="dxa"/>
                  <w:vAlign w:val="center"/>
                </w:tcPr>
                <w:p w14:paraId="1829C22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第三条</w:t>
                  </w:r>
                </w:p>
              </w:tc>
              <w:tc>
                <w:tcPr>
                  <w:tcW w:w="4357" w:type="dxa"/>
                  <w:vAlign w:val="center"/>
                </w:tcPr>
                <w:p w14:paraId="2029F5B6">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着力节约保护水资源：</w:t>
                  </w:r>
                  <w:r>
                    <w:rPr>
                      <w:rFonts w:ascii="Times New Roman" w:hAnsi="Times New Roman" w:eastAsia="宋体" w:cs="Times New Roman"/>
                      <w:color w:val="000000" w:themeColor="text1"/>
                      <w:szCs w:val="21"/>
                      <w14:textFill>
                        <w14:solidFill>
                          <w14:schemeClr w14:val="tx1"/>
                        </w14:solidFill>
                      </w14:textFill>
                    </w:rPr>
                    <w:t>① 控制用水总量，实施最严格水资源管理，严控地下水超采；② 提高用水效率，抓好工业节水；③ 科学保护水资源，完善水资源保护考核评价体系。</w:t>
                  </w:r>
                </w:p>
              </w:tc>
              <w:tc>
                <w:tcPr>
                  <w:tcW w:w="2017" w:type="dxa"/>
                  <w:vAlign w:val="center"/>
                </w:tcPr>
                <w:p w14:paraId="5B69AB10">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w:t>
                  </w:r>
                  <w:r>
                    <w:rPr>
                      <w:rFonts w:hint="eastAsia" w:ascii="Times New Roman" w:hAnsi="Times New Roman" w:eastAsia="宋体" w:cs="Times New Roman"/>
                      <w:color w:val="000000" w:themeColor="text1"/>
                      <w:szCs w:val="21"/>
                      <w14:textFill>
                        <w14:solidFill>
                          <w14:schemeClr w14:val="tx1"/>
                        </w14:solidFill>
                      </w14:textFill>
                    </w:rPr>
                    <w:t>生产过程仅</w:t>
                  </w:r>
                  <w:r>
                    <w:rPr>
                      <w:rFonts w:hint="eastAsia" w:ascii="Times New Roman" w:hAnsi="Times New Roman" w:eastAsia="宋体" w:cs="Times New Roman"/>
                      <w:color w:val="000000" w:themeColor="text1"/>
                      <w:szCs w:val="21"/>
                      <w:lang w:eastAsia="zh-CN"/>
                      <w14:textFill>
                        <w14:solidFill>
                          <w14:schemeClr w14:val="tx1"/>
                        </w14:solidFill>
                      </w14:textFill>
                    </w:rPr>
                    <w:t>洗涤塔废水、</w:t>
                  </w:r>
                  <w:r>
                    <w:rPr>
                      <w:rFonts w:ascii="Times New Roman" w:hAnsi="Times New Roman" w:eastAsia="宋体" w:cs="Times New Roman"/>
                      <w:color w:val="000000" w:themeColor="text1"/>
                      <w:szCs w:val="21"/>
                      <w:lang w:val="en-US"/>
                      <w14:textFill>
                        <w14:solidFill>
                          <w14:schemeClr w14:val="tx1"/>
                        </w14:solidFill>
                      </w14:textFill>
                    </w:rPr>
                    <w:t>工作人员生活污水以及设备冲洗废水</w:t>
                  </w:r>
                  <w:r>
                    <w:rPr>
                      <w:rFonts w:hint="eastAsia" w:ascii="Times New Roman" w:hAnsi="Times New Roman" w:eastAsia="宋体" w:cs="Times New Roman"/>
                      <w:color w:val="000000" w:themeColor="text1"/>
                      <w:szCs w:val="21"/>
                      <w:lang w:val="en-US" w:eastAsia="zh-CN"/>
                      <w14:textFill>
                        <w14:solidFill>
                          <w14:schemeClr w14:val="tx1"/>
                        </w14:solidFill>
                      </w14:textFill>
                    </w:rPr>
                    <w:t>，用水量较小，</w:t>
                  </w:r>
                  <w:r>
                    <w:rPr>
                      <w:rFonts w:hint="eastAsia" w:ascii="Times New Roman" w:hAnsi="Times New Roman" w:eastAsia="宋体" w:cs="Times New Roman"/>
                      <w:color w:val="000000" w:themeColor="text1"/>
                      <w:szCs w:val="21"/>
                      <w14:textFill>
                        <w14:solidFill>
                          <w14:schemeClr w14:val="tx1"/>
                        </w14:solidFill>
                      </w14:textFill>
                    </w:rPr>
                    <w:t>生活用水为自来水，不开采地下水</w:t>
                  </w:r>
                  <w:r>
                    <w:rPr>
                      <w:rFonts w:ascii="Times New Roman" w:hAnsi="Times New Roman" w:eastAsia="宋体" w:cs="Times New Roman"/>
                      <w:color w:val="000000" w:themeColor="text1"/>
                      <w:szCs w:val="21"/>
                      <w14:textFill>
                        <w14:solidFill>
                          <w14:schemeClr w14:val="tx1"/>
                        </w14:solidFill>
                      </w14:textFill>
                    </w:rPr>
                    <w:t>。</w:t>
                  </w:r>
                </w:p>
              </w:tc>
            </w:tr>
            <w:tr w14:paraId="20BF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45" w:type="dxa"/>
                  <w:vAlign w:val="center"/>
                </w:tcPr>
                <w:p w14:paraId="1A8C0334">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第四条</w:t>
                  </w:r>
                </w:p>
              </w:tc>
              <w:tc>
                <w:tcPr>
                  <w:tcW w:w="4357" w:type="dxa"/>
                  <w:vAlign w:val="center"/>
                </w:tcPr>
                <w:p w14:paraId="0DE9D95D">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强化科技支撑：</w:t>
                  </w:r>
                  <w:r>
                    <w:rPr>
                      <w:rFonts w:ascii="Times New Roman" w:hAnsi="Times New Roman" w:eastAsia="宋体" w:cs="Times New Roman"/>
                      <w:color w:val="000000" w:themeColor="text1"/>
                      <w:szCs w:val="21"/>
                      <w14:textFill>
                        <w14:solidFill>
                          <w14:schemeClr w14:val="tx1"/>
                        </w14:solidFill>
                      </w14:textFill>
                    </w:rPr>
                    <w:t>① 推广示范适用技术，加快技术成果推广应用；② 攻关研发前瞻技术，整合科技资源；③ 大力发展环保产业，规范环保产业市场。</w:t>
                  </w:r>
                </w:p>
              </w:tc>
              <w:tc>
                <w:tcPr>
                  <w:tcW w:w="2017" w:type="dxa"/>
                  <w:vAlign w:val="center"/>
                </w:tcPr>
                <w:p w14:paraId="22179C90">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生产过程仅</w:t>
                  </w:r>
                  <w:r>
                    <w:rPr>
                      <w:rFonts w:hint="eastAsia" w:ascii="Times New Roman" w:hAnsi="Times New Roman" w:eastAsia="宋体" w:cs="Times New Roman"/>
                      <w:color w:val="000000" w:themeColor="text1"/>
                      <w:szCs w:val="21"/>
                      <w:lang w:eastAsia="zh-CN"/>
                      <w14:textFill>
                        <w14:solidFill>
                          <w14:schemeClr w14:val="tx1"/>
                        </w14:solidFill>
                      </w14:textFill>
                    </w:rPr>
                    <w:t>洗涤塔废水、</w:t>
                  </w:r>
                  <w:r>
                    <w:rPr>
                      <w:rFonts w:ascii="Times New Roman" w:hAnsi="Times New Roman" w:eastAsia="宋体" w:cs="Times New Roman"/>
                      <w:color w:val="000000" w:themeColor="text1"/>
                      <w:szCs w:val="21"/>
                      <w:lang w:val="en-US"/>
                      <w14:textFill>
                        <w14:solidFill>
                          <w14:schemeClr w14:val="tx1"/>
                        </w14:solidFill>
                      </w14:textFill>
                    </w:rPr>
                    <w:t>工作人员生活污水以及设备冲洗废水</w:t>
                  </w:r>
                  <w:r>
                    <w:rPr>
                      <w:rFonts w:hint="eastAsia" w:ascii="Times New Roman" w:hAnsi="Times New Roman" w:eastAsia="宋体" w:cs="Times New Roman"/>
                      <w:color w:val="000000" w:themeColor="text1"/>
                      <w:szCs w:val="21"/>
                      <w:lang w:val="en-US" w:eastAsia="zh-CN"/>
                      <w14:textFill>
                        <w14:solidFill>
                          <w14:schemeClr w14:val="tx1"/>
                        </w14:solidFill>
                      </w14:textFill>
                    </w:rPr>
                    <w:t>经污水处理站处理达标后排入芒市污水处理厂。</w:t>
                  </w:r>
                  <w:r>
                    <w:rPr>
                      <w:rFonts w:hint="default" w:ascii="Times New Roman" w:hAnsi="Times New Roman" w:eastAsia="宋体" w:cs="Times New Roman"/>
                      <w:color w:val="000000" w:themeColor="text1"/>
                      <w:szCs w:val="21"/>
                      <w14:textFill>
                        <w14:solidFill>
                          <w14:schemeClr w14:val="tx1"/>
                        </w14:solidFill>
                      </w14:textFill>
                    </w:rPr>
                    <w:t>生活污水</w:t>
                  </w:r>
                  <w:r>
                    <w:rPr>
                      <w:rFonts w:hint="eastAsia" w:ascii="Times New Roman" w:hAnsi="Times New Roman" w:eastAsia="宋体" w:cs="Times New Roman"/>
                      <w:color w:val="000000" w:themeColor="text1"/>
                      <w:szCs w:val="21"/>
                      <w:lang w:val="en-US" w:eastAsia="zh-CN"/>
                      <w14:textFill>
                        <w14:solidFill>
                          <w14:schemeClr w14:val="tx1"/>
                        </w14:solidFill>
                      </w14:textFill>
                    </w:rPr>
                    <w:t>经化粪池预处理后，进入市政污水管网，最终进入污水处理厂处理</w:t>
                  </w:r>
                </w:p>
              </w:tc>
            </w:tr>
            <w:tr w14:paraId="57B1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45" w:type="dxa"/>
                  <w:vAlign w:val="center"/>
                </w:tcPr>
                <w:p w14:paraId="37E09EA1">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第五条</w:t>
                  </w:r>
                </w:p>
              </w:tc>
              <w:tc>
                <w:tcPr>
                  <w:tcW w:w="4357" w:type="dxa"/>
                  <w:vAlign w:val="center"/>
                </w:tcPr>
                <w:p w14:paraId="12D08E9F">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充分发挥市场机制作用：</w:t>
                  </w:r>
                  <w:r>
                    <w:rPr>
                      <w:rFonts w:ascii="Times New Roman" w:hAnsi="Times New Roman" w:eastAsia="宋体" w:cs="Times New Roman"/>
                      <w:color w:val="000000" w:themeColor="text1"/>
                      <w:szCs w:val="21"/>
                      <w14:textFill>
                        <w14:solidFill>
                          <w14:schemeClr w14:val="tx1"/>
                        </w14:solidFill>
                      </w14:textFill>
                    </w:rPr>
                    <w:t>① 理顺价格税费，加快水价改革；② 促进多元融资，引导社会资本投入；③ 建立激励机制，健全节水环保“领跑者”制度。</w:t>
                  </w:r>
                </w:p>
              </w:tc>
              <w:tc>
                <w:tcPr>
                  <w:tcW w:w="2017" w:type="dxa"/>
                  <w:vAlign w:val="center"/>
                </w:tcPr>
                <w:p w14:paraId="40CD1B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本项目用水量较小</w:t>
                  </w:r>
                </w:p>
              </w:tc>
            </w:tr>
            <w:tr w14:paraId="63C8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45" w:type="dxa"/>
                  <w:vAlign w:val="center"/>
                </w:tcPr>
                <w:p w14:paraId="5BDF6860">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第六条</w:t>
                  </w:r>
                </w:p>
              </w:tc>
              <w:tc>
                <w:tcPr>
                  <w:tcW w:w="4357" w:type="dxa"/>
                  <w:vAlign w:val="center"/>
                </w:tcPr>
                <w:p w14:paraId="6FFD3D1F">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严格环境执法监管：</w:t>
                  </w:r>
                  <w:r>
                    <w:rPr>
                      <w:rFonts w:ascii="Times New Roman" w:hAnsi="Times New Roman" w:eastAsia="宋体" w:cs="Times New Roman"/>
                      <w:color w:val="000000" w:themeColor="text1"/>
                      <w:szCs w:val="21"/>
                      <w14:textFill>
                        <w14:solidFill>
                          <w14:schemeClr w14:val="tx1"/>
                        </w14:solidFill>
                      </w14:textFill>
                    </w:rPr>
                    <w:t>① 完善法规标准，健全法律法规；② 加大执法力度，所有排污单位必须依法实现全面达标排放；③ 提升监管水平，完善流域协作机制。</w:t>
                  </w:r>
                </w:p>
              </w:tc>
              <w:tc>
                <w:tcPr>
                  <w:tcW w:w="2017" w:type="dxa"/>
                  <w:vAlign w:val="center"/>
                </w:tcPr>
                <w:p w14:paraId="195A9B4C">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本项目为新建项目，严格按照法规、法律标准完善环保“三同时”，污染物达标排放。</w:t>
                  </w:r>
                </w:p>
              </w:tc>
            </w:tr>
            <w:tr w14:paraId="4805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45" w:type="dxa"/>
                  <w:vAlign w:val="center"/>
                </w:tcPr>
                <w:p w14:paraId="21FDE90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第七条</w:t>
                  </w:r>
                </w:p>
              </w:tc>
              <w:tc>
                <w:tcPr>
                  <w:tcW w:w="4357" w:type="dxa"/>
                  <w:vAlign w:val="center"/>
                </w:tcPr>
                <w:p w14:paraId="32532D53">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shd w:val="clear" w:color="auto" w:fill="FFFFFF"/>
                      <w14:textFill>
                        <w14:solidFill>
                          <w14:schemeClr w14:val="tx1"/>
                        </w14:solidFill>
                      </w14:textFill>
                    </w:rPr>
                    <w:t>切实加强水环境管理：</w:t>
                  </w:r>
                  <w:r>
                    <w:rPr>
                      <w:rFonts w:ascii="Times New Roman" w:hAnsi="Times New Roman" w:eastAsia="宋体" w:cs="Times New Roman"/>
                      <w:color w:val="000000" w:themeColor="text1"/>
                      <w:szCs w:val="21"/>
                      <w14:textFill>
                        <w14:solidFill>
                          <w14:schemeClr w14:val="tx1"/>
                        </w14:solidFill>
                      </w14:textFill>
                    </w:rPr>
                    <w:t>①强化环境质量目标管理，明确各类水体水质保护目标，逐一排查达标状况；②深化污染物排放总量控制；③严格环境风险控制，防范环境风险；④全面推行排污许可，依法核发排污许可证。</w:t>
                  </w:r>
                </w:p>
              </w:tc>
              <w:tc>
                <w:tcPr>
                  <w:tcW w:w="2017" w:type="dxa"/>
                  <w:vAlign w:val="center"/>
                </w:tcPr>
                <w:p w14:paraId="512B6B60">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生产过程仅</w:t>
                  </w:r>
                  <w:r>
                    <w:rPr>
                      <w:rFonts w:hint="eastAsia" w:ascii="Times New Roman" w:hAnsi="Times New Roman" w:eastAsia="宋体" w:cs="Times New Roman"/>
                      <w:color w:val="000000" w:themeColor="text1"/>
                      <w:szCs w:val="21"/>
                      <w:lang w:eastAsia="zh-CN"/>
                      <w14:textFill>
                        <w14:solidFill>
                          <w14:schemeClr w14:val="tx1"/>
                        </w14:solidFill>
                      </w14:textFill>
                    </w:rPr>
                    <w:t>洗涤塔废水、</w:t>
                  </w:r>
                  <w:r>
                    <w:rPr>
                      <w:rFonts w:ascii="Times New Roman" w:hAnsi="Times New Roman" w:eastAsia="宋体" w:cs="Times New Roman"/>
                      <w:color w:val="000000" w:themeColor="text1"/>
                      <w:szCs w:val="21"/>
                      <w:lang w:val="en-US"/>
                      <w14:textFill>
                        <w14:solidFill>
                          <w14:schemeClr w14:val="tx1"/>
                        </w14:solidFill>
                      </w14:textFill>
                    </w:rPr>
                    <w:t>工作人员生活污水以及设备冲洗废水</w:t>
                  </w:r>
                  <w:r>
                    <w:rPr>
                      <w:rFonts w:hint="eastAsia" w:ascii="Times New Roman" w:hAnsi="Times New Roman" w:eastAsia="宋体" w:cs="Times New Roman"/>
                      <w:color w:val="000000" w:themeColor="text1"/>
                      <w:szCs w:val="21"/>
                      <w:lang w:val="en-US" w:eastAsia="zh-CN"/>
                      <w14:textFill>
                        <w14:solidFill>
                          <w14:schemeClr w14:val="tx1"/>
                        </w14:solidFill>
                      </w14:textFill>
                    </w:rPr>
                    <w:t>经污水处理站处理达标后排入芒市污水处理厂。</w:t>
                  </w:r>
                  <w:r>
                    <w:rPr>
                      <w:rFonts w:hint="default" w:ascii="Times New Roman" w:hAnsi="Times New Roman" w:eastAsia="宋体" w:cs="Times New Roman"/>
                      <w:color w:val="000000" w:themeColor="text1"/>
                      <w:szCs w:val="21"/>
                      <w14:textFill>
                        <w14:solidFill>
                          <w14:schemeClr w14:val="tx1"/>
                        </w14:solidFill>
                      </w14:textFill>
                    </w:rPr>
                    <w:t>生活污水</w:t>
                  </w:r>
                  <w:r>
                    <w:rPr>
                      <w:rFonts w:hint="eastAsia" w:ascii="Times New Roman" w:hAnsi="Times New Roman" w:eastAsia="宋体" w:cs="Times New Roman"/>
                      <w:color w:val="000000" w:themeColor="text1"/>
                      <w:szCs w:val="21"/>
                      <w:lang w:val="en-US" w:eastAsia="zh-CN"/>
                      <w14:textFill>
                        <w14:solidFill>
                          <w14:schemeClr w14:val="tx1"/>
                        </w14:solidFill>
                      </w14:textFill>
                    </w:rPr>
                    <w:t>经化粪池预处理后，进入市政污水管网，最终进入污水处理厂处理。</w:t>
                  </w:r>
                  <w:r>
                    <w:rPr>
                      <w:rFonts w:ascii="Times New Roman" w:hAnsi="Times New Roman" w:eastAsia="宋体" w:cs="Times New Roman"/>
                      <w:color w:val="000000" w:themeColor="text1"/>
                      <w:szCs w:val="21"/>
                      <w14:textFill>
                        <w14:solidFill>
                          <w14:schemeClr w14:val="tx1"/>
                        </w14:solidFill>
                      </w14:textFill>
                    </w:rPr>
                    <w:t>后期将严格按照法律法规编制突发环境事件应急预案，防范环境风险。</w:t>
                  </w:r>
                </w:p>
              </w:tc>
            </w:tr>
            <w:tr w14:paraId="7BE7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1045" w:type="dxa"/>
                  <w:vAlign w:val="center"/>
                </w:tcPr>
                <w:p w14:paraId="0355F1A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第八条</w:t>
                  </w:r>
                </w:p>
              </w:tc>
              <w:tc>
                <w:tcPr>
                  <w:tcW w:w="4357" w:type="dxa"/>
                  <w:vAlign w:val="center"/>
                </w:tcPr>
                <w:p w14:paraId="24C034EF">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全力保障水生态环境安全：</w:t>
                  </w:r>
                  <w:r>
                    <w:rPr>
                      <w:rFonts w:ascii="Times New Roman" w:hAnsi="Times New Roman" w:eastAsia="宋体" w:cs="Times New Roman"/>
                      <w:color w:val="000000" w:themeColor="text1"/>
                      <w:szCs w:val="21"/>
                      <w14:textFill>
                        <w14:solidFill>
                          <w14:schemeClr w14:val="tx1"/>
                        </w14:solidFill>
                      </w14:textFill>
                    </w:rPr>
                    <w:t xml:space="preserve">① 保障饮用水水源安全，从水源到水龙头全过程监管饮用水安全；② 深化重点流域污染防治；③加强近岸海域环境保护；④ </w:t>
                  </w:r>
                  <w:r>
                    <w:rPr>
                      <w:rFonts w:ascii="Times New Roman" w:hAnsi="Times New Roman" w:eastAsia="宋体" w:cs="Times New Roman"/>
                      <w:color w:val="000000" w:themeColor="text1"/>
                      <w:szCs w:val="21"/>
                      <w:shd w:val="clear" w:color="auto" w:fill="FFFFFF"/>
                      <w14:textFill>
                        <w14:solidFill>
                          <w14:schemeClr w14:val="tx1"/>
                        </w14:solidFill>
                      </w14:textFill>
                    </w:rPr>
                    <w:t>整治城市黑臭水体；</w:t>
                  </w:r>
                  <w:r>
                    <w:rPr>
                      <w:rFonts w:ascii="Times New Roman" w:hAnsi="Times New Roman" w:eastAsia="宋体" w:cs="Times New Roman"/>
                      <w:color w:val="000000" w:themeColor="text1"/>
                      <w:szCs w:val="21"/>
                      <w14:textFill>
                        <w14:solidFill>
                          <w14:schemeClr w14:val="tx1"/>
                        </w14:solidFill>
                      </w14:textFill>
                    </w:rPr>
                    <w:t>⑤ 保护水和湿地生态系统。加强河湖水生态保护，科学划定生态保护红线。</w:t>
                  </w:r>
                </w:p>
              </w:tc>
              <w:tc>
                <w:tcPr>
                  <w:tcW w:w="2017" w:type="dxa"/>
                  <w:vAlign w:val="center"/>
                </w:tcPr>
                <w:p w14:paraId="29BEAB0F">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本项目位于</w:t>
                  </w:r>
                  <w:r>
                    <w:rPr>
                      <w:rFonts w:hint="eastAsia" w:ascii="Times New Roman" w:hAnsi="Times New Roman" w:eastAsia="宋体" w:cs="Times New Roman"/>
                      <w:color w:val="000000" w:themeColor="text1"/>
                      <w:szCs w:val="21"/>
                      <w:lang w:val="en-US" w:eastAsia="zh-CN"/>
                      <w14:textFill>
                        <w14:solidFill>
                          <w14:schemeClr w14:val="tx1"/>
                        </w14:solidFill>
                      </w14:textFill>
                    </w:rPr>
                    <w:t>芒市芒市镇街坡村后山</w:t>
                  </w:r>
                  <w:r>
                    <w:rPr>
                      <w:rFonts w:ascii="Times New Roman" w:hAnsi="Times New Roman" w:eastAsia="宋体" w:cs="Times New Roman"/>
                      <w:color w:val="000000" w:themeColor="text1"/>
                      <w:szCs w:val="21"/>
                      <w14:textFill>
                        <w14:solidFill>
                          <w14:schemeClr w14:val="tx1"/>
                        </w14:solidFill>
                      </w14:textFill>
                    </w:rPr>
                    <w:t>，不在《云南省生态保护红线》划定的红线范围内。</w:t>
                  </w:r>
                </w:p>
              </w:tc>
            </w:tr>
            <w:tr w14:paraId="117B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45" w:type="dxa"/>
                  <w:vAlign w:val="center"/>
                </w:tcPr>
                <w:p w14:paraId="242E532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第九条</w:t>
                  </w:r>
                </w:p>
              </w:tc>
              <w:tc>
                <w:tcPr>
                  <w:tcW w:w="4357" w:type="dxa"/>
                  <w:vAlign w:val="center"/>
                </w:tcPr>
                <w:p w14:paraId="35CBA0F3">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明确和落实各方责任：</w:t>
                  </w:r>
                  <w:r>
                    <w:rPr>
                      <w:rFonts w:ascii="Times New Roman" w:hAnsi="Times New Roman" w:eastAsia="宋体" w:cs="Times New Roman"/>
                      <w:color w:val="000000" w:themeColor="text1"/>
                      <w:szCs w:val="21"/>
                      <w14:textFill>
                        <w14:solidFill>
                          <w14:schemeClr w14:val="tx1"/>
                        </w14:solidFill>
                      </w14:textFill>
                    </w:rPr>
                    <w:t>① 强化地方政府水环境保护责任；② 加强部门协调联动；③落实排污单位主体责任；④ 严格目标任务考核。</w:t>
                  </w:r>
                </w:p>
              </w:tc>
              <w:tc>
                <w:tcPr>
                  <w:tcW w:w="2017" w:type="dxa"/>
                  <w:vAlign w:val="center"/>
                </w:tcPr>
                <w:p w14:paraId="6345CEDD">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建设单位为责任落实主体，应制定严格的用水计划。</w:t>
                  </w:r>
                </w:p>
              </w:tc>
            </w:tr>
            <w:tr w14:paraId="0115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045" w:type="dxa"/>
                  <w:vAlign w:val="center"/>
                </w:tcPr>
                <w:p w14:paraId="6E91F77A">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第十条</w:t>
                  </w:r>
                </w:p>
              </w:tc>
              <w:tc>
                <w:tcPr>
                  <w:tcW w:w="4357" w:type="dxa"/>
                  <w:vAlign w:val="center"/>
                </w:tcPr>
                <w:p w14:paraId="40D06DB9">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强化公众参与和社会监督：</w:t>
                  </w:r>
                  <w:r>
                    <w:rPr>
                      <w:rFonts w:ascii="Times New Roman" w:hAnsi="Times New Roman" w:eastAsia="宋体" w:cs="Times New Roman"/>
                      <w:color w:val="000000" w:themeColor="text1"/>
                      <w:szCs w:val="21"/>
                      <w14:textFill>
                        <w14:solidFill>
                          <w14:schemeClr w14:val="tx1"/>
                        </w14:solidFill>
                      </w14:textFill>
                    </w:rPr>
                    <w:t>① 依法公开环境信息；② 加强社会监督；③ 构建全民行动格局。</w:t>
                  </w:r>
                </w:p>
              </w:tc>
              <w:tc>
                <w:tcPr>
                  <w:tcW w:w="2017" w:type="dxa"/>
                  <w:vAlign w:val="center"/>
                </w:tcPr>
                <w:p w14:paraId="7CE34A21">
                  <w:pPr>
                    <w:keepNext w:val="0"/>
                    <w:keepLines w:val="0"/>
                    <w:pageBreakBefore w:val="0"/>
                    <w:widowControl w:val="0"/>
                    <w:kinsoku/>
                    <w:wordWrap/>
                    <w:overflowPunct/>
                    <w:topLinePunct w:val="0"/>
                    <w:autoSpaceDE/>
                    <w:autoSpaceDN/>
                    <w:bidi w:val="0"/>
                    <w:adjustRightInd/>
                    <w:snapToGrid/>
                    <w:jc w:val="both"/>
                    <w:textAlignment w:val="auto"/>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本项目环评及验收均在网站上公示，加强社会监督力度。</w:t>
                  </w:r>
                </w:p>
              </w:tc>
            </w:tr>
          </w:tbl>
          <w:p w14:paraId="0CCF29C8">
            <w:pPr>
              <w:pStyle w:val="3"/>
              <w:bidi w:val="0"/>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经上述分析，生产过程仅洗涤塔废水、</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工作人员生活污水以及设备冲洗废水</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经污水处理站处理达标后排入芒市</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污水处理厂</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生活污水</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经化粪池预处理后，进入市政污水管网，最终进入污水处理厂处理。符合“水十条”规定。</w:t>
            </w:r>
          </w:p>
          <w:p w14:paraId="159228F4">
            <w:pPr>
              <w:pStyle w:val="25"/>
              <w:spacing w:before="0" w:beforeAutospacing="0" w:after="0" w:afterAutospacing="0" w:line="360" w:lineRule="auto"/>
              <w:jc w:val="both"/>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lang w:val="en-US" w:eastAsia="zh-CN"/>
                <w14:textFill>
                  <w14:solidFill>
                    <w14:schemeClr w14:val="tx1"/>
                  </w14:solidFill>
                </w14:textFill>
              </w:rPr>
              <w:t>与《云南省主体功能区规划》的符合性分析</w:t>
            </w:r>
          </w:p>
          <w:p w14:paraId="1FF75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在《云南省主体功能区规划》中，芒市属于国家农产品主产区，经济发展水平较低。本项目为</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四十三、环境保护与资源节约综合利用20、城镇垃圾、农村生活垃圾、农村生活污水、污泥及其他固体废弃物减量化、资源化、无害化处理和综合利用工程</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，可促进当地生态环境和经济发展，与《云南省主体功能区规划》不冲突。</w:t>
            </w:r>
          </w:p>
          <w:p w14:paraId="297DC6D4">
            <w:pPr>
              <w:pStyle w:val="25"/>
              <w:spacing w:before="0" w:beforeAutospacing="0" w:after="0" w:afterAutospacing="0" w:line="360" w:lineRule="auto"/>
              <w:jc w:val="both"/>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lang w:val="en-US" w:eastAsia="zh-CN"/>
                <w14:textFill>
                  <w14:solidFill>
                    <w14:schemeClr w14:val="tx1"/>
                  </w14:solidFill>
                </w14:textFill>
              </w:rPr>
              <w:t>与《云南省生态功能区划》的符合性分析</w:t>
            </w:r>
          </w:p>
          <w:p w14:paraId="03B156F8">
            <w:pPr>
              <w:pStyle w:val="3"/>
              <w:bidi w:val="0"/>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根据《云南省生态功能区划》，本项目生态环境影响评价区隶属于“Ⅰ季风热带北缘热带雨林生态区”，生态亚区属“Ⅰ3滇西南中山宽谷半常绿季雨林生态亚区”，生态功能区属“Ⅰ3-1大盈江、南畹河下游中山丘陵农业生态功能区”，主要生态特征为以中山丘陵地貌为主，年降水量1400-1700毫米，地带性植被类型为季风常绿阔叶林。地带性土壤类型为赤红壤、红壤。主要生态环境问题是旅游业和不合理的热区开发带来的生态破坏。保护措施与发展方向是保护农业生态环境，防止水土流失和旅游和边境贸易带来的环境污染，推行清洁生产，加强国际大通道的建设。</w:t>
            </w:r>
          </w:p>
          <w:p w14:paraId="4B95D5F4">
            <w:pPr>
              <w:pStyle w:val="3"/>
              <w:bidi w:val="0"/>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本项目位于</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芒市芒市镇街坡村后山</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，项目区范围内主要为杂草，项目的建设主要是在</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原有</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场地内</w:t>
            </w:r>
            <w:r>
              <w:rPr>
                <w:rFonts w:hint="eastAsia"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进行垃圾站渗滤液处理能力提升，不新增占地</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，项目建设配套有相应的环保设施，对周边环境的影响可以接受，不会对周边农田及耕地产生影响，因此该项目建设符合区域生态环境功能规划。</w:t>
            </w:r>
          </w:p>
          <w:p w14:paraId="39CD96E6">
            <w:pPr>
              <w:pStyle w:val="3"/>
              <w:bidi w:val="0"/>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p>
          <w:p w14:paraId="673999A3">
            <w:pPr>
              <w:pStyle w:val="3"/>
              <w:bidi w:val="0"/>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p>
          <w:p w14:paraId="1FD65D6C">
            <w:pPr>
              <w:autoSpaceDE w:val="0"/>
              <w:autoSpaceDN w:val="0"/>
              <w:adjustRightInd w:val="0"/>
              <w:snapToGrid w:val="0"/>
              <w:spacing w:line="360" w:lineRule="auto"/>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24"/>
                <w:sz w:val="24"/>
                <w:szCs w:val="20"/>
                <w14:textFill>
                  <w14:solidFill>
                    <w14:schemeClr w14:val="tx1"/>
                  </w14:solidFill>
                </w14:textFill>
              </w:rPr>
              <w:t xml:space="preserve">                                                                                          </w:t>
            </w:r>
          </w:p>
        </w:tc>
      </w:tr>
    </w:tbl>
    <w:p w14:paraId="3FE07F55">
      <w:pPr>
        <w:spacing w:line="360" w:lineRule="auto"/>
        <w:jc w:val="center"/>
        <w:rPr>
          <w:rFonts w:ascii="黑体" w:hAnsi="黑体" w:eastAsia="黑体" w:cs="黑体"/>
          <w:sz w:val="2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7EDD62EC">
      <w:pPr>
        <w:pStyle w:val="6"/>
        <w:spacing w:before="0" w:after="0"/>
        <w:jc w:val="center"/>
        <w:rPr>
          <w:color w:val="000000" w:themeColor="text1"/>
          <w14:textFill>
            <w14:solidFill>
              <w14:schemeClr w14:val="tx1"/>
            </w14:solidFill>
          </w14:textFill>
        </w:rPr>
      </w:pPr>
      <w:bookmarkStart w:id="2" w:name="_Toc5527"/>
      <w:r>
        <w:rPr>
          <w:rFonts w:hint="eastAsia"/>
          <w:color w:val="000000" w:themeColor="text1"/>
          <w14:textFill>
            <w14:solidFill>
              <w14:schemeClr w14:val="tx1"/>
            </w14:solidFill>
          </w14:textFill>
        </w:rPr>
        <w:t>二、</w:t>
      </w:r>
      <w:r>
        <w:rPr>
          <w:color w:val="000000" w:themeColor="text1"/>
          <w14:textFill>
            <w14:solidFill>
              <w14:schemeClr w14:val="tx1"/>
            </w14:solidFill>
          </w14:textFill>
        </w:rPr>
        <w:t>建设项目</w:t>
      </w:r>
      <w:r>
        <w:rPr>
          <w:rFonts w:hint="eastAsia"/>
          <w:color w:val="000000" w:themeColor="text1"/>
          <w14:textFill>
            <w14:solidFill>
              <w14:schemeClr w14:val="tx1"/>
            </w14:solidFill>
          </w14:textFill>
        </w:rPr>
        <w:t>工程分析</w:t>
      </w:r>
      <w:bookmarkEnd w:id="2"/>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055"/>
      </w:tblGrid>
      <w:tr w14:paraId="1D87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73" w:type="pct"/>
            <w:vAlign w:val="center"/>
          </w:tcPr>
          <w:p w14:paraId="05F40136">
            <w:pPr>
              <w:spacing w:line="360" w:lineRule="auto"/>
              <w:jc w:val="center"/>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建设内容</w:t>
            </w:r>
          </w:p>
        </w:tc>
        <w:tc>
          <w:tcPr>
            <w:tcW w:w="4726" w:type="pct"/>
          </w:tcPr>
          <w:p w14:paraId="452B9CD8">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1、项目由来</w:t>
            </w:r>
          </w:p>
          <w:p w14:paraId="7C532133">
            <w:pPr>
              <w:pStyle w:val="3"/>
              <w:bidi w:val="0"/>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芒市环境卫生管理站于2003年2月委托云南省环保产业科技开发中心编制了《潞西市城市生活垃圾处理工程建设项目环境影响报告书》，云南省环境保护局（现云南省环境保护厅）于2003年5月下达了《关于对潞西市城市生活垃圾处理场工程环境影响报告书的审批意见》（云环监发（2003）60号）</w:t>
            </w:r>
            <w:r>
              <w:rPr>
                <w:rFonts w:hint="default" w:ascii="Times New Roman" w:hAnsi="Times New Roman" w:eastAsia="宋体" w:cs="Times New Roman"/>
                <w:color w:val="000000" w:themeColor="text1"/>
                <w:sz w:val="24"/>
                <w:lang w:val="en-US" w:eastAsia="zh-CN"/>
                <w14:textFill>
                  <w14:solidFill>
                    <w14:schemeClr w14:val="tx1"/>
                  </w14:solidFill>
                </w14:textFill>
              </w:rPr>
              <w:t>详见附件3。该场于2003年初开始建设，2004年初建设完成，2004年9月7日该场通过州级验收并投入使用，渗滤液处理方式为经管道排入城市污水处理厂处理，但《生活垃圾填埋场污染控制标准》（GB16889－2008）于2008年7月1日实施后，要求从2011年7月1日起，现有全部生活垃圾填埋场应自建污水处理站将渗滤液处理达到《生活垃圾填埋场污染控制标准》（GB16889－2008）表2规定的水污染排放浓度限值后直接排放，对此，2012年委托云南省环境科学研究院编制完成《芒市城市生活垃圾渗滤液处理工程环境影响补充报告》云环审【2012】147号</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2016年12月，</w:t>
            </w:r>
            <w:r>
              <w:rPr>
                <w:rFonts w:hint="default" w:ascii="Times New Roman" w:hAnsi="Times New Roman" w:eastAsia="宋体" w:cs="Times New Roman"/>
                <w:color w:val="000000" w:themeColor="text1"/>
                <w:sz w:val="24"/>
                <w:lang w:val="en-US" w:eastAsia="zh-CN"/>
                <w14:textFill>
                  <w14:solidFill>
                    <w14:schemeClr w14:val="tx1"/>
                  </w14:solidFill>
                </w14:textFill>
              </w:rPr>
              <w:t>芒市环境卫生管理站</w:t>
            </w:r>
            <w:r>
              <w:rPr>
                <w:rFonts w:hint="default" w:ascii="Times New Roman" w:hAnsi="Times New Roman" w:cs="Times New Roman"/>
                <w:color w:val="000000" w:themeColor="text1"/>
                <w:lang w:val="en-US" w:eastAsia="zh-CN"/>
                <w14:textFill>
                  <w14:solidFill>
                    <w14:schemeClr w14:val="tx1"/>
                  </w14:solidFill>
                </w14:textFill>
              </w:rPr>
              <w:t>已对</w:t>
            </w:r>
            <w:r>
              <w:rPr>
                <w:rFonts w:hint="default" w:ascii="Times New Roman" w:hAnsi="Times New Roman" w:eastAsia="宋体" w:cs="Times New Roman"/>
                <w:color w:val="000000" w:themeColor="text1"/>
                <w:sz w:val="24"/>
                <w:lang w:val="en-US" w:eastAsia="zh-CN"/>
                <w14:textFill>
                  <w14:solidFill>
                    <w14:schemeClr w14:val="tx1"/>
                  </w14:solidFill>
                </w14:textFill>
              </w:rPr>
              <w:t>芒市城市生活垃圾渗滤液处理工程</w:t>
            </w:r>
            <w:r>
              <w:rPr>
                <w:rFonts w:hint="default" w:ascii="Times New Roman" w:hAnsi="Times New Roman" w:cs="Times New Roman"/>
                <w:color w:val="000000" w:themeColor="text1"/>
                <w:lang w:val="en-US" w:eastAsia="zh-CN"/>
                <w14:textFill>
                  <w14:solidFill>
                    <w14:schemeClr w14:val="tx1"/>
                  </w14:solidFill>
                </w14:textFill>
              </w:rPr>
              <w:t>进行了验收。</w:t>
            </w:r>
            <w:r>
              <w:rPr>
                <w:rFonts w:hint="default" w:ascii="Times New Roman" w:hAnsi="Times New Roman" w:cs="Times New Roman"/>
                <w:color w:val="000000" w:themeColor="text1"/>
                <w:lang w:val="en-US"/>
                <w14:textFill>
                  <w14:solidFill>
                    <w14:schemeClr w14:val="tx1"/>
                  </w14:solidFill>
                </w14:textFill>
              </w:rPr>
              <w:t>至此，原渗滤液处理站已履行完成各项环保手续</w:t>
            </w:r>
            <w:r>
              <w:rPr>
                <w:rFonts w:hint="default" w:ascii="Times New Roman" w:hAnsi="Times New Roman" w:cs="Times New Roman" w:eastAsiaTheme="minorEastAsia"/>
                <w:bCs/>
                <w:color w:val="000000" w:themeColor="text1"/>
                <w:kern w:val="2"/>
                <w:sz w:val="24"/>
                <w:szCs w:val="24"/>
                <w:lang w:val="en-US" w:eastAsia="zh-CN" w:bidi="ar-SA"/>
                <w14:textFill>
                  <w14:solidFill>
                    <w14:schemeClr w14:val="tx1"/>
                  </w14:solidFill>
                </w14:textFill>
              </w:rPr>
              <w:t>。</w:t>
            </w:r>
          </w:p>
          <w:p w14:paraId="673C5490">
            <w:pPr>
              <w:pStyle w:val="3"/>
              <w:bidi w:val="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2006年9月垃圾填埋场一期项目竣工后，渗滤液采用调节池储存，然后外排至芒市生活</w:t>
            </w:r>
            <w:r>
              <w:rPr>
                <w:rFonts w:hint="eastAsia" w:ascii="Times New Roman" w:hAnsi="Times New Roman" w:eastAsia="宋体" w:cs="Times New Roman"/>
                <w:color w:val="000000" w:themeColor="text1"/>
                <w:sz w:val="24"/>
                <w:lang w:val="en-US" w:eastAsia="zh-CN"/>
                <w14:textFill>
                  <w14:solidFill>
                    <w14:schemeClr w14:val="tx1"/>
                  </w14:solidFill>
                </w14:textFill>
              </w:rPr>
              <w:t>污水处理厂</w:t>
            </w:r>
            <w:r>
              <w:rPr>
                <w:rFonts w:hint="default" w:ascii="Times New Roman" w:hAnsi="Times New Roman" w:eastAsia="宋体" w:cs="Times New Roman"/>
                <w:color w:val="000000" w:themeColor="text1"/>
                <w:sz w:val="24"/>
                <w:lang w:val="en-US" w:eastAsia="zh-CN"/>
                <w14:textFill>
                  <w14:solidFill>
                    <w14:schemeClr w14:val="tx1"/>
                  </w14:solidFill>
                </w14:textFill>
              </w:rPr>
              <w:t>的方式进行处理（芒市</w:t>
            </w:r>
            <w:r>
              <w:rPr>
                <w:rFonts w:hint="eastAsia" w:ascii="Times New Roman" w:hAnsi="Times New Roman" w:eastAsia="宋体" w:cs="Times New Roman"/>
                <w:color w:val="000000" w:themeColor="text1"/>
                <w:sz w:val="24"/>
                <w:lang w:val="en-US" w:eastAsia="zh-CN"/>
                <w14:textFill>
                  <w14:solidFill>
                    <w14:schemeClr w14:val="tx1"/>
                  </w14:solidFill>
                </w14:textFill>
              </w:rPr>
              <w:t>污水处理厂</w:t>
            </w:r>
            <w:r>
              <w:rPr>
                <w:rFonts w:hint="default" w:ascii="Times New Roman" w:hAnsi="Times New Roman" w:eastAsia="宋体" w:cs="Times New Roman"/>
                <w:color w:val="000000" w:themeColor="text1"/>
                <w:sz w:val="24"/>
                <w:lang w:val="en-US" w:eastAsia="zh-CN"/>
                <w14:textFill>
                  <w14:solidFill>
                    <w14:schemeClr w14:val="tx1"/>
                  </w14:solidFill>
                </w14:textFill>
              </w:rPr>
              <w:t>于2006年6月建成）。2010年，项目建设了回喷装置，将部分渗滤液回喷至填埋区，减量化处理，剩余部分仍通过城市市政污水管网进入污水处理厂处理。2015年10月渗滤液处理工程建成后，垃圾渗滤液进入处理渗滤液系统处理后，再经城市市政污水管网进入污水处理厂。</w:t>
            </w:r>
          </w:p>
          <w:p w14:paraId="651C0514">
            <w:pPr>
              <w:pStyle w:val="3"/>
              <w:bidi w:val="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渗滤液处理工艺采用</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混凝沉淀＋MBR系统＋纳滤＋RO</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工艺，由预处理+生物处理+深度处理工序构成。</w:t>
            </w:r>
          </w:p>
          <w:p w14:paraId="023ED43A">
            <w:pPr>
              <w:pStyle w:val="3"/>
              <w:bidi w:val="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潞西市城市生活垃圾处理工程环境影响报告书》中提出，项目生活垃圾处理场渗滤液采用调节池储存和回喷的方式进行处理。项目投运后，于2010年开始改为进入城市市政污水管网，与生活污水合并后进入污水处理厂处理。《生活垃圾填埋场污染控制标准》（GB16889-2008）要求，从2011年7月1日起全部生活垃圾场应自建污水处理站将渗滤液处理工程对渗滤液进行处理。按标准要求规定，项目于2011年1月委托云南省环境科学研究院编制了《芒市城市生活垃圾渗滤液处理工程环境影响补充报告》。2012年6月，云南省环境保护厅下达了《关于芒市城市生活垃圾渗渗液处理工程环境影响补充报告的批复》（云环审（2012）147号）。补充报告要求经渗滤液处理工程处理后的废水达《生活垃圾填埋场污染控制标准》（GB16889-2008）表2规定后排入芒市</w:t>
            </w:r>
            <w:r>
              <w:rPr>
                <w:rFonts w:hint="eastAsia" w:ascii="Times New Roman" w:hAnsi="Times New Roman" w:eastAsia="宋体" w:cs="Times New Roman"/>
                <w:color w:val="000000" w:themeColor="text1"/>
                <w:sz w:val="24"/>
                <w:lang w:val="en-US" w:eastAsia="zh-CN"/>
                <w14:textFill>
                  <w14:solidFill>
                    <w14:schemeClr w14:val="tx1"/>
                  </w14:solidFill>
                </w14:textFill>
              </w:rPr>
              <w:t>污水处理厂</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5CBC6FB2">
            <w:pPr>
              <w:pStyle w:val="3"/>
              <w:bidi w:val="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芒市城市生活垃圾渗渗液处理工程实施后，为减少外排废水对芒市河的影响，外排废水处理达标后排入城市污水处理厂，因排水去向发生变更，且在芒市生活污水处理厂同意接纳污水的情况下，芒市环境卫生管理站向德宏州环境保护局递交了变更申请，德宏州环境保护局于2016年10月18日下达了《关于芒市城市生活垃圾渗滤液处理工程变更渗滤液排放方式的批复》（德环发（2016）239号），同意将芒市城市生活垃圾渗滤液处理工程渗滤液处理达（生活垃圾填埋场污染控制标准》（GB16889-2008）表2规定的水污染物排放浓度限值后排放至芒市河的排放方式，调整为渗滤液处理达到《生活垃圾填埋场污染控制标准》（GB16889-2008）表2规定的水污染物排放浓度限值后排入芒市污水处理厂。</w:t>
            </w:r>
          </w:p>
          <w:p w14:paraId="1C3BA143">
            <w:pPr>
              <w:pStyle w:val="11"/>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目前，</w:t>
            </w:r>
            <w:r>
              <w:rPr>
                <w:rFonts w:hint="default" w:ascii="Times New Roman" w:hAnsi="Times New Roman" w:cs="Times New Roman"/>
                <w:bCs/>
                <w:color w:val="FF0000"/>
                <w:sz w:val="24"/>
                <w:lang w:val="en-US" w:eastAsia="zh-CN"/>
              </w:rPr>
              <w:t>芒市生活垃圾渗滤液处理站因原有设备老化处理量降低，</w:t>
            </w:r>
            <w:r>
              <w:rPr>
                <w:rFonts w:hint="default" w:ascii="Times New Roman" w:hAnsi="Times New Roman" w:eastAsia="宋体" w:cs="Times New Roman"/>
                <w:color w:val="FF0000"/>
                <w:sz w:val="24"/>
                <w:lang w:val="en-US" w:eastAsia="zh-CN"/>
              </w:rPr>
              <w:t>填埋场渗滤液处理系统处理效果不稳定，</w:t>
            </w:r>
            <w:r>
              <w:rPr>
                <w:rFonts w:hint="default" w:ascii="Times New Roman" w:hAnsi="Times New Roman" w:cs="Times New Roman"/>
                <w:bCs/>
                <w:color w:val="FF0000"/>
                <w:sz w:val="24"/>
                <w:lang w:val="en-US" w:eastAsia="zh-CN"/>
              </w:rPr>
              <w:t>为了确保渗滤液处理站</w:t>
            </w:r>
            <w:r>
              <w:rPr>
                <w:rFonts w:hint="eastAsia" w:ascii="Times New Roman" w:hAnsi="Times New Roman" w:cs="Times New Roman"/>
                <w:bCs/>
                <w:color w:val="FF0000"/>
                <w:sz w:val="24"/>
                <w:lang w:val="en-US" w:eastAsia="zh-CN"/>
              </w:rPr>
              <w:t>能够</w:t>
            </w:r>
            <w:r>
              <w:rPr>
                <w:rFonts w:hint="default" w:ascii="Times New Roman" w:hAnsi="Times New Roman" w:cs="Times New Roman"/>
                <w:bCs/>
                <w:color w:val="FF0000"/>
                <w:sz w:val="24"/>
                <w:lang w:val="en-US" w:eastAsia="zh-CN"/>
              </w:rPr>
              <w:t>正常运行，</w:t>
            </w:r>
            <w:r>
              <w:rPr>
                <w:rFonts w:hint="eastAsia" w:ascii="Times New Roman" w:hAnsi="Times New Roman" w:cs="Times New Roman"/>
                <w:bCs/>
                <w:color w:val="FF0000"/>
                <w:sz w:val="24"/>
                <w:lang w:val="en-US" w:eastAsia="zh-CN"/>
              </w:rPr>
              <w:t>不</w:t>
            </w:r>
            <w:r>
              <w:rPr>
                <w:rFonts w:hint="default" w:ascii="Times New Roman" w:hAnsi="Times New Roman" w:eastAsia="宋体" w:cs="Times New Roman"/>
                <w:color w:val="FF0000"/>
                <w:sz w:val="24"/>
                <w:lang w:val="en-US" w:eastAsia="zh-CN"/>
              </w:rPr>
              <w:t>造成环保风险。</w:t>
            </w:r>
            <w:r>
              <w:rPr>
                <w:rFonts w:hint="default" w:ascii="Times New Roman" w:hAnsi="Times New Roman" w:eastAsia="宋体" w:cs="Times New Roman"/>
                <w:color w:val="000000" w:themeColor="text1"/>
                <w:sz w:val="24"/>
                <w:lang w:val="en-US" w:eastAsia="zh-CN"/>
                <w14:textFill>
                  <w14:solidFill>
                    <w14:schemeClr w14:val="tx1"/>
                  </w14:solidFill>
                </w14:textFill>
              </w:rPr>
              <w:t>因此，芒市环境卫生管理站（以下简称“建设单位”），</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拟投资210万</w:t>
            </w:r>
            <w:r>
              <w:rPr>
                <w:rFonts w:hint="default" w:ascii="Times New Roman" w:hAnsi="Times New Roman" w:eastAsia="宋体" w:cs="Times New Roman"/>
                <w:color w:val="000000" w:themeColor="text1"/>
                <w:sz w:val="24"/>
                <w:lang w:val="en-US" w:eastAsia="zh-CN"/>
                <w14:textFill>
                  <w14:solidFill>
                    <w14:schemeClr w14:val="tx1"/>
                  </w14:solidFill>
                </w14:textFill>
              </w:rPr>
              <w:t>元，</w:t>
            </w:r>
            <w:r>
              <w:rPr>
                <w:rFonts w:hint="eastAsia" w:ascii="Times New Roman" w:hAnsi="Times New Roman" w:eastAsia="宋体" w:cs="Times New Roman"/>
                <w:color w:val="000000" w:themeColor="text1"/>
                <w:sz w:val="24"/>
                <w:lang w:val="en-US" w:eastAsia="zh-CN"/>
                <w14:textFill>
                  <w14:solidFill>
                    <w14:schemeClr w14:val="tx1"/>
                  </w14:solidFill>
                </w14:textFill>
              </w:rPr>
              <w:t>在</w:t>
            </w:r>
            <w:r>
              <w:rPr>
                <w:rFonts w:hint="default" w:ascii="Times New Roman" w:hAnsi="Times New Roman" w:eastAsia="宋体" w:cs="Times New Roman"/>
                <w:color w:val="000000" w:themeColor="text1"/>
                <w:sz w:val="24"/>
                <w:lang w:val="en-US" w:eastAsia="zh-CN"/>
                <w14:textFill>
                  <w14:solidFill>
                    <w14:schemeClr w14:val="tx1"/>
                  </w14:solidFill>
                </w14:textFill>
              </w:rPr>
              <w:t>现有渗滤液处理</w:t>
            </w:r>
            <w:r>
              <w:rPr>
                <w:rFonts w:hint="eastAsia" w:ascii="Times New Roman" w:hAnsi="Times New Roman" w:eastAsia="宋体" w:cs="Times New Roman"/>
                <w:color w:val="000000" w:themeColor="text1"/>
                <w:sz w:val="24"/>
                <w:lang w:val="en-US" w:eastAsia="zh-CN"/>
                <w14:textFill>
                  <w14:solidFill>
                    <w14:schemeClr w14:val="tx1"/>
                  </w14:solidFill>
                </w14:textFill>
              </w:rPr>
              <w:t>设备上的基础上，再增加一套同等处理能力的设备，</w:t>
            </w:r>
            <w:r>
              <w:rPr>
                <w:rFonts w:hint="default" w:ascii="Times New Roman" w:hAnsi="Times New Roman" w:eastAsia="宋体" w:cs="Times New Roman"/>
                <w:color w:val="000000" w:themeColor="text1"/>
                <w:sz w:val="24"/>
                <w:lang w:val="en-US" w:eastAsia="zh-CN"/>
                <w14:textFill>
                  <w14:solidFill>
                    <w14:schemeClr w14:val="tx1"/>
                  </w14:solidFill>
                </w14:textFill>
              </w:rPr>
              <w:t>提升</w:t>
            </w:r>
            <w:r>
              <w:rPr>
                <w:rFonts w:hint="eastAsia" w:ascii="Times New Roman" w:hAnsi="Times New Roman" w:eastAsia="宋体" w:cs="Times New Roman"/>
                <w:color w:val="000000" w:themeColor="text1"/>
                <w:sz w:val="24"/>
                <w:lang w:val="en-US" w:eastAsia="zh-CN"/>
                <w14:textFill>
                  <w14:solidFill>
                    <w14:schemeClr w14:val="tx1"/>
                  </w14:solidFill>
                </w14:textFill>
              </w:rPr>
              <w:t>老化的</w:t>
            </w:r>
            <w:r>
              <w:rPr>
                <w:rFonts w:hint="default" w:ascii="Times New Roman" w:hAnsi="Times New Roman" w:eastAsia="宋体" w:cs="Times New Roman"/>
                <w:color w:val="000000" w:themeColor="text1"/>
                <w:sz w:val="24"/>
                <w:lang w:val="en-US" w:eastAsia="zh-CN"/>
                <w14:textFill>
                  <w14:solidFill>
                    <w14:schemeClr w14:val="tx1"/>
                  </w14:solidFill>
                </w14:textFill>
              </w:rPr>
              <w:t>渗滤液处理站能力</w:t>
            </w:r>
            <w:r>
              <w:rPr>
                <w:rFonts w:hint="eastAsia" w:ascii="Times New Roman" w:hAnsi="Times New Roman" w:eastAsia="宋体" w:cs="Times New Roman"/>
                <w:color w:val="000000" w:themeColor="text1"/>
                <w:sz w:val="24"/>
                <w:lang w:val="en-US" w:eastAsia="zh-CN"/>
                <w14:textFill>
                  <w14:solidFill>
                    <w14:schemeClr w14:val="tx1"/>
                  </w14:solidFill>
                </w14:textFill>
              </w:rPr>
              <w:t>，确保渗滤液能够达标处理排放</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新增</w:t>
            </w:r>
            <w:r>
              <w:rPr>
                <w:rFonts w:hint="default" w:ascii="Times New Roman" w:hAnsi="Times New Roman" w:eastAsia="宋体" w:cs="Times New Roman"/>
                <w:color w:val="000000" w:themeColor="text1"/>
                <w:sz w:val="24"/>
                <w:lang w:val="en-US" w:eastAsia="zh-CN"/>
                <w14:textFill>
                  <w14:solidFill>
                    <w14:schemeClr w14:val="tx1"/>
                  </w14:solidFill>
                </w14:textFill>
              </w:rPr>
              <w:t>工程主要内容为：增加一套提升改造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设备，设计</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处理能力为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150</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m³/d</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，处理工艺反渗透处理工艺又称STRO ，处理流程：（</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预处理+短程强化生化+一级RO+二级RO+去氨氮保障系统</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）；出水水质达到《生活垃圾填埋场污染物控制标准》（GB16889-2008）要求的污染物排放限值和减少对周边环境的影响。</w:t>
            </w:r>
          </w:p>
          <w:p w14:paraId="3EB02D3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根据《中华人民共和国环境保护法》（2015年）、《中华人民共和国环境影响评价法》（2018年12月29日修订）、</w:t>
            </w:r>
            <w:r>
              <w:rPr>
                <w:rFonts w:hint="default" w:ascii="Times New Roman" w:hAnsi="Times New Roman" w:eastAsia="宋体" w:cs="Times New Roman"/>
                <w:color w:val="000000" w:themeColor="text1"/>
                <w:sz w:val="24"/>
                <w:lang w:val="en-US"/>
                <w14:textFill>
                  <w14:solidFill>
                    <w14:schemeClr w14:val="tx1"/>
                  </w14:solidFill>
                </w14:textFill>
              </w:rPr>
              <w:t>《建设项目环境保护管理条例》（2017年10月）和《建设项目环境影响评价分类管理名录》（2021年版），本项目属于管理名录中</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四十三、水的生产和供应业，95</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污水处理及其再生利用—新建、扩建日处理10万吨以下500吨及以上城乡污水处理的</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新建、扩建其他工业废水处理的（不含建设单位自建自用仅处理生活污水的</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不含出水间接排入地表水体且不排放重金属的）</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14:textFill>
                  <w14:solidFill>
                    <w14:schemeClr w14:val="tx1"/>
                  </w14:solidFill>
                </w14:textFill>
              </w:rPr>
              <w:t>类别，因此项目需编制环境影响报告表，并报生态环境主管部门审批</w:t>
            </w:r>
            <w:r>
              <w:rPr>
                <w:rFonts w:hint="default" w:ascii="Times New Roman" w:hAnsi="Times New Roman" w:eastAsia="宋体" w:cs="Times New Roman"/>
                <w:color w:val="000000" w:themeColor="text1"/>
                <w:sz w:val="24"/>
                <w14:textFill>
                  <w14:solidFill>
                    <w14:schemeClr w14:val="tx1"/>
                  </w14:solidFill>
                </w14:textFill>
              </w:rPr>
              <w:t>。</w:t>
            </w:r>
          </w:p>
          <w:p w14:paraId="44116B0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因此，</w:t>
            </w:r>
            <w:r>
              <w:rPr>
                <w:rFonts w:hint="default" w:ascii="Times New Roman" w:hAnsi="Times New Roman" w:eastAsia="宋体" w:cs="Times New Roman"/>
                <w:color w:val="000000" w:themeColor="text1"/>
                <w:sz w:val="24"/>
                <w:lang w:val="en-US" w:eastAsia="zh-CN"/>
                <w14:textFill>
                  <w14:solidFill>
                    <w14:schemeClr w14:val="tx1"/>
                  </w14:solidFill>
                </w14:textFill>
              </w:rPr>
              <w:t>芒市环境卫生管理站</w:t>
            </w:r>
            <w:r>
              <w:rPr>
                <w:rFonts w:hint="default" w:ascii="Times New Roman" w:hAnsi="Times New Roman" w:eastAsia="宋体" w:cs="Times New Roman"/>
                <w:color w:val="000000" w:themeColor="text1"/>
                <w:sz w:val="24"/>
                <w14:textFill>
                  <w14:solidFill>
                    <w14:schemeClr w14:val="tx1"/>
                  </w14:solidFill>
                </w14:textFill>
              </w:rPr>
              <w:t>委托我公司承担该项目的环境影响评价工作。我公司在接受委托后，即对项目开展了详细现场踏勘和资料收集工作。按照有关规定和有关技术文件的原则、方法、内容和要求，在对项目工程所在地环境质量现状调查、工程影响分析、工程环保措施论证的基础上，编制完成了《</w:t>
            </w:r>
            <w:r>
              <w:rPr>
                <w:rFonts w:hint="default" w:ascii="Times New Roman" w:hAnsi="Times New Roman" w:cs="Times New Roman"/>
                <w:color w:val="000000" w:themeColor="text1"/>
                <w:sz w:val="24"/>
                <w:lang w:val="en-US" w:eastAsia="zh-CN"/>
                <w14:textFill>
                  <w14:solidFill>
                    <w14:schemeClr w14:val="tx1"/>
                  </w14:solidFill>
                </w14:textFill>
              </w:rPr>
              <w:t>芒市生活垃圾渗滤液处理站能力提升建设项目</w:t>
            </w:r>
            <w:r>
              <w:rPr>
                <w:rFonts w:hint="default" w:ascii="Times New Roman" w:hAnsi="Times New Roman" w:eastAsia="宋体" w:cs="Times New Roman"/>
                <w:color w:val="000000" w:themeColor="text1"/>
                <w:sz w:val="24"/>
                <w14:textFill>
                  <w14:solidFill>
                    <w14:schemeClr w14:val="tx1"/>
                  </w14:solidFill>
                </w14:textFill>
              </w:rPr>
              <w:t>环境影响报告表》，以供建设单位上报生态环境部门审批。</w:t>
            </w:r>
          </w:p>
          <w:p w14:paraId="0343E36C">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2、工程概况</w:t>
            </w:r>
          </w:p>
          <w:p w14:paraId="3218DA1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项目名称：</w:t>
            </w:r>
            <w:r>
              <w:rPr>
                <w:rFonts w:hint="default" w:ascii="Times New Roman" w:hAnsi="Times New Roman" w:cs="Times New Roman"/>
                <w:color w:val="000000" w:themeColor="text1"/>
                <w:sz w:val="24"/>
                <w:lang w:val="en-US" w:eastAsia="zh-CN"/>
                <w14:textFill>
                  <w14:solidFill>
                    <w14:schemeClr w14:val="tx1"/>
                  </w14:solidFill>
                </w14:textFill>
              </w:rPr>
              <w:t>芒市生活垃圾渗滤液处理站能力提升建设项目</w:t>
            </w:r>
            <w:r>
              <w:rPr>
                <w:rFonts w:hint="default" w:ascii="Times New Roman" w:hAnsi="Times New Roman" w:eastAsia="宋体" w:cs="Times New Roman"/>
                <w:color w:val="000000" w:themeColor="text1"/>
                <w:sz w:val="24"/>
                <w14:textFill>
                  <w14:solidFill>
                    <w14:schemeClr w14:val="tx1"/>
                  </w14:solidFill>
                </w14:textFill>
              </w:rPr>
              <w:t>；</w:t>
            </w:r>
          </w:p>
          <w:p w14:paraId="18E512C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建设单位：</w:t>
            </w:r>
            <w:r>
              <w:rPr>
                <w:rFonts w:hint="default" w:ascii="Times New Roman" w:hAnsi="Times New Roman" w:eastAsia="宋体" w:cs="Times New Roman"/>
                <w:color w:val="000000" w:themeColor="text1"/>
                <w:sz w:val="24"/>
                <w:lang w:val="en-US" w:eastAsia="zh-CN"/>
                <w14:textFill>
                  <w14:solidFill>
                    <w14:schemeClr w14:val="tx1"/>
                  </w14:solidFill>
                </w14:textFill>
              </w:rPr>
              <w:t>芒市环境卫生管理站</w:t>
            </w:r>
            <w:r>
              <w:rPr>
                <w:rFonts w:hint="default" w:ascii="Times New Roman" w:hAnsi="Times New Roman" w:eastAsia="宋体" w:cs="Times New Roman"/>
                <w:color w:val="000000" w:themeColor="text1"/>
                <w:sz w:val="24"/>
                <w14:textFill>
                  <w14:solidFill>
                    <w14:schemeClr w14:val="tx1"/>
                  </w14:solidFill>
                </w14:textFill>
              </w:rPr>
              <w:t>；</w:t>
            </w:r>
          </w:p>
          <w:p w14:paraId="7EA1897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r>
              <w:rPr>
                <w:rFonts w:hint="default" w:ascii="Times New Roman" w:hAnsi="Times New Roman" w:eastAsia="宋体" w:cs="Times New Roman"/>
                <w:color w:val="000000" w:themeColor="text1"/>
                <w:sz w:val="24"/>
                <w:lang w:val="en-US" w:eastAsia="zh-CN"/>
                <w14:textFill>
                  <w14:solidFill>
                    <w14:schemeClr w14:val="tx1"/>
                  </w14:solidFill>
                </w14:textFill>
              </w:rPr>
              <w:t>云南省德宏傣族景颇族自治州芒市芒市镇街坡村后山（中心经纬度东经：98°36′46.972″，北纬：24°28′12.662″N）</w:t>
            </w:r>
            <w:r>
              <w:rPr>
                <w:rFonts w:hint="default" w:ascii="Times New Roman" w:hAnsi="Times New Roman" w:eastAsia="宋体" w:cs="Times New Roman"/>
                <w:color w:val="000000" w:themeColor="text1"/>
                <w:sz w:val="24"/>
                <w14:textFill>
                  <w14:solidFill>
                    <w14:schemeClr w14:val="tx1"/>
                  </w14:solidFill>
                </w14:textFill>
              </w:rPr>
              <w:t>；</w:t>
            </w:r>
          </w:p>
          <w:p w14:paraId="3F4C242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建设性质</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新建</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14:paraId="4E25836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规模：</w:t>
            </w:r>
            <w:r>
              <w:rPr>
                <w:rFonts w:hint="eastAsia" w:ascii="Times New Roman" w:hAnsi="Times New Roman" w:eastAsia="宋体" w:cs="Times New Roman"/>
                <w:color w:val="000000" w:themeColor="text1"/>
                <w:sz w:val="24"/>
                <w:lang w:val="en-US" w:eastAsia="zh-CN"/>
                <w14:textFill>
                  <w14:solidFill>
                    <w14:schemeClr w14:val="tx1"/>
                  </w14:solidFill>
                </w14:textFill>
              </w:rPr>
              <w:t>日处理量为</w:t>
            </w:r>
            <w:r>
              <w:rPr>
                <w:rFonts w:hint="default" w:ascii="Times New Roman" w:hAnsi="Times New Roman" w:eastAsia="宋体" w:cs="Times New Roman"/>
                <w:color w:val="000000" w:themeColor="text1"/>
                <w:sz w:val="24"/>
                <w14:textFill>
                  <w14:solidFill>
                    <w14:schemeClr w14:val="tx1"/>
                  </w14:solidFill>
                </w14:textFill>
              </w:rPr>
              <w:t>150m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w:t>
            </w:r>
          </w:p>
          <w:p w14:paraId="3B29D3B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占地面积：</w:t>
            </w:r>
            <w:r>
              <w:rPr>
                <w:rFonts w:hint="eastAsia" w:ascii="Times New Roman" w:hAnsi="Times New Roman" w:eastAsia="宋体" w:cs="Times New Roman"/>
                <w:color w:val="000000" w:themeColor="text1"/>
                <w:sz w:val="24"/>
                <w:lang w:val="en-US" w:eastAsia="zh-CN"/>
                <w14:textFill>
                  <w14:solidFill>
                    <w14:schemeClr w14:val="tx1"/>
                  </w14:solidFill>
                </w14:textFill>
              </w:rPr>
              <w:t>150</w:t>
            </w:r>
            <w:r>
              <w:rPr>
                <w:rFonts w:hint="default" w:ascii="Times New Roman" w:hAnsi="Times New Roman" w:eastAsia="宋体"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p>
          <w:p w14:paraId="2BEEF15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总投资</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210</w:t>
            </w:r>
            <w:r>
              <w:rPr>
                <w:rFonts w:hint="default" w:ascii="Times New Roman" w:hAnsi="Times New Roman" w:eastAsia="宋体" w:cs="Times New Roman"/>
                <w:color w:val="000000" w:themeColor="text1"/>
                <w:sz w:val="24"/>
                <w14:textFill>
                  <w14:solidFill>
                    <w14:schemeClr w14:val="tx1"/>
                  </w14:solidFill>
                </w14:textFill>
              </w:rPr>
              <w:t>万元。</w:t>
            </w:r>
          </w:p>
          <w:p w14:paraId="2BFCFEB1">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3、工程内容及规模</w:t>
            </w:r>
          </w:p>
          <w:p w14:paraId="6EEB83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在原项目用地范围内现新增一套渗滤液处理设备，不新增用地，增加构筑物，日处理量为150m³/d的渗滤液处理设备</w:t>
            </w:r>
            <w:r>
              <w:rPr>
                <w:rFonts w:hint="default" w:ascii="Times New Roman" w:hAnsi="Times New Roman" w:eastAsia="宋体" w:cs="Times New Roman"/>
                <w:color w:val="000000" w:themeColor="text1"/>
                <w:sz w:val="24"/>
                <w:lang w:val="en-US" w:eastAsia="zh-CN"/>
                <w14:textFill>
                  <w14:solidFill>
                    <w14:schemeClr w14:val="tx1"/>
                  </w14:solidFill>
                </w14:textFill>
              </w:rPr>
              <w:t>处理工艺反渗透处理工艺又称 STRO ，处理流程：（“预处理+短程强化生化+NF+RO+去氨氮保障系统”）</w:t>
            </w:r>
            <w:r>
              <w:rPr>
                <w:rFonts w:hint="eastAsia" w:ascii="Times New Roman" w:hAnsi="Times New Roman" w:eastAsia="宋体" w:cs="Times New Roman"/>
                <w:color w:val="000000" w:themeColor="text1"/>
                <w:sz w:val="24"/>
                <w:lang w:val="en-US" w:eastAsia="zh-CN"/>
                <w14:textFill>
                  <w14:solidFill>
                    <w14:schemeClr w14:val="tx1"/>
                  </w14:solidFill>
                </w14:textFill>
              </w:rPr>
              <w:t>；等同原项目处理能力的设备，原有设备处理能力不及时，再启动新设备进行处理。</w:t>
            </w:r>
            <w:r>
              <w:rPr>
                <w:rFonts w:hint="default" w:ascii="Times New Roman" w:hAnsi="Times New Roman" w:eastAsia="宋体" w:cs="Times New Roman"/>
                <w:color w:val="000000" w:themeColor="text1"/>
                <w:sz w:val="24"/>
                <w14:textFill>
                  <w14:solidFill>
                    <w14:schemeClr w14:val="tx1"/>
                  </w14:solidFill>
                </w14:textFill>
              </w:rPr>
              <w:t>项目工程组成一览表见表2-1。</w:t>
            </w:r>
          </w:p>
          <w:p w14:paraId="79DDD194">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表2-1  项目建设内容一览表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571"/>
              <w:gridCol w:w="4362"/>
              <w:gridCol w:w="1150"/>
            </w:tblGrid>
            <w:tr w14:paraId="6BBC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2" w:type="pct"/>
                  <w:noWrap w:val="0"/>
                  <w:vAlign w:val="center"/>
                </w:tcPr>
                <w:p w14:paraId="571281BF">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工程类别</w:t>
                  </w:r>
                </w:p>
              </w:tc>
              <w:tc>
                <w:tcPr>
                  <w:tcW w:w="1004" w:type="pct"/>
                  <w:noWrap w:val="0"/>
                  <w:vAlign w:val="center"/>
                </w:tcPr>
                <w:p w14:paraId="43B22386">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名称</w:t>
                  </w:r>
                </w:p>
              </w:tc>
              <w:tc>
                <w:tcPr>
                  <w:tcW w:w="2787" w:type="pct"/>
                  <w:noWrap w:val="0"/>
                  <w:vAlign w:val="center"/>
                </w:tcPr>
                <w:p w14:paraId="35E89B75">
                  <w:pPr>
                    <w:pStyle w:val="71"/>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建设内容及规模</w:t>
                  </w:r>
                </w:p>
              </w:tc>
              <w:tc>
                <w:tcPr>
                  <w:tcW w:w="735" w:type="pct"/>
                  <w:noWrap w:val="0"/>
                  <w:vAlign w:val="center"/>
                </w:tcPr>
                <w:p w14:paraId="7756725A">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备注</w:t>
                  </w:r>
                </w:p>
              </w:tc>
            </w:tr>
            <w:tr w14:paraId="40DE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472" w:type="pct"/>
                  <w:noWrap w:val="0"/>
                  <w:vAlign w:val="center"/>
                </w:tcPr>
                <w:p w14:paraId="5B122D8C">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主体工程</w:t>
                  </w:r>
                </w:p>
              </w:tc>
              <w:tc>
                <w:tcPr>
                  <w:tcW w:w="1004" w:type="pct"/>
                  <w:noWrap w:val="0"/>
                  <w:vAlign w:val="center"/>
                </w:tcPr>
                <w:p w14:paraId="6EC95B9D">
                  <w:pPr>
                    <w:pStyle w:val="71"/>
                    <w:bidi w:val="0"/>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渗滤液</w:t>
                  </w:r>
                  <w:r>
                    <w:rPr>
                      <w:rFonts w:hint="eastAsia" w:ascii="Times New Roman" w:hAnsi="Times New Roman" w:cs="Times New Roman"/>
                      <w:color w:val="000000" w:themeColor="text1"/>
                      <w:highlight w:val="none"/>
                      <w:lang w:val="en-US" w:eastAsia="zh-CN"/>
                      <w14:textFill>
                        <w14:solidFill>
                          <w14:schemeClr w14:val="tx1"/>
                        </w14:solidFill>
                      </w14:textFill>
                    </w:rPr>
                    <w:t>处理设备</w:t>
                  </w:r>
                </w:p>
              </w:tc>
              <w:tc>
                <w:tcPr>
                  <w:tcW w:w="2787" w:type="pct"/>
                  <w:noWrap w:val="0"/>
                  <w:vAlign w:val="center"/>
                </w:tcPr>
                <w:p w14:paraId="23853CE4">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增加一套提升改造设备，处理流程：（“预处理+短程强化生化+NF+RO+去氨氮保障系统”），渗滤液处理规模150m³/d</w:t>
                  </w:r>
                </w:p>
              </w:tc>
              <w:tc>
                <w:tcPr>
                  <w:tcW w:w="735" w:type="pct"/>
                  <w:noWrap w:val="0"/>
                  <w:vAlign w:val="center"/>
                </w:tcPr>
                <w:p w14:paraId="1533C3FE">
                  <w:pPr>
                    <w:pStyle w:val="71"/>
                    <w:bidi w:val="0"/>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新建</w:t>
                  </w:r>
                </w:p>
              </w:tc>
            </w:tr>
            <w:tr w14:paraId="211E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72" w:type="pct"/>
                  <w:vMerge w:val="restart"/>
                  <w:noWrap w:val="0"/>
                  <w:vAlign w:val="center"/>
                </w:tcPr>
                <w:p w14:paraId="1ADF1F7A">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辅助工程</w:t>
                  </w:r>
                </w:p>
              </w:tc>
              <w:tc>
                <w:tcPr>
                  <w:tcW w:w="1004" w:type="pct"/>
                  <w:noWrap w:val="0"/>
                  <w:vAlign w:val="center"/>
                </w:tcPr>
                <w:p w14:paraId="45A04445">
                  <w:pPr>
                    <w:pStyle w:val="71"/>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生产用房</w:t>
                  </w:r>
                </w:p>
              </w:tc>
              <w:tc>
                <w:tcPr>
                  <w:tcW w:w="2787" w:type="pct"/>
                  <w:noWrap w:val="0"/>
                  <w:vAlign w:val="center"/>
                </w:tcPr>
                <w:p w14:paraId="69A90E3D">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1栋，2F，钢混结构，总建筑面积460m²。</w:t>
                  </w:r>
                </w:p>
                <w:p w14:paraId="542F0923">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1F设工具间、设备房、药剂间、值班室、在线监测室、卫生间等。</w:t>
                  </w:r>
                </w:p>
              </w:tc>
              <w:tc>
                <w:tcPr>
                  <w:tcW w:w="735" w:type="pct"/>
                  <w:noWrap w:val="0"/>
                  <w:vAlign w:val="center"/>
                </w:tcPr>
                <w:p w14:paraId="61F9F822">
                  <w:pPr>
                    <w:pStyle w:val="71"/>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依托</w:t>
                  </w:r>
                </w:p>
              </w:tc>
            </w:tr>
            <w:tr w14:paraId="4690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72" w:type="pct"/>
                  <w:vMerge w:val="continue"/>
                  <w:noWrap w:val="0"/>
                  <w:vAlign w:val="center"/>
                </w:tcPr>
                <w:p w14:paraId="23CD49A2">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02957CAE">
                  <w:pPr>
                    <w:pStyle w:val="71"/>
                    <w:bidi w:val="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出水计量渠</w:t>
                  </w:r>
                </w:p>
              </w:tc>
              <w:tc>
                <w:tcPr>
                  <w:tcW w:w="2787" w:type="pct"/>
                  <w:noWrap w:val="0"/>
                  <w:vAlign w:val="center"/>
                </w:tcPr>
                <w:p w14:paraId="14438569">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砖混结构，对出水水量、水质进行监测，设置巴氏计量槽、出水在线监测仪等设备</w:t>
                  </w:r>
                </w:p>
              </w:tc>
              <w:tc>
                <w:tcPr>
                  <w:tcW w:w="735" w:type="pct"/>
                  <w:noWrap w:val="0"/>
                  <w:vAlign w:val="center"/>
                </w:tcPr>
                <w:p w14:paraId="5DB4F2E7">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依托</w:t>
                  </w:r>
                </w:p>
              </w:tc>
            </w:tr>
            <w:tr w14:paraId="18AEE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72" w:type="pct"/>
                  <w:vMerge w:val="continue"/>
                  <w:noWrap w:val="0"/>
                  <w:vAlign w:val="center"/>
                </w:tcPr>
                <w:p w14:paraId="4B086C65">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5810D4D3">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水质监测系统</w:t>
                  </w:r>
                </w:p>
              </w:tc>
              <w:tc>
                <w:tcPr>
                  <w:tcW w:w="2787" w:type="pct"/>
                  <w:noWrap w:val="0"/>
                  <w:vAlign w:val="center"/>
                </w:tcPr>
                <w:p w14:paraId="3F96DD5F">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设置进出水在线监测仪等设备</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14:textFill>
                        <w14:solidFill>
                          <w14:schemeClr w14:val="tx1"/>
                        </w14:solidFill>
                      </w14:textFill>
                    </w:rPr>
                    <w:t>出水监测因子PH、COD、氨氮、总氮、总磷</w:t>
                  </w:r>
                </w:p>
              </w:tc>
              <w:tc>
                <w:tcPr>
                  <w:tcW w:w="735" w:type="pct"/>
                  <w:noWrap w:val="0"/>
                  <w:vAlign w:val="center"/>
                </w:tcPr>
                <w:p w14:paraId="2FA610FD">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依托</w:t>
                  </w:r>
                </w:p>
              </w:tc>
            </w:tr>
            <w:tr w14:paraId="75EF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restart"/>
                  <w:noWrap w:val="0"/>
                  <w:vAlign w:val="center"/>
                </w:tcPr>
                <w:p w14:paraId="44E75794">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公用工程</w:t>
                  </w:r>
                </w:p>
              </w:tc>
              <w:tc>
                <w:tcPr>
                  <w:tcW w:w="1004" w:type="pct"/>
                  <w:noWrap w:val="0"/>
                  <w:vAlign w:val="center"/>
                </w:tcPr>
                <w:p w14:paraId="7FA1AD61">
                  <w:pPr>
                    <w:pStyle w:val="71"/>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供水</w:t>
                  </w:r>
                </w:p>
              </w:tc>
              <w:tc>
                <w:tcPr>
                  <w:tcW w:w="2787" w:type="pct"/>
                  <w:noWrap w:val="0"/>
                  <w:vAlign w:val="center"/>
                </w:tcPr>
                <w:p w14:paraId="3F261A39">
                  <w:pPr>
                    <w:pStyle w:val="71"/>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自来水</w:t>
                  </w:r>
                </w:p>
              </w:tc>
              <w:tc>
                <w:tcPr>
                  <w:tcW w:w="735" w:type="pct"/>
                  <w:vMerge w:val="restart"/>
                  <w:noWrap w:val="0"/>
                  <w:vAlign w:val="center"/>
                </w:tcPr>
                <w:p w14:paraId="179FCC60">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依托</w:t>
                  </w:r>
                </w:p>
              </w:tc>
            </w:tr>
            <w:tr w14:paraId="00F4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7070F16A">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10F9961F">
                  <w:pPr>
                    <w:pStyle w:val="71"/>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供电</w:t>
                  </w:r>
                </w:p>
              </w:tc>
              <w:tc>
                <w:tcPr>
                  <w:tcW w:w="2787" w:type="pct"/>
                  <w:noWrap w:val="0"/>
                  <w:vAlign w:val="center"/>
                </w:tcPr>
                <w:p w14:paraId="1880E4DE">
                  <w:pPr>
                    <w:pStyle w:val="71"/>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由市政电网提供</w:t>
                  </w:r>
                </w:p>
              </w:tc>
              <w:tc>
                <w:tcPr>
                  <w:tcW w:w="735" w:type="pct"/>
                  <w:vMerge w:val="continue"/>
                  <w:noWrap w:val="0"/>
                  <w:vAlign w:val="center"/>
                </w:tcPr>
                <w:p w14:paraId="45FCB3D3">
                  <w:pPr>
                    <w:pStyle w:val="71"/>
                    <w:bidi w:val="0"/>
                    <w:rPr>
                      <w:rFonts w:hint="default" w:ascii="Times New Roman" w:hAnsi="Times New Roman" w:cs="Times New Roman"/>
                      <w:color w:val="000000" w:themeColor="text1"/>
                      <w:highlight w:val="none"/>
                      <w:lang w:val="en-US"/>
                      <w14:textFill>
                        <w14:solidFill>
                          <w14:schemeClr w14:val="tx1"/>
                        </w14:solidFill>
                      </w14:textFill>
                    </w:rPr>
                  </w:pPr>
                </w:p>
              </w:tc>
            </w:tr>
            <w:tr w14:paraId="7D1E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1BB07C80">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430E8BBC">
                  <w:pPr>
                    <w:pStyle w:val="71"/>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排水</w:t>
                  </w:r>
                </w:p>
              </w:tc>
              <w:tc>
                <w:tcPr>
                  <w:tcW w:w="2787" w:type="pct"/>
                  <w:noWrap w:val="0"/>
                  <w:vAlign w:val="center"/>
                </w:tcPr>
                <w:p w14:paraId="0541BAB4">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采用雨污分流体制，</w:t>
                  </w:r>
                  <w:r>
                    <w:rPr>
                      <w:rFonts w:hint="eastAsia" w:ascii="Times New Roman" w:hAnsi="Times New Roman" w:cs="Times New Roman"/>
                      <w:color w:val="000000" w:themeColor="text1"/>
                      <w:highlight w:val="none"/>
                      <w:lang w:val="en-US" w:eastAsia="zh-CN"/>
                      <w14:textFill>
                        <w14:solidFill>
                          <w14:schemeClr w14:val="tx1"/>
                        </w14:solidFill>
                      </w14:textFill>
                    </w:rPr>
                    <w:t>办公废水</w:t>
                  </w:r>
                  <w:r>
                    <w:rPr>
                      <w:rFonts w:hint="default" w:ascii="Times New Roman" w:hAnsi="Times New Roman" w:cs="Times New Roman"/>
                      <w:color w:val="000000" w:themeColor="text1"/>
                      <w:highlight w:val="none"/>
                      <w:lang w:val="en-US"/>
                      <w14:textFill>
                        <w14:solidFill>
                          <w14:schemeClr w14:val="tx1"/>
                        </w14:solidFill>
                      </w14:textFill>
                    </w:rPr>
                    <w:t>、冲洗废水排放至渗滤液调节池内暂存，与渗滤液共同处理达标后排放</w:t>
                  </w:r>
                  <w:r>
                    <w:rPr>
                      <w:rFonts w:hint="default" w:ascii="Times New Roman" w:hAnsi="Times New Roman" w:cs="Times New Roman"/>
                      <w:color w:val="000000" w:themeColor="text1"/>
                      <w:highlight w:val="none"/>
                      <w:lang w:val="en-US" w:eastAsia="zh-CN"/>
                      <w14:textFill>
                        <w14:solidFill>
                          <w14:schemeClr w14:val="tx1"/>
                        </w14:solidFill>
                      </w14:textFill>
                    </w:rPr>
                    <w:t>至</w:t>
                  </w:r>
                  <w:r>
                    <w:rPr>
                      <w:rFonts w:hint="eastAsia" w:ascii="Times New Roman" w:hAnsi="Times New Roman" w:cs="Times New Roman"/>
                      <w:color w:val="000000" w:themeColor="text1"/>
                      <w:highlight w:val="none"/>
                      <w:lang w:val="en-US" w:eastAsia="zh-CN"/>
                      <w14:textFill>
                        <w14:solidFill>
                          <w14:schemeClr w14:val="tx1"/>
                        </w14:solidFill>
                      </w14:textFill>
                    </w:rPr>
                    <w:t>芒市污水管网，最后进入芒市污水处理厂</w:t>
                  </w:r>
                  <w:r>
                    <w:rPr>
                      <w:rFonts w:hint="default" w:ascii="Times New Roman" w:hAnsi="Times New Roman" w:cs="Times New Roman"/>
                      <w:color w:val="000000" w:themeColor="text1"/>
                      <w:highlight w:val="none"/>
                      <w:lang w:val="en-US" w:eastAsia="zh-CN"/>
                      <w14:textFill>
                        <w14:solidFill>
                          <w14:schemeClr w14:val="tx1"/>
                        </w14:solidFill>
                      </w14:textFill>
                    </w:rPr>
                    <w:t>；雨水经现有雨水管网收集后排入</w:t>
                  </w:r>
                  <w:r>
                    <w:rPr>
                      <w:rFonts w:hint="eastAsia" w:ascii="Times New Roman" w:hAnsi="Times New Roman" w:cs="Times New Roman"/>
                      <w:color w:val="000000" w:themeColor="text1"/>
                      <w:highlight w:val="none"/>
                      <w:lang w:val="en-US" w:eastAsia="zh-CN"/>
                      <w14:textFill>
                        <w14:solidFill>
                          <w14:schemeClr w14:val="tx1"/>
                        </w14:solidFill>
                      </w14:textFill>
                    </w:rPr>
                    <w:t>芒市市政雨水管网</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735" w:type="pct"/>
                  <w:vMerge w:val="continue"/>
                  <w:noWrap w:val="0"/>
                  <w:vAlign w:val="center"/>
                </w:tcPr>
                <w:p w14:paraId="48C52543">
                  <w:pPr>
                    <w:pStyle w:val="71"/>
                    <w:bidi w:val="0"/>
                    <w:rPr>
                      <w:rFonts w:hint="default" w:ascii="Times New Roman" w:hAnsi="Times New Roman" w:cs="Times New Roman"/>
                      <w:color w:val="000000" w:themeColor="text1"/>
                      <w:highlight w:val="none"/>
                      <w14:textFill>
                        <w14:solidFill>
                          <w14:schemeClr w14:val="tx1"/>
                        </w14:solidFill>
                      </w14:textFill>
                    </w:rPr>
                  </w:pPr>
                </w:p>
              </w:tc>
            </w:tr>
            <w:tr w14:paraId="5A4F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472" w:type="pct"/>
                  <w:vMerge w:val="restart"/>
                  <w:noWrap w:val="0"/>
                  <w:vAlign w:val="center"/>
                </w:tcPr>
                <w:p w14:paraId="6222CF2A">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环保工程</w:t>
                  </w:r>
                </w:p>
              </w:tc>
              <w:tc>
                <w:tcPr>
                  <w:tcW w:w="1004" w:type="pct"/>
                  <w:noWrap w:val="0"/>
                  <w:vAlign w:val="center"/>
                </w:tcPr>
                <w:p w14:paraId="72D070DC">
                  <w:pPr>
                    <w:pStyle w:val="71"/>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废水</w:t>
                  </w:r>
                </w:p>
              </w:tc>
              <w:tc>
                <w:tcPr>
                  <w:tcW w:w="2787" w:type="pct"/>
                  <w:noWrap w:val="0"/>
                  <w:vAlign w:val="center"/>
                </w:tcPr>
                <w:p w14:paraId="2CA90418">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原有项目</w:t>
                  </w:r>
                  <w:r>
                    <w:rPr>
                      <w:rFonts w:hint="default" w:ascii="Times New Roman" w:hAnsi="Times New Roman" w:cs="Times New Roman"/>
                      <w:color w:val="000000" w:themeColor="text1"/>
                      <w:highlight w:val="none"/>
                      <w:lang w:val="en-US" w:eastAsia="zh-CN"/>
                      <w14:textFill>
                        <w14:solidFill>
                          <w14:schemeClr w14:val="tx1"/>
                        </w14:solidFill>
                      </w14:textFill>
                    </w:rPr>
                    <w:t>渗滤液处理工艺采用</w:t>
                  </w:r>
                  <w:r>
                    <w:rPr>
                      <w:rFonts w:ascii="宋体" w:hAnsi="宋体" w:eastAsia="宋体" w:cs="宋体"/>
                      <w:sz w:val="24"/>
                      <w:szCs w:val="24"/>
                    </w:rPr>
                    <w:t>“预处理+短程强化生化+一级RO+二级RO+去氨氮保障系统”</w:t>
                  </w:r>
                  <w:r>
                    <w:rPr>
                      <w:rFonts w:hint="default" w:ascii="Times New Roman" w:hAnsi="Times New Roman" w:cs="Times New Roman"/>
                      <w:color w:val="000000" w:themeColor="text1"/>
                      <w:highlight w:val="none"/>
                      <w:lang w:val="en-US" w:eastAsia="zh-CN"/>
                      <w14:textFill>
                        <w14:solidFill>
                          <w14:schemeClr w14:val="tx1"/>
                        </w14:solidFill>
                      </w14:textFill>
                    </w:rPr>
                    <w:t>工艺，由预处理+生物处理+深度处理工序构成</w:t>
                  </w:r>
                  <w:r>
                    <w:rPr>
                      <w:rFonts w:hint="eastAsia" w:ascii="Times New Roman" w:hAnsi="Times New Roman" w:cs="Times New Roman"/>
                      <w:color w:val="000000" w:themeColor="text1"/>
                      <w:highlight w:val="none"/>
                      <w:lang w:val="en-US" w:eastAsia="zh-CN"/>
                      <w14:textFill>
                        <w14:solidFill>
                          <w14:schemeClr w14:val="tx1"/>
                        </w14:solidFill>
                      </w14:textFill>
                    </w:rPr>
                    <w:t>，日处理量为150m³/d</w:t>
                  </w:r>
                  <w:r>
                    <w:rPr>
                      <w:rFonts w:hint="default" w:ascii="Times New Roman" w:hAnsi="Times New Roman" w:cs="Times New Roman"/>
                      <w:color w:val="000000" w:themeColor="text1"/>
                      <w:highlight w:val="none"/>
                      <w:lang w:val="en-US" w:eastAsia="zh-CN"/>
                      <w14:textFill>
                        <w14:solidFill>
                          <w14:schemeClr w14:val="tx1"/>
                        </w14:solidFill>
                      </w14:textFill>
                    </w:rPr>
                    <w:t>。渗滤液处理达标后排放至</w:t>
                  </w:r>
                  <w:r>
                    <w:rPr>
                      <w:rFonts w:hint="eastAsia" w:ascii="Times New Roman" w:hAnsi="Times New Roman" w:cs="Times New Roman"/>
                      <w:color w:val="000000" w:themeColor="text1"/>
                      <w:highlight w:val="none"/>
                      <w:lang w:val="en-US" w:eastAsia="zh-CN"/>
                      <w14:textFill>
                        <w14:solidFill>
                          <w14:schemeClr w14:val="tx1"/>
                        </w14:solidFill>
                      </w14:textFill>
                    </w:rPr>
                    <w:t>芒市污水管网，最后进入芒市污水处理厂；</w:t>
                  </w:r>
                </w:p>
                <w:p w14:paraId="27E0C8D3">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现新增一套等同处理能力的设备，原有设备处理能力不及时，再启动新设备进行处理。</w:t>
                  </w:r>
                </w:p>
              </w:tc>
              <w:tc>
                <w:tcPr>
                  <w:tcW w:w="735" w:type="pct"/>
                  <w:noWrap w:val="0"/>
                  <w:vAlign w:val="center"/>
                </w:tcPr>
                <w:p w14:paraId="2A80CB3A">
                  <w:pPr>
                    <w:pStyle w:val="71"/>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 xml:space="preserve"> 依托、</w:t>
                  </w:r>
                </w:p>
                <w:p w14:paraId="2FD0479A">
                  <w:pPr>
                    <w:pStyle w:val="71"/>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新增</w:t>
                  </w:r>
                </w:p>
              </w:tc>
            </w:tr>
            <w:tr w14:paraId="76ED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45EF35D2">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11AA55B0">
                  <w:pPr>
                    <w:pStyle w:val="71"/>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废气</w:t>
                  </w:r>
                </w:p>
              </w:tc>
              <w:tc>
                <w:tcPr>
                  <w:tcW w:w="2787" w:type="pct"/>
                  <w:noWrap w:val="0"/>
                  <w:vAlign w:val="center"/>
                </w:tcPr>
                <w:p w14:paraId="3352C730">
                  <w:pPr>
                    <w:keepNext w:val="0"/>
                    <w:keepLines w:val="0"/>
                    <w:widowControl/>
                    <w:suppressLineNumbers w:val="0"/>
                    <w:jc w:val="left"/>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渗滤液收集池臭气呈无组织扩散，通过周边绿化进行吸附</w:t>
                  </w: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有效防止气味扩散、减少气味</w:t>
                  </w: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w:t>
                  </w:r>
                </w:p>
              </w:tc>
              <w:tc>
                <w:tcPr>
                  <w:tcW w:w="735" w:type="pct"/>
                  <w:noWrap w:val="0"/>
                  <w:vAlign w:val="center"/>
                </w:tcPr>
                <w:p w14:paraId="3488B644">
                  <w:pPr>
                    <w:pStyle w:val="71"/>
                    <w:bidi w:val="0"/>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依托</w:t>
                  </w:r>
                </w:p>
              </w:tc>
            </w:tr>
            <w:tr w14:paraId="72BF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30143769">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0FC77A81">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噪声</w:t>
                  </w:r>
                </w:p>
              </w:tc>
              <w:tc>
                <w:tcPr>
                  <w:tcW w:w="2787" w:type="pct"/>
                  <w:noWrap w:val="0"/>
                  <w:vAlign w:val="center"/>
                </w:tcPr>
                <w:p w14:paraId="7029B8AB">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污水提升泵、风机置于专用房间内，并底座设减震垫</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735" w:type="pct"/>
                  <w:noWrap w:val="0"/>
                  <w:vAlign w:val="center"/>
                </w:tcPr>
                <w:p w14:paraId="5B9073F1">
                  <w:pPr>
                    <w:pStyle w:val="71"/>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依托、</w:t>
                  </w:r>
                </w:p>
                <w:p w14:paraId="062D3AB1">
                  <w:pPr>
                    <w:pStyle w:val="71"/>
                    <w:bidi w:val="0"/>
                    <w:rPr>
                      <w:rFonts w:hint="default" w:ascii="Times New Roman" w:hAnsi="Times New Roman" w:cs="Times New Roman"/>
                      <w:color w:val="000000" w:themeColor="text1"/>
                      <w:highlight w:val="none"/>
                      <w:lang w:val="en-US"/>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新增</w:t>
                  </w:r>
                </w:p>
              </w:tc>
            </w:tr>
            <w:tr w14:paraId="63A7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vMerge w:val="continue"/>
                  <w:noWrap w:val="0"/>
                  <w:vAlign w:val="center"/>
                </w:tcPr>
                <w:p w14:paraId="23CD57B8">
                  <w:pPr>
                    <w:pStyle w:val="71"/>
                    <w:bidi w:val="0"/>
                    <w:rPr>
                      <w:rFonts w:hint="default" w:ascii="Times New Roman" w:hAnsi="Times New Roman" w:cs="Times New Roman"/>
                      <w:color w:val="000000" w:themeColor="text1"/>
                      <w:highlight w:val="none"/>
                      <w14:textFill>
                        <w14:solidFill>
                          <w14:schemeClr w14:val="tx1"/>
                        </w14:solidFill>
                      </w14:textFill>
                    </w:rPr>
                  </w:pPr>
                </w:p>
              </w:tc>
              <w:tc>
                <w:tcPr>
                  <w:tcW w:w="1004" w:type="pct"/>
                  <w:noWrap w:val="0"/>
                  <w:vAlign w:val="center"/>
                </w:tcPr>
                <w:p w14:paraId="0717E116">
                  <w:pPr>
                    <w:pStyle w:val="7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固废</w:t>
                  </w:r>
                </w:p>
              </w:tc>
              <w:tc>
                <w:tcPr>
                  <w:tcW w:w="2787" w:type="pct"/>
                  <w:noWrap w:val="0"/>
                  <w:vAlign w:val="center"/>
                </w:tcPr>
                <w:p w14:paraId="75A6E2E5">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生活垃圾集中收集，运至垃圾填埋场填埋处置；渗滤液处理过程产生的污泥含水率低于60%以后，运至垃圾填埋场填埋处置；</w:t>
                  </w:r>
                  <w:r>
                    <w:rPr>
                      <w:rFonts w:hint="default" w:ascii="Times New Roman" w:hAnsi="Times New Roman" w:cs="Times New Roman"/>
                      <w:color w:val="000000" w:themeColor="text1"/>
                      <w:highlight w:val="none"/>
                      <w:lang w:val="en-US"/>
                      <w14:textFill>
                        <w14:solidFill>
                          <w14:schemeClr w14:val="tx1"/>
                        </w14:solidFill>
                      </w14:textFill>
                    </w:rPr>
                    <w:t>废滤膜全部由厂家回收处置</w:t>
                  </w:r>
                  <w:r>
                    <w:rPr>
                      <w:rFonts w:hint="default" w:ascii="Times New Roman" w:hAnsi="Times New Roman" w:cs="Times New Roman"/>
                      <w:color w:val="000000" w:themeColor="text1"/>
                      <w:highlight w:val="none"/>
                      <w:lang w:val="en-US" w:eastAsia="zh-CN"/>
                      <w14:textFill>
                        <w14:solidFill>
                          <w14:schemeClr w14:val="tx1"/>
                        </w14:solidFill>
                      </w14:textFill>
                    </w:rPr>
                    <w:t>；危险化学品</w:t>
                  </w:r>
                  <w:r>
                    <w:rPr>
                      <w:rFonts w:hint="default" w:ascii="Times New Roman" w:hAnsi="Times New Roman" w:cs="Times New Roman"/>
                      <w:color w:val="000000" w:themeColor="text1"/>
                      <w:highlight w:val="none"/>
                      <w:lang w:val="en-US"/>
                      <w14:textFill>
                        <w14:solidFill>
                          <w14:schemeClr w14:val="tx1"/>
                        </w14:solidFill>
                      </w14:textFill>
                    </w:rPr>
                    <w:t>废旧包</w:t>
                  </w:r>
                  <w:r>
                    <w:rPr>
                      <w:rFonts w:hint="default" w:ascii="Times New Roman" w:hAnsi="Times New Roman" w:cs="Times New Roman"/>
                      <w:color w:val="000000" w:themeColor="text1"/>
                      <w:highlight w:val="none"/>
                      <w:lang w:val="en-US" w:eastAsia="zh-CN"/>
                      <w14:textFill>
                        <w14:solidFill>
                          <w14:schemeClr w14:val="tx1"/>
                        </w14:solidFill>
                      </w14:textFill>
                    </w:rPr>
                    <w:t>装、废机油等危废物暂存于危废暂存间交有资质单位处置。</w:t>
                  </w:r>
                </w:p>
              </w:tc>
              <w:tc>
                <w:tcPr>
                  <w:tcW w:w="735" w:type="pct"/>
                  <w:noWrap w:val="0"/>
                  <w:vAlign w:val="center"/>
                </w:tcPr>
                <w:p w14:paraId="2DB0702A">
                  <w:pPr>
                    <w:pStyle w:val="71"/>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依托</w:t>
                  </w:r>
                </w:p>
              </w:tc>
            </w:tr>
          </w:tbl>
          <w:p w14:paraId="5E19D12E">
            <w:pPr>
              <w:spacing w:line="360" w:lineRule="auto"/>
              <w:ind w:firstLine="482" w:firstLineChars="200"/>
              <w:rPr>
                <w:rFonts w:hint="default" w:ascii="Times New Roman" w:hAnsi="Times New Roman" w:eastAsia="宋体" w:cs="Times New Roman"/>
                <w:b/>
                <w:bCs/>
                <w:color w:val="000000" w:themeColor="text1"/>
                <w:sz w:val="24"/>
                <w:lang w:val="en-US"/>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 xml:space="preserve"> </w:t>
            </w:r>
            <w:r>
              <w:rPr>
                <w:rFonts w:hint="default" w:ascii="Times New Roman" w:hAnsi="Times New Roman" w:eastAsia="宋体"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14:textFill>
                  <w14:solidFill>
                    <w14:schemeClr w14:val="tx1"/>
                  </w14:solidFill>
                </w14:textFill>
              </w:rPr>
              <w:t>主要建构筑物及设备</w:t>
            </w:r>
          </w:p>
          <w:p w14:paraId="0B5BC64A">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（1）主要建构筑物</w:t>
            </w:r>
          </w:p>
          <w:p w14:paraId="52ADF47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项目主要建构筑物详见下表。</w:t>
            </w:r>
          </w:p>
          <w:p w14:paraId="0D8DC4E9">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表2-2主要建构筑物一览表</w:t>
            </w:r>
          </w:p>
          <w:tbl>
            <w:tblPr>
              <w:tblStyle w:val="28"/>
              <w:tblW w:w="7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2007"/>
              <w:gridCol w:w="1686"/>
              <w:gridCol w:w="1703"/>
              <w:gridCol w:w="883"/>
              <w:gridCol w:w="577"/>
              <w:gridCol w:w="671"/>
            </w:tblGrid>
            <w:tr w14:paraId="6C64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31" w:type="dxa"/>
                  <w:vAlign w:val="center"/>
                </w:tcPr>
                <w:p w14:paraId="75F6B64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2007" w:type="dxa"/>
                  <w:vAlign w:val="center"/>
                </w:tcPr>
                <w:p w14:paraId="197ABAD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污水处理系统名称</w:t>
                  </w:r>
                </w:p>
              </w:tc>
              <w:tc>
                <w:tcPr>
                  <w:tcW w:w="1686" w:type="dxa"/>
                  <w:vAlign w:val="center"/>
                </w:tcPr>
                <w:p w14:paraId="4A518F0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（构建物）设备名称</w:t>
                  </w:r>
                </w:p>
              </w:tc>
              <w:tc>
                <w:tcPr>
                  <w:tcW w:w="1703" w:type="dxa"/>
                  <w:vAlign w:val="center"/>
                </w:tcPr>
                <w:p w14:paraId="10EAA09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尺寸mm</w:t>
                  </w:r>
                </w:p>
              </w:tc>
              <w:tc>
                <w:tcPr>
                  <w:tcW w:w="883" w:type="dxa"/>
                  <w:vAlign w:val="center"/>
                </w:tcPr>
                <w:p w14:paraId="4BFC836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容积m³</w:t>
                  </w:r>
                </w:p>
              </w:tc>
              <w:tc>
                <w:tcPr>
                  <w:tcW w:w="577" w:type="dxa"/>
                  <w:vAlign w:val="center"/>
                </w:tcPr>
                <w:p w14:paraId="701C35B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w:t>
                  </w:r>
                </w:p>
              </w:tc>
              <w:tc>
                <w:tcPr>
                  <w:tcW w:w="671" w:type="dxa"/>
                  <w:vAlign w:val="center"/>
                </w:tcPr>
                <w:p w14:paraId="4FDD7F5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备注</w:t>
                  </w:r>
                </w:p>
              </w:tc>
            </w:tr>
            <w:tr w14:paraId="0E17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Align w:val="center"/>
                </w:tcPr>
                <w:p w14:paraId="3F0F831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007" w:type="dxa"/>
                  <w:vAlign w:val="center"/>
                </w:tcPr>
                <w:p w14:paraId="318A08B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调节池</w:t>
                  </w:r>
                </w:p>
              </w:tc>
              <w:tc>
                <w:tcPr>
                  <w:tcW w:w="1686" w:type="dxa"/>
                  <w:vAlign w:val="center"/>
                </w:tcPr>
                <w:p w14:paraId="7FF01AE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调节池</w:t>
                  </w:r>
                </w:p>
              </w:tc>
              <w:tc>
                <w:tcPr>
                  <w:tcW w:w="1703" w:type="dxa"/>
                  <w:vAlign w:val="center"/>
                </w:tcPr>
                <w:p w14:paraId="49C2122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883" w:type="dxa"/>
                  <w:vAlign w:val="center"/>
                </w:tcPr>
                <w:p w14:paraId="3291907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00</w:t>
                  </w:r>
                </w:p>
              </w:tc>
              <w:tc>
                <w:tcPr>
                  <w:tcW w:w="577" w:type="dxa"/>
                  <w:vAlign w:val="center"/>
                </w:tcPr>
                <w:p w14:paraId="4C2060B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71" w:type="dxa"/>
                  <w:vMerge w:val="restart"/>
                  <w:vAlign w:val="center"/>
                </w:tcPr>
                <w:p w14:paraId="784E259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利旧</w:t>
                  </w:r>
                </w:p>
              </w:tc>
            </w:tr>
            <w:tr w14:paraId="1BCA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restart"/>
                </w:tcPr>
                <w:p w14:paraId="59B7935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45DE18F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5CA4D2E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007" w:type="dxa"/>
                  <w:vMerge w:val="restart"/>
                </w:tcPr>
                <w:p w14:paraId="4998750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473F710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548C664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混凝淀池</w:t>
                  </w:r>
                </w:p>
              </w:tc>
              <w:tc>
                <w:tcPr>
                  <w:tcW w:w="1686" w:type="dxa"/>
                  <w:vAlign w:val="center"/>
                </w:tcPr>
                <w:p w14:paraId="53035F5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1#混凝反应池</w:t>
                  </w:r>
                </w:p>
              </w:tc>
              <w:tc>
                <w:tcPr>
                  <w:tcW w:w="1703" w:type="dxa"/>
                  <w:vAlign w:val="center"/>
                </w:tcPr>
                <w:p w14:paraId="322696D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1700*1700*2300</w:t>
                  </w:r>
                </w:p>
              </w:tc>
              <w:tc>
                <w:tcPr>
                  <w:tcW w:w="883" w:type="dxa"/>
                  <w:vAlign w:val="center"/>
                </w:tcPr>
                <w:p w14:paraId="595BD54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6.8</w:t>
                  </w:r>
                </w:p>
              </w:tc>
              <w:tc>
                <w:tcPr>
                  <w:tcW w:w="577" w:type="dxa"/>
                  <w:vAlign w:val="center"/>
                </w:tcPr>
                <w:p w14:paraId="628D0C8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52C3650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E91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01E802A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continue"/>
                </w:tcPr>
                <w:p w14:paraId="79397BC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86" w:type="dxa"/>
                  <w:vAlign w:val="center"/>
                </w:tcPr>
                <w:p w14:paraId="06E0693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絮凝反应池</w:t>
                  </w:r>
                </w:p>
              </w:tc>
              <w:tc>
                <w:tcPr>
                  <w:tcW w:w="1703" w:type="dxa"/>
                  <w:vAlign w:val="center"/>
                </w:tcPr>
                <w:p w14:paraId="6D019DB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1700*1700*2300</w:t>
                  </w:r>
                </w:p>
              </w:tc>
              <w:tc>
                <w:tcPr>
                  <w:tcW w:w="883" w:type="dxa"/>
                  <w:vAlign w:val="center"/>
                </w:tcPr>
                <w:p w14:paraId="0492CBF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5.78</w:t>
                  </w:r>
                </w:p>
              </w:tc>
              <w:tc>
                <w:tcPr>
                  <w:tcW w:w="577" w:type="dxa"/>
                  <w:vAlign w:val="center"/>
                </w:tcPr>
                <w:p w14:paraId="2BCF209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0BDF5AF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88E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72C6E42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continue"/>
                </w:tcPr>
                <w:p w14:paraId="52CE16A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86" w:type="dxa"/>
                  <w:vAlign w:val="center"/>
                </w:tcPr>
                <w:p w14:paraId="00CD368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初次沉淀池</w:t>
                  </w:r>
                </w:p>
              </w:tc>
              <w:tc>
                <w:tcPr>
                  <w:tcW w:w="1703" w:type="dxa"/>
                  <w:vAlign w:val="center"/>
                </w:tcPr>
                <w:p w14:paraId="2B70AF8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2700*2700*5000</w:t>
                  </w:r>
                </w:p>
              </w:tc>
              <w:tc>
                <w:tcPr>
                  <w:tcW w:w="883" w:type="dxa"/>
                  <w:vAlign w:val="center"/>
                </w:tcPr>
                <w:p w14:paraId="09873EA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5.78</w:t>
                  </w:r>
                </w:p>
              </w:tc>
              <w:tc>
                <w:tcPr>
                  <w:tcW w:w="577" w:type="dxa"/>
                  <w:vAlign w:val="center"/>
                </w:tcPr>
                <w:p w14:paraId="3C2AA42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0188D06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39A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13FC143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continue"/>
                </w:tcPr>
                <w:p w14:paraId="2AE157F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86" w:type="dxa"/>
                  <w:vAlign w:val="center"/>
                </w:tcPr>
                <w:p w14:paraId="7E1DC1C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二次沉淀池</w:t>
                  </w:r>
                </w:p>
              </w:tc>
              <w:tc>
                <w:tcPr>
                  <w:tcW w:w="1703" w:type="dxa"/>
                  <w:vAlign w:val="center"/>
                </w:tcPr>
                <w:p w14:paraId="061374B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2700*2700*5000</w:t>
                  </w:r>
                </w:p>
              </w:tc>
              <w:tc>
                <w:tcPr>
                  <w:tcW w:w="883" w:type="dxa"/>
                  <w:vAlign w:val="center"/>
                </w:tcPr>
                <w:p w14:paraId="24E5F57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31.347</w:t>
                  </w:r>
                </w:p>
              </w:tc>
              <w:tc>
                <w:tcPr>
                  <w:tcW w:w="577" w:type="dxa"/>
                  <w:vAlign w:val="center"/>
                </w:tcPr>
                <w:p w14:paraId="62A67BA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551D0DE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D54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30E3404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continue"/>
                </w:tcPr>
                <w:p w14:paraId="780DD6D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86" w:type="dxa"/>
                  <w:vAlign w:val="center"/>
                </w:tcPr>
                <w:p w14:paraId="301F22E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中间水池</w:t>
                  </w:r>
                </w:p>
              </w:tc>
              <w:tc>
                <w:tcPr>
                  <w:tcW w:w="1703" w:type="dxa"/>
                  <w:vAlign w:val="center"/>
                </w:tcPr>
                <w:p w14:paraId="517BE35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2700*2700*5000</w:t>
                  </w:r>
                </w:p>
              </w:tc>
              <w:tc>
                <w:tcPr>
                  <w:tcW w:w="883" w:type="dxa"/>
                  <w:vAlign w:val="center"/>
                </w:tcPr>
                <w:p w14:paraId="0FFD55C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31.347</w:t>
                  </w:r>
                </w:p>
              </w:tc>
              <w:tc>
                <w:tcPr>
                  <w:tcW w:w="577" w:type="dxa"/>
                  <w:vAlign w:val="center"/>
                </w:tcPr>
                <w:p w14:paraId="148E7B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13C1623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1DB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31" w:type="dxa"/>
                  <w:vMerge w:val="restart"/>
                </w:tcPr>
                <w:p w14:paraId="7E5D9D2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312AD51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78E221F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007" w:type="dxa"/>
                  <w:vAlign w:val="center"/>
                </w:tcPr>
                <w:p w14:paraId="7002A64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二级反硝化 1</w:t>
                  </w:r>
                </w:p>
              </w:tc>
              <w:tc>
                <w:tcPr>
                  <w:tcW w:w="1686" w:type="dxa"/>
                  <w:vAlign w:val="center"/>
                </w:tcPr>
                <w:p w14:paraId="56724E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一级反硝化池 1</w:t>
                  </w:r>
                </w:p>
              </w:tc>
              <w:tc>
                <w:tcPr>
                  <w:tcW w:w="1703" w:type="dxa"/>
                  <w:vAlign w:val="center"/>
                </w:tcPr>
                <w:p w14:paraId="760235F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5500*4700*5000</w:t>
                  </w:r>
                </w:p>
              </w:tc>
              <w:tc>
                <w:tcPr>
                  <w:tcW w:w="883" w:type="dxa"/>
                  <w:vAlign w:val="center"/>
                </w:tcPr>
                <w:p w14:paraId="46E00D0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129.25</w:t>
                  </w:r>
                </w:p>
              </w:tc>
              <w:tc>
                <w:tcPr>
                  <w:tcW w:w="577" w:type="dxa"/>
                  <w:vAlign w:val="center"/>
                </w:tcPr>
                <w:p w14:paraId="5699B8A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67B5766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870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1872392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restart"/>
                  <w:vAlign w:val="center"/>
                </w:tcPr>
                <w:p w14:paraId="2FDA60C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二级硝化</w:t>
                  </w:r>
                </w:p>
              </w:tc>
              <w:tc>
                <w:tcPr>
                  <w:tcW w:w="1686" w:type="dxa"/>
                  <w:vAlign w:val="center"/>
                </w:tcPr>
                <w:p w14:paraId="5460E77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一级硝化池 1</w:t>
                  </w:r>
                </w:p>
              </w:tc>
              <w:tc>
                <w:tcPr>
                  <w:tcW w:w="1703" w:type="dxa"/>
                  <w:vAlign w:val="center"/>
                </w:tcPr>
                <w:p w14:paraId="56BDF8B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2000*2700*5000</w:t>
                  </w:r>
                </w:p>
              </w:tc>
              <w:tc>
                <w:tcPr>
                  <w:tcW w:w="883" w:type="dxa"/>
                  <w:vAlign w:val="center"/>
                </w:tcPr>
                <w:p w14:paraId="4165D60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27</w:t>
                  </w:r>
                </w:p>
              </w:tc>
              <w:tc>
                <w:tcPr>
                  <w:tcW w:w="577" w:type="dxa"/>
                  <w:vAlign w:val="center"/>
                </w:tcPr>
                <w:p w14:paraId="1E87C24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3F78F0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0AC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093E751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continue"/>
                </w:tcPr>
                <w:p w14:paraId="61C9BA8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86" w:type="dxa"/>
                  <w:vAlign w:val="center"/>
                </w:tcPr>
                <w:p w14:paraId="2CAF194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一级硝化池</w:t>
                  </w:r>
                </w:p>
              </w:tc>
              <w:tc>
                <w:tcPr>
                  <w:tcW w:w="1703" w:type="dxa"/>
                  <w:vAlign w:val="center"/>
                </w:tcPr>
                <w:p w14:paraId="6736096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8200*4700*5000</w:t>
                  </w:r>
                </w:p>
              </w:tc>
              <w:tc>
                <w:tcPr>
                  <w:tcW w:w="883" w:type="dxa"/>
                  <w:vAlign w:val="center"/>
                </w:tcPr>
                <w:p w14:paraId="7648679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173.43</w:t>
                  </w:r>
                </w:p>
              </w:tc>
              <w:tc>
                <w:tcPr>
                  <w:tcW w:w="577" w:type="dxa"/>
                  <w:vAlign w:val="center"/>
                </w:tcPr>
                <w:p w14:paraId="3891E4F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73407F4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345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 w:hRule="atLeast"/>
              </w:trPr>
              <w:tc>
                <w:tcPr>
                  <w:tcW w:w="331" w:type="dxa"/>
                  <w:vMerge w:val="continue"/>
                </w:tcPr>
                <w:p w14:paraId="0E1D693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restart"/>
                  <w:vAlign w:val="center"/>
                </w:tcPr>
                <w:p w14:paraId="1AFEE53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二级反硝化 2</w:t>
                  </w:r>
                </w:p>
              </w:tc>
              <w:tc>
                <w:tcPr>
                  <w:tcW w:w="1686" w:type="dxa"/>
                  <w:vAlign w:val="center"/>
                </w:tcPr>
                <w:p w14:paraId="10D2BE0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二级反硝化池</w:t>
                  </w:r>
                </w:p>
              </w:tc>
              <w:tc>
                <w:tcPr>
                  <w:tcW w:w="1703" w:type="dxa"/>
                  <w:vAlign w:val="center"/>
                </w:tcPr>
                <w:p w14:paraId="04BD9A5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4700*4700*5000</w:t>
                  </w:r>
                </w:p>
              </w:tc>
              <w:tc>
                <w:tcPr>
                  <w:tcW w:w="883" w:type="dxa"/>
                  <w:vAlign w:val="center"/>
                </w:tcPr>
                <w:p w14:paraId="2957D6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99.405</w:t>
                  </w:r>
                </w:p>
              </w:tc>
              <w:tc>
                <w:tcPr>
                  <w:tcW w:w="577" w:type="dxa"/>
                  <w:vAlign w:val="center"/>
                </w:tcPr>
                <w:p w14:paraId="7BADBD5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2C1F395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6E4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331" w:type="dxa"/>
                  <w:vMerge w:val="continue"/>
                </w:tcPr>
                <w:p w14:paraId="727E12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07" w:type="dxa"/>
                  <w:vMerge w:val="continue"/>
                </w:tcPr>
                <w:p w14:paraId="35DB297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686" w:type="dxa"/>
                  <w:vAlign w:val="center"/>
                </w:tcPr>
                <w:p w14:paraId="3BA8479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二级硝化池</w:t>
                  </w:r>
                </w:p>
              </w:tc>
              <w:tc>
                <w:tcPr>
                  <w:tcW w:w="1703" w:type="dxa"/>
                  <w:vAlign w:val="center"/>
                </w:tcPr>
                <w:p w14:paraId="3C66016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4700*3500*5000</w:t>
                  </w:r>
                </w:p>
              </w:tc>
              <w:tc>
                <w:tcPr>
                  <w:tcW w:w="883" w:type="dxa"/>
                  <w:vAlign w:val="center"/>
                </w:tcPr>
                <w:p w14:paraId="6A0E5D1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74.025</w:t>
                  </w:r>
                </w:p>
              </w:tc>
              <w:tc>
                <w:tcPr>
                  <w:tcW w:w="577" w:type="dxa"/>
                  <w:vAlign w:val="center"/>
                </w:tcPr>
                <w:p w14:paraId="0751915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en-US"/>
                      <w14:textFill>
                        <w14:solidFill>
                          <w14:schemeClr w14:val="tx1"/>
                        </w14:solidFill>
                      </w14:textFill>
                    </w:rPr>
                    <w:t>1</w:t>
                  </w:r>
                </w:p>
              </w:tc>
              <w:tc>
                <w:tcPr>
                  <w:tcW w:w="671" w:type="dxa"/>
                  <w:vMerge w:val="continue"/>
                </w:tcPr>
                <w:p w14:paraId="2DE345C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2128674C">
            <w:pPr>
              <w:pStyle w:val="3"/>
              <w:bidi w:val="0"/>
              <w:ind w:left="0" w:leftChars="0" w:firstLine="0" w:firstLineChars="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（2）主要设备</w:t>
            </w:r>
          </w:p>
          <w:p w14:paraId="616139A2">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项目主要设备详见下表。</w:t>
            </w:r>
          </w:p>
          <w:p w14:paraId="24AF9ECF">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表2-3主要设备一览表</w:t>
            </w:r>
          </w:p>
          <w:tbl>
            <w:tblPr>
              <w:tblStyle w:val="28"/>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185"/>
              <w:gridCol w:w="3209"/>
              <w:gridCol w:w="824"/>
              <w:gridCol w:w="701"/>
              <w:gridCol w:w="1424"/>
            </w:tblGrid>
            <w:tr w14:paraId="1615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096" w:type="pct"/>
                  <w:gridSpan w:val="5"/>
                  <w:vAlign w:val="center"/>
                </w:tcPr>
                <w:p w14:paraId="30774733">
                  <w:pPr>
                    <w:autoSpaceDE w:val="0"/>
                    <w:autoSpaceDN w:val="0"/>
                    <w:spacing w:line="360" w:lineRule="auto"/>
                    <w:jc w:val="center"/>
                    <w:rPr>
                      <w:rFonts w:hint="default" w:ascii="Times New Roman" w:hAnsi="Times New Roman" w:eastAsia="宋体" w:cs="Times New Roman"/>
                      <w:b/>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Cs w:val="21"/>
                      <w:vertAlign w:val="baseline"/>
                      <w:lang w:val="en-US" w:eastAsia="zh-CN"/>
                      <w14:textFill>
                        <w14:solidFill>
                          <w14:schemeClr w14:val="tx1"/>
                        </w14:solidFill>
                      </w14:textFill>
                    </w:rPr>
                    <w:t>一、渗滤液预处理设施</w:t>
                  </w:r>
                </w:p>
              </w:tc>
              <w:tc>
                <w:tcPr>
                  <w:tcW w:w="903" w:type="pct"/>
                  <w:vMerge w:val="restart"/>
                  <w:vAlign w:val="center"/>
                </w:tcPr>
                <w:p w14:paraId="11E62825">
                  <w:pPr>
                    <w:autoSpaceDE w:val="0"/>
                    <w:autoSpaceDN w:val="0"/>
                    <w:spacing w:line="360" w:lineRule="auto"/>
                    <w:jc w:val="center"/>
                    <w:rPr>
                      <w:rFonts w:hint="default" w:ascii="Times New Roman" w:hAnsi="Times New Roman" w:eastAsia="宋体" w:cs="Times New Roman"/>
                      <w:b/>
                      <w:color w:val="000000" w:themeColor="text1"/>
                      <w:kern w:val="0"/>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kern w:val="0"/>
                      <w:szCs w:val="21"/>
                      <w:vertAlign w:val="baseline"/>
                      <w:lang w:val="en-US" w:eastAsia="zh-CN"/>
                      <w14:textFill>
                        <w14:solidFill>
                          <w14:schemeClr w14:val="tx1"/>
                        </w14:solidFill>
                      </w14:textFill>
                    </w:rPr>
                    <w:t>备注</w:t>
                  </w:r>
                </w:p>
              </w:tc>
            </w:tr>
            <w:tr w14:paraId="0104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40" w:type="pct"/>
                  <w:vAlign w:val="center"/>
                </w:tcPr>
                <w:p w14:paraId="0EA4B58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51" w:type="pct"/>
                  <w:vAlign w:val="center"/>
                </w:tcPr>
                <w:p w14:paraId="7A5B64F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设备名称</w:t>
                  </w:r>
                </w:p>
              </w:tc>
              <w:tc>
                <w:tcPr>
                  <w:tcW w:w="2036" w:type="pct"/>
                  <w:vAlign w:val="center"/>
                </w:tcPr>
                <w:p w14:paraId="418DFB7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设备型号</w:t>
                  </w:r>
                </w:p>
              </w:tc>
              <w:tc>
                <w:tcPr>
                  <w:tcW w:w="522" w:type="pct"/>
                  <w:vAlign w:val="center"/>
                </w:tcPr>
                <w:p w14:paraId="2A6D4BD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w:t>
                  </w:r>
                </w:p>
              </w:tc>
              <w:tc>
                <w:tcPr>
                  <w:tcW w:w="444" w:type="pct"/>
                  <w:vAlign w:val="center"/>
                </w:tcPr>
                <w:p w14:paraId="03A3A8A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903" w:type="pct"/>
                  <w:vMerge w:val="continue"/>
                  <w:vAlign w:val="center"/>
                </w:tcPr>
                <w:p w14:paraId="2F03E98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FE6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6F5A6C7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51" w:type="pct"/>
                  <w:vAlign w:val="center"/>
                </w:tcPr>
                <w:p w14:paraId="73F64EA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原水提升泵</w:t>
                  </w:r>
                </w:p>
              </w:tc>
              <w:tc>
                <w:tcPr>
                  <w:tcW w:w="2036" w:type="pct"/>
                  <w:vAlign w:val="center"/>
                </w:tcPr>
                <w:p w14:paraId="123E8A4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Q=35m³/h，H=25m Pn=7.5k</w:t>
                  </w:r>
                </w:p>
              </w:tc>
              <w:tc>
                <w:tcPr>
                  <w:tcW w:w="522" w:type="pct"/>
                  <w:vAlign w:val="center"/>
                </w:tcPr>
                <w:p w14:paraId="3A70D60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4C20EE0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03" w:type="pct"/>
                  <w:vAlign w:val="center"/>
                </w:tcPr>
                <w:p w14:paraId="6341F3C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7E2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40" w:type="pct"/>
                  <w:vAlign w:val="center"/>
                </w:tcPr>
                <w:p w14:paraId="6D260A7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51" w:type="pct"/>
                  <w:vAlign w:val="center"/>
                </w:tcPr>
                <w:p w14:paraId="516A112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中转水箱</w:t>
                  </w:r>
                </w:p>
              </w:tc>
              <w:tc>
                <w:tcPr>
                  <w:tcW w:w="2036" w:type="pct"/>
                  <w:vAlign w:val="center"/>
                </w:tcPr>
                <w:p w14:paraId="07CB6EC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，PE</w:t>
                  </w:r>
                </w:p>
              </w:tc>
              <w:tc>
                <w:tcPr>
                  <w:tcW w:w="522" w:type="pct"/>
                  <w:vAlign w:val="center"/>
                </w:tcPr>
                <w:p w14:paraId="194B94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3447348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17B19DAF">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D99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3B5B43C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51" w:type="pct"/>
                  <w:vAlign w:val="center"/>
                </w:tcPr>
                <w:p w14:paraId="54FCF61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PH调节进水泵</w:t>
                  </w:r>
                </w:p>
              </w:tc>
              <w:tc>
                <w:tcPr>
                  <w:tcW w:w="2036" w:type="pct"/>
                  <w:vAlign w:val="center"/>
                </w:tcPr>
                <w:p w14:paraId="11D9972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Q=30m³/h</w:t>
                  </w:r>
                </w:p>
              </w:tc>
              <w:tc>
                <w:tcPr>
                  <w:tcW w:w="522" w:type="pct"/>
                  <w:vAlign w:val="center"/>
                </w:tcPr>
                <w:p w14:paraId="07C96B4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52574A3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03" w:type="pct"/>
                  <w:vAlign w:val="center"/>
                </w:tcPr>
                <w:p w14:paraId="26F93FC6">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E80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0E6E7C7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751" w:type="pct"/>
                  <w:vAlign w:val="center"/>
                </w:tcPr>
                <w:p w14:paraId="76D1D5C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PH调节水箱</w:t>
                  </w:r>
                </w:p>
              </w:tc>
              <w:tc>
                <w:tcPr>
                  <w:tcW w:w="2036" w:type="pct"/>
                  <w:vAlign w:val="center"/>
                </w:tcPr>
                <w:p w14:paraId="6E78680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，PE</w:t>
                  </w:r>
                </w:p>
              </w:tc>
              <w:tc>
                <w:tcPr>
                  <w:tcW w:w="522" w:type="pct"/>
                  <w:vAlign w:val="center"/>
                </w:tcPr>
                <w:p w14:paraId="7D6FB86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73EA30F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06C97FAD">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EBD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40" w:type="pct"/>
                  <w:vAlign w:val="center"/>
                </w:tcPr>
                <w:p w14:paraId="6BE6A89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751" w:type="pct"/>
                  <w:vAlign w:val="center"/>
                </w:tcPr>
                <w:p w14:paraId="48E0DDE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硫酸储罐</w:t>
                  </w:r>
                </w:p>
              </w:tc>
              <w:tc>
                <w:tcPr>
                  <w:tcW w:w="2036" w:type="pct"/>
                  <w:vAlign w:val="center"/>
                </w:tcPr>
                <w:p w14:paraId="1108852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，PE(加厚)</w:t>
                  </w:r>
                </w:p>
              </w:tc>
              <w:tc>
                <w:tcPr>
                  <w:tcW w:w="522" w:type="pct"/>
                  <w:vAlign w:val="center"/>
                </w:tcPr>
                <w:p w14:paraId="1897CD3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49F2EEE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0D2EAF9E">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DD9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4AC06D8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751" w:type="pct"/>
                  <w:vAlign w:val="center"/>
                </w:tcPr>
                <w:p w14:paraId="65CCB6C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进水袋式过滤器</w:t>
                  </w:r>
                </w:p>
              </w:tc>
              <w:tc>
                <w:tcPr>
                  <w:tcW w:w="2036" w:type="pct"/>
                  <w:vAlign w:val="center"/>
                </w:tcPr>
                <w:p w14:paraId="70172A9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Q=30m³/h</w:t>
                  </w:r>
                </w:p>
              </w:tc>
              <w:tc>
                <w:tcPr>
                  <w:tcW w:w="522" w:type="pct"/>
                  <w:vAlign w:val="center"/>
                </w:tcPr>
                <w:p w14:paraId="26C1B1C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44" w:type="pct"/>
                  <w:vAlign w:val="center"/>
                </w:tcPr>
                <w:p w14:paraId="5F1CE97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0F3CFAA1">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13A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68EB8F2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751" w:type="pct"/>
                  <w:vAlign w:val="center"/>
                </w:tcPr>
                <w:p w14:paraId="33C552E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酸添加集成系统</w:t>
                  </w:r>
                </w:p>
              </w:tc>
              <w:tc>
                <w:tcPr>
                  <w:tcW w:w="2036" w:type="pct"/>
                  <w:vAlign w:val="center"/>
                </w:tcPr>
                <w:p w14:paraId="520FD8D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Q=120L/h，P=7bar，0.37KW</w:t>
                  </w:r>
                </w:p>
              </w:tc>
              <w:tc>
                <w:tcPr>
                  <w:tcW w:w="522" w:type="pct"/>
                  <w:vAlign w:val="center"/>
                </w:tcPr>
                <w:p w14:paraId="50F9DFD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37315E5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32273612">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713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096" w:type="pct"/>
                  <w:gridSpan w:val="5"/>
                  <w:vAlign w:val="center"/>
                </w:tcPr>
                <w:p w14:paraId="39D97CBF">
                  <w:pPr>
                    <w:autoSpaceDE w:val="0"/>
                    <w:autoSpaceDN w:val="0"/>
                    <w:spacing w:line="360" w:lineRule="auto"/>
                    <w:jc w:val="center"/>
                    <w:rPr>
                      <w:rFonts w:hint="default" w:ascii="Times New Roman" w:hAnsi="Times New Roman" w:eastAsia="宋体" w:cs="Times New Roman"/>
                      <w:b/>
                      <w:color w:val="000000" w:themeColor="text1"/>
                      <w:kern w:val="0"/>
                      <w:szCs w:val="21"/>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STRO系统</w:t>
                  </w:r>
                </w:p>
              </w:tc>
              <w:tc>
                <w:tcPr>
                  <w:tcW w:w="903" w:type="pct"/>
                  <w:vAlign w:val="center"/>
                </w:tcPr>
                <w:p w14:paraId="7BC69EE6">
                  <w:pPr>
                    <w:autoSpaceDE w:val="0"/>
                    <w:autoSpaceDN w:val="0"/>
                    <w:spacing w:line="36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p>
              </w:tc>
            </w:tr>
            <w:tr w14:paraId="4E1F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40" w:type="pct"/>
                  <w:vAlign w:val="center"/>
                </w:tcPr>
                <w:p w14:paraId="73A916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51" w:type="pct"/>
                  <w:vAlign w:val="center"/>
                </w:tcPr>
                <w:p w14:paraId="79754DD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设备名称</w:t>
                  </w:r>
                </w:p>
              </w:tc>
              <w:tc>
                <w:tcPr>
                  <w:tcW w:w="2036" w:type="pct"/>
                  <w:vAlign w:val="center"/>
                </w:tcPr>
                <w:p w14:paraId="4DA6B57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设备型号</w:t>
                  </w:r>
                </w:p>
              </w:tc>
              <w:tc>
                <w:tcPr>
                  <w:tcW w:w="522" w:type="pct"/>
                  <w:vAlign w:val="center"/>
                </w:tcPr>
                <w:p w14:paraId="364764E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w:t>
                  </w:r>
                </w:p>
              </w:tc>
              <w:tc>
                <w:tcPr>
                  <w:tcW w:w="444" w:type="pct"/>
                  <w:vAlign w:val="center"/>
                </w:tcPr>
                <w:p w14:paraId="642C6B9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单位</w:t>
                  </w:r>
                </w:p>
              </w:tc>
              <w:tc>
                <w:tcPr>
                  <w:tcW w:w="903" w:type="pct"/>
                  <w:vAlign w:val="center"/>
                </w:tcPr>
                <w:p w14:paraId="093677D3">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EBB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74C1F21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51" w:type="pct"/>
                  <w:vAlign w:val="center"/>
                </w:tcPr>
                <w:p w14:paraId="3EB9420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STRO系统主机柜</w:t>
                  </w:r>
                </w:p>
              </w:tc>
              <w:tc>
                <w:tcPr>
                  <w:tcW w:w="2036" w:type="pct"/>
                  <w:vAlign w:val="center"/>
                </w:tcPr>
                <w:p w14:paraId="6209924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6m×2.4m×2.889m，碳钢防腐3mm</w:t>
                  </w:r>
                </w:p>
              </w:tc>
              <w:tc>
                <w:tcPr>
                  <w:tcW w:w="522" w:type="pct"/>
                  <w:vAlign w:val="center"/>
                </w:tcPr>
                <w:p w14:paraId="523C83B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5AD7E5B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03" w:type="pct"/>
                  <w:vAlign w:val="center"/>
                </w:tcPr>
                <w:p w14:paraId="5906E692">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5D6A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435EDC1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51" w:type="pct"/>
                  <w:vAlign w:val="center"/>
                </w:tcPr>
                <w:p w14:paraId="4A8DBD8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袋式过滤器</w:t>
                  </w:r>
                </w:p>
              </w:tc>
              <w:tc>
                <w:tcPr>
                  <w:tcW w:w="2036" w:type="pct"/>
                  <w:vAlign w:val="center"/>
                </w:tcPr>
                <w:p w14:paraId="26A1D97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Q=30m³/h</w:t>
                  </w:r>
                </w:p>
              </w:tc>
              <w:tc>
                <w:tcPr>
                  <w:tcW w:w="522" w:type="pct"/>
                  <w:vAlign w:val="center"/>
                </w:tcPr>
                <w:p w14:paraId="4BE5DD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0E3F93B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701B9CE5">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63BF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51C1D49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51" w:type="pct"/>
                  <w:vAlign w:val="center"/>
                </w:tcPr>
                <w:p w14:paraId="7BC25CC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主机进水泵</w:t>
                  </w:r>
                </w:p>
              </w:tc>
              <w:tc>
                <w:tcPr>
                  <w:tcW w:w="2036" w:type="pct"/>
                  <w:vAlign w:val="center"/>
                </w:tcPr>
                <w:p w14:paraId="5F14984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LVS45-1B</w:t>
                  </w:r>
                </w:p>
              </w:tc>
              <w:tc>
                <w:tcPr>
                  <w:tcW w:w="522" w:type="pct"/>
                  <w:vAlign w:val="center"/>
                </w:tcPr>
                <w:p w14:paraId="1BBA21F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40399BF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03" w:type="pct"/>
                  <w:vAlign w:val="center"/>
                </w:tcPr>
                <w:p w14:paraId="709A055D">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3A4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7B844B9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751" w:type="pct"/>
                  <w:vAlign w:val="center"/>
                </w:tcPr>
                <w:p w14:paraId="691F537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一级高压泵</w:t>
                  </w:r>
                </w:p>
              </w:tc>
              <w:tc>
                <w:tcPr>
                  <w:tcW w:w="2036" w:type="pct"/>
                  <w:vAlign w:val="center"/>
                </w:tcPr>
                <w:p w14:paraId="59E7EC6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LVS45-13-2B</w:t>
                  </w:r>
                </w:p>
              </w:tc>
              <w:tc>
                <w:tcPr>
                  <w:tcW w:w="522" w:type="pct"/>
                  <w:vAlign w:val="center"/>
                </w:tcPr>
                <w:p w14:paraId="064CD39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19FA231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2B28FA00">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48D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340" w:type="pct"/>
                  <w:vAlign w:val="center"/>
                </w:tcPr>
                <w:p w14:paraId="1FC3A8B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751" w:type="pct"/>
                  <w:vAlign w:val="center"/>
                </w:tcPr>
                <w:p w14:paraId="1E63519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一级STRO反渗透集成系统</w:t>
                  </w:r>
                </w:p>
              </w:tc>
              <w:tc>
                <w:tcPr>
                  <w:tcW w:w="2036" w:type="pct"/>
                  <w:vAlign w:val="center"/>
                </w:tcPr>
                <w:p w14:paraId="7A7C680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含膜组及配套伺机电动阀、流量计、阀门、管道等</w:t>
                  </w:r>
                </w:p>
              </w:tc>
              <w:tc>
                <w:tcPr>
                  <w:tcW w:w="522" w:type="pct"/>
                  <w:vAlign w:val="center"/>
                </w:tcPr>
                <w:p w14:paraId="37C456E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7AB8C0C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6F7E8AB9">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42FC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3F56790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751" w:type="pct"/>
                  <w:vAlign w:val="center"/>
                </w:tcPr>
                <w:p w14:paraId="1BF4B0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二级高压泵</w:t>
                  </w:r>
                </w:p>
              </w:tc>
              <w:tc>
                <w:tcPr>
                  <w:tcW w:w="2036" w:type="pct"/>
                  <w:vAlign w:val="center"/>
                </w:tcPr>
                <w:p w14:paraId="59BCA18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LVS20-17B</w:t>
                  </w:r>
                </w:p>
              </w:tc>
              <w:tc>
                <w:tcPr>
                  <w:tcW w:w="522" w:type="pct"/>
                  <w:vAlign w:val="center"/>
                </w:tcPr>
                <w:p w14:paraId="49ED604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44" w:type="pct"/>
                  <w:vAlign w:val="center"/>
                </w:tcPr>
                <w:p w14:paraId="797F8CB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4AF1D293">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98F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340" w:type="pct"/>
                  <w:vAlign w:val="center"/>
                </w:tcPr>
                <w:p w14:paraId="4E4523B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751" w:type="pct"/>
                  <w:vAlign w:val="center"/>
                </w:tcPr>
                <w:p w14:paraId="466A6E7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二级STRO反渗透集成系统</w:t>
                  </w:r>
                </w:p>
              </w:tc>
              <w:tc>
                <w:tcPr>
                  <w:tcW w:w="2036" w:type="pct"/>
                  <w:vAlign w:val="center"/>
                </w:tcPr>
                <w:p w14:paraId="3FDE5CB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含膜组及配套伺机电动阀、流量计、阀门、管道等</w:t>
                  </w:r>
                </w:p>
              </w:tc>
              <w:tc>
                <w:tcPr>
                  <w:tcW w:w="522" w:type="pct"/>
                  <w:vAlign w:val="center"/>
                </w:tcPr>
                <w:p w14:paraId="4153DFB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4B4996D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3788A52E">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364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53CE6F3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751" w:type="pct"/>
                  <w:vAlign w:val="center"/>
                </w:tcPr>
                <w:p w14:paraId="00BCBE1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高压管道部分</w:t>
                  </w:r>
                </w:p>
              </w:tc>
              <w:tc>
                <w:tcPr>
                  <w:tcW w:w="2036" w:type="pct"/>
                  <w:vAlign w:val="center"/>
                </w:tcPr>
                <w:p w14:paraId="7F08E74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SUS304</w:t>
                  </w:r>
                </w:p>
              </w:tc>
              <w:tc>
                <w:tcPr>
                  <w:tcW w:w="522" w:type="pct"/>
                  <w:vAlign w:val="center"/>
                </w:tcPr>
                <w:p w14:paraId="2D3A272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44" w:type="pct"/>
                  <w:vAlign w:val="center"/>
                </w:tcPr>
                <w:p w14:paraId="4E0E78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03" w:type="pct"/>
                  <w:vAlign w:val="center"/>
                </w:tcPr>
                <w:p w14:paraId="1F96AA12">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C43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0804720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51" w:type="pct"/>
                  <w:vAlign w:val="center"/>
                </w:tcPr>
                <w:p w14:paraId="1E00482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化学清洗系统</w:t>
                  </w:r>
                </w:p>
              </w:tc>
              <w:tc>
                <w:tcPr>
                  <w:tcW w:w="2036" w:type="pct"/>
                  <w:vAlign w:val="center"/>
                </w:tcPr>
                <w:p w14:paraId="7131A9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22" w:type="pct"/>
                  <w:vAlign w:val="center"/>
                </w:tcPr>
                <w:p w14:paraId="4C3EA98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316B529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903" w:type="pct"/>
                  <w:vAlign w:val="center"/>
                </w:tcPr>
                <w:p w14:paraId="4357C950">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16AD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40" w:type="pct"/>
                  <w:vAlign w:val="center"/>
                </w:tcPr>
                <w:p w14:paraId="6FD4416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751" w:type="pct"/>
                  <w:vAlign w:val="center"/>
                </w:tcPr>
                <w:p w14:paraId="6B0AAA0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水箱</w:t>
                  </w:r>
                </w:p>
              </w:tc>
              <w:tc>
                <w:tcPr>
                  <w:tcW w:w="2036" w:type="pct"/>
                  <w:vAlign w:val="center"/>
                </w:tcPr>
                <w:p w14:paraId="2D2423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5m3，PE</w:t>
                  </w:r>
                </w:p>
              </w:tc>
              <w:tc>
                <w:tcPr>
                  <w:tcW w:w="522" w:type="pct"/>
                  <w:vAlign w:val="center"/>
                </w:tcPr>
                <w:p w14:paraId="1062694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18AC248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5F2828FC">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46A8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40" w:type="pct"/>
                  <w:vAlign w:val="center"/>
                </w:tcPr>
                <w:p w14:paraId="3CCE54E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751" w:type="pct"/>
                  <w:vAlign w:val="center"/>
                </w:tcPr>
                <w:p w14:paraId="4552FA0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清洗系统</w:t>
                  </w:r>
                </w:p>
              </w:tc>
              <w:tc>
                <w:tcPr>
                  <w:tcW w:w="2036" w:type="pct"/>
                  <w:vAlign w:val="center"/>
                </w:tcPr>
                <w:p w14:paraId="12A2444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化学清洗泵Q=80m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/h，H=40m，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br w:type="textWrapping"/>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P=22kw；含管道及其配套设施等</w:t>
                  </w:r>
                </w:p>
              </w:tc>
              <w:tc>
                <w:tcPr>
                  <w:tcW w:w="522" w:type="pct"/>
                  <w:vAlign w:val="center"/>
                </w:tcPr>
                <w:p w14:paraId="3F20C4B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051A167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03" w:type="pct"/>
                  <w:vAlign w:val="center"/>
                </w:tcPr>
                <w:p w14:paraId="4E39FD3A">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3253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40" w:type="pct"/>
                  <w:vAlign w:val="center"/>
                </w:tcPr>
                <w:p w14:paraId="59277DD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751" w:type="pct"/>
                  <w:vAlign w:val="center"/>
                </w:tcPr>
                <w:p w14:paraId="40D4897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PH调节</w:t>
                  </w:r>
                </w:p>
              </w:tc>
              <w:tc>
                <w:tcPr>
                  <w:tcW w:w="2036" w:type="pct"/>
                  <w:vAlign w:val="center"/>
                </w:tcPr>
                <w:p w14:paraId="3FE84F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PH自动调节</w:t>
                  </w:r>
                </w:p>
              </w:tc>
              <w:tc>
                <w:tcPr>
                  <w:tcW w:w="522" w:type="pct"/>
                  <w:vAlign w:val="center"/>
                </w:tcPr>
                <w:p w14:paraId="63CB8C9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116D255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903" w:type="pct"/>
                  <w:vAlign w:val="center"/>
                </w:tcPr>
                <w:p w14:paraId="478BA5C6">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726C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340" w:type="pct"/>
                  <w:vAlign w:val="center"/>
                </w:tcPr>
                <w:p w14:paraId="6453601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751" w:type="pct"/>
                  <w:vAlign w:val="center"/>
                </w:tcPr>
                <w:p w14:paraId="47576DC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电气及自动控制系统</w:t>
                  </w:r>
                </w:p>
              </w:tc>
              <w:tc>
                <w:tcPr>
                  <w:tcW w:w="2036" w:type="pct"/>
                  <w:vAlign w:val="center"/>
                </w:tcPr>
                <w:p w14:paraId="7D92C17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包括电气柜、触摸屏、压力表、pH测定仪、电导率仪表、电缆线等</w:t>
                  </w:r>
                </w:p>
              </w:tc>
              <w:tc>
                <w:tcPr>
                  <w:tcW w:w="522" w:type="pct"/>
                  <w:vAlign w:val="center"/>
                </w:tcPr>
                <w:p w14:paraId="4790627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79EE4C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438E6ECE">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0DB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7030BB7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751" w:type="pct"/>
                  <w:vAlign w:val="center"/>
                </w:tcPr>
                <w:p w14:paraId="68C83A3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氨氮吹脱系统</w:t>
                  </w:r>
                </w:p>
              </w:tc>
              <w:tc>
                <w:tcPr>
                  <w:tcW w:w="2036" w:type="pct"/>
                  <w:vAlign w:val="center"/>
                </w:tcPr>
                <w:p w14:paraId="5B9486F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包括吹脱系统及相关配套设施等</w:t>
                  </w:r>
                </w:p>
              </w:tc>
              <w:tc>
                <w:tcPr>
                  <w:tcW w:w="522" w:type="pct"/>
                  <w:vAlign w:val="center"/>
                </w:tcPr>
                <w:p w14:paraId="6B6553C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7FAB039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4C33D2D6">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0776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40" w:type="pct"/>
                  <w:vAlign w:val="center"/>
                </w:tcPr>
                <w:p w14:paraId="317BAB8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751" w:type="pct"/>
                  <w:vAlign w:val="center"/>
                </w:tcPr>
                <w:p w14:paraId="3C1BDD0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管道系统及支架</w:t>
                  </w:r>
                </w:p>
              </w:tc>
              <w:tc>
                <w:tcPr>
                  <w:tcW w:w="2036" w:type="pct"/>
                  <w:vAlign w:val="center"/>
                </w:tcPr>
                <w:p w14:paraId="0DFF959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管道、阀门、支架等组件</w:t>
                  </w:r>
                </w:p>
              </w:tc>
              <w:tc>
                <w:tcPr>
                  <w:tcW w:w="522" w:type="pct"/>
                  <w:vAlign w:val="center"/>
                </w:tcPr>
                <w:p w14:paraId="5DA817F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109FCA3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4F62EAFB">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CDB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40" w:type="pct"/>
                  <w:vAlign w:val="center"/>
                </w:tcPr>
                <w:p w14:paraId="50FAB00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751" w:type="pct"/>
                  <w:vAlign w:val="center"/>
                </w:tcPr>
                <w:p w14:paraId="0786C71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回灌系统</w:t>
                  </w:r>
                </w:p>
              </w:tc>
              <w:tc>
                <w:tcPr>
                  <w:tcW w:w="2036" w:type="pct"/>
                  <w:vAlign w:val="center"/>
                </w:tcPr>
                <w:p w14:paraId="6335080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回灌泵Q=35m³/h，H=60m Pn=7.5kW，含管道及其配套设施等</w:t>
                  </w:r>
                </w:p>
              </w:tc>
              <w:tc>
                <w:tcPr>
                  <w:tcW w:w="522" w:type="pct"/>
                  <w:vAlign w:val="center"/>
                </w:tcPr>
                <w:p w14:paraId="25BC787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44" w:type="pct"/>
                  <w:vAlign w:val="center"/>
                </w:tcPr>
                <w:p w14:paraId="362D063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套</w:t>
                  </w:r>
                </w:p>
              </w:tc>
              <w:tc>
                <w:tcPr>
                  <w:tcW w:w="903" w:type="pct"/>
                  <w:vAlign w:val="center"/>
                </w:tcPr>
                <w:p w14:paraId="0D25825B">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w:t>
                  </w:r>
                </w:p>
              </w:tc>
            </w:tr>
          </w:tbl>
          <w:p w14:paraId="6263E9B2">
            <w:pPr>
              <w:spacing w:line="360" w:lineRule="auto"/>
              <w:ind w:firstLine="482" w:firstLineChars="200"/>
              <w:rPr>
                <w:rFonts w:hint="default" w:ascii="Times New Roman" w:hAnsi="Times New Roman" w:eastAsia="宋体" w:cs="Times New Roman"/>
                <w:b/>
                <w:bCs/>
                <w:color w:val="000000" w:themeColor="text1"/>
                <w:sz w:val="24"/>
                <w:lang w:val="en-US"/>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lang w:val="en-US"/>
                <w14:textFill>
                  <w14:solidFill>
                    <w14:schemeClr w14:val="tx1"/>
                  </w14:solidFill>
                </w14:textFill>
              </w:rPr>
              <w:t>服务范围及处理规模</w:t>
            </w:r>
          </w:p>
          <w:p w14:paraId="00A418EC">
            <w:pPr>
              <w:pStyle w:val="3"/>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14:textFill>
                  <w14:solidFill>
                    <w14:schemeClr w14:val="tx1"/>
                  </w14:solidFill>
                </w14:textFill>
              </w:rPr>
              <w:t>服务范围</w:t>
            </w:r>
          </w:p>
          <w:p w14:paraId="07D8173D">
            <w:pPr>
              <w:pStyle w:val="3"/>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本工程服务范围为</w:t>
            </w:r>
            <w:r>
              <w:rPr>
                <w:rFonts w:hint="default" w:ascii="Times New Roman" w:hAnsi="Times New Roman" w:cs="Times New Roman"/>
                <w:color w:val="000000" w:themeColor="text1"/>
                <w14:textFill>
                  <w14:solidFill>
                    <w14:schemeClr w14:val="tx1"/>
                  </w14:solidFill>
                </w14:textFill>
              </w:rPr>
              <w:t>芒市</w:t>
            </w:r>
            <w:r>
              <w:rPr>
                <w:rFonts w:hint="default" w:ascii="Times New Roman" w:hAnsi="Times New Roman" w:cs="Times New Roman"/>
                <w:color w:val="000000" w:themeColor="text1"/>
                <w:lang w:eastAsia="zh-CN"/>
                <w14:textFill>
                  <w14:solidFill>
                    <w14:schemeClr w14:val="tx1"/>
                  </w14:solidFill>
                </w14:textFill>
              </w:rPr>
              <w:t>生活垃圾填埋场</w:t>
            </w:r>
            <w:r>
              <w:rPr>
                <w:rFonts w:hint="eastAsia" w:ascii="Times New Roman" w:hAnsi="Times New Roman" w:cs="Times New Roman"/>
                <w:color w:val="000000" w:themeColor="text1"/>
                <w:lang w:val="en-US" w:eastAsia="zh-CN"/>
                <w14:textFill>
                  <w14:solidFill>
                    <w14:schemeClr w14:val="tx1"/>
                  </w14:solidFill>
                </w14:textFill>
              </w:rPr>
              <w:t>原有渗滤液处理设备能力不足时，启动使用，共同与原有设备一起处理垃圾场</w:t>
            </w:r>
            <w:r>
              <w:rPr>
                <w:rFonts w:hint="default" w:ascii="Times New Roman" w:hAnsi="Times New Roman" w:cs="Times New Roman"/>
                <w:color w:val="000000" w:themeColor="text1"/>
                <w:lang w:val="en-US"/>
                <w14:textFill>
                  <w14:solidFill>
                    <w14:schemeClr w14:val="tx1"/>
                  </w14:solidFill>
                </w14:textFill>
              </w:rPr>
              <w:t>内</w:t>
            </w:r>
            <w:r>
              <w:rPr>
                <w:rFonts w:hint="eastAsia" w:ascii="Times New Roman" w:hAnsi="Times New Roman" w:cs="Times New Roman"/>
                <w:color w:val="000000" w:themeColor="text1"/>
                <w:lang w:val="en-US" w:eastAsia="zh-CN"/>
                <w14:textFill>
                  <w14:solidFill>
                    <w14:schemeClr w14:val="tx1"/>
                  </w14:solidFill>
                </w14:textFill>
              </w:rPr>
              <w:t>的</w:t>
            </w:r>
            <w:r>
              <w:rPr>
                <w:rFonts w:hint="default" w:ascii="Times New Roman" w:hAnsi="Times New Roman" w:cs="Times New Roman"/>
                <w:color w:val="000000" w:themeColor="text1"/>
                <w:lang w:val="en-US"/>
                <w14:textFill>
                  <w14:solidFill>
                    <w14:schemeClr w14:val="tx1"/>
                  </w14:solidFill>
                </w14:textFill>
              </w:rPr>
              <w:t>垃圾渗滤液。</w:t>
            </w:r>
          </w:p>
          <w:p w14:paraId="0F305343">
            <w:pPr>
              <w:pStyle w:val="3"/>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14:textFill>
                  <w14:solidFill>
                    <w14:schemeClr w14:val="tx1"/>
                  </w14:solidFill>
                </w14:textFill>
              </w:rPr>
              <w:t>处理规模</w:t>
            </w:r>
          </w:p>
          <w:p w14:paraId="404C8315">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本项目实施后，</w:t>
            </w:r>
            <w:r>
              <w:rPr>
                <w:rFonts w:hint="default" w:ascii="Times New Roman" w:hAnsi="Times New Roman" w:cs="Times New Roman"/>
                <w:color w:val="000000" w:themeColor="text1"/>
                <w:lang w:eastAsia="zh-CN"/>
                <w14:textFill>
                  <w14:solidFill>
                    <w14:schemeClr w14:val="tx1"/>
                  </w14:solidFill>
                </w14:textFill>
              </w:rPr>
              <w:t>填埋场</w:t>
            </w:r>
            <w:r>
              <w:rPr>
                <w:rFonts w:hint="default" w:ascii="Times New Roman" w:hAnsi="Times New Roman" w:cs="Times New Roman"/>
                <w:color w:val="000000" w:themeColor="text1"/>
                <w:lang w:val="en-US"/>
                <w14:textFill>
                  <w14:solidFill>
                    <w14:schemeClr w14:val="tx1"/>
                  </w14:solidFill>
                </w14:textFill>
              </w:rPr>
              <w:t>垃圾渗滤液设计处理能力</w:t>
            </w:r>
            <w:r>
              <w:rPr>
                <w:rFonts w:hint="default" w:ascii="Times New Roman" w:hAnsi="Times New Roman" w:cs="Times New Roman"/>
                <w:color w:val="000000" w:themeColor="text1"/>
                <w:lang w:val="en-US" w:eastAsia="zh-CN"/>
                <w14:textFill>
                  <w14:solidFill>
                    <w14:schemeClr w14:val="tx1"/>
                  </w14:solidFill>
                </w14:textFill>
              </w:rPr>
              <w:t>150</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lang w:val="en-US" w:eastAsia="zh-CN"/>
                <w14:textFill>
                  <w14:solidFill>
                    <w14:schemeClr w14:val="tx1"/>
                  </w14:solidFill>
                </w14:textFill>
              </w:rPr>
              <w:t>/d。</w:t>
            </w:r>
          </w:p>
          <w:p w14:paraId="641E15CC">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表2-4 本项目实施前后垃圾填埋场渗滤液处理能力变化情况</w:t>
            </w:r>
          </w:p>
          <w:tbl>
            <w:tblPr>
              <w:tblStyle w:val="28"/>
              <w:tblW w:w="7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965"/>
              <w:gridCol w:w="1966"/>
              <w:gridCol w:w="1966"/>
            </w:tblGrid>
            <w:tr w14:paraId="5724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248" w:type="pct"/>
                  <w:noWrap w:val="0"/>
                  <w:vAlign w:val="center"/>
                </w:tcPr>
                <w:p w14:paraId="60CDE7AC">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主要内容</w:t>
                  </w:r>
                </w:p>
              </w:tc>
              <w:tc>
                <w:tcPr>
                  <w:tcW w:w="1250" w:type="pct"/>
                  <w:noWrap w:val="0"/>
                  <w:vAlign w:val="center"/>
                </w:tcPr>
                <w:p w14:paraId="46749688">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单位</w:t>
                  </w:r>
                </w:p>
              </w:tc>
              <w:tc>
                <w:tcPr>
                  <w:tcW w:w="1250" w:type="pct"/>
                  <w:noWrap w:val="0"/>
                  <w:vAlign w:val="center"/>
                </w:tcPr>
                <w:p w14:paraId="21FAC1B1">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规模</w:t>
                  </w:r>
                </w:p>
              </w:tc>
              <w:tc>
                <w:tcPr>
                  <w:tcW w:w="1250" w:type="pct"/>
                  <w:noWrap w:val="0"/>
                  <w:vAlign w:val="center"/>
                </w:tcPr>
                <w:p w14:paraId="3D70CEEC">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备注</w:t>
                  </w:r>
                </w:p>
              </w:tc>
            </w:tr>
            <w:tr w14:paraId="4395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48" w:type="pct"/>
                  <w:noWrap w:val="0"/>
                  <w:vAlign w:val="center"/>
                </w:tcPr>
                <w:p w14:paraId="02E27239">
                  <w:pPr>
                    <w:pStyle w:val="71"/>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14:textFill>
                        <w14:solidFill>
                          <w14:schemeClr w14:val="tx1"/>
                        </w14:solidFill>
                      </w14:textFill>
                    </w:rPr>
                    <w:t>渗滤液处理</w:t>
                  </w:r>
                  <w:r>
                    <w:rPr>
                      <w:rFonts w:hint="eastAsia" w:ascii="Times New Roman" w:hAnsi="Times New Roman" w:eastAsia="宋体" w:cs="Times New Roman"/>
                      <w:color w:val="000000" w:themeColor="text1"/>
                      <w:lang w:val="en-US" w:eastAsia="zh-CN"/>
                      <w14:textFill>
                        <w14:solidFill>
                          <w14:schemeClr w14:val="tx1"/>
                        </w14:solidFill>
                      </w14:textFill>
                    </w:rPr>
                    <w:t>设备</w:t>
                  </w:r>
                </w:p>
              </w:tc>
              <w:tc>
                <w:tcPr>
                  <w:tcW w:w="1250" w:type="pct"/>
                  <w:noWrap w:val="0"/>
                  <w:vAlign w:val="center"/>
                </w:tcPr>
                <w:p w14:paraId="689C8828">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m³</w:t>
                  </w:r>
                  <w:r>
                    <w:rPr>
                      <w:rFonts w:hint="default" w:ascii="Times New Roman" w:hAnsi="Times New Roman" w:eastAsia="宋体" w:cs="Times New Roman"/>
                      <w:color w:val="000000" w:themeColor="text1"/>
                      <w:lang w:val="en-US" w:eastAsia="zh-CN"/>
                      <w14:textFill>
                        <w14:solidFill>
                          <w14:schemeClr w14:val="tx1"/>
                        </w14:solidFill>
                      </w14:textFill>
                    </w:rPr>
                    <w:t>/d</w:t>
                  </w:r>
                </w:p>
              </w:tc>
              <w:tc>
                <w:tcPr>
                  <w:tcW w:w="1250" w:type="pct"/>
                  <w:noWrap w:val="0"/>
                  <w:vAlign w:val="center"/>
                </w:tcPr>
                <w:p w14:paraId="606DA1F2">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150</w:t>
                  </w:r>
                </w:p>
              </w:tc>
              <w:tc>
                <w:tcPr>
                  <w:tcW w:w="1250" w:type="pct"/>
                  <w:noWrap w:val="0"/>
                  <w:vAlign w:val="center"/>
                </w:tcPr>
                <w:p w14:paraId="36595232">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新增</w:t>
                  </w:r>
                </w:p>
              </w:tc>
            </w:tr>
          </w:tbl>
          <w:p w14:paraId="159E36D4">
            <w:pPr>
              <w:widowControl/>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val="en-US" w:eastAsia="zh-CN" w:bidi="ar"/>
                <w14:textFill>
                  <w14:solidFill>
                    <w14:schemeClr w14:val="tx1"/>
                  </w14:solidFill>
                </w14:textFill>
              </w:rPr>
              <w:t>6</w:t>
            </w:r>
            <w:r>
              <w:rPr>
                <w:rFonts w:hint="default" w:ascii="Times New Roman" w:hAnsi="Times New Roman" w:eastAsia="宋体" w:cs="Times New Roman"/>
                <w:b/>
                <w:color w:val="000000" w:themeColor="text1"/>
                <w:sz w:val="24"/>
                <w:lang w:bidi="ar"/>
                <w14:textFill>
                  <w14:solidFill>
                    <w14:schemeClr w14:val="tx1"/>
                  </w14:solidFill>
                </w14:textFill>
              </w:rPr>
              <w:t>、原辅材料使用情况</w:t>
            </w:r>
          </w:p>
          <w:p w14:paraId="5FB9E46C">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项目原辅料使用情况详见表2-</w:t>
            </w:r>
            <w:r>
              <w:rPr>
                <w:rFonts w:hint="default" w:ascii="Times New Roman" w:hAnsi="Times New Roman" w:eastAsia="宋体" w:cs="Times New Roman"/>
                <w:color w:val="000000" w:themeColor="text1"/>
                <w:sz w:val="24"/>
                <w:lang w:val="en-US" w:eastAsia="zh-CN" w:bidi="ar"/>
                <w14:textFill>
                  <w14:solidFill>
                    <w14:schemeClr w14:val="tx1"/>
                  </w14:solidFill>
                </w14:textFill>
              </w:rPr>
              <w:t>5</w:t>
            </w:r>
            <w:r>
              <w:rPr>
                <w:rFonts w:hint="default" w:ascii="Times New Roman" w:hAnsi="Times New Roman" w:eastAsia="宋体" w:cs="Times New Roman"/>
                <w:color w:val="000000" w:themeColor="text1"/>
                <w:sz w:val="24"/>
                <w:lang w:bidi="ar"/>
                <w14:textFill>
                  <w14:solidFill>
                    <w14:schemeClr w14:val="tx1"/>
                  </w14:solidFill>
                </w14:textFill>
              </w:rPr>
              <w:t>所示。</w:t>
            </w:r>
          </w:p>
          <w:p w14:paraId="5EB3F55B">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表2-5   主要原辅料消耗情况一览表</w:t>
            </w:r>
          </w:p>
          <w:tbl>
            <w:tblPr>
              <w:tblStyle w:val="27"/>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367"/>
              <w:gridCol w:w="1839"/>
              <w:gridCol w:w="2387"/>
            </w:tblGrid>
            <w:tr w14:paraId="5B43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8" w:type="pct"/>
                  <w:noWrap w:val="0"/>
                  <w:vAlign w:val="center"/>
                </w:tcPr>
                <w:p w14:paraId="33DBE207">
                  <w:pPr>
                    <w:pStyle w:val="7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565" w:type="pct"/>
                  <w:noWrap w:val="0"/>
                  <w:vAlign w:val="center"/>
                </w:tcPr>
                <w:p w14:paraId="73A11DC0">
                  <w:pPr>
                    <w:pStyle w:val="71"/>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名称</w:t>
                  </w:r>
                </w:p>
              </w:tc>
              <w:tc>
                <w:tcPr>
                  <w:tcW w:w="1216" w:type="pct"/>
                  <w:noWrap w:val="0"/>
                  <w:vAlign w:val="center"/>
                </w:tcPr>
                <w:p w14:paraId="161DCE66">
                  <w:pPr>
                    <w:pStyle w:val="71"/>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年用量</w:t>
                  </w:r>
                  <w:r>
                    <w:rPr>
                      <w:rFonts w:hint="default" w:ascii="Times New Roman" w:hAnsi="Times New Roman" w:cs="Times New Roman"/>
                      <w:color w:val="000000" w:themeColor="text1"/>
                      <w14:textFill>
                        <w14:solidFill>
                          <w14:schemeClr w14:val="tx1"/>
                        </w14:solidFill>
                      </w14:textFill>
                    </w:rPr>
                    <w:t>t/a</w:t>
                  </w:r>
                </w:p>
              </w:tc>
              <w:tc>
                <w:tcPr>
                  <w:tcW w:w="1579" w:type="pct"/>
                  <w:noWrap w:val="0"/>
                  <w:vAlign w:val="center"/>
                </w:tcPr>
                <w:p w14:paraId="00196173">
                  <w:pPr>
                    <w:pStyle w:val="71"/>
                    <w:bidi w:val="0"/>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最大储存量</w:t>
                  </w:r>
                  <w:r>
                    <w:rPr>
                      <w:rFonts w:hint="eastAsia" w:ascii="Times New Roman" w:hAnsi="Times New Roman" w:cs="Times New Roman"/>
                      <w:color w:val="000000" w:themeColor="text1"/>
                      <w:lang w:val="en-US" w:eastAsia="zh-CN"/>
                      <w14:textFill>
                        <w14:solidFill>
                          <w14:schemeClr w14:val="tx1"/>
                        </w14:solidFill>
                      </w14:textFill>
                    </w:rPr>
                    <w:t>kg</w:t>
                  </w:r>
                </w:p>
              </w:tc>
            </w:tr>
            <w:tr w14:paraId="75C2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1A54D4FC">
                  <w:pPr>
                    <w:pStyle w:val="71"/>
                    <w:bidi w:val="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p>
              </w:tc>
              <w:tc>
                <w:tcPr>
                  <w:tcW w:w="1565" w:type="pct"/>
                  <w:noWrap w:val="0"/>
                  <w:vAlign w:val="center"/>
                </w:tcPr>
                <w:p w14:paraId="2B1974E1">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PAM</w:t>
                  </w:r>
                </w:p>
              </w:tc>
              <w:tc>
                <w:tcPr>
                  <w:tcW w:w="1216" w:type="pct"/>
                  <w:noWrap w:val="0"/>
                  <w:vAlign w:val="center"/>
                </w:tcPr>
                <w:p w14:paraId="202C8AD5">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0.2</w:t>
                  </w:r>
                </w:p>
              </w:tc>
              <w:tc>
                <w:tcPr>
                  <w:tcW w:w="1579" w:type="pct"/>
                  <w:noWrap w:val="0"/>
                  <w:vAlign w:val="center"/>
                </w:tcPr>
                <w:p w14:paraId="1B34AD40">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50</w:t>
                  </w:r>
                </w:p>
              </w:tc>
            </w:tr>
            <w:tr w14:paraId="1316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38" w:type="pct"/>
                  <w:noWrap w:val="0"/>
                  <w:vAlign w:val="center"/>
                </w:tcPr>
                <w:p w14:paraId="6340544B">
                  <w:pPr>
                    <w:pStyle w:val="71"/>
                    <w:bidi w:val="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1565" w:type="pct"/>
                  <w:noWrap w:val="0"/>
                  <w:vAlign w:val="center"/>
                </w:tcPr>
                <w:p w14:paraId="3669E3E9">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次氯酸钠</w:t>
                  </w:r>
                </w:p>
              </w:tc>
              <w:tc>
                <w:tcPr>
                  <w:tcW w:w="1216" w:type="pct"/>
                  <w:noWrap w:val="0"/>
                  <w:vAlign w:val="center"/>
                </w:tcPr>
                <w:p w14:paraId="67F11AC0">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0.8</w:t>
                  </w:r>
                </w:p>
              </w:tc>
              <w:tc>
                <w:tcPr>
                  <w:tcW w:w="1579" w:type="pct"/>
                  <w:noWrap w:val="0"/>
                  <w:vAlign w:val="center"/>
                </w:tcPr>
                <w:p w14:paraId="18CAA53E">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200</w:t>
                  </w:r>
                </w:p>
              </w:tc>
            </w:tr>
            <w:tr w14:paraId="05A1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77C339FA">
                  <w:pPr>
                    <w:pStyle w:val="71"/>
                    <w:bidi w:val="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1565" w:type="pct"/>
                  <w:noWrap w:val="0"/>
                  <w:vAlign w:val="center"/>
                </w:tcPr>
                <w:p w14:paraId="1220619D">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碳酸钠</w:t>
                  </w:r>
                </w:p>
              </w:tc>
              <w:tc>
                <w:tcPr>
                  <w:tcW w:w="1216" w:type="pct"/>
                  <w:noWrap w:val="0"/>
                  <w:vAlign w:val="center"/>
                </w:tcPr>
                <w:p w14:paraId="4BD7185E">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3.2</w:t>
                  </w:r>
                </w:p>
              </w:tc>
              <w:tc>
                <w:tcPr>
                  <w:tcW w:w="1579" w:type="pct"/>
                  <w:noWrap w:val="0"/>
                  <w:vAlign w:val="center"/>
                </w:tcPr>
                <w:p w14:paraId="30C7F292">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800</w:t>
                  </w:r>
                </w:p>
              </w:tc>
            </w:tr>
            <w:tr w14:paraId="72DA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5AB7ACCF">
                  <w:pPr>
                    <w:pStyle w:val="71"/>
                    <w:bidi w:val="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4</w:t>
                  </w:r>
                </w:p>
              </w:tc>
              <w:tc>
                <w:tcPr>
                  <w:tcW w:w="1565" w:type="pct"/>
                  <w:noWrap w:val="0"/>
                  <w:vAlign w:val="center"/>
                </w:tcPr>
                <w:p w14:paraId="37B99D9A">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PAC</w:t>
                  </w:r>
                </w:p>
              </w:tc>
              <w:tc>
                <w:tcPr>
                  <w:tcW w:w="1216" w:type="pct"/>
                  <w:noWrap w:val="0"/>
                  <w:vAlign w:val="center"/>
                </w:tcPr>
                <w:p w14:paraId="7F31ECA7">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2.4</w:t>
                  </w:r>
                </w:p>
              </w:tc>
              <w:tc>
                <w:tcPr>
                  <w:tcW w:w="1579" w:type="pct"/>
                  <w:noWrap w:val="0"/>
                  <w:vAlign w:val="center"/>
                </w:tcPr>
                <w:p w14:paraId="13A3D8D0">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600</w:t>
                  </w:r>
                </w:p>
              </w:tc>
            </w:tr>
            <w:tr w14:paraId="166D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34EE1A68">
                  <w:pPr>
                    <w:pStyle w:val="71"/>
                    <w:bidi w:val="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5</w:t>
                  </w:r>
                </w:p>
              </w:tc>
              <w:tc>
                <w:tcPr>
                  <w:tcW w:w="1565" w:type="pct"/>
                  <w:noWrap w:val="0"/>
                  <w:vAlign w:val="center"/>
                </w:tcPr>
                <w:p w14:paraId="432C45E4">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柠檬酸</w:t>
                  </w:r>
                </w:p>
              </w:tc>
              <w:tc>
                <w:tcPr>
                  <w:tcW w:w="1216" w:type="pct"/>
                  <w:noWrap w:val="0"/>
                  <w:vAlign w:val="center"/>
                </w:tcPr>
                <w:p w14:paraId="5F16811E">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0.4</w:t>
                  </w:r>
                </w:p>
              </w:tc>
              <w:tc>
                <w:tcPr>
                  <w:tcW w:w="1579" w:type="pct"/>
                  <w:noWrap w:val="0"/>
                  <w:vAlign w:val="center"/>
                </w:tcPr>
                <w:p w14:paraId="6A8AA043">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100</w:t>
                  </w:r>
                </w:p>
              </w:tc>
            </w:tr>
            <w:tr w14:paraId="499B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11572385">
                  <w:pPr>
                    <w:pStyle w:val="71"/>
                    <w:bidi w:val="0"/>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6</w:t>
                  </w:r>
                </w:p>
              </w:tc>
              <w:tc>
                <w:tcPr>
                  <w:tcW w:w="1565" w:type="pct"/>
                  <w:noWrap w:val="0"/>
                  <w:vAlign w:val="center"/>
                </w:tcPr>
                <w:p w14:paraId="6EFFD48B">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氢氧化钠</w:t>
                  </w:r>
                </w:p>
              </w:tc>
              <w:tc>
                <w:tcPr>
                  <w:tcW w:w="1216" w:type="pct"/>
                  <w:noWrap w:val="0"/>
                  <w:vAlign w:val="center"/>
                </w:tcPr>
                <w:p w14:paraId="6B930634">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0.9</w:t>
                  </w:r>
                </w:p>
              </w:tc>
              <w:tc>
                <w:tcPr>
                  <w:tcW w:w="1579" w:type="pct"/>
                  <w:noWrap w:val="0"/>
                  <w:vAlign w:val="center"/>
                </w:tcPr>
                <w:p w14:paraId="7E60184E">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225</w:t>
                  </w:r>
                </w:p>
              </w:tc>
            </w:tr>
            <w:tr w14:paraId="2B8E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4CC0875E">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7</w:t>
                  </w:r>
                </w:p>
              </w:tc>
              <w:tc>
                <w:tcPr>
                  <w:tcW w:w="1565" w:type="pct"/>
                  <w:noWrap w:val="0"/>
                  <w:vAlign w:val="center"/>
                </w:tcPr>
                <w:p w14:paraId="19A29061">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葡萄糖</w:t>
                  </w:r>
                </w:p>
              </w:tc>
              <w:tc>
                <w:tcPr>
                  <w:tcW w:w="1216" w:type="pct"/>
                  <w:noWrap w:val="0"/>
                  <w:vAlign w:val="center"/>
                </w:tcPr>
                <w:p w14:paraId="1F8EF70C">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3.3</w:t>
                  </w:r>
                </w:p>
              </w:tc>
              <w:tc>
                <w:tcPr>
                  <w:tcW w:w="1579" w:type="pct"/>
                  <w:noWrap w:val="0"/>
                  <w:vAlign w:val="center"/>
                </w:tcPr>
                <w:p w14:paraId="7735D6B0">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825</w:t>
                  </w:r>
                </w:p>
              </w:tc>
            </w:tr>
            <w:tr w14:paraId="5415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4FFAEBC4">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8</w:t>
                  </w:r>
                </w:p>
              </w:tc>
              <w:tc>
                <w:tcPr>
                  <w:tcW w:w="1565" w:type="pct"/>
                  <w:noWrap w:val="0"/>
                  <w:vAlign w:val="center"/>
                </w:tcPr>
                <w:p w14:paraId="4929402A">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膜保护剂</w:t>
                  </w:r>
                </w:p>
              </w:tc>
              <w:tc>
                <w:tcPr>
                  <w:tcW w:w="1216" w:type="pct"/>
                  <w:noWrap w:val="0"/>
                  <w:vAlign w:val="center"/>
                </w:tcPr>
                <w:p w14:paraId="736DD4E0">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1.7</w:t>
                  </w:r>
                </w:p>
              </w:tc>
              <w:tc>
                <w:tcPr>
                  <w:tcW w:w="1579" w:type="pct"/>
                  <w:noWrap w:val="0"/>
                  <w:vAlign w:val="center"/>
                </w:tcPr>
                <w:p w14:paraId="6652E64F">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425</w:t>
                  </w:r>
                </w:p>
              </w:tc>
            </w:tr>
            <w:tr w14:paraId="75D8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64CD3733">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9</w:t>
                  </w:r>
                </w:p>
              </w:tc>
              <w:tc>
                <w:tcPr>
                  <w:tcW w:w="1565" w:type="pct"/>
                  <w:noWrap w:val="0"/>
                  <w:vAlign w:val="center"/>
                </w:tcPr>
                <w:p w14:paraId="08974AD5">
                  <w:pPr>
                    <w:pStyle w:val="71"/>
                    <w:bidi w:val="0"/>
                    <w:jc w:val="center"/>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阻垢剂</w:t>
                  </w:r>
                </w:p>
              </w:tc>
              <w:tc>
                <w:tcPr>
                  <w:tcW w:w="1216" w:type="pct"/>
                  <w:noWrap w:val="0"/>
                  <w:vAlign w:val="center"/>
                </w:tcPr>
                <w:p w14:paraId="60F83849">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1579" w:type="pct"/>
                  <w:noWrap w:val="0"/>
                  <w:vAlign w:val="center"/>
                </w:tcPr>
                <w:p w14:paraId="0C6A7703">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750</w:t>
                  </w:r>
                </w:p>
              </w:tc>
            </w:tr>
            <w:tr w14:paraId="6945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2E96A8F9">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10</w:t>
                  </w:r>
                </w:p>
              </w:tc>
              <w:tc>
                <w:tcPr>
                  <w:tcW w:w="1565" w:type="pct"/>
                  <w:noWrap w:val="0"/>
                  <w:vAlign w:val="center"/>
                </w:tcPr>
                <w:p w14:paraId="6390EAE8">
                  <w:pPr>
                    <w:pStyle w:val="71"/>
                    <w:bidi w:val="0"/>
                    <w:jc w:val="center"/>
                    <w:rPr>
                      <w:rFonts w:hint="default" w:ascii="Times New Roman" w:hAnsi="Times New Roman" w:eastAsia="宋体"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污染去除剂</w:t>
                  </w:r>
                </w:p>
              </w:tc>
              <w:tc>
                <w:tcPr>
                  <w:tcW w:w="1216" w:type="pct"/>
                  <w:noWrap w:val="0"/>
                  <w:vAlign w:val="center"/>
                </w:tcPr>
                <w:p w14:paraId="5AF30C93">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1579" w:type="pct"/>
                  <w:noWrap w:val="0"/>
                  <w:vAlign w:val="center"/>
                </w:tcPr>
                <w:p w14:paraId="300EEBE5">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750</w:t>
                  </w:r>
                </w:p>
              </w:tc>
            </w:tr>
            <w:tr w14:paraId="4FB1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6B216B2C">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11</w:t>
                  </w:r>
                </w:p>
              </w:tc>
              <w:tc>
                <w:tcPr>
                  <w:tcW w:w="1565" w:type="pct"/>
                  <w:noWrap w:val="0"/>
                  <w:vAlign w:val="center"/>
                </w:tcPr>
                <w:p w14:paraId="6DBC25B8">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酸洗中和剂</w:t>
                  </w:r>
                </w:p>
              </w:tc>
              <w:tc>
                <w:tcPr>
                  <w:tcW w:w="1216" w:type="pct"/>
                  <w:noWrap w:val="0"/>
                  <w:vAlign w:val="center"/>
                </w:tcPr>
                <w:p w14:paraId="2486BA06">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0.6</w:t>
                  </w:r>
                </w:p>
              </w:tc>
              <w:tc>
                <w:tcPr>
                  <w:tcW w:w="1579" w:type="pct"/>
                  <w:noWrap w:val="0"/>
                  <w:vAlign w:val="center"/>
                </w:tcPr>
                <w:p w14:paraId="390C96EA">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150</w:t>
                  </w:r>
                </w:p>
              </w:tc>
            </w:tr>
            <w:tr w14:paraId="2C92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71BC3836">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12</w:t>
                  </w:r>
                </w:p>
              </w:tc>
              <w:tc>
                <w:tcPr>
                  <w:tcW w:w="1565" w:type="pct"/>
                  <w:noWrap w:val="0"/>
                  <w:vAlign w:val="center"/>
                </w:tcPr>
                <w:p w14:paraId="55C8B927">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碱洗中和剂</w:t>
                  </w:r>
                </w:p>
              </w:tc>
              <w:tc>
                <w:tcPr>
                  <w:tcW w:w="1216" w:type="pct"/>
                  <w:noWrap w:val="0"/>
                  <w:vAlign w:val="center"/>
                </w:tcPr>
                <w:p w14:paraId="68FC11B3">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0.6</w:t>
                  </w:r>
                </w:p>
              </w:tc>
              <w:tc>
                <w:tcPr>
                  <w:tcW w:w="1579" w:type="pct"/>
                  <w:noWrap w:val="0"/>
                  <w:vAlign w:val="center"/>
                </w:tcPr>
                <w:p w14:paraId="38EAE1B8">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150</w:t>
                  </w:r>
                </w:p>
              </w:tc>
            </w:tr>
            <w:tr w14:paraId="0C4B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22ADDED7">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13</w:t>
                  </w:r>
                </w:p>
              </w:tc>
              <w:tc>
                <w:tcPr>
                  <w:tcW w:w="1565" w:type="pct"/>
                  <w:noWrap w:val="0"/>
                  <w:vAlign w:val="center"/>
                </w:tcPr>
                <w:p w14:paraId="309E8FEE">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清洗剂</w:t>
                  </w:r>
                </w:p>
              </w:tc>
              <w:tc>
                <w:tcPr>
                  <w:tcW w:w="1216" w:type="pct"/>
                  <w:noWrap w:val="0"/>
                  <w:vAlign w:val="center"/>
                </w:tcPr>
                <w:p w14:paraId="6DC3CEA8">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1579" w:type="pct"/>
                  <w:noWrap w:val="0"/>
                  <w:vAlign w:val="center"/>
                </w:tcPr>
                <w:p w14:paraId="363D6563">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750</w:t>
                  </w:r>
                </w:p>
              </w:tc>
            </w:tr>
            <w:tr w14:paraId="480A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479F516D">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14</w:t>
                  </w:r>
                </w:p>
              </w:tc>
              <w:tc>
                <w:tcPr>
                  <w:tcW w:w="1565" w:type="pct"/>
                  <w:noWrap w:val="0"/>
                  <w:vAlign w:val="center"/>
                </w:tcPr>
                <w:p w14:paraId="22BC5A3B">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 xml:space="preserve">硫酸                                                                                                                                                                                                                                                                                                                                                                                                                                                                                                                                                                                                                                                                                                                                                                                                                                                                                                                                                                                                                                                                                                                                                                                                                                                                                                                                                                                                                                                                                                                                                                                                                                                                                                                                                                                                                                                                                                                                                                                                                                                                                                                                                                                                                                                                                                                                                                                                                                                                                                                                                                                                                                                                                                                                                                                                                                                                                                                                                                                                                                                                                                                                                                                                                                                                                                                                                                                                                                                                                                                                                                                                                                                                                                                                                                                              </w:t>
                  </w:r>
                </w:p>
              </w:tc>
              <w:tc>
                <w:tcPr>
                  <w:tcW w:w="1216" w:type="pct"/>
                  <w:noWrap w:val="0"/>
                  <w:vAlign w:val="center"/>
                </w:tcPr>
                <w:p w14:paraId="5C0E0911">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30</w:t>
                  </w:r>
                </w:p>
              </w:tc>
              <w:tc>
                <w:tcPr>
                  <w:tcW w:w="1579" w:type="pct"/>
                  <w:noWrap w:val="0"/>
                  <w:vAlign w:val="center"/>
                </w:tcPr>
                <w:p w14:paraId="0EA79ABE">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10</w:t>
                  </w:r>
                </w:p>
              </w:tc>
            </w:tr>
            <w:tr w14:paraId="6FA34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8" w:type="pct"/>
                  <w:noWrap w:val="0"/>
                  <w:vAlign w:val="center"/>
                </w:tcPr>
                <w:p w14:paraId="23BB097B">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15</w:t>
                  </w:r>
                </w:p>
              </w:tc>
              <w:tc>
                <w:tcPr>
                  <w:tcW w:w="1565" w:type="pct"/>
                  <w:noWrap w:val="0"/>
                  <w:vAlign w:val="center"/>
                </w:tcPr>
                <w:p w14:paraId="23C5271E">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水</w:t>
                  </w:r>
                </w:p>
              </w:tc>
              <w:tc>
                <w:tcPr>
                  <w:tcW w:w="2795" w:type="pct"/>
                  <w:gridSpan w:val="2"/>
                  <w:noWrap w:val="0"/>
                  <w:vAlign w:val="center"/>
                </w:tcPr>
                <w:p w14:paraId="768CFBC4">
                  <w:pPr>
                    <w:pStyle w:val="71"/>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r w14:paraId="4335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38" w:type="pct"/>
                  <w:noWrap w:val="0"/>
                  <w:vAlign w:val="center"/>
                </w:tcPr>
                <w:p w14:paraId="1EAB31D7">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16</w:t>
                  </w:r>
                </w:p>
              </w:tc>
              <w:tc>
                <w:tcPr>
                  <w:tcW w:w="1565" w:type="pct"/>
                  <w:noWrap w:val="0"/>
                  <w:vAlign w:val="center"/>
                </w:tcPr>
                <w:p w14:paraId="5DD9BB22">
                  <w:pPr>
                    <w:pStyle w:val="71"/>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电</w:t>
                  </w:r>
                </w:p>
              </w:tc>
              <w:tc>
                <w:tcPr>
                  <w:tcW w:w="2795" w:type="pct"/>
                  <w:gridSpan w:val="2"/>
                  <w:noWrap w:val="0"/>
                  <w:vAlign w:val="center"/>
                </w:tcPr>
                <w:p w14:paraId="20637DF5">
                  <w:pPr>
                    <w:pStyle w:val="71"/>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p>
              </w:tc>
            </w:tr>
          </w:tbl>
          <w:p w14:paraId="1804BBA6">
            <w:pPr>
              <w:pStyle w:val="3"/>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原辅材料理化性质</w:t>
            </w:r>
          </w:p>
          <w:p w14:paraId="73742BAD">
            <w:pPr>
              <w:pStyle w:val="3"/>
              <w:bidi w:val="0"/>
              <w:rPr>
                <w:rFonts w:hint="default" w:ascii="Times New Roman" w:hAnsi="Times New Roman" w:cs="Times New Roman"/>
                <w:color w:val="000000" w:themeColor="text1"/>
                <w:u w:val="none"/>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PAC：</w:t>
            </w:r>
            <w:r>
              <w:rPr>
                <w:rFonts w:hint="default" w:ascii="Times New Roman" w:hAnsi="Times New Roman" w:cs="Times New Roman"/>
                <w:color w:val="000000" w:themeColor="text1"/>
                <w:u w:val="none"/>
                <w14:textFill>
                  <w14:solidFill>
                    <w14:schemeClr w14:val="tx1"/>
                  </w14:solidFill>
                </w14:textFill>
              </w:rPr>
              <w:t>聚合氯化铝是一种净水材料，无机高分子混凝剂，又被简称为聚铝，英文缩写为</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"https://baike.so.com/doc/2090402-2211374.html"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PAC</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w:t>
            </w:r>
          </w:p>
          <w:p w14:paraId="55BB1133">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AM：聚丙烯酰胺，为白色粉末状物，密度为1320g/cm，玻璃化温度为188度，软化温度近于210度，一般方法干燥时含有少量的水。干时又会很快从环境中吸取水分，完全干燥的PAM是脆性的白色固体。PAM能以各种百分比溶于水，不易溶于大多数有机溶液。</w:t>
            </w:r>
          </w:p>
          <w:p w14:paraId="666C667A">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氢氧化钠：</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"https://baike.so.com/doc/804239-850746.html"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eastAsia="宋体" w:cs="Times New Roman"/>
                <w:i w:val="0"/>
                <w:caps w:val="0"/>
                <w:color w:val="000000" w:themeColor="text1"/>
                <w:spacing w:val="0"/>
                <w:szCs w:val="24"/>
                <w:u w:val="none"/>
                <w:shd w:val="clear" w:color="auto" w:fill="FFFFFF"/>
                <w14:textFill>
                  <w14:solidFill>
                    <w14:schemeClr w14:val="tx1"/>
                  </w14:solidFill>
                </w14:textFill>
              </w:rPr>
              <w:t>化学式</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为NaOH，俗称烧碱、火碱、苛性钠，</w:t>
            </w:r>
            <w:r>
              <w:rPr>
                <w:rFonts w:hint="default" w:ascii="Times New Roman" w:hAnsi="Times New Roman" w:cs="Times New Roman"/>
                <w:color w:val="000000" w:themeColor="text1"/>
                <w:lang w:val="en-US" w:eastAsia="zh-CN"/>
                <w14:textFill>
                  <w14:solidFill>
                    <w14:schemeClr w14:val="tx1"/>
                  </w14:solidFill>
                </w14:textFill>
              </w:rPr>
              <w:t>白色不透明固体，易潮解。熔点(℃)：318.4相对密度( 水=1 )：2.12 沸点(℃)：1390相对密度(空气=1)：无资料饱和蒸气压(KPa)：0.13(739℃)。易溶于水、乙醇、甘油，不溶于丙酮。本项目使用为袋装</w:t>
            </w:r>
            <w:r>
              <w:rPr>
                <w:rFonts w:hint="default" w:ascii="Times New Roman" w:hAnsi="Times New Roman" w:cs="Times New Roman"/>
                <w:color w:val="000000" w:themeColor="text1"/>
                <w14:textFill>
                  <w14:solidFill>
                    <w14:schemeClr w14:val="tx1"/>
                  </w14:solidFill>
                </w14:textFill>
              </w:rPr>
              <w:t>颗粒</w:t>
            </w:r>
            <w:r>
              <w:rPr>
                <w:rFonts w:hint="default" w:ascii="Times New Roman" w:hAnsi="Times New Roman" w:cs="Times New Roman"/>
                <w:color w:val="000000" w:themeColor="text1"/>
                <w:lang w:val="en-US" w:eastAsia="zh-CN"/>
                <w14:textFill>
                  <w14:solidFill>
                    <w14:schemeClr w14:val="tx1"/>
                  </w14:solidFill>
                </w14:textFill>
              </w:rPr>
              <w:t>，储存于渗滤液处理车间内。</w:t>
            </w:r>
            <w:r>
              <w:rPr>
                <w:rFonts w:hint="default" w:ascii="Times New Roman" w:hAnsi="Times New Roman" w:cs="Times New Roman"/>
                <w:color w:val="000000" w:themeColor="text1"/>
                <w14:textFill>
                  <w14:solidFill>
                    <w14:schemeClr w14:val="tx1"/>
                  </w14:solidFill>
                </w14:textFill>
              </w:rPr>
              <w:t>为一种具有强腐蚀性的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"https://baike.so.com/doc/81217-85715.html" \t "https://baike.so.com/doc/_blank"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0"/>
                <w:rFonts w:hint="default" w:ascii="Times New Roman" w:hAnsi="Times New Roman" w:eastAsia="宋体" w:cs="Times New Roman"/>
                <w:i w:val="0"/>
                <w:caps w:val="0"/>
                <w:color w:val="000000" w:themeColor="text1"/>
                <w:spacing w:val="0"/>
                <w:szCs w:val="24"/>
                <w:u w:val="single"/>
                <w:shd w:val="clear" w:color="auto" w:fill="FFFFFF"/>
                <w14:textFill>
                  <w14:solidFill>
                    <w14:schemeClr w14:val="tx1"/>
                  </w14:solidFill>
                </w14:textFill>
              </w:rPr>
              <w:t>强碱</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，一般为片状或颗粒形态，易溶于水(溶于水时放热)并形成碱性溶液，另有</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"https://baike.so.com/doc/2628817-2775779.html" \t "https://baike.so.com/doc/_blank" </w:instrText>
            </w:r>
            <w:r>
              <w:rPr>
                <w:rFonts w:hint="default" w:ascii="Times New Roman" w:hAnsi="Times New Roman" w:cs="Times New Roman"/>
                <w:color w:val="000000" w:themeColor="text1"/>
                <w14:textFill>
                  <w14:solidFill>
                    <w14:schemeClr w14:val="tx1"/>
                  </w14:solidFill>
                </w14:textFill>
              </w:rPr>
              <w:fldChar w:fldCharType="separate"/>
            </w:r>
            <w:r>
              <w:rPr>
                <w:rStyle w:val="30"/>
                <w:rFonts w:hint="default" w:ascii="Times New Roman" w:hAnsi="Times New Roman" w:eastAsia="宋体" w:cs="Times New Roman"/>
                <w:i w:val="0"/>
                <w:caps w:val="0"/>
                <w:color w:val="000000" w:themeColor="text1"/>
                <w:spacing w:val="0"/>
                <w:szCs w:val="24"/>
                <w:u w:val="single"/>
                <w:shd w:val="clear" w:color="auto" w:fill="FFFFFF"/>
                <w14:textFill>
                  <w14:solidFill>
                    <w14:schemeClr w14:val="tx1"/>
                  </w14:solidFill>
                </w14:textFill>
              </w:rPr>
              <w:t>潮解性</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，易吸取空气中的水蒸气(潮解)和二氧化碳(变质)。氢氧化钠被广泛应用于水处理。在</w:t>
            </w:r>
            <w:r>
              <w:rPr>
                <w:rFonts w:hint="default" w:ascii="Times New Roman" w:hAnsi="Times New Roman" w:cs="Times New Roman"/>
                <w:color w:val="000000" w:themeColor="text1"/>
                <w:lang w:eastAsia="zh-CN"/>
                <w14:textFill>
                  <w14:solidFill>
                    <w14:schemeClr w14:val="tx1"/>
                  </w14:solidFill>
                </w14:textFill>
              </w:rPr>
              <w:t>渗滤液处理站</w:t>
            </w:r>
            <w:r>
              <w:rPr>
                <w:rFonts w:hint="default" w:ascii="Times New Roman" w:hAnsi="Times New Roman" w:cs="Times New Roman"/>
                <w:color w:val="000000" w:themeColor="text1"/>
                <w14:textFill>
                  <w14:solidFill>
                    <w14:schemeClr w14:val="tx1"/>
                  </w14:solidFill>
                </w14:textFill>
              </w:rPr>
              <w:t>，氢氧化钠可以通过中和反应减小水的硬度。</w:t>
            </w:r>
          </w:p>
          <w:p w14:paraId="1DA5DBFE">
            <w:pPr>
              <w:pStyle w:val="3"/>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次氯酸钠：</w:t>
            </w:r>
            <w:r>
              <w:rPr>
                <w:rFonts w:hint="default" w:ascii="Times New Roman" w:hAnsi="Times New Roman" w:cs="Times New Roman"/>
                <w:color w:val="000000" w:themeColor="text1"/>
                <w:lang w:val="en-US"/>
                <w14:textFill>
                  <w14:solidFill>
                    <w14:schemeClr w14:val="tx1"/>
                  </w14:solidFill>
                </w14:textFill>
              </w:rPr>
              <w:t>指能有效地控制或杀死水系统中的微生物——细菌、真菌和藻类的化学制剂。化学性质稳定，禁配药物为碱类、强还原剂，不发生聚合危害。皮肤和眼直接接触可引起灼伤</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误服可造成消化道灼伤。</w:t>
            </w:r>
            <w:r>
              <w:rPr>
                <w:rFonts w:hint="default" w:ascii="Times New Roman" w:hAnsi="Times New Roman" w:cs="Times New Roman"/>
                <w:color w:val="000000" w:themeColor="text1"/>
                <w:lang w:val="en-US" w:eastAsia="zh-CN"/>
                <w14:textFill>
                  <w14:solidFill>
                    <w14:schemeClr w14:val="tx1"/>
                  </w14:solidFill>
                </w14:textFill>
              </w:rPr>
              <w:t>次</w:t>
            </w:r>
            <w:r>
              <w:rPr>
                <w:rFonts w:hint="default" w:ascii="Times New Roman" w:hAnsi="Times New Roman" w:cs="Times New Roman"/>
                <w:color w:val="000000" w:themeColor="text1"/>
                <w:lang w:val="en-US"/>
                <w14:textFill>
                  <w14:solidFill>
                    <w14:schemeClr w14:val="tx1"/>
                  </w14:solidFill>
                </w14:textFill>
              </w:rPr>
              <w:t>氯酸钠白色或微带黄绿色粉末或颗粒晶体，是一种强氧化剂，遇酸放出 ClO</w:t>
            </w:r>
            <w:r>
              <w:rPr>
                <w:rFonts w:hint="default" w:ascii="Times New Roman" w:hAnsi="Times New Roman" w:cs="Times New Roman"/>
                <w:color w:val="000000" w:themeColor="text1"/>
                <w:vertAlign w:val="subscript"/>
                <w:lang w:val="en-US"/>
                <w14:textFill>
                  <w14:solidFill>
                    <w14:schemeClr w14:val="tx1"/>
                  </w14:solidFill>
                </w14:textFill>
              </w:rPr>
              <w:t>2</w:t>
            </w:r>
            <w:r>
              <w:rPr>
                <w:rFonts w:hint="default" w:ascii="Times New Roman" w:hAnsi="Times New Roman" w:cs="Times New Roman"/>
                <w:color w:val="000000" w:themeColor="text1"/>
                <w:lang w:val="en-US"/>
                <w14:textFill>
                  <w14:solidFill>
                    <w14:schemeClr w14:val="tx1"/>
                  </w14:solidFill>
                </w14:textFill>
              </w:rPr>
              <w:t>气体有强氧化性。在 175℃时即分解而发热，与可燃物质接触，即起猛烈爆炸。</w:t>
            </w:r>
          </w:p>
          <w:p w14:paraId="2F8D4572">
            <w:pPr>
              <w:pStyle w:val="3"/>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u w:val="none"/>
                <w:lang w:eastAsia="zh-CN"/>
                <w14:textFill>
                  <w14:solidFill>
                    <w14:schemeClr w14:val="tx1"/>
                  </w14:solidFill>
                </w14:textFill>
              </w:rPr>
              <w:t>硫酸：</w:t>
            </w:r>
            <w:r>
              <w:rPr>
                <w:rFonts w:hint="default" w:ascii="Times New Roman" w:hAnsi="Times New Roman" w:cs="Times New Roman"/>
                <w:color w:val="000000" w:themeColor="text1"/>
                <w:u w:val="none"/>
                <w14:textFill>
                  <w14:solidFill>
                    <w14:schemeClr w14:val="tx1"/>
                  </w14:solidFill>
                </w14:textFill>
              </w:rPr>
              <w:t>硫酸(化学式</w:t>
            </w:r>
            <w:r>
              <w:rPr>
                <w:rFonts w:hint="default" w:ascii="Times New Roman" w:hAnsi="Times New Roman" w:cs="Times New Roman"/>
                <w:color w:val="000000" w:themeColor="text1"/>
                <w:u w:val="none"/>
                <w:lang w:eastAsia="zh-CN"/>
                <w14:textFill>
                  <w14:solidFill>
                    <w14:schemeClr w14:val="tx1"/>
                  </w14:solidFill>
                </w14:textFill>
              </w:rPr>
              <w:t>：</w:t>
            </w:r>
            <w:r>
              <w:rPr>
                <w:rFonts w:hint="default" w:ascii="Times New Roman" w:hAnsi="Times New Roman" w:cs="Times New Roman"/>
                <w:color w:val="000000" w:themeColor="text1"/>
                <w:u w:val="none"/>
                <w14:textFill>
                  <w14:solidFill>
                    <w14:schemeClr w14:val="tx1"/>
                  </w14:solidFill>
                </w14:textFill>
              </w:rPr>
              <w:t>H</w:t>
            </w:r>
            <w:r>
              <w:rPr>
                <w:rFonts w:hint="default" w:ascii="Times New Roman" w:hAnsi="Times New Roman" w:cs="Times New Roman"/>
                <w:color w:val="000000" w:themeColor="text1"/>
                <w:u w:val="none"/>
                <w:vertAlign w:val="subscript"/>
                <w:lang w:val="en-US" w:eastAsia="zh-CN"/>
                <w14:textFill>
                  <w14:solidFill>
                    <w14:schemeClr w14:val="tx1"/>
                  </w14:solidFill>
                </w14:textFill>
              </w:rPr>
              <w:t>2</w:t>
            </w:r>
            <w:r>
              <w:rPr>
                <w:rFonts w:hint="default" w:ascii="Times New Roman" w:hAnsi="Times New Roman" w:cs="Times New Roman"/>
                <w:color w:val="000000" w:themeColor="text1"/>
                <w:u w:val="none"/>
                <w14:textFill>
                  <w14:solidFill>
                    <w14:schemeClr w14:val="tx1"/>
                  </w14:solidFill>
                </w14:textFill>
              </w:rPr>
              <w:t>SO</w:t>
            </w:r>
            <w:r>
              <w:rPr>
                <w:rFonts w:hint="default" w:ascii="Times New Roman" w:hAnsi="Times New Roman" w:cs="Times New Roman"/>
                <w:color w:val="000000" w:themeColor="text1"/>
                <w:u w:val="none"/>
                <w:vertAlign w:val="subscript"/>
                <w:lang w:val="en-US" w:eastAsia="zh-CN"/>
                <w14:textFill>
                  <w14:solidFill>
                    <w14:schemeClr w14:val="tx1"/>
                  </w14:solidFill>
                </w14:textFill>
              </w:rPr>
              <w:t>4</w:t>
            </w:r>
            <w:r>
              <w:rPr>
                <w:rFonts w:hint="default" w:ascii="Times New Roman" w:hAnsi="Times New Roman" w:cs="Times New Roman"/>
                <w:color w:val="000000" w:themeColor="text1"/>
                <w:u w:val="none"/>
                <w14:textFill>
                  <w14:solidFill>
                    <w14:schemeClr w14:val="tx1"/>
                  </w14:solidFill>
                </w14:textFill>
              </w:rPr>
              <w:t>)，硫的最重要的</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"https://baike.so.com/doc/6647222-6861039.html"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含氧酸</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。无水硫酸为无色油状液体，10.36℃时结晶，通常使用的是它的各种不同浓度的水溶液，用</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"https://baike.so.com/doc/4883217-5101179.html"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塔式法</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和</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"https://baike.so.com/doc/6290327-6503821.html"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接触法</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制取。前者所得为粗制稀硫酸，质量分数一般在75%左右</w:t>
            </w:r>
            <w:r>
              <w:rPr>
                <w:rFonts w:hint="default" w:ascii="Times New Roman" w:hAnsi="Times New Roman" w:cs="Times New Roman"/>
                <w:color w:val="000000" w:themeColor="text1"/>
                <w:u w:val="none"/>
                <w:lang w:eastAsia="zh-CN"/>
                <w14:textFill>
                  <w14:solidFill>
                    <w14:schemeClr w14:val="tx1"/>
                  </w14:solidFill>
                </w14:textFill>
              </w:rPr>
              <w:t>；</w:t>
            </w:r>
            <w:r>
              <w:rPr>
                <w:rFonts w:hint="default" w:ascii="Times New Roman" w:hAnsi="Times New Roman" w:cs="Times New Roman"/>
                <w:color w:val="000000" w:themeColor="text1"/>
                <w:u w:val="none"/>
                <w14:textFill>
                  <w14:solidFill>
                    <w14:schemeClr w14:val="tx1"/>
                  </w14:solidFill>
                </w14:textFill>
              </w:rPr>
              <w:t>后者可得质量分数98.3%的纯浓硫酸，沸点338℃，相对密度1.84。硫酸是一种最活泼的二元无机强酸，能和许多金属发生反应。高浓度的硫酸有强烈吸水性，可用作</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"https://baike.so.com/doc/6811533-7028487.html"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脱水剂</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，碳化木材、纸张、棉麻织物及生物皮肉等含</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"https://baike.so.com/doc/5373132-5609099.html"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碳水化合物</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的物质。与水混合时，亦会放出大量热能。其具有强烈的</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"https://baike.so.com/doc/6094923-6308031.html"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腐蚀性</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u w:val="none"/>
                <w14:textFill>
                  <w14:solidFill>
                    <w14:schemeClr w14:val="tx1"/>
                  </w14:solidFill>
                </w14:textFill>
              </w:rPr>
              <w:t>和</w:t>
            </w:r>
            <w:r>
              <w:rPr>
                <w:rFonts w:hint="default" w:ascii="Times New Roman" w:hAnsi="Times New Roman" w:cs="Times New Roman"/>
                <w:color w:val="000000" w:themeColor="text1"/>
                <w:u w:val="none"/>
                <w14:textFill>
                  <w14:solidFill>
                    <w14:schemeClr w14:val="tx1"/>
                  </w14:solidFill>
                </w14:textFill>
              </w:rPr>
              <w:fldChar w:fldCharType="begin"/>
            </w:r>
            <w:r>
              <w:rPr>
                <w:rFonts w:hint="default" w:ascii="Times New Roman" w:hAnsi="Times New Roman" w:cs="Times New Roman"/>
                <w:color w:val="000000" w:themeColor="text1"/>
                <w:u w:val="none"/>
                <w14:textFill>
                  <w14:solidFill>
                    <w14:schemeClr w14:val="tx1"/>
                  </w14:solidFill>
                </w14:textFill>
              </w:rPr>
              <w:instrText xml:space="preserve"> HYPERLINK "https://baike.so.com/doc/2573201-2717347.html" \t "https://baike.so.com/doc/_blank" </w:instrText>
            </w:r>
            <w:r>
              <w:rPr>
                <w:rFonts w:hint="default" w:ascii="Times New Roman" w:hAnsi="Times New Roman" w:cs="Times New Roman"/>
                <w:color w:val="000000" w:themeColor="text1"/>
                <w:u w:val="none"/>
                <w14:textFill>
                  <w14:solidFill>
                    <w14:schemeClr w14:val="tx1"/>
                  </w14:solidFill>
                </w14:textFill>
              </w:rPr>
              <w:fldChar w:fldCharType="separate"/>
            </w:r>
            <w:r>
              <w:rPr>
                <w:rStyle w:val="30"/>
                <w:rFonts w:hint="default" w:ascii="Times New Roman" w:hAnsi="Times New Roman" w:cs="Times New Roman"/>
                <w:color w:val="000000" w:themeColor="text1"/>
                <w:u w:val="none"/>
                <w14:textFill>
                  <w14:solidFill>
                    <w14:schemeClr w14:val="tx1"/>
                  </w14:solidFill>
                </w14:textFill>
              </w:rPr>
              <w:t>氧化性</w:t>
            </w:r>
            <w:r>
              <w:rPr>
                <w:rFonts w:hint="default" w:ascii="Times New Roman" w:hAnsi="Times New Roman" w:cs="Times New Roman"/>
                <w:color w:val="000000" w:themeColor="text1"/>
                <w:u w:val="none"/>
                <w14:textFill>
                  <w14:solidFill>
                    <w14:schemeClr w14:val="tx1"/>
                  </w14:solidFill>
                </w14:textFill>
              </w:rPr>
              <w:fldChar w:fldCharType="end"/>
            </w:r>
            <w:r>
              <w:rPr>
                <w:rFonts w:hint="default" w:ascii="Times New Roman" w:hAnsi="Times New Roman" w:cs="Times New Roman"/>
                <w:color w:val="000000" w:themeColor="text1"/>
                <w:lang w:eastAsia="zh-CN"/>
                <w14:textFill>
                  <w14:solidFill>
                    <w14:schemeClr w14:val="tx1"/>
                  </w14:solidFill>
                </w14:textFill>
              </w:rPr>
              <w:t>。</w:t>
            </w:r>
          </w:p>
          <w:p w14:paraId="04EB8652">
            <w:pPr>
              <w:pStyle w:val="3"/>
              <w:bidi w:val="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阻垢剂</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是指具有能分散水中的难溶性无机盐、阻止或干扰难溶性无机盐在金属表面的沉淀、结垢功能，并维持金属设备有良好的传热效果的一类药剂。具有优异的屏蔽、抗渗、防锈性能、良好的阻垢、导热性，优良的耐弱酸、强碱、有机溶剂等性能，它的附着力强，且膜层光亮、柔韧、致密、坚硬。同时它具有优异的耐温（介质的长期工作温度&lt;150℃）、耐水，耐含有腐蚀性介质的工业用水等性能。主要成分是磷酸盐类，常用的一般是磷酸三钠。磷酸三钠无色或白色结晶。 溶于水，其水溶液呈强碱性</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不溶于乙醇、二硫化碳。在干燥空气中易潮解风化，生成磷酸二氢钠和碳酸氢钠。在水中几乎完全分解为磷酸氢二钠和氢氧化钠。加热至55～65℃成</w:t>
            </w:r>
            <w:r>
              <w:rPr>
                <w:rFonts w:hint="default" w:ascii="Times New Roman" w:hAnsi="Times New Roman" w:cs="Times New Roman"/>
                <w:color w:val="000000" w:themeColor="text1"/>
                <w:lang w:val="en-US" w:eastAsia="zh-CN"/>
                <w14:textFill>
                  <w14:solidFill>
                    <w14:schemeClr w14:val="tx1"/>
                  </w14:solidFill>
                </w14:textFill>
              </w:rPr>
              <w:t>十</w:t>
            </w:r>
            <w:r>
              <w:rPr>
                <w:rFonts w:hint="default" w:ascii="Times New Roman" w:hAnsi="Times New Roman" w:cs="Times New Roman"/>
                <w:color w:val="000000" w:themeColor="text1"/>
                <w:lang w:val="en-US"/>
                <w14:textFill>
                  <w14:solidFill>
                    <w14:schemeClr w14:val="tx1"/>
                  </w14:solidFill>
                </w14:textFill>
              </w:rPr>
              <w:t>水物，加热至60～100℃成</w:t>
            </w:r>
            <w:r>
              <w:rPr>
                <w:rFonts w:hint="default" w:ascii="Times New Roman" w:hAnsi="Times New Roman" w:cs="Times New Roman"/>
                <w:color w:val="000000" w:themeColor="text1"/>
                <w:lang w:val="en-US" w:eastAsia="zh-CN"/>
                <w14:textFill>
                  <w14:solidFill>
                    <w14:schemeClr w14:val="tx1"/>
                  </w14:solidFill>
                </w14:textFill>
              </w:rPr>
              <w:t>六</w:t>
            </w:r>
            <w:r>
              <w:rPr>
                <w:rFonts w:hint="default" w:ascii="Times New Roman" w:hAnsi="Times New Roman" w:cs="Times New Roman"/>
                <w:color w:val="000000" w:themeColor="text1"/>
                <w:lang w:val="en-US"/>
                <w14:textFill>
                  <w14:solidFill>
                    <w14:schemeClr w14:val="tx1"/>
                  </w14:solidFill>
                </w14:textFill>
              </w:rPr>
              <w:t>水物，加热到100℃ 以上成为一水物，加热到212℃以上成为无水物。1%的水溶液pH值为11.5～12.1。土拨鼠经口LD</w:t>
            </w:r>
            <w:r>
              <w:rPr>
                <w:rFonts w:hint="default" w:ascii="Times New Roman" w:hAnsi="Times New Roman" w:cs="Times New Roman"/>
                <w:color w:val="000000" w:themeColor="text1"/>
                <w:vertAlign w:val="subscript"/>
                <w:lang w:val="en-US"/>
                <w14:textFill>
                  <w14:solidFill>
                    <w14:schemeClr w14:val="tx1"/>
                  </w14:solidFill>
                </w14:textFill>
              </w:rPr>
              <w:t>50</w:t>
            </w:r>
            <w:r>
              <w:rPr>
                <w:rFonts w:hint="default" w:ascii="Times New Roman" w:hAnsi="Times New Roman" w:cs="Times New Roman"/>
                <w:color w:val="000000" w:themeColor="text1"/>
                <w:lang w:val="en-US"/>
                <w14:textFill>
                  <w14:solidFill>
                    <w14:schemeClr w14:val="tx1"/>
                  </w14:solidFill>
                </w14:textFill>
              </w:rPr>
              <w:t>&gt;2g/kg</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ADl0～70mg/kg。</w:t>
            </w:r>
          </w:p>
          <w:p w14:paraId="6E241A76">
            <w:pPr>
              <w:widowControl/>
              <w:spacing w:line="360" w:lineRule="auto"/>
              <w:ind w:firstLine="482" w:firstLineChars="200"/>
              <w:rPr>
                <w:rFonts w:hint="default" w:ascii="Times New Roman" w:hAnsi="Times New Roman" w:eastAsia="宋体" w:cs="Times New Roman"/>
                <w:b/>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7、劳动定员及工作制度</w:t>
            </w:r>
          </w:p>
          <w:p w14:paraId="1D485A34">
            <w:pPr>
              <w:pStyle w:val="14"/>
              <w:adjustRightIn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劳动定员：本项目共有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名员工，其中管理及技术人员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人，生产工人和后勤人员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无人在厂区内食宿。</w:t>
            </w:r>
          </w:p>
          <w:p w14:paraId="0C0AC327">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工作制度：本项目年工作365天，实行三班制，每班工作8小时。</w:t>
            </w:r>
          </w:p>
          <w:p w14:paraId="569D4135">
            <w:pPr>
              <w:widowControl/>
              <w:spacing w:line="360" w:lineRule="auto"/>
              <w:ind w:firstLine="482" w:firstLineChars="200"/>
              <w:rPr>
                <w:rFonts w:hint="default" w:ascii="Times New Roman" w:hAnsi="Times New Roman" w:eastAsia="宋体" w:cs="Times New Roman"/>
                <w:b/>
                <w:color w:val="000000" w:themeColor="text1"/>
                <w:sz w:val="24"/>
                <w:lang w:val="en-US" w:eastAsia="zh-CN" w:bidi="ar"/>
                <w14:textFill>
                  <w14:solidFill>
                    <w14:schemeClr w14:val="tx1"/>
                  </w14:solidFill>
                </w14:textFill>
              </w:rPr>
            </w:pPr>
            <w:r>
              <w:rPr>
                <w:rFonts w:hint="default" w:ascii="Times New Roman" w:hAnsi="Times New Roman" w:eastAsia="宋体" w:cs="Times New Roman"/>
                <w:b/>
                <w:color w:val="000000" w:themeColor="text1"/>
                <w:sz w:val="24"/>
                <w:lang w:val="en-US" w:eastAsia="zh-CN" w:bidi="ar"/>
                <w14:textFill>
                  <w14:solidFill>
                    <w14:schemeClr w14:val="tx1"/>
                  </w14:solidFill>
                </w14:textFill>
              </w:rPr>
              <w:t>8、公辅设施</w:t>
            </w:r>
          </w:p>
          <w:p w14:paraId="428278E0">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（1）给排水</w:t>
            </w:r>
          </w:p>
          <w:p w14:paraId="04BAAD55">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站内用水主要是生活用水和生产用水，室外消防和生活生产管网合并使用，采用低压消防系统。需从管理区接入2000m输水管进入渗滤液处理站。</w:t>
            </w:r>
          </w:p>
          <w:p w14:paraId="28221211">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（2）排水系统</w:t>
            </w:r>
          </w:p>
          <w:p w14:paraId="1BE5A7F6">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采用厂区采用雨、污水分流制；站内雨水由雨水沟收集后</w:t>
            </w:r>
            <w:r>
              <w:rPr>
                <w:rFonts w:hint="eastAsia" w:ascii="Times New Roman" w:hAnsi="Times New Roman" w:cs="Times New Roman"/>
                <w:color w:val="000000" w:themeColor="text1"/>
                <w:u w:val="none"/>
                <w:lang w:val="en-US" w:eastAsia="zh-CN"/>
                <w14:textFill>
                  <w14:solidFill>
                    <w14:schemeClr w14:val="tx1"/>
                  </w14:solidFill>
                </w14:textFill>
              </w:rPr>
              <w:t>排入芒市市政雨水管网</w:t>
            </w:r>
            <w:r>
              <w:rPr>
                <w:rFonts w:hint="default" w:ascii="Times New Roman" w:hAnsi="Times New Roman" w:cs="Times New Roman"/>
                <w:color w:val="000000" w:themeColor="text1"/>
                <w:u w:val="none"/>
                <w:lang w:val="en-US" w:eastAsia="zh-CN"/>
                <w14:textFill>
                  <w14:solidFill>
                    <w14:schemeClr w14:val="tx1"/>
                  </w14:solidFill>
                </w14:textFill>
              </w:rPr>
              <w:t>。</w:t>
            </w:r>
          </w:p>
          <w:p w14:paraId="06435E78">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①生活废水</w:t>
            </w:r>
          </w:p>
          <w:p w14:paraId="77727F3A">
            <w:pPr>
              <w:pStyle w:val="3"/>
              <w:bidi w:val="0"/>
              <w:rPr>
                <w:rFonts w:hint="default" w:ascii="Times New Roman" w:hAnsi="Times New Roman" w:cs="Times New Roman"/>
                <w:color w:val="000000" w:themeColor="text1"/>
                <w:u w:val="none"/>
                <w:lang w:val="en-US" w:eastAsia="zh-CN"/>
                <w14:textFill>
                  <w14:solidFill>
                    <w14:schemeClr w14:val="tx1"/>
                  </w14:solidFill>
                </w14:textFill>
              </w:rPr>
            </w:pPr>
            <w:r>
              <w:rPr>
                <w:rFonts w:hint="default" w:ascii="Times New Roman" w:hAnsi="Times New Roman" w:cs="Times New Roman"/>
                <w:color w:val="000000" w:themeColor="text1"/>
                <w:u w:val="none"/>
                <w:lang w:val="en-US" w:eastAsia="zh-CN"/>
                <w14:textFill>
                  <w14:solidFill>
                    <w14:schemeClr w14:val="tx1"/>
                  </w14:solidFill>
                </w14:textFill>
              </w:rPr>
              <w:t>由于本垃圾填埋场自动化程度不高，没有冲洗装置。场内设置有两人值守，产生的生活废水</w:t>
            </w:r>
            <w:r>
              <w:rPr>
                <w:rFonts w:hint="eastAsia" w:ascii="Times New Roman" w:hAnsi="Times New Roman" w:cs="Times New Roman"/>
                <w:color w:val="000000" w:themeColor="text1"/>
                <w:u w:val="none"/>
                <w:lang w:val="en-US" w:eastAsia="zh-CN"/>
                <w14:textFill>
                  <w14:solidFill>
                    <w14:schemeClr w14:val="tx1"/>
                  </w14:solidFill>
                </w14:textFill>
              </w:rPr>
              <w:t>与</w:t>
            </w:r>
            <w:r>
              <w:rPr>
                <w:rFonts w:hint="default" w:ascii="Times New Roman" w:hAnsi="Times New Roman" w:cs="Times New Roman"/>
                <w:color w:val="000000" w:themeColor="text1"/>
                <w:u w:val="none"/>
                <w:lang w:val="en-US" w:eastAsia="zh-CN"/>
                <w14:textFill>
                  <w14:solidFill>
                    <w14:schemeClr w14:val="tx1"/>
                  </w14:solidFill>
                </w14:textFill>
              </w:rPr>
              <w:t>渗滤液</w:t>
            </w:r>
            <w:r>
              <w:rPr>
                <w:rFonts w:hint="eastAsia" w:ascii="Times New Roman" w:hAnsi="Times New Roman" w:cs="Times New Roman"/>
                <w:color w:val="000000" w:themeColor="text1"/>
                <w:u w:val="none"/>
                <w:lang w:val="en-US" w:eastAsia="zh-CN"/>
                <w14:textFill>
                  <w14:solidFill>
                    <w14:schemeClr w14:val="tx1"/>
                  </w14:solidFill>
                </w14:textFill>
              </w:rPr>
              <w:t>一起处理达标后</w:t>
            </w:r>
            <w:r>
              <w:rPr>
                <w:rFonts w:hint="default" w:ascii="Times New Roman" w:hAnsi="Times New Roman" w:cs="Times New Roman"/>
                <w:color w:val="000000" w:themeColor="text1"/>
                <w:u w:val="none"/>
                <w:lang w:val="en-US" w:eastAsia="zh-CN"/>
                <w14:textFill>
                  <w14:solidFill>
                    <w14:schemeClr w14:val="tx1"/>
                  </w14:solidFill>
                </w14:textFill>
              </w:rPr>
              <w:t>，</w:t>
            </w:r>
            <w:r>
              <w:rPr>
                <w:rFonts w:hint="eastAsia" w:ascii="Times New Roman" w:hAnsi="Times New Roman" w:cs="Times New Roman"/>
                <w:color w:val="000000" w:themeColor="text1"/>
                <w:u w:val="none"/>
                <w:lang w:val="en-US" w:eastAsia="zh-CN"/>
                <w14:textFill>
                  <w14:solidFill>
                    <w14:schemeClr w14:val="tx1"/>
                  </w14:solidFill>
                </w14:textFill>
              </w:rPr>
              <w:t>排入</w:t>
            </w:r>
            <w:r>
              <w:rPr>
                <w:rFonts w:hint="default" w:ascii="Times New Roman" w:hAnsi="Times New Roman" w:cs="Times New Roman"/>
                <w:color w:val="000000" w:themeColor="text1"/>
                <w:u w:val="none"/>
                <w:lang w:val="en-US" w:eastAsia="zh-CN"/>
                <w14:textFill>
                  <w14:solidFill>
                    <w14:schemeClr w14:val="tx1"/>
                  </w14:solidFill>
                </w14:textFill>
              </w:rPr>
              <w:t>市政污水管网，最终进入</w:t>
            </w:r>
            <w:r>
              <w:rPr>
                <w:rFonts w:hint="eastAsia" w:ascii="Times New Roman" w:hAnsi="Times New Roman" w:cs="Times New Roman"/>
                <w:color w:val="000000" w:themeColor="text1"/>
                <w:u w:val="none"/>
                <w:lang w:val="en-US" w:eastAsia="zh-CN"/>
                <w14:textFill>
                  <w14:solidFill>
                    <w14:schemeClr w14:val="tx1"/>
                  </w14:solidFill>
                </w14:textFill>
              </w:rPr>
              <w:t>芒市</w:t>
            </w:r>
            <w:r>
              <w:rPr>
                <w:rFonts w:hint="default" w:ascii="Times New Roman" w:hAnsi="Times New Roman" w:cs="Times New Roman"/>
                <w:color w:val="000000" w:themeColor="text1"/>
                <w:u w:val="none"/>
                <w:lang w:val="en-US" w:eastAsia="zh-CN"/>
                <w14:textFill>
                  <w14:solidFill>
                    <w14:schemeClr w14:val="tx1"/>
                  </w14:solidFill>
                </w14:textFill>
              </w:rPr>
              <w:t>污水处理厂处理。</w:t>
            </w:r>
          </w:p>
          <w:p w14:paraId="5B517DAA">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②渗滤液</w:t>
            </w:r>
          </w:p>
          <w:p w14:paraId="165F6A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渗滤液主要为垃圾腐败及降雨过程产生，渗滤液经管道进入处理系统，处理后的废水达《生活垃圾填埋污染物排放标准》</w:t>
            </w:r>
            <w:r>
              <w:rPr>
                <w:rFonts w:hint="eastAsia"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GB16889-2008</w:t>
            </w:r>
            <w:r>
              <w:rPr>
                <w:rFonts w:hint="eastAsia"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中表2标准限值后进入芒市生活污水处理厂</w:t>
            </w:r>
            <w:r>
              <w:rPr>
                <w:rFonts w:hint="eastAsia"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w:t>
            </w:r>
          </w:p>
          <w:p w14:paraId="2C66CE60">
            <w:pPr>
              <w:widowControl/>
              <w:spacing w:line="360" w:lineRule="auto"/>
              <w:ind w:firstLine="482" w:firstLineChars="200"/>
              <w:rPr>
                <w:rFonts w:hint="default" w:ascii="Times New Roman" w:hAnsi="Times New Roman" w:eastAsia="宋体" w:cs="Times New Roman"/>
                <w:b/>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（2）供电</w:t>
            </w:r>
          </w:p>
          <w:p w14:paraId="67E0A2C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项目用电从市政电网引入。</w:t>
            </w:r>
          </w:p>
          <w:p w14:paraId="44F9044E">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9、平面布置</w:t>
            </w:r>
          </w:p>
          <w:p w14:paraId="64361047">
            <w:pPr>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芒市城市生活垃圾处理工程主要由垃圾填埋场、垃圾坝、渗滤液调节池、渗滤液处理系统、现场办公及生活辅助设施等组成。垃圾库依据自然山凹地形建设，在其自然联结面最小的部位即西南侧建设垃圾坝，在垃圾坝下建设渗滤液调节池，在调节池西侧建设渗滤液处理站。（总平面布置详见附图3）。</w:t>
            </w:r>
          </w:p>
          <w:p w14:paraId="4968E199">
            <w:pPr>
              <w:snapToGrid w:val="0"/>
              <w:spacing w:line="360" w:lineRule="auto"/>
              <w:ind w:firstLine="482" w:firstLineChars="200"/>
              <w:rPr>
                <w:rFonts w:hint="default" w:ascii="Times New Roman" w:hAnsi="Times New Roman" w:cs="Times New Roman" w:eastAsiaTheme="minorEastAsia"/>
                <w:b/>
                <w:bCs/>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u w:val="none"/>
                <w:lang w:val="en-US" w:eastAsia="zh-CN" w:bidi="ar-SA"/>
                <w14:textFill>
                  <w14:solidFill>
                    <w14:schemeClr w14:val="tx1"/>
                  </w14:solidFill>
                </w14:textFill>
              </w:rPr>
              <w:t>10进、出水水质</w:t>
            </w:r>
          </w:p>
          <w:p w14:paraId="6CCBAF1C">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（1）渗滤液产生量</w:t>
            </w:r>
          </w:p>
          <w:p w14:paraId="5F646A0D">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填埋场原有一套设计处理量为150</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m³</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/d的渗滤液处理设备，根据目前已运行垃圾填埋场对渗滤液产生量的记录和处理情况，150</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m³</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d的渗滤液处理设备基本满足垃圾渗滤液产生量，但当雨季来临时，由于渗滤液处理站设备老化、原渗滤液处理站无法满足出水指标要求，渗滤液已出现滞留情况，即将溢出收集池，亟需处理，避免溢出造成渗滤液泄漏，造成环保风险。因此本项目设计：提升处理设备产水量为150m</w:t>
            </w:r>
            <w:r>
              <w:rPr>
                <w:rFonts w:hint="default" w:ascii="Times New Roman" w:hAnsi="Times New Roman" w:cs="Times New Roman" w:eastAsiaTheme="minorEastAsia"/>
                <w:color w:val="000000" w:themeColor="text1"/>
                <w:kern w:val="2"/>
                <w:sz w:val="24"/>
                <w:szCs w:val="24"/>
                <w:u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/d，浓缩液回灌填埋场。</w:t>
            </w:r>
          </w:p>
          <w:p w14:paraId="3D4CA132">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（2）进水水质</w:t>
            </w:r>
          </w:p>
          <w:p w14:paraId="4A56E0BB">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渗滤液的水质受填埋垃圾的成分、规模、降水量和气候等因素的影响，通常而言，具有如下特点：</w:t>
            </w:r>
          </w:p>
          <w:p w14:paraId="0E4CB42E">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水质变化大。渗滤液的水质变化幅度很大，它不仅体现在同一年内各个季节水质差别很大，浓度变幅可高达几倍，并且随着填埋年限的增加，水质特征也在不断发生变化，通常渗滤液中的C/N比、B/C 比随着填埋年限的增加而降低。通常在填埋初期，氨氮浓度较低，用生物脱氮就可使氨氮降到很低，但随着填埋年限的增加，氨氮浓度不断增加，COD不断下降，由于碳氮比严重失调，仅采用生物脱氮是难以达到排放要求的。</w:t>
            </w:r>
          </w:p>
          <w:p w14:paraId="03B3F9F7">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有机物浓度高。垃圾渗滤液中的COD和BOD</w:t>
            </w:r>
            <w:r>
              <w:rPr>
                <w:rFonts w:hint="default" w:ascii="Times New Roman" w:hAnsi="Times New Roman" w:cs="Times New Roman" w:eastAsiaTheme="minorEastAsia"/>
                <w:color w:val="000000" w:themeColor="text1"/>
                <w:kern w:val="2"/>
                <w:sz w:val="24"/>
                <w:szCs w:val="24"/>
                <w:u w:val="none"/>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浓度最高可达数万mg/L，与城市污水相比，浓度非常高。高浓度的垃圾渗滤液主要是在酸性发酵阶段产生，pH值略低于7，低分子脂肪酸的COD占总量的80%以上，BOD</w:t>
            </w:r>
            <w:r>
              <w:rPr>
                <w:rFonts w:hint="default" w:ascii="Times New Roman" w:hAnsi="Times New Roman" w:cs="Times New Roman" w:eastAsiaTheme="minorEastAsia"/>
                <w:color w:val="000000" w:themeColor="text1"/>
                <w:kern w:val="2"/>
                <w:sz w:val="24"/>
                <w:szCs w:val="24"/>
                <w:u w:val="none"/>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与COD比值为0.5~0.6，随着填埋场填埋年限的增加，BOD</w:t>
            </w:r>
            <w:r>
              <w:rPr>
                <w:rFonts w:hint="default" w:ascii="Times New Roman" w:hAnsi="Times New Roman" w:cs="Times New Roman" w:eastAsiaTheme="minorEastAsia"/>
                <w:color w:val="000000" w:themeColor="text1"/>
                <w:kern w:val="2"/>
                <w:sz w:val="24"/>
                <w:szCs w:val="24"/>
                <w:u w:val="none"/>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与COD比值将逐渐降低。</w:t>
            </w:r>
          </w:p>
          <w:p w14:paraId="2D43360F">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SS含量高</w:t>
            </w:r>
            <w:r>
              <w:rPr>
                <w:rFonts w:hint="eastAsia" w:ascii="Times New Roman" w:hAnsi="Times New Roman" w:cs="Times New Roman"/>
                <w:color w:val="000000" w:themeColor="text1"/>
                <w:kern w:val="2"/>
                <w:sz w:val="24"/>
                <w:szCs w:val="24"/>
                <w:u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填埋场渗滤液通常在垃圾停置及填埋过程中产生，渗滤液在渗出过程中将垃圾中或填埋过程中的颗粒性杂质一并带出，表现为SS含量高。</w:t>
            </w:r>
          </w:p>
          <w:p w14:paraId="3268EBA0">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氨氮含量高。渗滤液的氨氮浓度较高，并且随着填埋年限的增加而不断升高，有时可高达1000~3000mg/l。当采用生物处理系统时，需采用很长的停留时间，以避免氨氮或其氧化衍生物对微生物的毒害作用。</w:t>
            </w:r>
          </w:p>
          <w:p w14:paraId="4CF81C71">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u w:val="none"/>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营养元素比例失调。一般的垃圾渗滤液中BOD</w:t>
            </w:r>
            <w:r>
              <w:rPr>
                <w:rFonts w:hint="default" w:ascii="Times New Roman" w:hAnsi="Times New Roman" w:cs="Times New Roman" w:eastAsiaTheme="minorEastAsia"/>
                <w:color w:val="000000" w:themeColor="text1"/>
                <w:kern w:val="2"/>
                <w:sz w:val="24"/>
                <w:szCs w:val="24"/>
                <w:u w:val="none"/>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/TP大都大于300，与微生物生长所需的磷元素相差较大，因此在污水处理中缺乏磷元素，需要加以补给。另一方面，老龄填理场的渗滤液的BOD</w:t>
            </w:r>
            <w:r>
              <w:rPr>
                <w:rFonts w:hint="default" w:ascii="Times New Roman" w:hAnsi="Times New Roman" w:cs="Times New Roman" w:eastAsiaTheme="minorEastAsia"/>
                <w:color w:val="000000" w:themeColor="text1"/>
                <w:kern w:val="2"/>
                <w:sz w:val="24"/>
                <w:szCs w:val="24"/>
                <w:u w:val="none"/>
                <w:vertAlign w:val="subscript"/>
                <w:lang w:val="en-US" w:eastAsia="zh-CN" w:bidi="ar-SA"/>
                <w14:textFill>
                  <w14:solidFill>
                    <w14:schemeClr w14:val="tx1"/>
                  </w14:solidFill>
                </w14:textFill>
              </w:rPr>
              <w:t>5</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/NH</w:t>
            </w:r>
            <w:r>
              <w:rPr>
                <w:rFonts w:hint="default" w:ascii="Times New Roman" w:hAnsi="Times New Roman" w:cs="Times New Roman" w:eastAsiaTheme="minorEastAsia"/>
                <w:color w:val="000000" w:themeColor="text1"/>
                <w:kern w:val="2"/>
                <w:sz w:val="24"/>
                <w:szCs w:val="24"/>
                <w:u w:val="none"/>
                <w:vertAlign w:val="sub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-N却经常小干1，要使用生物法处理时，需要补充碳源。</w:t>
            </w:r>
          </w:p>
          <w:p w14:paraId="7144529D">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《生活垃圾卫生填埋处理技术规范》（GB50869-2013）中所提供国内生活垃圾填埋场调节池渗滤液典型水质组成见下表。</w:t>
            </w:r>
          </w:p>
          <w:p w14:paraId="1A95104B">
            <w:pPr>
              <w:pStyle w:val="72"/>
              <w:bidi w:val="0"/>
              <w:rPr>
                <w:rFonts w:hint="default" w:ascii="Times New Roman" w:hAnsi="Times New Roman" w:cs="Times New Roman"/>
                <w:color w:val="000000" w:themeColor="text1"/>
                <w:lang w:val="en-US" w:eastAsia="zh-CN"/>
                <w14:textFill>
                  <w14:solidFill>
                    <w14:schemeClr w14:val="tx1"/>
                  </w14:solidFill>
                </w14:textFill>
              </w:rPr>
            </w:pPr>
          </w:p>
          <w:p w14:paraId="743F1734">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表2-6 国内典型填埋场不同年限渗滤液水质范围（mg/L）</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510"/>
              <w:gridCol w:w="2704"/>
              <w:gridCol w:w="1586"/>
            </w:tblGrid>
            <w:tr w14:paraId="2660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763B2A17">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w:t>
                  </w:r>
                </w:p>
              </w:tc>
              <w:tc>
                <w:tcPr>
                  <w:tcW w:w="1602" w:type="pct"/>
                  <w:noWrap w:val="0"/>
                  <w:vAlign w:val="center"/>
                </w:tcPr>
                <w:p w14:paraId="4543CFAB">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填埋初期渗滤液（&lt;5年）</w:t>
                  </w:r>
                </w:p>
              </w:tc>
              <w:tc>
                <w:tcPr>
                  <w:tcW w:w="1726" w:type="pct"/>
                  <w:noWrap w:val="0"/>
                  <w:vAlign w:val="center"/>
                </w:tcPr>
                <w:p w14:paraId="74C2E944">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填埋中后期渗滤液（&gt;5年）</w:t>
                  </w:r>
                </w:p>
              </w:tc>
              <w:tc>
                <w:tcPr>
                  <w:tcW w:w="1012" w:type="pct"/>
                  <w:noWrap w:val="0"/>
                  <w:vAlign w:val="center"/>
                </w:tcPr>
                <w:p w14:paraId="6C1886A0">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封场后渗滤液</w:t>
                  </w:r>
                </w:p>
              </w:tc>
            </w:tr>
            <w:tr w14:paraId="1606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6BF984F1">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COD</w:t>
                  </w:r>
                </w:p>
              </w:tc>
              <w:tc>
                <w:tcPr>
                  <w:tcW w:w="1602" w:type="pct"/>
                  <w:noWrap w:val="0"/>
                  <w:vAlign w:val="center"/>
                </w:tcPr>
                <w:p w14:paraId="3E8EC99C">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6000~20000</w:t>
                  </w:r>
                </w:p>
              </w:tc>
              <w:tc>
                <w:tcPr>
                  <w:tcW w:w="1726" w:type="pct"/>
                  <w:noWrap w:val="0"/>
                  <w:vAlign w:val="center"/>
                </w:tcPr>
                <w:p w14:paraId="78DC638A">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2000~10000</w:t>
                  </w:r>
                </w:p>
              </w:tc>
              <w:tc>
                <w:tcPr>
                  <w:tcW w:w="1012" w:type="pct"/>
                  <w:noWrap w:val="0"/>
                  <w:vAlign w:val="center"/>
                </w:tcPr>
                <w:p w14:paraId="17635571">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1000-5000</w:t>
                  </w:r>
                </w:p>
              </w:tc>
            </w:tr>
            <w:tr w14:paraId="107C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0E46D78C">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BOD</w:t>
                  </w:r>
                  <w:r>
                    <w:rPr>
                      <w:rFonts w:hint="default" w:ascii="Times New Roman" w:hAnsi="Times New Roman" w:cs="Times New Roman"/>
                      <w:color w:val="000000" w:themeColor="text1"/>
                      <w:vertAlign w:val="subscript"/>
                      <w:lang w:val="en-US" w:eastAsia="zh-CN"/>
                      <w14:textFill>
                        <w14:solidFill>
                          <w14:schemeClr w14:val="tx1"/>
                        </w14:solidFill>
                      </w14:textFill>
                    </w:rPr>
                    <w:t>5</w:t>
                  </w:r>
                </w:p>
              </w:tc>
              <w:tc>
                <w:tcPr>
                  <w:tcW w:w="1602" w:type="pct"/>
                  <w:noWrap w:val="0"/>
                  <w:vAlign w:val="center"/>
                </w:tcPr>
                <w:p w14:paraId="5658130B">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3000~10000</w:t>
                  </w:r>
                </w:p>
              </w:tc>
              <w:tc>
                <w:tcPr>
                  <w:tcW w:w="1726" w:type="pct"/>
                  <w:noWrap w:val="0"/>
                  <w:vAlign w:val="center"/>
                </w:tcPr>
                <w:p w14:paraId="205A5125">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1000~4000</w:t>
                  </w:r>
                </w:p>
              </w:tc>
              <w:tc>
                <w:tcPr>
                  <w:tcW w:w="1012" w:type="pct"/>
                  <w:noWrap w:val="0"/>
                  <w:vAlign w:val="center"/>
                </w:tcPr>
                <w:p w14:paraId="0C3E95A8">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300~2000</w:t>
                  </w:r>
                </w:p>
              </w:tc>
            </w:tr>
            <w:tr w14:paraId="7079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5B2C82E6">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NH</w:t>
                  </w:r>
                  <w:r>
                    <w:rPr>
                      <w:rFonts w:hint="default" w:ascii="Times New Roman" w:hAnsi="Times New Roman" w:cs="Times New Roman"/>
                      <w:color w:val="000000" w:themeColor="text1"/>
                      <w:vertAlign w:val="subscript"/>
                      <w:lang w:val="en-US"/>
                      <w14:textFill>
                        <w14:solidFill>
                          <w14:schemeClr w14:val="tx1"/>
                        </w14:solidFill>
                      </w14:textFill>
                    </w:rPr>
                    <w:t>3</w:t>
                  </w:r>
                  <w:r>
                    <w:rPr>
                      <w:rFonts w:hint="default" w:ascii="Times New Roman" w:hAnsi="Times New Roman" w:cs="Times New Roman"/>
                      <w:color w:val="000000" w:themeColor="text1"/>
                      <w:lang w:val="en-US"/>
                      <w14:textFill>
                        <w14:solidFill>
                          <w14:schemeClr w14:val="tx1"/>
                        </w14:solidFill>
                      </w14:textFill>
                    </w:rPr>
                    <w:t>-N</w:t>
                  </w:r>
                </w:p>
              </w:tc>
              <w:tc>
                <w:tcPr>
                  <w:tcW w:w="1602" w:type="pct"/>
                  <w:noWrap w:val="0"/>
                  <w:vAlign w:val="center"/>
                </w:tcPr>
                <w:p w14:paraId="2B95F194">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600~2500</w:t>
                  </w:r>
                </w:p>
              </w:tc>
              <w:tc>
                <w:tcPr>
                  <w:tcW w:w="1726" w:type="pct"/>
                  <w:noWrap w:val="0"/>
                  <w:vAlign w:val="center"/>
                </w:tcPr>
                <w:p w14:paraId="7DD2695B">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800~3000</w:t>
                  </w:r>
                </w:p>
              </w:tc>
              <w:tc>
                <w:tcPr>
                  <w:tcW w:w="1012" w:type="pct"/>
                  <w:noWrap w:val="0"/>
                  <w:vAlign w:val="center"/>
                </w:tcPr>
                <w:p w14:paraId="3971ECBC">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1000~3000</w:t>
                  </w:r>
                </w:p>
              </w:tc>
            </w:tr>
            <w:tr w14:paraId="555B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7" w:type="pct"/>
                  <w:noWrap w:val="0"/>
                  <w:vAlign w:val="center"/>
                </w:tcPr>
                <w:p w14:paraId="1223F86F">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SS</w:t>
                  </w:r>
                </w:p>
              </w:tc>
              <w:tc>
                <w:tcPr>
                  <w:tcW w:w="1602" w:type="pct"/>
                  <w:noWrap w:val="0"/>
                  <w:vAlign w:val="center"/>
                </w:tcPr>
                <w:p w14:paraId="74A2D979">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500~1500</w:t>
                  </w:r>
                </w:p>
              </w:tc>
              <w:tc>
                <w:tcPr>
                  <w:tcW w:w="1726" w:type="pct"/>
                  <w:noWrap w:val="0"/>
                  <w:vAlign w:val="center"/>
                </w:tcPr>
                <w:p w14:paraId="2AC2FF13">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500~1500</w:t>
                  </w:r>
                </w:p>
              </w:tc>
              <w:tc>
                <w:tcPr>
                  <w:tcW w:w="1012" w:type="pct"/>
                  <w:noWrap w:val="0"/>
                  <w:vAlign w:val="center"/>
                </w:tcPr>
                <w:p w14:paraId="437F38F3">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200~1000</w:t>
                  </w:r>
                </w:p>
              </w:tc>
            </w:tr>
          </w:tbl>
          <w:p w14:paraId="4D6886B8">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根据实测监测渗滤液处理站进口监测结果，类比同类型企业，本项目中进水水质设计范围详见下表。</w:t>
            </w:r>
          </w:p>
          <w:p w14:paraId="6CC55F63">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 xml:space="preserve">表 2-7  实测进水水质设计 单位： mg/L </w:t>
            </w:r>
          </w:p>
          <w:tbl>
            <w:tblPr>
              <w:tblStyle w:val="80"/>
              <w:tblW w:w="77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8"/>
              <w:gridCol w:w="1285"/>
              <w:gridCol w:w="1285"/>
              <w:gridCol w:w="1285"/>
              <w:gridCol w:w="1285"/>
              <w:gridCol w:w="1289"/>
            </w:tblGrid>
            <w:tr w14:paraId="08552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288" w:type="dxa"/>
                  <w:vAlign w:val="top"/>
                </w:tcPr>
                <w:p w14:paraId="58910751">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检测点</w:t>
                  </w:r>
                </w:p>
              </w:tc>
              <w:tc>
                <w:tcPr>
                  <w:tcW w:w="1285" w:type="dxa"/>
                  <w:vAlign w:val="top"/>
                </w:tcPr>
                <w:p w14:paraId="2DDADB88">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SS (mg/L)</w:t>
                  </w:r>
                </w:p>
              </w:tc>
              <w:tc>
                <w:tcPr>
                  <w:tcW w:w="1285" w:type="dxa"/>
                  <w:vAlign w:val="top"/>
                </w:tcPr>
                <w:p w14:paraId="113FC7A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COD (mg/L)</w:t>
                  </w:r>
                </w:p>
              </w:tc>
              <w:tc>
                <w:tcPr>
                  <w:tcW w:w="1285" w:type="dxa"/>
                  <w:vAlign w:val="top"/>
                </w:tcPr>
                <w:p w14:paraId="36F0124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氨氮 (mg/L)</w:t>
                  </w:r>
                </w:p>
              </w:tc>
              <w:tc>
                <w:tcPr>
                  <w:tcW w:w="1285" w:type="dxa"/>
                  <w:vAlign w:val="top"/>
                </w:tcPr>
                <w:p w14:paraId="6F18EFD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总磷 (mg/L)</w:t>
                  </w:r>
                </w:p>
              </w:tc>
              <w:tc>
                <w:tcPr>
                  <w:tcW w:w="1289" w:type="dxa"/>
                  <w:vAlign w:val="top"/>
                </w:tcPr>
                <w:p w14:paraId="3C583931">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总氮 (mg/L)</w:t>
                  </w:r>
                </w:p>
              </w:tc>
            </w:tr>
            <w:tr w14:paraId="516AA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288" w:type="dxa"/>
                  <w:vAlign w:val="top"/>
                </w:tcPr>
                <w:p w14:paraId="3501028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进水口</w:t>
                  </w:r>
                </w:p>
              </w:tc>
              <w:tc>
                <w:tcPr>
                  <w:tcW w:w="1285" w:type="dxa"/>
                  <w:vAlign w:val="top"/>
                </w:tcPr>
                <w:p w14:paraId="588597C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122</w:t>
                  </w:r>
                </w:p>
              </w:tc>
              <w:tc>
                <w:tcPr>
                  <w:tcW w:w="1285" w:type="dxa"/>
                  <w:vAlign w:val="top"/>
                </w:tcPr>
                <w:p w14:paraId="3BAFF4B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3460</w:t>
                  </w:r>
                </w:p>
              </w:tc>
              <w:tc>
                <w:tcPr>
                  <w:tcW w:w="1285" w:type="dxa"/>
                  <w:vAlign w:val="top"/>
                </w:tcPr>
                <w:p w14:paraId="3767F1F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1122</w:t>
                  </w:r>
                </w:p>
              </w:tc>
              <w:tc>
                <w:tcPr>
                  <w:tcW w:w="1285" w:type="dxa"/>
                  <w:vAlign w:val="top"/>
                </w:tcPr>
                <w:p w14:paraId="077C1BCF">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11.5</w:t>
                  </w:r>
                </w:p>
              </w:tc>
              <w:tc>
                <w:tcPr>
                  <w:tcW w:w="1289" w:type="dxa"/>
                  <w:vAlign w:val="top"/>
                </w:tcPr>
                <w:p w14:paraId="76C353A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876</w:t>
                  </w:r>
                </w:p>
              </w:tc>
            </w:tr>
            <w:tr w14:paraId="07CC2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288" w:type="dxa"/>
                  <w:vAlign w:val="top"/>
                </w:tcPr>
                <w:p w14:paraId="4C522083">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生化池</w:t>
                  </w:r>
                </w:p>
              </w:tc>
              <w:tc>
                <w:tcPr>
                  <w:tcW w:w="1285" w:type="dxa"/>
                  <w:vAlign w:val="top"/>
                </w:tcPr>
                <w:p w14:paraId="3F05988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529</w:t>
                  </w:r>
                </w:p>
              </w:tc>
              <w:tc>
                <w:tcPr>
                  <w:tcW w:w="1285" w:type="dxa"/>
                  <w:vAlign w:val="top"/>
                </w:tcPr>
                <w:p w14:paraId="411C3B02">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3790</w:t>
                  </w:r>
                </w:p>
              </w:tc>
              <w:tc>
                <w:tcPr>
                  <w:tcW w:w="1285" w:type="dxa"/>
                  <w:vAlign w:val="top"/>
                </w:tcPr>
                <w:p w14:paraId="249A9C41">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18.9</w:t>
                  </w:r>
                </w:p>
              </w:tc>
              <w:tc>
                <w:tcPr>
                  <w:tcW w:w="1285" w:type="dxa"/>
                  <w:vAlign w:val="top"/>
                </w:tcPr>
                <w:p w14:paraId="6E541E8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53.2</w:t>
                  </w:r>
                </w:p>
              </w:tc>
              <w:tc>
                <w:tcPr>
                  <w:tcW w:w="1289" w:type="dxa"/>
                  <w:vAlign w:val="top"/>
                </w:tcPr>
                <w:p w14:paraId="0DD5177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818</w:t>
                  </w:r>
                </w:p>
              </w:tc>
            </w:tr>
          </w:tbl>
          <w:p w14:paraId="2283D90E">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根据现场实际水质情况与类型项目经验，预留一定的设计余量，本项目设计进水水 质情况如下表所示。</w:t>
            </w:r>
          </w:p>
          <w:p w14:paraId="484C635D">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 2-8  设计进水水质</w:t>
            </w:r>
          </w:p>
          <w:p w14:paraId="049E5135">
            <w:pPr>
              <w:spacing w:line="69" w:lineRule="exact"/>
              <w:rPr>
                <w:rFonts w:hint="default" w:ascii="Times New Roman" w:hAnsi="Times New Roman" w:cs="Times New Roman"/>
                <w:color w:val="000000" w:themeColor="text1"/>
                <w14:textFill>
                  <w14:solidFill>
                    <w14:schemeClr w14:val="tx1"/>
                  </w14:solidFill>
                </w14:textFill>
              </w:rPr>
            </w:pPr>
          </w:p>
          <w:tbl>
            <w:tblPr>
              <w:tblStyle w:val="80"/>
              <w:tblW w:w="77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6"/>
              <w:gridCol w:w="1933"/>
              <w:gridCol w:w="1933"/>
              <w:gridCol w:w="1936"/>
            </w:tblGrid>
            <w:tr w14:paraId="44223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1936" w:type="dxa"/>
                  <w:vAlign w:val="top"/>
                </w:tcPr>
                <w:p w14:paraId="3A6D0948">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序号</w:t>
                  </w:r>
                </w:p>
              </w:tc>
              <w:tc>
                <w:tcPr>
                  <w:tcW w:w="1933" w:type="dxa"/>
                  <w:vAlign w:val="top"/>
                </w:tcPr>
                <w:p w14:paraId="3F993C6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项目名称</w:t>
                  </w:r>
                </w:p>
              </w:tc>
              <w:tc>
                <w:tcPr>
                  <w:tcW w:w="1933" w:type="dxa"/>
                  <w:vAlign w:val="top"/>
                </w:tcPr>
                <w:p w14:paraId="147828D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单位</w:t>
                  </w:r>
                </w:p>
              </w:tc>
              <w:tc>
                <w:tcPr>
                  <w:tcW w:w="1936" w:type="dxa"/>
                  <w:vAlign w:val="top"/>
                </w:tcPr>
                <w:p w14:paraId="22804412">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限值</w:t>
                  </w:r>
                </w:p>
              </w:tc>
            </w:tr>
            <w:tr w14:paraId="16D5E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trPr>
              <w:tc>
                <w:tcPr>
                  <w:tcW w:w="1936" w:type="dxa"/>
                  <w:vAlign w:val="top"/>
                </w:tcPr>
                <w:p w14:paraId="3E58C7D1">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w:t>
                  </w:r>
                </w:p>
              </w:tc>
              <w:tc>
                <w:tcPr>
                  <w:tcW w:w="1933" w:type="dxa"/>
                  <w:vAlign w:val="top"/>
                </w:tcPr>
                <w:p w14:paraId="3BD0FD9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PH 值</w:t>
                  </w:r>
                </w:p>
              </w:tc>
              <w:tc>
                <w:tcPr>
                  <w:tcW w:w="1933" w:type="dxa"/>
                  <w:vAlign w:val="top"/>
                </w:tcPr>
                <w:p w14:paraId="0384BA19">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w:t>
                  </w:r>
                </w:p>
              </w:tc>
              <w:tc>
                <w:tcPr>
                  <w:tcW w:w="1936" w:type="dxa"/>
                  <w:vAlign w:val="top"/>
                </w:tcPr>
                <w:p w14:paraId="3C8BA1E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6-9</w:t>
                  </w:r>
                </w:p>
              </w:tc>
            </w:tr>
            <w:tr w14:paraId="360CB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trPr>
              <w:tc>
                <w:tcPr>
                  <w:tcW w:w="1936" w:type="dxa"/>
                  <w:vAlign w:val="top"/>
                </w:tcPr>
                <w:p w14:paraId="57DB562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w:t>
                  </w:r>
                </w:p>
              </w:tc>
              <w:tc>
                <w:tcPr>
                  <w:tcW w:w="1933" w:type="dxa"/>
                  <w:vAlign w:val="top"/>
                </w:tcPr>
                <w:p w14:paraId="5FE359F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电导率</w:t>
                  </w:r>
                </w:p>
              </w:tc>
              <w:tc>
                <w:tcPr>
                  <w:tcW w:w="1933" w:type="dxa"/>
                  <w:vAlign w:val="top"/>
                </w:tcPr>
                <w:p w14:paraId="3A29085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us</w:t>
                  </w:r>
                  <w:r>
                    <w:rPr>
                      <w:rFonts w:hint="default" w:ascii="Times New Roman" w:hAnsi="Times New Roman" w:cs="Times New Roman"/>
                      <w:color w:val="000000" w:themeColor="text1"/>
                      <w:lang w:val="en-US"/>
                      <w14:textFill>
                        <w14:solidFill>
                          <w14:schemeClr w14:val="tx1"/>
                        </w14:solidFill>
                      </w14:textFill>
                    </w:rPr>
                    <w:t>/cm</w:t>
                  </w:r>
                </w:p>
              </w:tc>
              <w:tc>
                <w:tcPr>
                  <w:tcW w:w="1936" w:type="dxa"/>
                  <w:vAlign w:val="top"/>
                </w:tcPr>
                <w:p w14:paraId="07AEE2C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≤20000</w:t>
                  </w:r>
                </w:p>
              </w:tc>
            </w:tr>
            <w:tr w14:paraId="6CD26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936" w:type="dxa"/>
                  <w:vAlign w:val="top"/>
                </w:tcPr>
                <w:p w14:paraId="198F2B9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w:t>
                  </w:r>
                </w:p>
              </w:tc>
              <w:tc>
                <w:tcPr>
                  <w:tcW w:w="1933" w:type="dxa"/>
                  <w:vAlign w:val="top"/>
                </w:tcPr>
                <w:p w14:paraId="3C7F1AF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COD</w:t>
                  </w:r>
                </w:p>
              </w:tc>
              <w:tc>
                <w:tcPr>
                  <w:tcW w:w="1933" w:type="dxa"/>
                  <w:vAlign w:val="top"/>
                </w:tcPr>
                <w:p w14:paraId="7D19B7EF">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36" w:type="dxa"/>
                  <w:vAlign w:val="top"/>
                </w:tcPr>
                <w:p w14:paraId="350F67A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≤4000</w:t>
                  </w:r>
                </w:p>
              </w:tc>
            </w:tr>
            <w:tr w14:paraId="3ECC5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936" w:type="dxa"/>
                  <w:vAlign w:val="top"/>
                </w:tcPr>
                <w:p w14:paraId="6F94F3C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w:t>
                  </w:r>
                </w:p>
              </w:tc>
              <w:tc>
                <w:tcPr>
                  <w:tcW w:w="1933" w:type="dxa"/>
                  <w:vAlign w:val="top"/>
                </w:tcPr>
                <w:p w14:paraId="5B4A0EB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氨氮</w:t>
                  </w:r>
                </w:p>
              </w:tc>
              <w:tc>
                <w:tcPr>
                  <w:tcW w:w="1933" w:type="dxa"/>
                  <w:vAlign w:val="top"/>
                </w:tcPr>
                <w:p w14:paraId="0B9430B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36" w:type="dxa"/>
                  <w:vAlign w:val="top"/>
                </w:tcPr>
                <w:p w14:paraId="05B55FC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≤2000</w:t>
                  </w:r>
                </w:p>
              </w:tc>
            </w:tr>
            <w:tr w14:paraId="194E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36" w:type="dxa"/>
                  <w:vAlign w:val="top"/>
                </w:tcPr>
                <w:p w14:paraId="5641AD7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w:t>
                  </w:r>
                </w:p>
              </w:tc>
              <w:tc>
                <w:tcPr>
                  <w:tcW w:w="1933" w:type="dxa"/>
                  <w:vAlign w:val="top"/>
                </w:tcPr>
                <w:p w14:paraId="194F3AD2">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总氮</w:t>
                  </w:r>
                </w:p>
              </w:tc>
              <w:tc>
                <w:tcPr>
                  <w:tcW w:w="1933" w:type="dxa"/>
                  <w:vAlign w:val="top"/>
                </w:tcPr>
                <w:p w14:paraId="75CAD60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36" w:type="dxa"/>
                  <w:vAlign w:val="top"/>
                </w:tcPr>
                <w:p w14:paraId="749B5E2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≤2500</w:t>
                  </w:r>
                </w:p>
              </w:tc>
            </w:tr>
            <w:tr w14:paraId="6BE99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936" w:type="dxa"/>
                  <w:vAlign w:val="top"/>
                </w:tcPr>
                <w:p w14:paraId="364B541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6</w:t>
                  </w:r>
                </w:p>
              </w:tc>
              <w:tc>
                <w:tcPr>
                  <w:tcW w:w="1933" w:type="dxa"/>
                  <w:vAlign w:val="top"/>
                </w:tcPr>
                <w:p w14:paraId="6317A47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总磷</w:t>
                  </w:r>
                </w:p>
              </w:tc>
              <w:tc>
                <w:tcPr>
                  <w:tcW w:w="1933" w:type="dxa"/>
                  <w:vAlign w:val="top"/>
                </w:tcPr>
                <w:p w14:paraId="340D9C92">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36" w:type="dxa"/>
                  <w:vAlign w:val="top"/>
                </w:tcPr>
                <w:p w14:paraId="177A6F7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≤500</w:t>
                  </w:r>
                </w:p>
              </w:tc>
            </w:tr>
          </w:tbl>
          <w:p w14:paraId="538E5015">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（3）出水水质</w:t>
            </w:r>
          </w:p>
          <w:p w14:paraId="1015AC33">
            <w:pPr>
              <w:snapToGrid w:val="0"/>
              <w:spacing w:line="360" w:lineRule="auto"/>
              <w:ind w:firstLine="480" w:firstLineChars="200"/>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u w:val="none"/>
                <w:lang w:val="en-US" w:eastAsia="zh-CN" w:bidi="ar-SA"/>
                <w14:textFill>
                  <w14:solidFill>
                    <w14:schemeClr w14:val="tx1"/>
                  </w14:solidFill>
                </w14:textFill>
              </w:rPr>
              <w:t>出水水质排放标准《生活垃圾填埋场污染物控制标准》  (GB16889-2008) 表二标准，具体数值见表2-9。</w:t>
            </w:r>
          </w:p>
          <w:p w14:paraId="7E3E4F4E">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 2-9  设计出水水质</w:t>
            </w:r>
          </w:p>
          <w:p w14:paraId="5C81ED2B">
            <w:pPr>
              <w:spacing w:line="70" w:lineRule="exact"/>
              <w:rPr>
                <w:rFonts w:hint="default" w:ascii="Times New Roman" w:hAnsi="Times New Roman" w:cs="Times New Roman"/>
                <w:color w:val="000000" w:themeColor="text1"/>
                <w14:textFill>
                  <w14:solidFill>
                    <w14:schemeClr w14:val="tx1"/>
                  </w14:solidFill>
                </w14:textFill>
              </w:rPr>
            </w:pPr>
          </w:p>
          <w:tbl>
            <w:tblPr>
              <w:tblStyle w:val="80"/>
              <w:tblW w:w="78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1"/>
              <w:gridCol w:w="1968"/>
              <w:gridCol w:w="1968"/>
              <w:gridCol w:w="1971"/>
            </w:tblGrid>
            <w:tr w14:paraId="343DA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971" w:type="dxa"/>
                  <w:vAlign w:val="top"/>
                </w:tcPr>
                <w:p w14:paraId="6E698A0F">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序号</w:t>
                  </w:r>
                </w:p>
              </w:tc>
              <w:tc>
                <w:tcPr>
                  <w:tcW w:w="1968" w:type="dxa"/>
                  <w:vAlign w:val="top"/>
                </w:tcPr>
                <w:p w14:paraId="006F7C4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项目名称</w:t>
                  </w:r>
                </w:p>
              </w:tc>
              <w:tc>
                <w:tcPr>
                  <w:tcW w:w="1968" w:type="dxa"/>
                  <w:vAlign w:val="top"/>
                </w:tcPr>
                <w:p w14:paraId="097180F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单位</w:t>
                  </w:r>
                </w:p>
              </w:tc>
              <w:tc>
                <w:tcPr>
                  <w:tcW w:w="1971" w:type="dxa"/>
                  <w:vAlign w:val="top"/>
                </w:tcPr>
                <w:p w14:paraId="5615AD8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限值</w:t>
                  </w:r>
                </w:p>
              </w:tc>
            </w:tr>
            <w:tr w14:paraId="06F6D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971" w:type="dxa"/>
                  <w:vAlign w:val="top"/>
                </w:tcPr>
                <w:p w14:paraId="1F003A1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w:t>
                  </w:r>
                </w:p>
              </w:tc>
              <w:tc>
                <w:tcPr>
                  <w:tcW w:w="1968" w:type="dxa"/>
                  <w:vAlign w:val="top"/>
                </w:tcPr>
                <w:p w14:paraId="3170065F">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色度 (稀释倍数)</w:t>
                  </w:r>
                </w:p>
              </w:tc>
              <w:tc>
                <w:tcPr>
                  <w:tcW w:w="1968" w:type="dxa"/>
                  <w:vAlign w:val="top"/>
                </w:tcPr>
                <w:p w14:paraId="01C1FE21">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w:t>
                  </w:r>
                </w:p>
              </w:tc>
              <w:tc>
                <w:tcPr>
                  <w:tcW w:w="1971" w:type="dxa"/>
                  <w:vAlign w:val="top"/>
                </w:tcPr>
                <w:p w14:paraId="59DDAA1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40</w:t>
                  </w:r>
                </w:p>
              </w:tc>
            </w:tr>
            <w:tr w14:paraId="128F9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971" w:type="dxa"/>
                  <w:vAlign w:val="top"/>
                </w:tcPr>
                <w:p w14:paraId="55765F2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w:t>
                  </w:r>
                </w:p>
              </w:tc>
              <w:tc>
                <w:tcPr>
                  <w:tcW w:w="1968" w:type="dxa"/>
                  <w:vAlign w:val="top"/>
                </w:tcPr>
                <w:p w14:paraId="5DEDA7C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COD</w:t>
                  </w:r>
                </w:p>
              </w:tc>
              <w:tc>
                <w:tcPr>
                  <w:tcW w:w="1968" w:type="dxa"/>
                  <w:vAlign w:val="top"/>
                </w:tcPr>
                <w:p w14:paraId="59BDEDB2">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5882E671">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100</w:t>
                  </w:r>
                </w:p>
              </w:tc>
            </w:tr>
            <w:tr w14:paraId="25714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971" w:type="dxa"/>
                  <w:vAlign w:val="top"/>
                </w:tcPr>
                <w:p w14:paraId="78119C6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w:t>
                  </w:r>
                </w:p>
              </w:tc>
              <w:tc>
                <w:tcPr>
                  <w:tcW w:w="1968" w:type="dxa"/>
                  <w:vAlign w:val="top"/>
                </w:tcPr>
                <w:p w14:paraId="65FA143F">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BOD</w:t>
                  </w:r>
                </w:p>
              </w:tc>
              <w:tc>
                <w:tcPr>
                  <w:tcW w:w="1968" w:type="dxa"/>
                  <w:vAlign w:val="top"/>
                </w:tcPr>
                <w:p w14:paraId="2ACED40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5240306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30</w:t>
                  </w:r>
                </w:p>
              </w:tc>
            </w:tr>
            <w:tr w14:paraId="2E96E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971" w:type="dxa"/>
                  <w:vAlign w:val="top"/>
                </w:tcPr>
                <w:p w14:paraId="0F69592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w:t>
                  </w:r>
                </w:p>
              </w:tc>
              <w:tc>
                <w:tcPr>
                  <w:tcW w:w="1968" w:type="dxa"/>
                  <w:vAlign w:val="top"/>
                </w:tcPr>
                <w:p w14:paraId="032A3C3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SS</w:t>
                  </w:r>
                </w:p>
              </w:tc>
              <w:tc>
                <w:tcPr>
                  <w:tcW w:w="1968" w:type="dxa"/>
                  <w:vAlign w:val="top"/>
                </w:tcPr>
                <w:p w14:paraId="59BF1307">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464B235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30</w:t>
                  </w:r>
                </w:p>
              </w:tc>
            </w:tr>
            <w:tr w14:paraId="71221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971" w:type="dxa"/>
                  <w:vAlign w:val="top"/>
                </w:tcPr>
                <w:p w14:paraId="1AA8A29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5</w:t>
                  </w:r>
                </w:p>
              </w:tc>
              <w:tc>
                <w:tcPr>
                  <w:tcW w:w="1968" w:type="dxa"/>
                  <w:vAlign w:val="top"/>
                </w:tcPr>
                <w:p w14:paraId="1A725F1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总氮</w:t>
                  </w:r>
                </w:p>
              </w:tc>
              <w:tc>
                <w:tcPr>
                  <w:tcW w:w="1968" w:type="dxa"/>
                  <w:vAlign w:val="top"/>
                </w:tcPr>
                <w:p w14:paraId="0CAB8F1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34F46FA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40</w:t>
                  </w:r>
                </w:p>
              </w:tc>
            </w:tr>
            <w:tr w14:paraId="2B3B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971" w:type="dxa"/>
                  <w:vAlign w:val="top"/>
                </w:tcPr>
                <w:p w14:paraId="1247C6A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6</w:t>
                  </w:r>
                </w:p>
              </w:tc>
              <w:tc>
                <w:tcPr>
                  <w:tcW w:w="1968" w:type="dxa"/>
                  <w:vAlign w:val="top"/>
                </w:tcPr>
                <w:p w14:paraId="5451421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氨氮</w:t>
                  </w:r>
                </w:p>
              </w:tc>
              <w:tc>
                <w:tcPr>
                  <w:tcW w:w="1968" w:type="dxa"/>
                  <w:vAlign w:val="top"/>
                </w:tcPr>
                <w:p w14:paraId="2D9E510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316B6EE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25</w:t>
                  </w:r>
                </w:p>
              </w:tc>
            </w:tr>
            <w:tr w14:paraId="17052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971" w:type="dxa"/>
                  <w:vAlign w:val="top"/>
                </w:tcPr>
                <w:p w14:paraId="70AF6289">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7</w:t>
                  </w:r>
                </w:p>
              </w:tc>
              <w:tc>
                <w:tcPr>
                  <w:tcW w:w="1968" w:type="dxa"/>
                  <w:vAlign w:val="top"/>
                </w:tcPr>
                <w:p w14:paraId="7B1FBF38">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总磷</w:t>
                  </w:r>
                </w:p>
              </w:tc>
              <w:tc>
                <w:tcPr>
                  <w:tcW w:w="1968" w:type="dxa"/>
                  <w:vAlign w:val="top"/>
                </w:tcPr>
                <w:p w14:paraId="4C4AAA9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30C9047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3</w:t>
                  </w:r>
                </w:p>
              </w:tc>
            </w:tr>
            <w:tr w14:paraId="099F2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971" w:type="dxa"/>
                  <w:vAlign w:val="top"/>
                </w:tcPr>
                <w:p w14:paraId="7F12AC2E">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8</w:t>
                  </w:r>
                </w:p>
              </w:tc>
              <w:tc>
                <w:tcPr>
                  <w:tcW w:w="1968" w:type="dxa"/>
                  <w:vAlign w:val="top"/>
                </w:tcPr>
                <w:p w14:paraId="322DB75D">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粪大肠杆菌数</w:t>
                  </w:r>
                </w:p>
              </w:tc>
              <w:tc>
                <w:tcPr>
                  <w:tcW w:w="1968" w:type="dxa"/>
                  <w:vAlign w:val="top"/>
                </w:tcPr>
                <w:p w14:paraId="679F17D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个/L</w:t>
                  </w:r>
                </w:p>
              </w:tc>
              <w:tc>
                <w:tcPr>
                  <w:tcW w:w="1971" w:type="dxa"/>
                  <w:vAlign w:val="top"/>
                </w:tcPr>
                <w:p w14:paraId="78E2F2A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10000</w:t>
                  </w:r>
                </w:p>
              </w:tc>
            </w:tr>
            <w:tr w14:paraId="54C09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971" w:type="dxa"/>
                  <w:vAlign w:val="top"/>
                </w:tcPr>
                <w:p w14:paraId="3A92F955">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9</w:t>
                  </w:r>
                </w:p>
              </w:tc>
              <w:tc>
                <w:tcPr>
                  <w:tcW w:w="1968" w:type="dxa"/>
                  <w:vAlign w:val="top"/>
                </w:tcPr>
                <w:p w14:paraId="6A99F824">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总汞</w:t>
                  </w:r>
                </w:p>
              </w:tc>
              <w:tc>
                <w:tcPr>
                  <w:tcW w:w="1968" w:type="dxa"/>
                  <w:vAlign w:val="top"/>
                </w:tcPr>
                <w:p w14:paraId="21EF4092">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0A0A06D8">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0.001</w:t>
                  </w:r>
                </w:p>
              </w:tc>
            </w:tr>
            <w:tr w14:paraId="6D31A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971" w:type="dxa"/>
                  <w:vAlign w:val="top"/>
                </w:tcPr>
                <w:p w14:paraId="57E213D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10</w:t>
                  </w:r>
                </w:p>
              </w:tc>
              <w:tc>
                <w:tcPr>
                  <w:tcW w:w="1968" w:type="dxa"/>
                  <w:vAlign w:val="top"/>
                </w:tcPr>
                <w:p w14:paraId="12D61CCC">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总镉</w:t>
                  </w:r>
                </w:p>
              </w:tc>
              <w:tc>
                <w:tcPr>
                  <w:tcW w:w="1968" w:type="dxa"/>
                  <w:vAlign w:val="top"/>
                </w:tcPr>
                <w:p w14:paraId="6ED69A03">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1E75B73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0.01</w:t>
                  </w:r>
                </w:p>
              </w:tc>
            </w:tr>
            <w:tr w14:paraId="26393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971" w:type="dxa"/>
                  <w:vAlign w:val="top"/>
                </w:tcPr>
                <w:p w14:paraId="4DE3254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11</w:t>
                  </w:r>
                </w:p>
              </w:tc>
              <w:tc>
                <w:tcPr>
                  <w:tcW w:w="1968" w:type="dxa"/>
                  <w:vAlign w:val="top"/>
                </w:tcPr>
                <w:p w14:paraId="55B5D683">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总铬</w:t>
                  </w:r>
                </w:p>
              </w:tc>
              <w:tc>
                <w:tcPr>
                  <w:tcW w:w="1968" w:type="dxa"/>
                  <w:vAlign w:val="top"/>
                </w:tcPr>
                <w:p w14:paraId="55497479">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53836063">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0.1</w:t>
                  </w:r>
                </w:p>
              </w:tc>
            </w:tr>
            <w:tr w14:paraId="59024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971" w:type="dxa"/>
                  <w:vAlign w:val="top"/>
                </w:tcPr>
                <w:p w14:paraId="4B9AD65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12</w:t>
                  </w:r>
                </w:p>
              </w:tc>
              <w:tc>
                <w:tcPr>
                  <w:tcW w:w="1968" w:type="dxa"/>
                  <w:vAlign w:val="top"/>
                </w:tcPr>
                <w:p w14:paraId="7D87EC35">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六价铬</w:t>
                  </w:r>
                </w:p>
              </w:tc>
              <w:tc>
                <w:tcPr>
                  <w:tcW w:w="1968" w:type="dxa"/>
                  <w:vAlign w:val="top"/>
                </w:tcPr>
                <w:p w14:paraId="1BDAE6C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53F17519">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0.05</w:t>
                  </w:r>
                </w:p>
              </w:tc>
            </w:tr>
            <w:tr w14:paraId="300BB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971" w:type="dxa"/>
                  <w:vAlign w:val="top"/>
                </w:tcPr>
                <w:p w14:paraId="513766CA">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13</w:t>
                  </w:r>
                </w:p>
              </w:tc>
              <w:tc>
                <w:tcPr>
                  <w:tcW w:w="1968" w:type="dxa"/>
                  <w:vAlign w:val="top"/>
                </w:tcPr>
                <w:p w14:paraId="49AE2EC3">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总砷</w:t>
                  </w:r>
                </w:p>
              </w:tc>
              <w:tc>
                <w:tcPr>
                  <w:tcW w:w="1968" w:type="dxa"/>
                  <w:vAlign w:val="top"/>
                </w:tcPr>
                <w:p w14:paraId="720BDE1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64FF0E49">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0.1</w:t>
                  </w:r>
                </w:p>
              </w:tc>
            </w:tr>
            <w:tr w14:paraId="452D9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971" w:type="dxa"/>
                  <w:vAlign w:val="top"/>
                </w:tcPr>
                <w:p w14:paraId="1F050020">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14</w:t>
                  </w:r>
                </w:p>
              </w:tc>
              <w:tc>
                <w:tcPr>
                  <w:tcW w:w="1968" w:type="dxa"/>
                  <w:vAlign w:val="top"/>
                </w:tcPr>
                <w:p w14:paraId="7FE5B67B">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总铅</w:t>
                  </w:r>
                </w:p>
              </w:tc>
              <w:tc>
                <w:tcPr>
                  <w:tcW w:w="1968" w:type="dxa"/>
                  <w:vAlign w:val="top"/>
                </w:tcPr>
                <w:p w14:paraId="3FB5BDC6">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mg/L</w:t>
                  </w:r>
                </w:p>
              </w:tc>
              <w:tc>
                <w:tcPr>
                  <w:tcW w:w="1971" w:type="dxa"/>
                  <w:vAlign w:val="top"/>
                </w:tcPr>
                <w:p w14:paraId="7EE80388">
                  <w:pPr>
                    <w:pStyle w:val="71"/>
                    <w:bidi w:val="0"/>
                    <w:jc w:val="cente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0.1</w:t>
                  </w:r>
                </w:p>
              </w:tc>
            </w:tr>
          </w:tbl>
          <w:p w14:paraId="339E3F54">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p>
        </w:tc>
      </w:tr>
      <w:tr w14:paraId="00BB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273" w:type="pct"/>
            <w:vAlign w:val="center"/>
          </w:tcPr>
          <w:p w14:paraId="780BBD49">
            <w:pPr>
              <w:spacing w:line="360" w:lineRule="auto"/>
              <w:jc w:val="center"/>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工艺流程和产排污环节</w:t>
            </w:r>
          </w:p>
        </w:tc>
        <w:tc>
          <w:tcPr>
            <w:tcW w:w="4726" w:type="pct"/>
          </w:tcPr>
          <w:p w14:paraId="6EF3D783">
            <w:pPr>
              <w:tabs>
                <w:tab w:val="left" w:pos="6195"/>
              </w:tabs>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 施工期</w:t>
            </w:r>
          </w:p>
          <w:p w14:paraId="7EC58349">
            <w:pPr>
              <w:spacing w:line="360" w:lineRule="auto"/>
              <w:ind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工艺流程和产排污环节：</w:t>
            </w:r>
          </w:p>
          <w:p w14:paraId="3D81F110">
            <w:pPr>
              <w:spacing w:line="360" w:lineRule="auto"/>
              <w:ind w:firstLine="482" w:firstLineChars="200"/>
              <w:jc w:val="left"/>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0"/>
                <w:sz w:val="24"/>
                <w:lang w:bidi="ar"/>
                <w14:textFill>
                  <w14:solidFill>
                    <w14:schemeClr w14:val="tx1"/>
                  </w14:solidFill>
                </w14:textFill>
              </w:rPr>
              <w:t>施工期工艺流程和产污环节分析</w:t>
            </w:r>
          </w:p>
          <w:p w14:paraId="65A4F33D">
            <w:pPr>
              <w:spacing w:line="360" w:lineRule="auto"/>
              <w:ind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因原环评已经完成主体工程的建设，本项目只需在原有基础进行增加设备、完善环保设施。因此，施工期</w:t>
            </w:r>
            <w:r>
              <w:rPr>
                <w:rFonts w:hint="default" w:ascii="Times New Roman" w:hAnsi="Times New Roman" w:eastAsia="宋体" w:cs="Times New Roman"/>
                <w:color w:val="000000" w:themeColor="text1"/>
                <w:kern w:val="0"/>
                <w:sz w:val="24"/>
                <w:lang w:bidi="ar"/>
                <w14:textFill>
                  <w14:solidFill>
                    <w14:schemeClr w14:val="tx1"/>
                  </w14:solidFill>
                </w14:textFill>
              </w:rPr>
              <w:t>产生的污染物主要为少量的</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施工废气、</w:t>
            </w:r>
            <w:r>
              <w:rPr>
                <w:rFonts w:hint="default" w:ascii="Times New Roman" w:hAnsi="Times New Roman" w:eastAsia="宋体" w:cs="Times New Roman"/>
                <w:color w:val="000000" w:themeColor="text1"/>
                <w:kern w:val="0"/>
                <w:sz w:val="24"/>
                <w:lang w:bidi="ar"/>
                <w14:textFill>
                  <w14:solidFill>
                    <w14:schemeClr w14:val="tx1"/>
                  </w14:solidFill>
                </w14:textFill>
              </w:rPr>
              <w:t>施工废水、施工噪声以及施工固体废弃物等。</w:t>
            </w:r>
          </w:p>
          <w:p w14:paraId="6810142A">
            <w:pPr>
              <w:spacing w:line="360" w:lineRule="auto"/>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972050" cy="725170"/>
                  <wp:effectExtent l="0" t="0" r="1143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4972050" cy="725170"/>
                          </a:xfrm>
                          <a:prstGeom prst="rect">
                            <a:avLst/>
                          </a:prstGeom>
                          <a:noFill/>
                          <a:ln>
                            <a:noFill/>
                          </a:ln>
                        </pic:spPr>
                      </pic:pic>
                    </a:graphicData>
                  </a:graphic>
                </wp:inline>
              </w:drawing>
            </w:r>
          </w:p>
          <w:p w14:paraId="69051999">
            <w:pPr>
              <w:spacing w:line="360" w:lineRule="auto"/>
              <w:ind w:firstLine="422" w:firstLineChars="20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图2-1  施工期工艺流程图</w:t>
            </w:r>
          </w:p>
          <w:p w14:paraId="5E49CEE5">
            <w:pPr>
              <w:pStyle w:val="3"/>
              <w:bidi w:val="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废气主要为施工机械运行废气及施工扬尘，本项目施工期间废气产生量极小；废水主要为施工废水、施工人员生活污水；噪声主要为安装调试噪声、设备搬运噪声；固体废物主要为建筑垃圾、生活垃圾等。</w:t>
            </w:r>
          </w:p>
          <w:p w14:paraId="3B13F559">
            <w:pPr>
              <w:spacing w:line="360" w:lineRule="auto"/>
              <w:ind w:firstLine="482" w:firstLineChars="200"/>
              <w:jc w:val="left"/>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lang w:val="en-US" w:eastAsia="zh-CN" w:bidi="ar"/>
                <w14:textFill>
                  <w14:solidFill>
                    <w14:schemeClr w14:val="tx1"/>
                  </w14:solidFill>
                </w14:textFill>
              </w:rPr>
              <w:t>2、运营期</w:t>
            </w:r>
          </w:p>
          <w:p w14:paraId="4E968062">
            <w:pPr>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1）项</w:t>
            </w:r>
            <w:r>
              <w:rPr>
                <w:rFonts w:hint="default" w:ascii="Times New Roman" w:hAnsi="Times New Roman" w:cs="Times New Roman"/>
                <w:bCs/>
                <w:color w:val="000000" w:themeColor="text1"/>
                <w:sz w:val="24"/>
                <w14:textFill>
                  <w14:solidFill>
                    <w14:schemeClr w14:val="tx1"/>
                  </w14:solidFill>
                </w14:textFill>
              </w:rPr>
              <w:t>目运营期生产工艺如下图2-2所示：</w:t>
            </w:r>
          </w:p>
          <w:p w14:paraId="43D6A142">
            <w:pPr>
              <w:jc w:val="center"/>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eastAsiaTheme="minorEastAsia"/>
                <w:color w:val="000000" w:themeColor="text1"/>
                <w:lang w:eastAsia="zh-CN"/>
                <w14:textFill>
                  <w14:solidFill>
                    <w14:schemeClr w14:val="tx1"/>
                  </w14:solidFill>
                </w14:textFill>
              </w:rPr>
              <w:drawing>
                <wp:inline distT="0" distB="0" distL="114300" distR="114300">
                  <wp:extent cx="4973955" cy="3705860"/>
                  <wp:effectExtent l="0" t="0" r="9525" b="12700"/>
                  <wp:docPr id="6" name="图片 6" descr="2346ec02205dcb526370c5c11d5b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46ec02205dcb526370c5c11d5b6ab"/>
                          <pic:cNvPicPr>
                            <a:picLocks noChangeAspect="1"/>
                          </pic:cNvPicPr>
                        </pic:nvPicPr>
                        <pic:blipFill>
                          <a:blip r:embed="rId6"/>
                          <a:stretch>
                            <a:fillRect/>
                          </a:stretch>
                        </pic:blipFill>
                        <pic:spPr>
                          <a:xfrm>
                            <a:off x="0" y="0"/>
                            <a:ext cx="4973955" cy="3705860"/>
                          </a:xfrm>
                          <a:prstGeom prst="rect">
                            <a:avLst/>
                          </a:prstGeom>
                        </pic:spPr>
                      </pic:pic>
                    </a:graphicData>
                  </a:graphic>
                </wp:inline>
              </w:drawing>
            </w:r>
          </w:p>
          <w:p w14:paraId="27AB71F7">
            <w:pPr>
              <w:spacing w:line="360" w:lineRule="auto"/>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3801745</wp:posOffset>
                      </wp:positionH>
                      <wp:positionV relativeFrom="paragraph">
                        <wp:posOffset>6283325</wp:posOffset>
                      </wp:positionV>
                      <wp:extent cx="438150" cy="9525"/>
                      <wp:effectExtent l="0" t="30480" r="0" b="36195"/>
                      <wp:wrapNone/>
                      <wp:docPr id="9" name="直接箭头连接符 9"/>
                      <wp:cNvGraphicFramePr/>
                      <a:graphic xmlns:a="http://schemas.openxmlformats.org/drawingml/2006/main">
                        <a:graphicData uri="http://schemas.microsoft.com/office/word/2010/wordprocessingShape">
                          <wps:wsp>
                            <wps:cNvCnPr/>
                            <wps:spPr>
                              <a:xfrm flipH="1">
                                <a:off x="5094605" y="7204075"/>
                                <a:ext cx="438150" cy="9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9.35pt;margin-top:494.75pt;height:0.75pt;width:34.5pt;z-index:251662336;mso-width-relative:page;mso-height-relative:page;" filled="f" stroked="t" coordsize="21600,21600" o:gfxdata="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yCodva&#10;AAAACwEAAA8AAAAAAAAAAQAgAAAAIgAAAGRycy9kb3ducmV2LnhtbFBLAQIUABQAAAAIAIdO4kDf&#10;CqDEHgIAAPgDAAAOAAAAAAAAAAEAIAAAACkBAABkcnMvZTJvRG9jLnhtbFBLBQYAAAAABgAGAFkB&#10;AAC5BQAAAAA=&#10;">
                      <v:fill on="f" focussize="0,0"/>
                      <v:stroke weight="0.5pt" color="#000000 [3213]" miterlimit="8" joinstyle="miter" dashstyle="dash" endarrow="block"/>
                      <v:imagedata o:title=""/>
                      <o:lock v:ext="edit" aspectratio="f"/>
                    </v:shape>
                  </w:pict>
                </mc:Fallback>
              </mc:AlternateContent>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1249045</wp:posOffset>
                      </wp:positionH>
                      <wp:positionV relativeFrom="paragraph">
                        <wp:posOffset>6340475</wp:posOffset>
                      </wp:positionV>
                      <wp:extent cx="447675" cy="9525"/>
                      <wp:effectExtent l="0" t="36195" r="9525" b="30480"/>
                      <wp:wrapNone/>
                      <wp:docPr id="7" name="直接箭头连接符 7"/>
                      <wp:cNvGraphicFramePr/>
                      <a:graphic xmlns:a="http://schemas.openxmlformats.org/drawingml/2006/main">
                        <a:graphicData uri="http://schemas.microsoft.com/office/word/2010/wordprocessingShape">
                          <wps:wsp>
                            <wps:cNvCnPr/>
                            <wps:spPr>
                              <a:xfrm flipV="1">
                                <a:off x="2541905" y="7261225"/>
                                <a:ext cx="447675" cy="9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35pt;margin-top:499.25pt;height:0.75pt;width:35.25pt;z-index:251661312;mso-width-relative:page;mso-height-relative:page;" filled="f" stroked="t" coordsize="21600,21600" o:gfxdata="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FEWstoA&#10;AAAMAQAADwAAAAAAAAABACAAAAAiAAAAZHJzL2Rvd25yZXYueG1sUEsBAhQAFAAAAAgAh07iQOw+&#10;HC4dAgAA+AMAAA4AAAAAAAAAAQAgAAAAKQEAAGRycy9lMm9Eb2MueG1sUEsFBgAAAAAGAAYAWQEA&#10;ALgFAAAAAA==&#10;">
                      <v:fill on="f" focussize="0,0"/>
                      <v:stroke weight="0.5pt" color="#000000 [3213]" miterlimit="8" joinstyle="miter" dashstyle="dash" endarrow="block"/>
                      <v:imagedata o:title=""/>
                      <o:lock v:ext="edit" aspectratio="f"/>
                    </v:shape>
                  </w:pict>
                </mc:Fallback>
              </mc:AlternateContent>
            </w:r>
            <w:r>
              <w:rPr>
                <w:rFonts w:hint="default" w:ascii="Times New Roman" w:hAnsi="Times New Roman" w:eastAsia="宋体" w:cs="Times New Roman"/>
                <w:b/>
                <w:color w:val="000000" w:themeColor="text1"/>
                <w:szCs w:val="21"/>
                <w14:textFill>
                  <w14:solidFill>
                    <w14:schemeClr w14:val="tx1"/>
                  </w14:solidFill>
                </w14:textFill>
              </w:rPr>
              <w:t xml:space="preserve">图2-2  </w:t>
            </w:r>
            <w:r>
              <w:rPr>
                <w:rFonts w:hint="default" w:ascii="Times New Roman" w:hAnsi="Times New Roman" w:eastAsia="宋体" w:cs="Times New Roman"/>
                <w:b/>
                <w:bCs/>
                <w:color w:val="000000" w:themeColor="text1"/>
                <w:szCs w:val="21"/>
                <w14:textFill>
                  <w14:solidFill>
                    <w14:schemeClr w14:val="tx1"/>
                  </w14:solidFill>
                </w14:textFill>
              </w:rPr>
              <w:t>项目运营期</w:t>
            </w:r>
            <w:r>
              <w:rPr>
                <w:rFonts w:hint="default" w:ascii="Times New Roman" w:hAnsi="Times New Roman" w:eastAsia="宋体" w:cs="Times New Roman"/>
                <w:b/>
                <w:color w:val="000000" w:themeColor="text1"/>
                <w:szCs w:val="21"/>
                <w14:textFill>
                  <w14:solidFill>
                    <w14:schemeClr w14:val="tx1"/>
                  </w14:solidFill>
                </w14:textFill>
              </w:rPr>
              <w:t>工艺流程</w:t>
            </w:r>
            <w:r>
              <w:rPr>
                <w:rFonts w:hint="default" w:ascii="Times New Roman" w:hAnsi="Times New Roman" w:eastAsia="宋体" w:cs="Times New Roman"/>
                <w:b/>
                <w:color w:val="000000" w:themeColor="text1"/>
                <w:szCs w:val="21"/>
                <w:lang w:val="en-US" w:eastAsia="zh-CN"/>
                <w14:textFill>
                  <w14:solidFill>
                    <w14:schemeClr w14:val="tx1"/>
                  </w14:solidFill>
                </w14:textFill>
              </w:rPr>
              <w:t>图</w:t>
            </w:r>
          </w:p>
          <w:p w14:paraId="15405432">
            <w:pPr>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3" w:name="_Toc20481"/>
            <w:bookmarkStart w:id="4" w:name="_Toc7137"/>
            <w:bookmarkStart w:id="5" w:name="_Toc28682"/>
            <w:bookmarkStart w:id="6" w:name="_Toc2662"/>
            <w:bookmarkStart w:id="7" w:name="_Toc603"/>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3）膜清洗系统工艺流程</w:t>
            </w:r>
            <w:bookmarkEnd w:id="3"/>
            <w:bookmarkEnd w:id="4"/>
            <w:bookmarkEnd w:id="5"/>
            <w:bookmarkEnd w:id="6"/>
            <w:bookmarkEnd w:id="7"/>
          </w:p>
          <w:p w14:paraId="0EE180F2">
            <w:pPr>
              <w:spacing w:line="360" w:lineRule="auto"/>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972685" cy="600710"/>
                  <wp:effectExtent l="0" t="0" r="10795" b="889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a:stretch>
                            <a:fillRect/>
                          </a:stretch>
                        </pic:blipFill>
                        <pic:spPr>
                          <a:xfrm>
                            <a:off x="0" y="0"/>
                            <a:ext cx="4972685" cy="600710"/>
                          </a:xfrm>
                          <a:prstGeom prst="rect">
                            <a:avLst/>
                          </a:prstGeom>
                          <a:noFill/>
                          <a:ln>
                            <a:noFill/>
                          </a:ln>
                        </pic:spPr>
                      </pic:pic>
                    </a:graphicData>
                  </a:graphic>
                </wp:inline>
              </w:drawing>
            </w:r>
            <w:r>
              <w:rPr>
                <w:rFonts w:hint="default" w:ascii="Times New Roman" w:hAnsi="Times New Roman" w:eastAsia="宋体" w:cs="Times New Roman"/>
                <w:b/>
                <w:color w:val="000000" w:themeColor="text1"/>
                <w:szCs w:val="21"/>
                <w14:textFill>
                  <w14:solidFill>
                    <w14:schemeClr w14:val="tx1"/>
                  </w14:solidFill>
                </w14:textFill>
              </w:rPr>
              <w:t>图2-</w:t>
            </w:r>
            <w:r>
              <w:rPr>
                <w:rFonts w:hint="eastAsia" w:ascii="Times New Roman" w:hAnsi="Times New Roman" w:eastAsia="宋体" w:cs="Times New Roman"/>
                <w:b/>
                <w:color w:val="000000" w:themeColor="text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Cs w:val="21"/>
                <w14:textFill>
                  <w14:solidFill>
                    <w14:schemeClr w14:val="tx1"/>
                  </w14:solidFill>
                </w14:textFill>
              </w:rPr>
              <w:t xml:space="preserve">  </w:t>
            </w:r>
            <w:r>
              <w:rPr>
                <w:rFonts w:hint="default" w:ascii="Times New Roman" w:hAnsi="Times New Roman" w:eastAsia="宋体" w:cs="Times New Roman"/>
                <w:b/>
                <w:bCs/>
                <w:color w:val="000000" w:themeColor="text1"/>
                <w:szCs w:val="21"/>
                <w14:textFill>
                  <w14:solidFill>
                    <w14:schemeClr w14:val="tx1"/>
                  </w14:solidFill>
                </w14:textFill>
              </w:rPr>
              <w:t>项目运营期</w:t>
            </w:r>
            <w:r>
              <w:rPr>
                <w:rFonts w:hint="default" w:ascii="Times New Roman" w:hAnsi="Times New Roman" w:eastAsia="宋体" w:cs="Times New Roman"/>
                <w:b/>
                <w:color w:val="000000" w:themeColor="text1"/>
                <w:szCs w:val="21"/>
                <w14:textFill>
                  <w14:solidFill>
                    <w14:schemeClr w14:val="tx1"/>
                  </w14:solidFill>
                </w14:textFill>
              </w:rPr>
              <w:t>工艺流程</w:t>
            </w:r>
            <w:r>
              <w:rPr>
                <w:rFonts w:hint="default" w:ascii="Times New Roman" w:hAnsi="Times New Roman" w:eastAsia="宋体" w:cs="Times New Roman"/>
                <w:b/>
                <w:color w:val="000000" w:themeColor="text1"/>
                <w:szCs w:val="21"/>
                <w:lang w:val="en-US" w:eastAsia="zh-CN"/>
                <w14:textFill>
                  <w14:solidFill>
                    <w14:schemeClr w14:val="tx1"/>
                  </w14:solidFill>
                </w14:textFill>
              </w:rPr>
              <w:t>图</w:t>
            </w:r>
          </w:p>
          <w:p w14:paraId="2416421D">
            <w:pPr>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运营期工艺流程简述</w:t>
            </w:r>
          </w:p>
          <w:p w14:paraId="3340BDA6">
            <w:pPr>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新建设备预处理系统：收集池渗滤液经过提升泵进入预处理，预处理包括袋式过滤器+曝气柜+pH调试系统，主要去除大部分氨氮、ss和悬浮物等杂质，同时消耗部分有机污染物质，pH调节系统均衡水质，使预处理出水满足膜系统进水要求，然后进入反渗透膜处理系统。反渗透膜处理系统:由于垃圾渗滤液污染物成分的复杂性，采用高强度好氧化、物化处理后，污水中仍有少量残余的溶解性污染物，当执行较高的排放标准时，必须设置膜处理工段，进一步去除少量残余的溶解性污染物。对于经高强度好氧生化处理后的垃圾渗滤液，本系统采用二级RO进行深度处理后，产水进入氨氮吹脱塔，去除大部分氨氮后，达标产水部分排放，未达标浓水回灌填埋场。</w:t>
            </w:r>
          </w:p>
          <w:p w14:paraId="10C5A505">
            <w:pPr>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（1）调节池渗滤液由提升泵提升进入预处理系统，包括袋式过滤器</w:t>
            </w:r>
          </w:p>
          <w:p w14:paraId="4BFFCA91">
            <w:pPr>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1）袋式过滤器</w:t>
            </w:r>
          </w:p>
          <w:p w14:paraId="2BE5F1A8">
            <w:pPr>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①结构及工作原理</w:t>
            </w:r>
          </w:p>
          <w:p w14:paraId="361F4F2D">
            <w:pPr>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袋式过滤机是一种压力式过滤装置，主要有过滤筒体、过滤筒盖和快开机构、不锈钢滤袋加强网等主要部件组成，滤液由过滤机外壳的旁侧入口管流入滤袋，滤袋本身是置在加强网篮内，液体渗透过所需要细度等级的滤袋即能获得合格的滤液，杂质颗粒 被滤袋拦截。该机更换滤袋十分方便，过滤基本无物料消耗。</w:t>
            </w:r>
          </w:p>
          <w:p w14:paraId="607034E5">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袋式过滤器具备构造合理、密封性好、流通能力强、操作简便等诸多长处。尤其是滤袋侧漏机率小，能正确地保障过滤精度，并能快捷地改换滤袋，使得操作成本下降。滤器内外表面采取机械喷砂抛光解决，平均、易清洗。我们知道，袋式过滤器所采取的 过滤方法是侧进侧出的方法，也可以采取侧进底出的方法，通过管道中的压力将过滤液 体介质压入或抽入袋式过滤器桶体，要过滤的液体介质经由电抛光冲孔支持滤蓝承托的 过滤袋的过滤，发生变化的固液分别到达液体介质被过滤的结果。</w:t>
            </w:r>
          </w:p>
          <w:p w14:paraId="3838C54D">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袋式过滤器的结构设计是由四套摇锤式环首螺栓将顶盖和滤筒密封锁紧，使过滤器更能承受极高的过滤压力和水锤式的压力冲击。袋式过滤器由滤筒，过滤网篮，过滤袋三部分组成，结构紧凑简单；要过滤的液体经过滤器的进口进入，流进过滤袋，经过滤袋的拦截后，由过滤器的出口流出。袋式过滤器的进出口设计一般采用侧进底出方式，方便清洗。</w:t>
            </w:r>
          </w:p>
          <w:p w14:paraId="63FAED0D">
            <w:pPr>
              <w:snapToGrid w:val="0"/>
              <w:spacing w:line="360" w:lineRule="auto"/>
              <w:ind w:firstLine="560" w:firstLineChars="200"/>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drawing>
                <wp:anchor distT="0" distB="0" distL="0" distR="0" simplePos="0" relativeHeight="251664384" behindDoc="0" locked="0" layoutInCell="1" allowOverlap="1">
                  <wp:simplePos x="0" y="0"/>
                  <wp:positionH relativeFrom="column">
                    <wp:posOffset>137795</wp:posOffset>
                  </wp:positionH>
                  <wp:positionV relativeFrom="page">
                    <wp:posOffset>373380</wp:posOffset>
                  </wp:positionV>
                  <wp:extent cx="4660900" cy="2166620"/>
                  <wp:effectExtent l="0" t="0" r="2540" b="12700"/>
                  <wp:wrapSquare wrapText="bothSides"/>
                  <wp:docPr id="11" name="IM 2"/>
                  <wp:cNvGraphicFramePr/>
                  <a:graphic xmlns:a="http://schemas.openxmlformats.org/drawingml/2006/main">
                    <a:graphicData uri="http://schemas.openxmlformats.org/drawingml/2006/picture">
                      <pic:pic xmlns:pic="http://schemas.openxmlformats.org/drawingml/2006/picture">
                        <pic:nvPicPr>
                          <pic:cNvPr id="11" name="IM 2"/>
                          <pic:cNvPicPr/>
                        </pic:nvPicPr>
                        <pic:blipFill>
                          <a:blip r:embed="rId8"/>
                          <a:stretch>
                            <a:fillRect/>
                          </a:stretch>
                        </pic:blipFill>
                        <pic:spPr>
                          <a:xfrm>
                            <a:off x="0" y="0"/>
                            <a:ext cx="4660900" cy="2166620"/>
                          </a:xfrm>
                          <a:prstGeom prst="rect">
                            <a:avLst/>
                          </a:prstGeom>
                        </pic:spPr>
                      </pic:pic>
                    </a:graphicData>
                  </a:graphic>
                </wp:anchor>
              </w:drawing>
            </w:r>
          </w:p>
          <w:p w14:paraId="6F5BD604">
            <w:pPr>
              <w:snapToGrid w:val="0"/>
              <w:spacing w:line="360" w:lineRule="auto"/>
              <w:ind w:firstLine="480" w:firstLineChars="200"/>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多介质滤罐是利用一种或几种过滤介质，常温操作、耐酸碱、氧化，PH 适用范围为2-13。系统配置完善的保护装置和监测仪表,且具有反冲洗功能，泥垢等污染物很快被冲走，耗水量少，按用户要求可设置全自动功能。就像活性炭罐，在一定的压力下，使原液通过该介质的触絮凝、吸附、截留，去除杂质，从而达到过滤的目的。其内装的填料一般为：石英砂、无烟煤、颗粒多孔陶瓷、锰砂等，可有效去除胶体微粒及高分子有机物。</w:t>
            </w: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drawing>
                <wp:inline distT="0" distB="0" distL="0" distR="0">
                  <wp:extent cx="4911725" cy="2457450"/>
                  <wp:effectExtent l="0" t="0" r="10795" b="11430"/>
                  <wp:docPr id="12" name="IM 3"/>
                  <wp:cNvGraphicFramePr/>
                  <a:graphic xmlns:a="http://schemas.openxmlformats.org/drawingml/2006/main">
                    <a:graphicData uri="http://schemas.openxmlformats.org/drawingml/2006/picture">
                      <pic:pic xmlns:pic="http://schemas.openxmlformats.org/drawingml/2006/picture">
                        <pic:nvPicPr>
                          <pic:cNvPr id="12" name="IM 3"/>
                          <pic:cNvPicPr/>
                        </pic:nvPicPr>
                        <pic:blipFill>
                          <a:blip r:embed="rId9"/>
                          <a:stretch>
                            <a:fillRect/>
                          </a:stretch>
                        </pic:blipFill>
                        <pic:spPr>
                          <a:xfrm>
                            <a:off x="0" y="0"/>
                            <a:ext cx="4911725" cy="2457450"/>
                          </a:xfrm>
                          <a:prstGeom prst="rect">
                            <a:avLst/>
                          </a:prstGeom>
                        </pic:spPr>
                      </pic:pic>
                    </a:graphicData>
                  </a:graphic>
                </wp:inline>
              </w:drawing>
            </w:r>
          </w:p>
          <w:p w14:paraId="63F31372">
            <w:pPr>
              <w:snapToGrid w:val="0"/>
              <w:spacing w:line="360" w:lineRule="auto"/>
              <w:ind w:firstLine="480" w:firstLineChars="200"/>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（2）预处理出水再增压进入一级STRO膜系统，一级 STRO产水继续进入二级STRO 膜进一步处理，浓水回灌至填埋场；膜分离是在20世纪初出现，20世纪60年代后迅速崛起的一门分离新技术。膜分离技术由于兼有分离、浓缩、纯化和精制的功能，又有高效、节能、环保、分子级过滤及过滤过程简单、易于控制等特征， 因此， 目前已 广泛应用于食品、医药、生物、环保、化工、冶金、能源、石油、水处理、 电子、仿生 等领域，产生了巨大的经济效益和社会效益，已成为当今分离科学中最重要的手段之一。膜 是具有选择性分离功能的材料。利用膜的选择性分离实现料液的不同组分的分离、纯化、浓缩的过程称作膜分离。它与传统过滤的不同在于，膜可以在分子范围内进行分离，并且这过程是一种物理过程，不发生相变化，也无需添加任何助剂。膜可依据其孔径的 不同（或称为截留分子量）分为微滤膜、超滤膜、纳滤膜和反渗透膜，根据材料的不同，可分为无机膜和有机膜，无机膜主要陶瓷膜和金属膜。有机膜是由高分子材料做成的，如醋酸纤维素、芳香族聚酰胺、聚醚砜、聚氟聚合物等等。</w:t>
            </w:r>
          </w:p>
          <w:p w14:paraId="04D69D55">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drawing>
                <wp:anchor distT="0" distB="0" distL="0" distR="0" simplePos="0" relativeHeight="251665408" behindDoc="0" locked="0" layoutInCell="1" allowOverlap="1">
                  <wp:simplePos x="0" y="0"/>
                  <wp:positionH relativeFrom="column">
                    <wp:posOffset>-204470</wp:posOffset>
                  </wp:positionH>
                  <wp:positionV relativeFrom="paragraph">
                    <wp:posOffset>15875</wp:posOffset>
                  </wp:positionV>
                  <wp:extent cx="5090160" cy="2374900"/>
                  <wp:effectExtent l="0" t="0" r="0" b="2540"/>
                  <wp:wrapSquare wrapText="bothSides"/>
                  <wp:docPr id="13" name="IM 4"/>
                  <wp:cNvGraphicFramePr/>
                  <a:graphic xmlns:a="http://schemas.openxmlformats.org/drawingml/2006/main">
                    <a:graphicData uri="http://schemas.openxmlformats.org/drawingml/2006/picture">
                      <pic:pic xmlns:pic="http://schemas.openxmlformats.org/drawingml/2006/picture">
                        <pic:nvPicPr>
                          <pic:cNvPr id="13" name="IM 4"/>
                          <pic:cNvPicPr/>
                        </pic:nvPicPr>
                        <pic:blipFill>
                          <a:blip r:embed="rId10"/>
                          <a:stretch>
                            <a:fillRect/>
                          </a:stretch>
                        </pic:blipFill>
                        <pic:spPr>
                          <a:xfrm>
                            <a:off x="0" y="0"/>
                            <a:ext cx="5090160" cy="2374900"/>
                          </a:xfrm>
                          <a:prstGeom prst="rect">
                            <a:avLst/>
                          </a:prstGeom>
                        </pic:spPr>
                      </pic:pic>
                    </a:graphicData>
                  </a:graphic>
                </wp:anchor>
              </w:drawing>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膜分离、过滤机理</w:t>
            </w:r>
          </w:p>
          <w:p w14:paraId="6ECE3F9B">
            <w:pPr>
              <w:snapToGrid w:val="0"/>
              <w:spacing w:line="360" w:lineRule="auto"/>
              <w:ind w:firstLine="560" w:firstLineChars="200"/>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drawing>
                <wp:anchor distT="0" distB="0" distL="0" distR="0" simplePos="0" relativeHeight="251666432" behindDoc="0" locked="0" layoutInCell="1" allowOverlap="1">
                  <wp:simplePos x="0" y="0"/>
                  <wp:positionH relativeFrom="column">
                    <wp:posOffset>355600</wp:posOffset>
                  </wp:positionH>
                  <wp:positionV relativeFrom="paragraph">
                    <wp:posOffset>0</wp:posOffset>
                  </wp:positionV>
                  <wp:extent cx="5067300" cy="2258060"/>
                  <wp:effectExtent l="0" t="0" r="7620" b="12700"/>
                  <wp:wrapSquare wrapText="bothSides"/>
                  <wp:docPr id="14" name="IM 5"/>
                  <wp:cNvGraphicFramePr/>
                  <a:graphic xmlns:a="http://schemas.openxmlformats.org/drawingml/2006/main">
                    <a:graphicData uri="http://schemas.openxmlformats.org/drawingml/2006/picture">
                      <pic:pic xmlns:pic="http://schemas.openxmlformats.org/drawingml/2006/picture">
                        <pic:nvPicPr>
                          <pic:cNvPr id="14" name="IM 5"/>
                          <pic:cNvPicPr/>
                        </pic:nvPicPr>
                        <pic:blipFill>
                          <a:blip r:embed="rId11"/>
                          <a:stretch>
                            <a:fillRect/>
                          </a:stretch>
                        </pic:blipFill>
                        <pic:spPr>
                          <a:xfrm>
                            <a:off x="0" y="0"/>
                            <a:ext cx="5067300" cy="2258060"/>
                          </a:xfrm>
                          <a:prstGeom prst="rect">
                            <a:avLst/>
                          </a:prstGeom>
                        </pic:spPr>
                      </pic:pic>
                    </a:graphicData>
                  </a:graphic>
                </wp:anchor>
              </w:drawing>
            </w:r>
          </w:p>
          <w:p w14:paraId="67EF8599">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错流过滤是指料液在泵的推动下平行于膜面流动，与死端过滤 (dead-endflow   filtration) 不同的是料液流经膜面时产生的剪切力把膜面上滞留的颗粒带走，从而使污染层保持在一个较薄的水平。错流过滤操作较死端过滤复杂，对固含量高于0.5%的料液通常采用错流过滤。</w:t>
            </w:r>
          </w:p>
          <w:p w14:paraId="6672EE57">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随着错流过滤操作技术的发展，在许多领域有代替死端过滤的趋势。  我们目前深度处理的过滤级别 RO/NF 必须采用错流过滤方式，这也正是膜系统浓水的产生原因。</w:t>
            </w:r>
          </w:p>
          <w:p w14:paraId="31DB7EA2">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按照出水要求，要达到水质要求，适用于垃圾渗滤液深度处理的膜工艺主要有反渗透(RO)、纳滤(NF)、超滤(UF)及其相关组合工艺。</w:t>
            </w:r>
          </w:p>
          <w:p w14:paraId="23DD8CE0">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反渗透(RO)技术简介：</w:t>
            </w:r>
          </w:p>
          <w:p w14:paraId="6F3BFB6C">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反渗透是60年代发展起来的一项新的薄膜分离技术，是依靠反渗透膜在压力下使溶液中的溶剂与溶质进行分离的过程。渗透是一种物理现象， 当两种含有不同盐类浓度 的溶液用一张半透膜隔开时会发现，含盐量少的一边的溶剂会自发地向含盐量高的一边。</w:t>
            </w:r>
          </w:p>
          <w:p w14:paraId="03085E64">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反渗透工作原理见图，反渗透过操作方式见图。</w:t>
            </w:r>
          </w:p>
          <w:p w14:paraId="2F55CF73">
            <w:pPr>
              <w:snapToGrid w:val="0"/>
              <w:spacing w:line="360" w:lineRule="auto"/>
              <w:ind w:firstLine="560" w:firstLineChars="200"/>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8"/>
                <w:szCs w:val="28"/>
                <w:lang w:val="en-US" w:eastAsia="zh-CN" w:bidi="ar-SA"/>
                <w14:textFill>
                  <w14:solidFill>
                    <w14:schemeClr w14:val="tx1"/>
                  </w14:solidFill>
                </w14:textFill>
              </w:rPr>
              <w:drawing>
                <wp:anchor distT="0" distB="0" distL="0" distR="0" simplePos="0" relativeHeight="251667456" behindDoc="0" locked="0" layoutInCell="1" allowOverlap="1">
                  <wp:simplePos x="0" y="0"/>
                  <wp:positionH relativeFrom="column">
                    <wp:posOffset>355600</wp:posOffset>
                  </wp:positionH>
                  <wp:positionV relativeFrom="paragraph">
                    <wp:posOffset>0</wp:posOffset>
                  </wp:positionV>
                  <wp:extent cx="5109845" cy="2057400"/>
                  <wp:effectExtent l="0" t="0" r="10795" b="0"/>
                  <wp:wrapSquare wrapText="bothSides"/>
                  <wp:docPr id="15" name="IM 6"/>
                  <wp:cNvGraphicFramePr/>
                  <a:graphic xmlns:a="http://schemas.openxmlformats.org/drawingml/2006/main">
                    <a:graphicData uri="http://schemas.openxmlformats.org/drawingml/2006/picture">
                      <pic:pic xmlns:pic="http://schemas.openxmlformats.org/drawingml/2006/picture">
                        <pic:nvPicPr>
                          <pic:cNvPr id="15" name="IM 6"/>
                          <pic:cNvPicPr/>
                        </pic:nvPicPr>
                        <pic:blipFill>
                          <a:blip r:embed="rId12"/>
                          <a:stretch>
                            <a:fillRect/>
                          </a:stretch>
                        </pic:blipFill>
                        <pic:spPr>
                          <a:xfrm>
                            <a:off x="0" y="0"/>
                            <a:ext cx="5109845" cy="2057400"/>
                          </a:xfrm>
                          <a:prstGeom prst="rect">
                            <a:avLst/>
                          </a:prstGeom>
                        </pic:spPr>
                      </pic:pic>
                    </a:graphicData>
                  </a:graphic>
                </wp:anchor>
              </w:drawing>
            </w:r>
          </w:p>
          <w:p w14:paraId="4400AFA5">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反渗透净水过程是指水分子在压力作用下透过反渗透膜而与杂质分离的过程。反渗透膜是反渗透技术的核心。</w:t>
            </w:r>
          </w:p>
          <w:p w14:paraId="2BFA463A">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反渗透设备水产量与源水的温度和盐度有关。一般地说，温度每下降 1C，产率下降3-4%，盐度每增加100ppm，产率下降0.5-1%。</w:t>
            </w:r>
          </w:p>
          <w:p w14:paraId="2B033331">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反渗透膜元件：</w:t>
            </w:r>
          </w:p>
          <w:p w14:paraId="55685879">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各种分离膜只有组装成膜器件，并与泵、过滤器、阀、仪表及管路等装配在一起，才能完成分离任务。膜器件是将膜以某种形式组装成膜元件并在一个基本单元设备内，在一定的驱动力作用下，去完成混合物中各组分的分离装置。这种单元即反渗透器。根据生产需要，膜分离装置中可装数个或者更多膜元件。</w:t>
            </w:r>
          </w:p>
          <w:p w14:paraId="18E63D3E">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(3)一级STRO产水进入二级STRO膜系统，二级STRO产水进入三级STRO膜，浓水回流至前端；STRO 膜系统是本工程中主要的脱盐装置，它具有极高的脱盐能力。为保证系统化的运行安全性和灵活性，每套系统包括高压泵、控制仪表，冲洗系统、清洗系统。分述如下：</w:t>
            </w:r>
          </w:p>
          <w:p w14:paraId="4D816146">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①STRO膜系统设置高压泵为膜组提供足够的进水压力，维持 STRO 膜的正常运行。</w:t>
            </w:r>
          </w:p>
          <w:p w14:paraId="26A57FC0">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②STRO膜组是整个脱盐系统的执行机构。它主要负责脱除水中的可溶性盐份、胶体、有机物及微生物。使出水达到用户要求。根据水质分析表，STRO装置的膜组件采用世界上先进的低压抗污染复合膜。</w:t>
            </w:r>
          </w:p>
          <w:p w14:paraId="377D2B7A">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本项目的STRO膜系统，设计化学清洗，每次化学清洗及冲洗时间约为4-6h，STRO用于污水回用工程，经验证明每天应有一次低压冲洗以免污染物在膜面的沉积，等压冲 洗采用停高压泵不停低压泵，水经浓水管排放，操作采用在DCS控制室操作，等压冲洗的时间大约是20min完成。</w:t>
            </w:r>
          </w:p>
          <w:p w14:paraId="3AE61E8B">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③清洗系统</w:t>
            </w:r>
          </w:p>
          <w:p w14:paraId="41FD35C6">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化学清洗系统的作用：在膜组长期运行后，会受到些难以冲洗掉的污染，如长期的微量盐份结垢和有机物的积累，而造成膜组件性能的下降，所以必须用化学药品进行清洗，以恢复其正常除盐能力。此系统由清洗药箱、清洗泵、清洗滤器、配管等组成。</w:t>
            </w:r>
          </w:p>
          <w:p w14:paraId="08321AC1">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④控制仪表</w:t>
            </w:r>
          </w:p>
          <w:p w14:paraId="1446BCC1">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了控制、监测STRO膜系统正常运行。在原水进入STRO膜系统之前，还需配置一系列的在线监测仪表，它包括电导率表、流量表、压力表、数据流量计、超高压保护传感器、液位传感器等。STRO膜的浓水，进入一级STRO 膜，其循环的浓水可以使含盐量达到40000—80000mg/l。在设备条件下，高pH运行是膜供应商接受的。给水是排污水或含盐量较高时，可以达到的水回收率90％或更高，同时减少清洗频率。这是因为：高pH条件下，细菌难以繁殖，不易产生潜在的生物膜。</w:t>
            </w:r>
          </w:p>
          <w:p w14:paraId="7BBDEE79">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高pH条件下，膜所带负电荷密度更高，对负电荷阴离子，微粒，特别是带负电荷微粒更高去除率。</w:t>
            </w:r>
          </w:p>
          <w:p w14:paraId="0A8A3809">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STRO膜运行在高pH条件下，离子去除率可以达到99%以上。</w:t>
            </w:r>
          </w:p>
          <w:p w14:paraId="524EE4B3">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本项目采用的STRO膜属于致密膜范畴，为卷式有机复合膜，最大优点是过滤级别高，出水水质好。</w:t>
            </w:r>
          </w:p>
          <w:p w14:paraId="252C0DA6">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分离粒子级别可达到离子级别。过滤机理为选择性吸附－毛细管流机理：由于膜表面的亲水性，优先吸附水分子而排斥盐分子，因此在膜表皮层形成两个水分子的纯水层，施加压力，纯水层的分子不断通过毛细管流过膜系统膜。控制表皮层的孔径非常重要，影响脱盐效果和透水性，一般为纯水层厚度的一倍时，称为膜的临界孔径，可达到理想的脱盐和透水效果。</w:t>
            </w:r>
          </w:p>
          <w:p w14:paraId="0D2DD6CA">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STRO膜对有机污染物、一价盐、二价盐等截留率达到99%以上。</w:t>
            </w:r>
          </w:p>
          <w:p w14:paraId="48C3ECD5">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STRO膜系统设有如下辅助设施：</w:t>
            </w:r>
          </w:p>
          <w:p w14:paraId="74464298">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1)CIP在线清洗设施</w:t>
            </w:r>
          </w:p>
          <w:p w14:paraId="06612CC7">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CIP在线清洗设施用于系统的冲洗、清水清洗和化学清洗。</w:t>
            </w:r>
          </w:p>
          <w:p w14:paraId="1776CCA3">
            <w:pPr>
              <w:numPr>
                <w:ilvl w:val="0"/>
                <w:numId w:val="2"/>
              </w:num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酸液投加设施为防止运行过程产生无机结垢，设置酸液投加设施用于调节膜系统</w:t>
            </w:r>
            <w:bookmarkStart w:id="34" w:name="_GoBack"/>
            <w:bookmarkEnd w:id="34"/>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进水pH值。</w:t>
            </w:r>
          </w:p>
          <w:p w14:paraId="0CEFB658">
            <w:pPr>
              <w:numPr>
                <w:ilvl w:val="0"/>
                <w:numId w:val="0"/>
              </w:numPr>
              <w:snapToGrid w:val="0"/>
              <w:spacing w:line="360" w:lineRule="auto"/>
              <w:ind w:firstLine="240" w:firstLineChars="1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3)阻垢剂投加系统</w:t>
            </w:r>
          </w:p>
          <w:p w14:paraId="0EA767AE">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阻垢剂投加系统也用于防止STRO运行过程中无机结垢的产生。</w:t>
            </w:r>
          </w:p>
          <w:p w14:paraId="3EE41C13">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(4)二级STRO产水进入三级STRO膜系统，三级STRO产水与原有渗滤液处理系统处理产水混合达标排放，浓水回流至前端系统。</w:t>
            </w:r>
          </w:p>
          <w:p w14:paraId="209670DC">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8" w:name="_bookmark17"/>
            <w:bookmarkEnd w:id="8"/>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（5）渗滤液处理用酸选择</w:t>
            </w:r>
          </w:p>
          <w:p w14:paraId="7A9202B9">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垃圾渗滤液中的氨氮浓度含量较高，由于垃圾在垃圾坑内停留时间较短，堆体内以酸化反应为主，氨氮还没有完全释放出来，一般在1500-2000毫克/升左右。</w:t>
            </w:r>
          </w:p>
          <w:p w14:paraId="5AD6654B">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渗滤液一般为弱碱性，而渗滤液中的氨氮由有机氨与无机氨共同组成，膜对氨氮的脱除率主要取决于pH值，在pH值大于7.3时，氨会以溶解状氨气 (NH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 存在于水中</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溶解性气体将会透过反渗透膜，而不被截留。然而，氨气(NH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)与铵离子(NH4+)存在平衡：</w:t>
            </w:r>
          </w:p>
          <w:p w14:paraId="2CD7105B">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降低pH值，可将氨气(NH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)转化成铵离子(NH</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 xml:space="preserve">4+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)，而被反渗透膜截留。 因此在渗滤液应急处理中为了提高氨氮的脱除率，需要投加酸降低pH，增大膜对氨氮的截留率。</w:t>
            </w:r>
          </w:p>
          <w:p w14:paraId="5836CE69">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目前常用于渗滤液处理调节pH的酸主要为硫酸与盐酸；使用硫酸调节 pH时硫酸可能会出现以下情况：</w:t>
            </w:r>
          </w:p>
          <w:p w14:paraId="4442164E">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（1）可与渗滤液中的钙镁等金属离子反应生成硫酸盐垢加快膜系统的污堵；</w:t>
            </w:r>
          </w:p>
          <w:p w14:paraId="2D02BE41">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（2）硫酸可与渗滤液反应生成硫化氢气体，影响渗滤液处理人员的人身安全；</w:t>
            </w:r>
          </w:p>
          <w:p w14:paraId="7ACB4586">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（3）硫酸与渗滤液络合物反应生成各种难处理物质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白色物质、黑色物质，这是目前在国内渗滤液应急处理中出现的难题。</w:t>
            </w:r>
          </w:p>
          <w:p w14:paraId="576C3A99">
            <w:pPr>
              <w:snapToGrid w:val="0"/>
              <w:spacing w:line="360" w:lineRule="auto"/>
              <w:ind w:firstLine="480" w:firstLineChars="200"/>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因此，建议使用离子成分较为简单的盐酸 (HCl) 作为渗滤液pH调节用酸，保证渗滤液处理的水质与水量。</w:t>
            </w:r>
          </w:p>
        </w:tc>
      </w:tr>
      <w:tr w14:paraId="67D0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273" w:type="pct"/>
            <w:vAlign w:val="center"/>
          </w:tcPr>
          <w:p w14:paraId="3650D2EC">
            <w:pPr>
              <w:jc w:val="center"/>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与项目有关的原有环境污染问题</w:t>
            </w:r>
          </w:p>
        </w:tc>
        <w:tc>
          <w:tcPr>
            <w:tcW w:w="4726" w:type="pct"/>
          </w:tcPr>
          <w:p w14:paraId="05D25C9B">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项目主要是处理芒市生活垃圾填埋场产生的渗滤液，与项目有关的原有污染是现有的填埋场渗滤液处理区，根据现场调查，本项目在建设及调试运营期间无重大污水事故发生，未受到过环境行政处置。</w:t>
            </w:r>
          </w:p>
          <w:p w14:paraId="436377E3">
            <w:pPr>
              <w:snapToGrid w:val="0"/>
              <w:spacing w:line="360" w:lineRule="auto"/>
              <w:ind w:firstLine="482" w:firstLineChars="200"/>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1、现有工程概述</w:t>
            </w:r>
          </w:p>
          <w:p w14:paraId="6205C064">
            <w:pPr>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芒市环境卫生管理站芒市生活垃圾处理场位于云南省德宏傣族景颇族自治州芒市芒市镇街坡村后山，该处理场总投资5863万元，总库容约为107.8万m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，有效库容91.6m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，占地16.9hm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一期工程于2002年12月开工建设，主体工程于2004年9月7日通过州级验收并投入使用。二期工程于2009年5月27日开工建设，2010年12月建设完成，一期处理规模为111t/d，二期处理规模为144t/d，服务年限为2003年~2020年，主要处理对象为城区生活垃圾，不包括建筑垃圾、工业垃圾及特种垃圾。</w:t>
            </w:r>
          </w:p>
          <w:p w14:paraId="1F79E1EC">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表2-11 填埋场基本情况一览表</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027"/>
              <w:gridCol w:w="4831"/>
            </w:tblGrid>
            <w:tr w14:paraId="21C22C4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00" w:type="dxa"/>
                  <w:tcBorders>
                    <w:tl2br w:val="nil"/>
                    <w:tr2bl w:val="nil"/>
                  </w:tcBorders>
                  <w:noWrap w:val="0"/>
                  <w:tcMar>
                    <w:top w:w="113" w:type="dxa"/>
                    <w:left w:w="108" w:type="dxa"/>
                    <w:bottom w:w="0" w:type="dxa"/>
                    <w:right w:w="108" w:type="dxa"/>
                  </w:tcMar>
                  <w:vAlign w:val="center"/>
                </w:tcPr>
                <w:p w14:paraId="48DFE5E3">
                  <w:pPr>
                    <w:pStyle w:val="71"/>
                    <w:bidi w:val="0"/>
                    <w:jc w:val="center"/>
                    <w:rPr>
                      <w:rFonts w:hint="default" w:ascii="Times New Roman" w:hAnsi="Times New Roman" w:cs="Times New Roman"/>
                      <w:color w:val="000000" w:themeColor="text1"/>
                      <w14:textFill>
                        <w14:solidFill>
                          <w14:schemeClr w14:val="tx1"/>
                        </w14:solidFill>
                      </w14:textFill>
                    </w:rPr>
                  </w:pPr>
                  <w:bookmarkStart w:id="9" w:name="_Toc28944"/>
                  <w:r>
                    <w:rPr>
                      <w:rFonts w:hint="default" w:ascii="Times New Roman" w:hAnsi="Times New Roman" w:cs="Times New Roman"/>
                      <w:color w:val="000000" w:themeColor="text1"/>
                      <w14:textFill>
                        <w14:solidFill>
                          <w14:schemeClr w14:val="tx1"/>
                        </w14:solidFill>
                      </w14:textFill>
                    </w:rPr>
                    <w:t>序号</w:t>
                  </w:r>
                  <w:bookmarkEnd w:id="9"/>
                </w:p>
              </w:tc>
              <w:tc>
                <w:tcPr>
                  <w:tcW w:w="2027" w:type="dxa"/>
                  <w:tcBorders>
                    <w:tl2br w:val="nil"/>
                    <w:tr2bl w:val="nil"/>
                  </w:tcBorders>
                  <w:noWrap w:val="0"/>
                  <w:tcMar>
                    <w:top w:w="113" w:type="dxa"/>
                    <w:left w:w="108" w:type="dxa"/>
                    <w:bottom w:w="0" w:type="dxa"/>
                    <w:right w:w="108" w:type="dxa"/>
                  </w:tcMar>
                  <w:vAlign w:val="center"/>
                </w:tcPr>
                <w:p w14:paraId="0303E97A">
                  <w:pPr>
                    <w:pStyle w:val="71"/>
                    <w:bidi w:val="0"/>
                    <w:jc w:val="center"/>
                    <w:rPr>
                      <w:rFonts w:hint="default" w:ascii="Times New Roman" w:hAnsi="Times New Roman" w:cs="Times New Roman"/>
                      <w:color w:val="000000" w:themeColor="text1"/>
                      <w14:textFill>
                        <w14:solidFill>
                          <w14:schemeClr w14:val="tx1"/>
                        </w14:solidFill>
                      </w14:textFill>
                    </w:rPr>
                  </w:pPr>
                  <w:bookmarkStart w:id="10" w:name="_Toc27991"/>
                  <w:r>
                    <w:rPr>
                      <w:rFonts w:hint="default" w:ascii="Times New Roman" w:hAnsi="Times New Roman" w:cs="Times New Roman"/>
                      <w:color w:val="000000" w:themeColor="text1"/>
                      <w14:textFill>
                        <w14:solidFill>
                          <w14:schemeClr w14:val="tx1"/>
                        </w14:solidFill>
                      </w14:textFill>
                    </w:rPr>
                    <w:t>单位名称</w:t>
                  </w:r>
                  <w:bookmarkEnd w:id="10"/>
                </w:p>
              </w:tc>
              <w:tc>
                <w:tcPr>
                  <w:tcW w:w="4831" w:type="dxa"/>
                  <w:tcBorders>
                    <w:tl2br w:val="nil"/>
                    <w:tr2bl w:val="nil"/>
                  </w:tcBorders>
                  <w:noWrap w:val="0"/>
                  <w:tcMar>
                    <w:top w:w="113" w:type="dxa"/>
                    <w:left w:w="108" w:type="dxa"/>
                    <w:bottom w:w="0" w:type="dxa"/>
                    <w:right w:w="108" w:type="dxa"/>
                  </w:tcMar>
                  <w:vAlign w:val="center"/>
                </w:tcPr>
                <w:p w14:paraId="5BEA2913">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芒市环境卫生管理站</w:t>
                  </w:r>
                </w:p>
              </w:tc>
            </w:tr>
            <w:tr w14:paraId="453A222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00" w:type="dxa"/>
                  <w:tcBorders>
                    <w:tl2br w:val="nil"/>
                    <w:tr2bl w:val="nil"/>
                  </w:tcBorders>
                  <w:noWrap w:val="0"/>
                  <w:tcMar>
                    <w:top w:w="113" w:type="dxa"/>
                    <w:left w:w="108" w:type="dxa"/>
                    <w:bottom w:w="0" w:type="dxa"/>
                    <w:right w:w="108" w:type="dxa"/>
                  </w:tcMar>
                  <w:vAlign w:val="center"/>
                </w:tcPr>
                <w:p w14:paraId="7B36B022">
                  <w:pPr>
                    <w:pStyle w:val="71"/>
                    <w:bidi w:val="0"/>
                    <w:jc w:val="center"/>
                    <w:rPr>
                      <w:rFonts w:hint="default" w:ascii="Times New Roman" w:hAnsi="Times New Roman" w:cs="Times New Roman"/>
                      <w:color w:val="000000" w:themeColor="text1"/>
                      <w14:textFill>
                        <w14:solidFill>
                          <w14:schemeClr w14:val="tx1"/>
                        </w14:solidFill>
                      </w14:textFill>
                    </w:rPr>
                  </w:pPr>
                  <w:bookmarkStart w:id="11" w:name="_Toc6309"/>
                  <w:r>
                    <w:rPr>
                      <w:rFonts w:hint="default" w:ascii="Times New Roman" w:hAnsi="Times New Roman" w:cs="Times New Roman"/>
                      <w:color w:val="000000" w:themeColor="text1"/>
                      <w14:textFill>
                        <w14:solidFill>
                          <w14:schemeClr w14:val="tx1"/>
                        </w14:solidFill>
                      </w14:textFill>
                    </w:rPr>
                    <w:t>1</w:t>
                  </w:r>
                  <w:bookmarkEnd w:id="11"/>
                </w:p>
              </w:tc>
              <w:tc>
                <w:tcPr>
                  <w:tcW w:w="2027" w:type="dxa"/>
                  <w:tcBorders>
                    <w:tl2br w:val="nil"/>
                    <w:tr2bl w:val="nil"/>
                  </w:tcBorders>
                  <w:noWrap w:val="0"/>
                  <w:tcMar>
                    <w:top w:w="113" w:type="dxa"/>
                    <w:left w:w="108" w:type="dxa"/>
                    <w:bottom w:w="0" w:type="dxa"/>
                    <w:right w:w="108" w:type="dxa"/>
                  </w:tcMar>
                  <w:vAlign w:val="center"/>
                </w:tcPr>
                <w:p w14:paraId="37D8CA5F">
                  <w:pPr>
                    <w:pStyle w:val="71"/>
                    <w:bidi w:val="0"/>
                    <w:jc w:val="center"/>
                    <w:rPr>
                      <w:rFonts w:hint="default" w:ascii="Times New Roman" w:hAnsi="Times New Roman" w:cs="Times New Roman"/>
                      <w:color w:val="000000" w:themeColor="text1"/>
                      <w14:textFill>
                        <w14:solidFill>
                          <w14:schemeClr w14:val="tx1"/>
                        </w14:solidFill>
                      </w14:textFill>
                    </w:rPr>
                  </w:pPr>
                  <w:bookmarkStart w:id="12" w:name="_Toc13799"/>
                  <w:r>
                    <w:rPr>
                      <w:rFonts w:hint="default" w:ascii="Times New Roman" w:hAnsi="Times New Roman" w:cs="Times New Roman"/>
                      <w:color w:val="000000" w:themeColor="text1"/>
                      <w14:textFill>
                        <w14:solidFill>
                          <w14:schemeClr w14:val="tx1"/>
                        </w14:solidFill>
                      </w14:textFill>
                    </w:rPr>
                    <w:t>统一社会信用代码</w:t>
                  </w:r>
                  <w:bookmarkEnd w:id="12"/>
                </w:p>
              </w:tc>
              <w:tc>
                <w:tcPr>
                  <w:tcW w:w="4831" w:type="dxa"/>
                  <w:tcBorders>
                    <w:tl2br w:val="nil"/>
                    <w:tr2bl w:val="nil"/>
                  </w:tcBorders>
                  <w:noWrap w:val="0"/>
                  <w:tcMar>
                    <w:top w:w="113" w:type="dxa"/>
                    <w:left w:w="108" w:type="dxa"/>
                    <w:bottom w:w="0" w:type="dxa"/>
                    <w:right w:w="108" w:type="dxa"/>
                  </w:tcMar>
                  <w:vAlign w:val="center"/>
                </w:tcPr>
                <w:p w14:paraId="5CCEB8C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12533103G90298766R</w:t>
                  </w:r>
                </w:p>
              </w:tc>
            </w:tr>
            <w:tr w14:paraId="3CAB94E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00" w:type="dxa"/>
                  <w:tcBorders>
                    <w:tl2br w:val="nil"/>
                    <w:tr2bl w:val="nil"/>
                  </w:tcBorders>
                  <w:noWrap w:val="0"/>
                  <w:tcMar>
                    <w:top w:w="113" w:type="dxa"/>
                    <w:left w:w="108" w:type="dxa"/>
                    <w:bottom w:w="0" w:type="dxa"/>
                    <w:right w:w="108" w:type="dxa"/>
                  </w:tcMar>
                  <w:vAlign w:val="center"/>
                </w:tcPr>
                <w:p w14:paraId="4027B539">
                  <w:pPr>
                    <w:pStyle w:val="71"/>
                    <w:bidi w:val="0"/>
                    <w:jc w:val="center"/>
                    <w:rPr>
                      <w:rFonts w:hint="default" w:ascii="Times New Roman" w:hAnsi="Times New Roman" w:cs="Times New Roman"/>
                      <w:color w:val="000000" w:themeColor="text1"/>
                      <w14:textFill>
                        <w14:solidFill>
                          <w14:schemeClr w14:val="tx1"/>
                        </w14:solidFill>
                      </w14:textFill>
                    </w:rPr>
                  </w:pPr>
                  <w:bookmarkStart w:id="13" w:name="_Toc21956"/>
                  <w:r>
                    <w:rPr>
                      <w:rFonts w:hint="default" w:ascii="Times New Roman" w:hAnsi="Times New Roman" w:cs="Times New Roman"/>
                      <w:color w:val="000000" w:themeColor="text1"/>
                      <w14:textFill>
                        <w14:solidFill>
                          <w14:schemeClr w14:val="tx1"/>
                        </w14:solidFill>
                      </w14:textFill>
                    </w:rPr>
                    <w:t>2</w:t>
                  </w:r>
                  <w:bookmarkEnd w:id="13"/>
                </w:p>
              </w:tc>
              <w:tc>
                <w:tcPr>
                  <w:tcW w:w="2027" w:type="dxa"/>
                  <w:tcBorders>
                    <w:tl2br w:val="nil"/>
                    <w:tr2bl w:val="nil"/>
                  </w:tcBorders>
                  <w:noWrap w:val="0"/>
                  <w:tcMar>
                    <w:top w:w="113" w:type="dxa"/>
                    <w:left w:w="108" w:type="dxa"/>
                    <w:bottom w:w="0" w:type="dxa"/>
                    <w:right w:w="108" w:type="dxa"/>
                  </w:tcMar>
                  <w:vAlign w:val="center"/>
                </w:tcPr>
                <w:p w14:paraId="5C144225">
                  <w:pPr>
                    <w:pStyle w:val="71"/>
                    <w:bidi w:val="0"/>
                    <w:jc w:val="center"/>
                    <w:rPr>
                      <w:rFonts w:hint="default" w:ascii="Times New Roman" w:hAnsi="Times New Roman" w:cs="Times New Roman"/>
                      <w:color w:val="000000" w:themeColor="text1"/>
                      <w14:textFill>
                        <w14:solidFill>
                          <w14:schemeClr w14:val="tx1"/>
                        </w14:solidFill>
                      </w14:textFill>
                    </w:rPr>
                  </w:pPr>
                  <w:bookmarkStart w:id="14" w:name="_Toc7129"/>
                  <w:r>
                    <w:rPr>
                      <w:rFonts w:hint="default" w:ascii="Times New Roman" w:hAnsi="Times New Roman" w:cs="Times New Roman"/>
                      <w:color w:val="000000" w:themeColor="text1"/>
                      <w14:textFill>
                        <w14:solidFill>
                          <w14:schemeClr w14:val="tx1"/>
                        </w14:solidFill>
                      </w14:textFill>
                    </w:rPr>
                    <w:t>企业法人</w:t>
                  </w:r>
                  <w:bookmarkEnd w:id="14"/>
                </w:p>
              </w:tc>
              <w:tc>
                <w:tcPr>
                  <w:tcW w:w="4831" w:type="dxa"/>
                  <w:tcBorders>
                    <w:tl2br w:val="nil"/>
                    <w:tr2bl w:val="nil"/>
                  </w:tcBorders>
                  <w:noWrap w:val="0"/>
                  <w:tcMar>
                    <w:top w:w="113" w:type="dxa"/>
                    <w:left w:w="108" w:type="dxa"/>
                    <w:bottom w:w="0" w:type="dxa"/>
                    <w:right w:w="108" w:type="dxa"/>
                  </w:tcMar>
                  <w:vAlign w:val="center"/>
                </w:tcPr>
                <w:p w14:paraId="1C6D073F">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官宏帮</w:t>
                  </w:r>
                </w:p>
              </w:tc>
            </w:tr>
            <w:tr w14:paraId="66C1A82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00" w:type="dxa"/>
                  <w:tcBorders>
                    <w:tl2br w:val="nil"/>
                    <w:tr2bl w:val="nil"/>
                  </w:tcBorders>
                  <w:noWrap w:val="0"/>
                  <w:tcMar>
                    <w:top w:w="113" w:type="dxa"/>
                    <w:left w:w="108" w:type="dxa"/>
                    <w:bottom w:w="0" w:type="dxa"/>
                    <w:right w:w="108" w:type="dxa"/>
                  </w:tcMar>
                  <w:vAlign w:val="center"/>
                </w:tcPr>
                <w:p w14:paraId="4380EB0C">
                  <w:pPr>
                    <w:pStyle w:val="71"/>
                    <w:bidi w:val="0"/>
                    <w:jc w:val="center"/>
                    <w:rPr>
                      <w:rFonts w:hint="default" w:ascii="Times New Roman" w:hAnsi="Times New Roman" w:cs="Times New Roman"/>
                      <w:color w:val="000000" w:themeColor="text1"/>
                      <w14:textFill>
                        <w14:solidFill>
                          <w14:schemeClr w14:val="tx1"/>
                        </w14:solidFill>
                      </w14:textFill>
                    </w:rPr>
                  </w:pPr>
                  <w:bookmarkStart w:id="15" w:name="_Toc23257"/>
                  <w:r>
                    <w:rPr>
                      <w:rFonts w:hint="default" w:ascii="Times New Roman" w:hAnsi="Times New Roman" w:cs="Times New Roman"/>
                      <w:color w:val="000000" w:themeColor="text1"/>
                      <w14:textFill>
                        <w14:solidFill>
                          <w14:schemeClr w14:val="tx1"/>
                        </w14:solidFill>
                      </w14:textFill>
                    </w:rPr>
                    <w:t>3</w:t>
                  </w:r>
                  <w:bookmarkEnd w:id="15"/>
                </w:p>
              </w:tc>
              <w:tc>
                <w:tcPr>
                  <w:tcW w:w="2027" w:type="dxa"/>
                  <w:tcBorders>
                    <w:tl2br w:val="nil"/>
                    <w:tr2bl w:val="nil"/>
                  </w:tcBorders>
                  <w:noWrap w:val="0"/>
                  <w:tcMar>
                    <w:top w:w="113" w:type="dxa"/>
                    <w:left w:w="108" w:type="dxa"/>
                    <w:bottom w:w="0" w:type="dxa"/>
                    <w:right w:w="108" w:type="dxa"/>
                  </w:tcMar>
                  <w:vAlign w:val="center"/>
                </w:tcPr>
                <w:p w14:paraId="70BB0720">
                  <w:pPr>
                    <w:pStyle w:val="71"/>
                    <w:bidi w:val="0"/>
                    <w:jc w:val="center"/>
                    <w:rPr>
                      <w:rFonts w:hint="default" w:ascii="Times New Roman" w:hAnsi="Times New Roman" w:cs="Times New Roman"/>
                      <w:color w:val="000000" w:themeColor="text1"/>
                      <w14:textFill>
                        <w14:solidFill>
                          <w14:schemeClr w14:val="tx1"/>
                        </w14:solidFill>
                      </w14:textFill>
                    </w:rPr>
                  </w:pPr>
                  <w:bookmarkStart w:id="16" w:name="_Toc21735"/>
                  <w:r>
                    <w:rPr>
                      <w:rFonts w:hint="default" w:ascii="Times New Roman" w:hAnsi="Times New Roman" w:cs="Times New Roman"/>
                      <w:color w:val="000000" w:themeColor="text1"/>
                      <w14:textFill>
                        <w14:solidFill>
                          <w14:schemeClr w14:val="tx1"/>
                        </w14:solidFill>
                      </w14:textFill>
                    </w:rPr>
                    <w:t>单位所在地</w:t>
                  </w:r>
                  <w:bookmarkEnd w:id="16"/>
                </w:p>
              </w:tc>
              <w:tc>
                <w:tcPr>
                  <w:tcW w:w="4831" w:type="dxa"/>
                  <w:tcBorders>
                    <w:tl2br w:val="nil"/>
                    <w:tr2bl w:val="nil"/>
                  </w:tcBorders>
                  <w:noWrap w:val="0"/>
                  <w:tcMar>
                    <w:top w:w="113" w:type="dxa"/>
                    <w:left w:w="108" w:type="dxa"/>
                    <w:bottom w:w="0" w:type="dxa"/>
                    <w:right w:w="108" w:type="dxa"/>
                  </w:tcMar>
                  <w:vAlign w:val="center"/>
                </w:tcPr>
                <w:p w14:paraId="2D0F7BF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云南省德宏州芒市芒市镇街坡村后山</w:t>
                  </w:r>
                </w:p>
              </w:tc>
            </w:tr>
            <w:tr w14:paraId="225924C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0" w:type="dxa"/>
                  <w:tcBorders>
                    <w:tl2br w:val="nil"/>
                    <w:tr2bl w:val="nil"/>
                  </w:tcBorders>
                  <w:noWrap w:val="0"/>
                  <w:tcMar>
                    <w:top w:w="113" w:type="dxa"/>
                    <w:left w:w="108" w:type="dxa"/>
                    <w:bottom w:w="0" w:type="dxa"/>
                    <w:right w:w="108" w:type="dxa"/>
                  </w:tcMar>
                  <w:vAlign w:val="center"/>
                </w:tcPr>
                <w:p w14:paraId="32C78EBB">
                  <w:pPr>
                    <w:pStyle w:val="71"/>
                    <w:bidi w:val="0"/>
                    <w:jc w:val="center"/>
                    <w:rPr>
                      <w:rFonts w:hint="default" w:ascii="Times New Roman" w:hAnsi="Times New Roman" w:cs="Times New Roman"/>
                      <w:color w:val="000000" w:themeColor="text1"/>
                      <w14:textFill>
                        <w14:solidFill>
                          <w14:schemeClr w14:val="tx1"/>
                        </w14:solidFill>
                      </w14:textFill>
                    </w:rPr>
                  </w:pPr>
                  <w:bookmarkStart w:id="17" w:name="_Toc3290"/>
                  <w:r>
                    <w:rPr>
                      <w:rFonts w:hint="default" w:ascii="Times New Roman" w:hAnsi="Times New Roman" w:cs="Times New Roman"/>
                      <w:color w:val="000000" w:themeColor="text1"/>
                      <w14:textFill>
                        <w14:solidFill>
                          <w14:schemeClr w14:val="tx1"/>
                        </w14:solidFill>
                      </w14:textFill>
                    </w:rPr>
                    <w:t>4</w:t>
                  </w:r>
                  <w:bookmarkEnd w:id="17"/>
                </w:p>
              </w:tc>
              <w:tc>
                <w:tcPr>
                  <w:tcW w:w="2027" w:type="dxa"/>
                  <w:tcBorders>
                    <w:tl2br w:val="nil"/>
                    <w:tr2bl w:val="nil"/>
                  </w:tcBorders>
                  <w:noWrap w:val="0"/>
                  <w:tcMar>
                    <w:top w:w="113" w:type="dxa"/>
                    <w:left w:w="108" w:type="dxa"/>
                    <w:bottom w:w="0" w:type="dxa"/>
                    <w:right w:w="108" w:type="dxa"/>
                  </w:tcMar>
                  <w:vAlign w:val="center"/>
                </w:tcPr>
                <w:p w14:paraId="5AEC7C62">
                  <w:pPr>
                    <w:pStyle w:val="71"/>
                    <w:bidi w:val="0"/>
                    <w:jc w:val="center"/>
                    <w:rPr>
                      <w:rFonts w:hint="default" w:ascii="Times New Roman" w:hAnsi="Times New Roman" w:cs="Times New Roman"/>
                      <w:color w:val="000000" w:themeColor="text1"/>
                      <w14:textFill>
                        <w14:solidFill>
                          <w14:schemeClr w14:val="tx1"/>
                        </w14:solidFill>
                      </w14:textFill>
                    </w:rPr>
                  </w:pPr>
                  <w:bookmarkStart w:id="18" w:name="_Toc19906"/>
                  <w:r>
                    <w:rPr>
                      <w:rFonts w:hint="default" w:ascii="Times New Roman" w:hAnsi="Times New Roman" w:cs="Times New Roman"/>
                      <w:color w:val="000000" w:themeColor="text1"/>
                      <w14:textFill>
                        <w14:solidFill>
                          <w14:schemeClr w14:val="tx1"/>
                        </w14:solidFill>
                      </w14:textFill>
                    </w:rPr>
                    <w:t>所属行业类别</w:t>
                  </w:r>
                  <w:bookmarkEnd w:id="18"/>
                </w:p>
              </w:tc>
              <w:tc>
                <w:tcPr>
                  <w:tcW w:w="4831" w:type="dxa"/>
                  <w:tcBorders>
                    <w:tl2br w:val="nil"/>
                    <w:tr2bl w:val="nil"/>
                  </w:tcBorders>
                  <w:noWrap w:val="0"/>
                  <w:tcMar>
                    <w:top w:w="113" w:type="dxa"/>
                    <w:left w:w="108" w:type="dxa"/>
                    <w:bottom w:w="0" w:type="dxa"/>
                    <w:right w:w="108" w:type="dxa"/>
                  </w:tcMar>
                  <w:vAlign w:val="center"/>
                </w:tcPr>
                <w:p w14:paraId="76B94B5E">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四十三 水的生产和供应业</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95污水处理及其再生利用；新建、扩建其他工业废水处理</w:t>
                  </w:r>
                  <w:r>
                    <w:rPr>
                      <w:rFonts w:hint="eastAsia" w:ascii="Times New Roman" w:hAnsi="Times New Roman" w:cs="Times New Roman"/>
                      <w:color w:val="000000" w:themeColor="text1"/>
                      <w:lang w:val="en-US" w:eastAsia="zh-CN"/>
                      <w14:textFill>
                        <w14:solidFill>
                          <w14:schemeClr w14:val="tx1"/>
                        </w14:solidFill>
                      </w14:textFill>
                    </w:rPr>
                    <w:t>”</w:t>
                  </w:r>
                </w:p>
              </w:tc>
            </w:tr>
            <w:tr w14:paraId="415C8D9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00" w:type="dxa"/>
                  <w:tcBorders>
                    <w:tl2br w:val="nil"/>
                    <w:tr2bl w:val="nil"/>
                  </w:tcBorders>
                  <w:noWrap w:val="0"/>
                  <w:tcMar>
                    <w:top w:w="113" w:type="dxa"/>
                    <w:left w:w="108" w:type="dxa"/>
                    <w:bottom w:w="0" w:type="dxa"/>
                    <w:right w:w="108" w:type="dxa"/>
                  </w:tcMar>
                  <w:vAlign w:val="center"/>
                </w:tcPr>
                <w:p w14:paraId="70C7C2A3">
                  <w:pPr>
                    <w:pStyle w:val="71"/>
                    <w:bidi w:val="0"/>
                    <w:jc w:val="center"/>
                    <w:rPr>
                      <w:rFonts w:hint="default" w:ascii="Times New Roman" w:hAnsi="Times New Roman" w:cs="Times New Roman"/>
                      <w:color w:val="000000" w:themeColor="text1"/>
                      <w14:textFill>
                        <w14:solidFill>
                          <w14:schemeClr w14:val="tx1"/>
                        </w14:solidFill>
                      </w14:textFill>
                    </w:rPr>
                  </w:pPr>
                  <w:bookmarkStart w:id="19" w:name="_Toc16597"/>
                  <w:r>
                    <w:rPr>
                      <w:rFonts w:hint="default" w:ascii="Times New Roman" w:hAnsi="Times New Roman" w:cs="Times New Roman"/>
                      <w:color w:val="000000" w:themeColor="text1"/>
                      <w14:textFill>
                        <w14:solidFill>
                          <w14:schemeClr w14:val="tx1"/>
                        </w14:solidFill>
                      </w14:textFill>
                    </w:rPr>
                    <w:t>5</w:t>
                  </w:r>
                  <w:bookmarkEnd w:id="19"/>
                </w:p>
              </w:tc>
              <w:tc>
                <w:tcPr>
                  <w:tcW w:w="2027" w:type="dxa"/>
                  <w:tcBorders>
                    <w:tl2br w:val="nil"/>
                    <w:tr2bl w:val="nil"/>
                  </w:tcBorders>
                  <w:noWrap w:val="0"/>
                  <w:tcMar>
                    <w:top w:w="113" w:type="dxa"/>
                    <w:left w:w="108" w:type="dxa"/>
                    <w:bottom w:w="0" w:type="dxa"/>
                    <w:right w:w="108" w:type="dxa"/>
                  </w:tcMar>
                  <w:vAlign w:val="center"/>
                </w:tcPr>
                <w:p w14:paraId="10BCC3CB">
                  <w:pPr>
                    <w:pStyle w:val="71"/>
                    <w:bidi w:val="0"/>
                    <w:jc w:val="center"/>
                    <w:rPr>
                      <w:rFonts w:hint="default" w:ascii="Times New Roman" w:hAnsi="Times New Roman" w:cs="Times New Roman"/>
                      <w:color w:val="000000" w:themeColor="text1"/>
                      <w14:textFill>
                        <w14:solidFill>
                          <w14:schemeClr w14:val="tx1"/>
                        </w14:solidFill>
                      </w14:textFill>
                    </w:rPr>
                  </w:pPr>
                  <w:bookmarkStart w:id="20" w:name="_Toc26199"/>
                  <w:r>
                    <w:rPr>
                      <w:rFonts w:hint="default" w:ascii="Times New Roman" w:hAnsi="Times New Roman" w:cs="Times New Roman"/>
                      <w:color w:val="000000" w:themeColor="text1"/>
                      <w14:textFill>
                        <w14:solidFill>
                          <w14:schemeClr w14:val="tx1"/>
                        </w14:solidFill>
                      </w14:textFill>
                    </w:rPr>
                    <w:t>年平均工作时</w:t>
                  </w:r>
                  <w:bookmarkEnd w:id="20"/>
                </w:p>
              </w:tc>
              <w:tc>
                <w:tcPr>
                  <w:tcW w:w="4831" w:type="dxa"/>
                  <w:tcBorders>
                    <w:tl2br w:val="nil"/>
                    <w:tr2bl w:val="nil"/>
                  </w:tcBorders>
                  <w:noWrap w:val="0"/>
                  <w:tcMar>
                    <w:top w:w="113" w:type="dxa"/>
                    <w:left w:w="108" w:type="dxa"/>
                    <w:bottom w:w="0" w:type="dxa"/>
                    <w:right w:w="108" w:type="dxa"/>
                  </w:tcMar>
                  <w:vAlign w:val="center"/>
                </w:tcPr>
                <w:p w14:paraId="4AC484B0">
                  <w:pPr>
                    <w:pStyle w:val="71"/>
                    <w:bidi w:val="0"/>
                    <w:jc w:val="center"/>
                    <w:rPr>
                      <w:rFonts w:hint="default" w:ascii="Times New Roman" w:hAnsi="Times New Roman" w:cs="Times New Roman"/>
                      <w:color w:val="000000" w:themeColor="text1"/>
                      <w:lang w:val="en-US" w:eastAsia="zh-CN"/>
                      <w14:textFill>
                        <w14:solidFill>
                          <w14:schemeClr w14:val="tx1"/>
                        </w14:solidFill>
                      </w14:textFill>
                    </w:rPr>
                  </w:pPr>
                  <w:bookmarkStart w:id="21" w:name="_Toc12730"/>
                  <w:r>
                    <w:rPr>
                      <w:rFonts w:hint="default" w:ascii="Times New Roman" w:hAnsi="Times New Roman" w:cs="Times New Roman"/>
                      <w:color w:val="000000" w:themeColor="text1"/>
                      <w:lang w:val="en-US" w:eastAsia="zh-CN"/>
                      <w14:textFill>
                        <w14:solidFill>
                          <w14:schemeClr w14:val="tx1"/>
                        </w14:solidFill>
                      </w14:textFill>
                    </w:rPr>
                    <w:t>7200h</w:t>
                  </w:r>
                  <w:bookmarkEnd w:id="21"/>
                </w:p>
              </w:tc>
            </w:tr>
            <w:tr w14:paraId="200605C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00" w:type="dxa"/>
                  <w:tcBorders>
                    <w:tl2br w:val="nil"/>
                    <w:tr2bl w:val="nil"/>
                  </w:tcBorders>
                  <w:noWrap w:val="0"/>
                  <w:tcMar>
                    <w:top w:w="113" w:type="dxa"/>
                    <w:left w:w="108" w:type="dxa"/>
                    <w:bottom w:w="0" w:type="dxa"/>
                    <w:right w:w="108" w:type="dxa"/>
                  </w:tcMar>
                  <w:vAlign w:val="center"/>
                </w:tcPr>
                <w:p w14:paraId="026A4C09">
                  <w:pPr>
                    <w:pStyle w:val="71"/>
                    <w:bidi w:val="0"/>
                    <w:jc w:val="cente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w:t>
                  </w:r>
                </w:p>
              </w:tc>
              <w:tc>
                <w:tcPr>
                  <w:tcW w:w="2027" w:type="dxa"/>
                  <w:tcBorders>
                    <w:tl2br w:val="nil"/>
                    <w:tr2bl w:val="nil"/>
                  </w:tcBorders>
                  <w:noWrap w:val="0"/>
                  <w:tcMar>
                    <w:top w:w="113" w:type="dxa"/>
                    <w:left w:w="108" w:type="dxa"/>
                    <w:bottom w:w="0" w:type="dxa"/>
                    <w:right w:w="108" w:type="dxa"/>
                  </w:tcMar>
                  <w:vAlign w:val="center"/>
                </w:tcPr>
                <w:p w14:paraId="6358A0B5">
                  <w:pPr>
                    <w:pStyle w:val="71"/>
                    <w:bidi w:val="0"/>
                    <w:jc w:val="center"/>
                    <w:rPr>
                      <w:rFonts w:hint="default" w:ascii="Times New Roman" w:hAnsi="Times New Roman" w:cs="Times New Roman"/>
                      <w:color w:val="000000" w:themeColor="text1"/>
                      <w14:textFill>
                        <w14:solidFill>
                          <w14:schemeClr w14:val="tx1"/>
                        </w14:solidFill>
                      </w14:textFill>
                    </w:rPr>
                  </w:pPr>
                  <w:bookmarkStart w:id="22" w:name="_Toc19091"/>
                  <w:r>
                    <w:rPr>
                      <w:rFonts w:hint="default" w:ascii="Times New Roman" w:hAnsi="Times New Roman" w:cs="Times New Roman"/>
                      <w:color w:val="000000" w:themeColor="text1"/>
                      <w14:textFill>
                        <w14:solidFill>
                          <w14:schemeClr w14:val="tx1"/>
                        </w14:solidFill>
                      </w14:textFill>
                    </w:rPr>
                    <w:t>从业人数</w:t>
                  </w:r>
                  <w:bookmarkEnd w:id="22"/>
                </w:p>
              </w:tc>
              <w:tc>
                <w:tcPr>
                  <w:tcW w:w="4831" w:type="dxa"/>
                  <w:tcBorders>
                    <w:tl2br w:val="nil"/>
                    <w:tr2bl w:val="nil"/>
                  </w:tcBorders>
                  <w:noWrap w:val="0"/>
                  <w:tcMar>
                    <w:top w:w="113" w:type="dxa"/>
                    <w:left w:w="108" w:type="dxa"/>
                    <w:bottom w:w="0" w:type="dxa"/>
                    <w:right w:w="108" w:type="dxa"/>
                  </w:tcMar>
                  <w:vAlign w:val="center"/>
                </w:tcPr>
                <w:p w14:paraId="0158552F">
                  <w:pPr>
                    <w:pStyle w:val="71"/>
                    <w:bidi w:val="0"/>
                    <w:jc w:val="center"/>
                    <w:rPr>
                      <w:rFonts w:hint="default" w:ascii="Times New Roman" w:hAnsi="Times New Roman" w:cs="Times New Roman"/>
                      <w:color w:val="000000" w:themeColor="text1"/>
                      <w14:textFill>
                        <w14:solidFill>
                          <w14:schemeClr w14:val="tx1"/>
                        </w14:solidFill>
                      </w14:textFill>
                    </w:rPr>
                  </w:pPr>
                  <w:bookmarkStart w:id="23" w:name="_Toc2675"/>
                  <w:r>
                    <w:rPr>
                      <w:rFonts w:hint="default"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人</w:t>
                  </w:r>
                  <w:bookmarkEnd w:id="23"/>
                </w:p>
              </w:tc>
            </w:tr>
          </w:tbl>
          <w:p w14:paraId="3DFAE178">
            <w:pPr>
              <w:pStyle w:val="3"/>
              <w:bidi w:val="0"/>
              <w:rPr>
                <w:rFonts w:hint="default" w:ascii="Times New Roman" w:hAnsi="Times New Roman" w:cs="Times New Roman"/>
                <w:b/>
                <w:bCs/>
                <w:color w:val="000000" w:themeColor="text1"/>
                <w:lang w:val="en-US"/>
                <w14:textFill>
                  <w14:solidFill>
                    <w14:schemeClr w14:val="tx1"/>
                  </w14:solidFill>
                </w14:textFill>
              </w:rPr>
            </w:pPr>
            <w:r>
              <w:rPr>
                <w:rFonts w:hint="default" w:ascii="Times New Roman" w:hAnsi="Times New Roman" w:cs="Times New Roman"/>
                <w:b/>
                <w:bCs/>
                <w:color w:val="000000" w:themeColor="text1"/>
                <w:lang w:val="en-US"/>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lang w:val="en-US"/>
                <w14:textFill>
                  <w14:solidFill>
                    <w14:schemeClr w14:val="tx1"/>
                  </w14:solidFill>
                </w14:textFill>
              </w:rPr>
              <w:t>现有工程环保手续履行情况</w:t>
            </w:r>
          </w:p>
          <w:p w14:paraId="2CE315D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芒市环境卫生管理站于2003年2月委托云南省环保产业科技开发中心编制了《潞西市城市生活垃圾处理工程建设项目环境影响报告书》，云南省环境保护局（现云南省环境保护厅）于2003年5月下达了《关于对潞西市城市生活垃圾处理场工程环境影响报告书的审批意见》（云环监发（2003）60号）</w:t>
            </w:r>
            <w:r>
              <w:rPr>
                <w:rFonts w:hint="default" w:ascii="Times New Roman" w:hAnsi="Times New Roman" w:eastAsia="宋体" w:cs="Times New Roman"/>
                <w:color w:val="000000" w:themeColor="text1"/>
                <w:sz w:val="24"/>
                <w:lang w:val="en-US" w:eastAsia="zh-CN"/>
                <w14:textFill>
                  <w14:solidFill>
                    <w14:schemeClr w14:val="tx1"/>
                  </w14:solidFill>
                </w14:textFill>
              </w:rPr>
              <w:t>详见附件3。该场于2003年初开始建设，2004年初建设完成，2004年9月7日该场通过州级验收并投入使用，渗滤液处理方式为经管道排入城市污水处理厂处理，但《生活垃圾填埋场污染控制标准》（GB16889－2008）于2008年7月1日实施后，要求从2011年7月1日起，现有全部生活垃圾填埋场应自建污水处理站将渗滤液处理达到《生活垃圾填埋场污染控制标准》（GB16889－2008）表2规定的水污染排放浓度限值后直接排放，对此，2012年委托云南省环境科学研究院编制完成《芒市城市生活垃圾渗滤液处理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程环境影响补充报告》云环审【2012】147号。2016年12月，芒市环境卫生管理站已对芒市城市生活垃圾渗滤液处理工程进行了验收。至此，原渗滤液处理站已履行完成各项环保手续，详见附件8。</w:t>
            </w:r>
          </w:p>
          <w:p w14:paraId="2BEB86FD">
            <w:pPr>
              <w:pStyle w:val="3"/>
              <w:bidi w:val="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3、现有填埋场渗滤液处理站概况</w:t>
            </w:r>
          </w:p>
          <w:p w14:paraId="2A3038A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项目地理位置</w:t>
            </w:r>
          </w:p>
          <w:p w14:paraId="158D784B">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云南省德宏傣族景颇族自治州芒市芒市镇街坡村后山（中心经纬度东经：98°36′46.972″，北纬：24°28′12.662″N）</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14:paraId="25D0EAD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城市生活垃圾处理工程</w:t>
            </w:r>
          </w:p>
          <w:p w14:paraId="7EA1B86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垃圾处理厂：</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芒市垃圾填埋场占地面积16.9hm²，处理能力近期11lt/d，远期144t/d，平均处理规模为120t/d。采用卫生填埋工艺，库区包括防洪工程、垃圾坝及截污坝、库区防渗系统、库区地下水导排系统、填埋气体导排系统等。垃圾填埋场的最终填埋标高为1010m，总库容为107.8万m³，按总库容的85%计算有效库容，填埋场的有效库容为91.6万m³。计划使用年限为18年（即2003年-2020年）。</w:t>
            </w:r>
          </w:p>
          <w:p w14:paraId="6404C99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1）防洪工程：</w:t>
            </w:r>
          </w:p>
          <w:p w14:paraId="60587D73">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①永久截洪沟：沿填埋库区边线设置永久截洪沟，总汇水面积约0.276万m²，采用浆砌石块铺砌，总长2360m。</w:t>
            </w:r>
          </w:p>
          <w:p w14:paraId="5D9030FC">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②分区坝（临时挡水坝）：本工程不设置临时截洪沟，设分区坝挡水。分区坝以上、永久截洪沟以内的雨水通过地下水收集主管排入截污坝下，不进入一期垃圾堆体。分区坝坝顶高982m，坝轴线宽28.7m，坝高4m。</w:t>
            </w:r>
          </w:p>
          <w:p w14:paraId="2DDD4CE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③表面排水沟：在垃圾堆体表面马道上设置表面排水沟，采用砌砖结构，断面为0.3m×0.3m，0.5m×0.5m两种。排水沟顺势接入截洪沟。</w:t>
            </w:r>
          </w:p>
          <w:p w14:paraId="0460AEA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2）垃圾坝：垃圾坝身为浆砌块石，坝顶高程980m，最大坝高18m，坝顶行车</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宽5m，坝轴线长42.4m。</w:t>
            </w:r>
          </w:p>
          <w:p w14:paraId="0F70228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3）截污坝：垃圾坝身为浆砌块石，坝顶高程970m，最大坝高10.5m</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坝顶行车，宽5m，坝轴线长32.85m。</w:t>
            </w:r>
          </w:p>
          <w:p w14:paraId="7F171F24">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4）填埋区防渗工程：采用高密度聚乙烯（HDPE）土工膜水平防渗。</w:t>
            </w:r>
          </w:p>
          <w:p w14:paraId="5D9719C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5）渗滤液调节池防渗：调节池采用高密度聚乙烯（HDPE）做水平防渗，首先将原来地表进行清除平整，然后在池底及坡面铺设300mm厚粘土支承层，在铺设1.5mm厚HDPE 防渗膜，上铺一层300g/m²土工布，上面再砌块石。</w:t>
            </w:r>
          </w:p>
          <w:p w14:paraId="0D9776AE">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6）库区地下水导排：在防渗膜下设置排除地下水盲沟，与渗滤液主盲沟对应设置。通过盲沟穿过填埋库区、垃圾坝、调节池和截污坝，将地下水和泉水引至截污坝下游的河沟内。</w:t>
            </w:r>
          </w:p>
          <w:p w14:paraId="4E5CD6A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7）渗滤液收集系统：渗滤液收集系统主要由设置在底部防渗层上的排水层、集水盲沟和竖向石笼组成。</w:t>
            </w:r>
          </w:p>
          <w:p w14:paraId="60F67AF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8）填埋气体导排系统</w:t>
            </w:r>
          </w:p>
          <w:p w14:paraId="49CCC35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本项目采用被动控制，即在气体大量产生时，为其提供高渗透的通道，是气体按设计的方向导排。在每个竖向石笼顶部（接近最终覆盖层处）设置一根DN200 HDPE气体排放管排放高度最终高出覆盖层1m。</w:t>
            </w:r>
          </w:p>
          <w:p w14:paraId="0948F853">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eastAsia="宋体"/>
                <w:color w:val="000000" w:themeColor="text1"/>
                <w:lang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3</w:t>
            </w:r>
            <w:r>
              <w:rPr>
                <w:rFonts w:hint="eastAsia" w:eastAsia="宋体"/>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渗滤液处理工程</w:t>
            </w:r>
          </w:p>
          <w:p w14:paraId="2DA51379">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渗滤液调节池的容积为16400m³，渗滤液经管道泵至渗滤液处理站，处理达标后排放至污水处理厂</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程位于渗滤液调节池西侧，服务于芒市城市生活垃圾处理场。该工程未实施前，渗滤液收集后直接经管网进入城市生活污水处理厂；渗滤液处理工程2015年10月建成后，调节池渗滤液经管道进入处理系统，处理后的废水达GB16889-2008《生活垃圾填埋污染物排放标准》中表2标准限值后外排。目前的排放方式仍为经管网进入芒市生活污水处理厂。本项目垃圾渗滤液产生量为47.4-213.1m²/d（因季节而变化，旱季量少，雨季量大），渗滤液处理量为150m³/d，外排废水88m³/d。工程内容主要包括渗滤液处理区（从调节池进水至渗滤液处理站出水之间的工艺，建、构筑物）；渗滤液处理站内各种工艺管线；供配电、供水、排水、绿化、环境监测系统等。</w:t>
            </w:r>
          </w:p>
          <w:p w14:paraId="21CA36C9">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项目防渗工程实施情况</w:t>
            </w:r>
          </w:p>
          <w:p w14:paraId="48FF4BF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1）填埋库区防渗</w:t>
            </w:r>
          </w:p>
          <w:p w14:paraId="4F8870A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选用1.5mmHDPE 膜，上铺设300mm/m²土工布一层，支持层为300mm粘土层，保护层为200mm中粗砂层，支持层下铺设300mm中粗砂作为反滤层，沿谷底设置地下水排水盲沟。</w:t>
            </w:r>
          </w:p>
          <w:p w14:paraId="23EE9137">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2）边坡防渗</w:t>
            </w:r>
          </w:p>
          <w:p w14:paraId="436F101A">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先进行边坡修整，再铺设1.5mmHDPE 防渗膜，膜下铺一层600g/m²土工布，膜上铺一层300g/m²土工布，其上满铺废汽车轮胎（胎内填土）。</w:t>
            </w:r>
          </w:p>
          <w:p w14:paraId="5B5FAE71">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渗滤液调节池防渗</w:t>
            </w:r>
          </w:p>
          <w:p w14:paraId="5E7C5AC9">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调节池采用高密度聚乙烯（HDPE）作水平防渗，首先将原来地表进行清除平整，然后在池底及坡面铺设300mm厚黏土支承层，再铺设1.5mm厚HDPE防渗膜，上铺一层300g/m²土工布，上面再浆砌石块。</w:t>
            </w:r>
          </w:p>
          <w:p w14:paraId="156D7B49">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三水分离</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系统建设情况</w:t>
            </w:r>
          </w:p>
          <w:p w14:paraId="57F9F00B">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地表水排除系统</w:t>
            </w:r>
          </w:p>
          <w:p w14:paraId="3BB49B3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①永久截洪沟</w:t>
            </w:r>
          </w:p>
          <w:p w14:paraId="63F88BB7">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沿填埋库区边线设置了永久截洪沟，将场外雨水截排出垃圾处理场外，总长约为2360m。</w:t>
            </w:r>
          </w:p>
          <w:p w14:paraId="6ED94629">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②分区坝</w:t>
            </w:r>
          </w:p>
          <w:p w14:paraId="106881AF">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芒市垃圾处理场二期工程地势高于一期工程，因此，在一期工程及二期工程中间设置了分区坝，分区坝处设置了一个地表水进入地下导排系统的入口，在一期工程使用期间，雨水导排口打开，将二期区域内的雨水导入一期工程的地下水导排系统，将二期工程场内的雨水导出场外，不进入一期垃圾堆体：当二期工程投入使用时，一期工程已进行覆盖，此时将地下导排口封住并做相应的防渗处理，通过此种措施，可大大减少一期工程使用时渗滤液的产</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生量。</w:t>
            </w:r>
          </w:p>
          <w:p w14:paraId="417B933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（6）地下水导排系统</w:t>
            </w:r>
          </w:p>
          <w:p w14:paraId="6E47330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在防渗层下设置排除地下水盲沟，与渗滤液主盲沟对应设置，其主盲沟断面采用梯形断面，分A、B两种断面，一种断面尺寸为下底宽1600mm，上宽2600mm，深2000mm；另一种断面尺寸为下底宽1400mm，上宽2300mm，深1800mm，在盲沟内铺设高密度聚乙烯穿孔排水管，通过盲沟穿过填埋库区、垃圾坝、调节池和截污坝，将地下水河泉水引至截污坝下游的河沟内。</w:t>
            </w:r>
          </w:p>
          <w:p w14:paraId="691C45C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（7）渗滤液收集系统</w:t>
            </w:r>
          </w:p>
          <w:p w14:paraId="367697E2">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收集系统主要由设置在底部防渗层上的排水层、集水盲沟和竖向石笼组成，库底沿主冲沟布置主盲沟，断面采用地形断面，在盲沟内铺设高密度聚乙烯（HDPE）穿孔排水管，主盲沟的HDPE穿越垃圾坝底部至渗滤液调节池。依地形在填埋区布置次盲沟与主盲沟相连，在主次盲沟交汇点的竖向设集水石笼（兼做导气管），通过以上排水系统，渗滤液可靠重力自流排入渗滤液调节池。</w:t>
            </w:r>
          </w:p>
          <w:p w14:paraId="01313063">
            <w:pPr>
              <w:pStyle w:val="3"/>
              <w:numPr>
                <w:ilvl w:val="0"/>
                <w:numId w:val="0"/>
              </w:numPr>
              <w:bidi w:val="0"/>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p>
          <w:p w14:paraId="4C0A0220">
            <w:pPr>
              <w:pStyle w:val="3"/>
              <w:numPr>
                <w:ilvl w:val="0"/>
                <w:numId w:val="3"/>
              </w:numPr>
              <w:bidi w:val="0"/>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主要建设内容</w:t>
            </w:r>
          </w:p>
          <w:p w14:paraId="5A4B1DB0">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w:t>
            </w:r>
            <w:r>
              <w:rPr>
                <w:rFonts w:hint="eastAsia" w:ascii="Times New Roman" w:hAnsi="Times New Roman" w:cs="Times New Roman"/>
                <w:color w:val="000000" w:themeColor="text1"/>
                <w:lang w:val="en-US" w:eastAsia="zh-CN"/>
                <w14:textFill>
                  <w14:solidFill>
                    <w14:schemeClr w14:val="tx1"/>
                  </w14:solidFill>
                </w14:textFill>
              </w:rPr>
              <w:t>2-12</w:t>
            </w:r>
            <w:r>
              <w:rPr>
                <w:rFonts w:hint="default" w:ascii="Times New Roman" w:hAnsi="Times New Roman" w:cs="Times New Roman"/>
                <w:color w:val="000000" w:themeColor="text1"/>
                <w:lang w:val="en-US" w:eastAsia="zh-CN"/>
                <w14:textFill>
                  <w14:solidFill>
                    <w14:schemeClr w14:val="tx1"/>
                  </w14:solidFill>
                </w14:textFill>
              </w:rPr>
              <w:t xml:space="preserve"> 项目工程组成</w:t>
            </w:r>
          </w:p>
          <w:tbl>
            <w:tblPr>
              <w:tblStyle w:val="80"/>
              <w:tblW w:w="78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8"/>
              <w:gridCol w:w="1228"/>
              <w:gridCol w:w="2488"/>
              <w:gridCol w:w="2340"/>
              <w:gridCol w:w="940"/>
            </w:tblGrid>
            <w:tr w14:paraId="7D515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878" w:type="dxa"/>
                  <w:vAlign w:val="top"/>
                </w:tcPr>
                <w:p w14:paraId="667FDAF6">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工程组成</w:t>
                  </w:r>
                </w:p>
              </w:tc>
              <w:tc>
                <w:tcPr>
                  <w:tcW w:w="1228" w:type="dxa"/>
                  <w:vAlign w:val="top"/>
                </w:tcPr>
                <w:p w14:paraId="298A20C9">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项目名称</w:t>
                  </w:r>
                </w:p>
              </w:tc>
              <w:tc>
                <w:tcPr>
                  <w:tcW w:w="2488" w:type="dxa"/>
                  <w:vAlign w:val="top"/>
                </w:tcPr>
                <w:p w14:paraId="56A4BB3A">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环评时主要建设内容</w:t>
                  </w:r>
                </w:p>
              </w:tc>
              <w:tc>
                <w:tcPr>
                  <w:tcW w:w="2340" w:type="dxa"/>
                  <w:vAlign w:val="top"/>
                </w:tcPr>
                <w:p w14:paraId="2B0DE794">
                  <w:pPr>
                    <w:pStyle w:val="71"/>
                    <w:bidi w:val="0"/>
                    <w:jc w:val="center"/>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验收</w:t>
                  </w:r>
                  <w:r>
                    <w:rPr>
                      <w:rFonts w:hint="default" w:ascii="Times New Roman" w:hAnsi="Times New Roman" w:cs="Times New Roman"/>
                      <w:color w:val="000000" w:themeColor="text1"/>
                      <w14:textFill>
                        <w14:solidFill>
                          <w14:schemeClr w14:val="tx1"/>
                        </w14:solidFill>
                      </w14:textFill>
                    </w:rPr>
                    <w:t>实际建设内容</w:t>
                  </w:r>
                </w:p>
              </w:tc>
              <w:tc>
                <w:tcPr>
                  <w:tcW w:w="940" w:type="dxa"/>
                  <w:vAlign w:val="top"/>
                </w:tcPr>
                <w:p w14:paraId="2E10BA3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备注</w:t>
                  </w:r>
                </w:p>
              </w:tc>
            </w:tr>
            <w:tr w14:paraId="6D829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878" w:type="dxa"/>
                  <w:vMerge w:val="restart"/>
                  <w:tcBorders>
                    <w:bottom w:val="nil"/>
                  </w:tcBorders>
                  <w:vAlign w:val="top"/>
                </w:tcPr>
                <w:p w14:paraId="49F21B30">
                  <w:pPr>
                    <w:pStyle w:val="71"/>
                    <w:bidi w:val="0"/>
                    <w:jc w:val="center"/>
                    <w:rPr>
                      <w:rFonts w:hint="default" w:ascii="Times New Roman" w:hAnsi="Times New Roman" w:cs="Times New Roman"/>
                      <w:color w:val="000000" w:themeColor="text1"/>
                      <w14:textFill>
                        <w14:solidFill>
                          <w14:schemeClr w14:val="tx1"/>
                        </w14:solidFill>
                      </w14:textFill>
                    </w:rPr>
                  </w:pPr>
                </w:p>
                <w:p w14:paraId="3BD4D9F2">
                  <w:pPr>
                    <w:pStyle w:val="71"/>
                    <w:bidi w:val="0"/>
                    <w:jc w:val="center"/>
                    <w:rPr>
                      <w:rFonts w:hint="default" w:ascii="Times New Roman" w:hAnsi="Times New Roman" w:cs="Times New Roman"/>
                      <w:color w:val="000000" w:themeColor="text1"/>
                      <w14:textFill>
                        <w14:solidFill>
                          <w14:schemeClr w14:val="tx1"/>
                        </w14:solidFill>
                      </w14:textFill>
                    </w:rPr>
                  </w:pPr>
                </w:p>
                <w:p w14:paraId="4D4C385E">
                  <w:pPr>
                    <w:pStyle w:val="71"/>
                    <w:bidi w:val="0"/>
                    <w:jc w:val="center"/>
                    <w:rPr>
                      <w:rFonts w:hint="default" w:ascii="Times New Roman" w:hAnsi="Times New Roman" w:cs="Times New Roman"/>
                      <w:color w:val="000000" w:themeColor="text1"/>
                      <w14:textFill>
                        <w14:solidFill>
                          <w14:schemeClr w14:val="tx1"/>
                        </w14:solidFill>
                      </w14:textFill>
                    </w:rPr>
                  </w:pPr>
                </w:p>
                <w:p w14:paraId="3C8251C4">
                  <w:pPr>
                    <w:pStyle w:val="71"/>
                    <w:bidi w:val="0"/>
                    <w:jc w:val="center"/>
                    <w:rPr>
                      <w:rFonts w:hint="default" w:ascii="Times New Roman" w:hAnsi="Times New Roman" w:cs="Times New Roman"/>
                      <w:color w:val="000000" w:themeColor="text1"/>
                      <w14:textFill>
                        <w14:solidFill>
                          <w14:schemeClr w14:val="tx1"/>
                        </w14:solidFill>
                      </w14:textFill>
                    </w:rPr>
                  </w:pPr>
                </w:p>
                <w:p w14:paraId="06048B9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主体</w:t>
                  </w:r>
                </w:p>
                <w:p w14:paraId="25CC2F5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w:t>
                  </w:r>
                </w:p>
              </w:tc>
              <w:tc>
                <w:tcPr>
                  <w:tcW w:w="1228" w:type="dxa"/>
                  <w:vAlign w:val="top"/>
                </w:tcPr>
                <w:p w14:paraId="14E2A137">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一期填埋场</w:t>
                  </w:r>
                </w:p>
              </w:tc>
              <w:tc>
                <w:tcPr>
                  <w:tcW w:w="2488" w:type="dxa"/>
                  <w:vAlign w:val="top"/>
                </w:tcPr>
                <w:p w14:paraId="4075F3D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总库容38万</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有效库容32.3万</w:t>
                  </w:r>
                  <w:r>
                    <w:rPr>
                      <w:rFonts w:hint="eastAsia" w:ascii="Times New Roman" w:hAnsi="Times New Roman" w:cs="Times New Roman"/>
                      <w:color w:val="000000" w:themeColor="text1"/>
                      <w:lang w:val="en-US" w:eastAsia="zh-CN"/>
                      <w14:textFill>
                        <w14:solidFill>
                          <w14:schemeClr w14:val="tx1"/>
                        </w14:solidFill>
                      </w14:textFill>
                    </w:rPr>
                    <w:t>m³</w:t>
                  </w:r>
                </w:p>
              </w:tc>
              <w:tc>
                <w:tcPr>
                  <w:tcW w:w="2340" w:type="dxa"/>
                  <w:vAlign w:val="top"/>
                </w:tcPr>
                <w:p w14:paraId="5198DBA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实际建设一期填理场总库容38万</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有效库容32.3万</w:t>
                  </w:r>
                  <w:r>
                    <w:rPr>
                      <w:rFonts w:hint="eastAsia" w:ascii="Times New Roman" w:hAnsi="Times New Roman" w:cs="Times New Roman"/>
                      <w:color w:val="000000" w:themeColor="text1"/>
                      <w:lang w:val="en-US" w:eastAsia="zh-CN"/>
                      <w14:textFill>
                        <w14:solidFill>
                          <w14:schemeClr w14:val="tx1"/>
                        </w14:solidFill>
                      </w14:textFill>
                    </w:rPr>
                    <w:t>m³</w:t>
                  </w:r>
                </w:p>
              </w:tc>
              <w:tc>
                <w:tcPr>
                  <w:tcW w:w="940" w:type="dxa"/>
                  <w:vAlign w:val="top"/>
                </w:tcPr>
                <w:p w14:paraId="7293B3DE">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4D1C513D">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71A5C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878" w:type="dxa"/>
                  <w:vMerge w:val="continue"/>
                  <w:tcBorders>
                    <w:top w:val="nil"/>
                    <w:bottom w:val="nil"/>
                  </w:tcBorders>
                  <w:vAlign w:val="top"/>
                </w:tcPr>
                <w:p w14:paraId="1E760228">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4144EEAB">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二期填埋场</w:t>
                  </w:r>
                </w:p>
              </w:tc>
              <w:tc>
                <w:tcPr>
                  <w:tcW w:w="2488" w:type="dxa"/>
                  <w:vAlign w:val="top"/>
                </w:tcPr>
                <w:p w14:paraId="26339CDA">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总库容69.8万</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有效库容 59 . 33万</w:t>
                  </w:r>
                  <w:r>
                    <w:rPr>
                      <w:rFonts w:hint="eastAsia" w:ascii="Times New Roman" w:hAnsi="Times New Roman" w:cs="Times New Roman"/>
                      <w:color w:val="000000" w:themeColor="text1"/>
                      <w:lang w:val="en-US" w:eastAsia="zh-CN"/>
                      <w14:textFill>
                        <w14:solidFill>
                          <w14:schemeClr w14:val="tx1"/>
                        </w14:solidFill>
                      </w14:textFill>
                    </w:rPr>
                    <w:t>m³</w:t>
                  </w:r>
                </w:p>
              </w:tc>
              <w:tc>
                <w:tcPr>
                  <w:tcW w:w="2340" w:type="dxa"/>
                  <w:vAlign w:val="top"/>
                </w:tcPr>
                <w:p w14:paraId="41BC225A">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实际建设二期填埋场总库容69.8万</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有效库容59.33万</w:t>
                  </w:r>
                  <w:r>
                    <w:rPr>
                      <w:rFonts w:hint="eastAsia" w:ascii="Times New Roman" w:hAnsi="Times New Roman" w:cs="Times New Roman"/>
                      <w:color w:val="000000" w:themeColor="text1"/>
                      <w:lang w:val="en-US" w:eastAsia="zh-CN"/>
                      <w14:textFill>
                        <w14:solidFill>
                          <w14:schemeClr w14:val="tx1"/>
                        </w14:solidFill>
                      </w14:textFill>
                    </w:rPr>
                    <w:t>m³</w:t>
                  </w:r>
                </w:p>
              </w:tc>
              <w:tc>
                <w:tcPr>
                  <w:tcW w:w="940" w:type="dxa"/>
                  <w:vAlign w:val="top"/>
                </w:tcPr>
                <w:p w14:paraId="331525D7">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0D18DEF1">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5EF3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0" w:hRule="atLeast"/>
              </w:trPr>
              <w:tc>
                <w:tcPr>
                  <w:tcW w:w="878" w:type="dxa"/>
                  <w:vMerge w:val="continue"/>
                  <w:tcBorders>
                    <w:top w:val="nil"/>
                    <w:bottom w:val="nil"/>
                  </w:tcBorders>
                  <w:vAlign w:val="top"/>
                </w:tcPr>
                <w:p w14:paraId="52DB8F12">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0834C790">
                  <w:pPr>
                    <w:pStyle w:val="71"/>
                    <w:bidi w:val="0"/>
                    <w:jc w:val="center"/>
                    <w:rPr>
                      <w:rFonts w:hint="default" w:ascii="Times New Roman" w:hAnsi="Times New Roman" w:cs="Times New Roman"/>
                      <w:color w:val="000000" w:themeColor="text1"/>
                      <w14:textFill>
                        <w14:solidFill>
                          <w14:schemeClr w14:val="tx1"/>
                        </w14:solidFill>
                      </w14:textFill>
                    </w:rPr>
                  </w:pPr>
                </w:p>
                <w:p w14:paraId="6C59B770">
                  <w:pPr>
                    <w:pStyle w:val="71"/>
                    <w:bidi w:val="0"/>
                    <w:jc w:val="center"/>
                    <w:rPr>
                      <w:rFonts w:hint="default" w:ascii="Times New Roman" w:hAnsi="Times New Roman" w:cs="Times New Roman"/>
                      <w:color w:val="000000" w:themeColor="text1"/>
                      <w14:textFill>
                        <w14:solidFill>
                          <w14:schemeClr w14:val="tx1"/>
                        </w14:solidFill>
                      </w14:textFill>
                    </w:rPr>
                  </w:pPr>
                </w:p>
                <w:p w14:paraId="1C093364">
                  <w:pPr>
                    <w:pStyle w:val="71"/>
                    <w:bidi w:val="0"/>
                    <w:jc w:val="center"/>
                    <w:rPr>
                      <w:rFonts w:hint="default" w:ascii="Times New Roman" w:hAnsi="Times New Roman" w:cs="Times New Roman"/>
                      <w:color w:val="000000" w:themeColor="text1"/>
                      <w14:textFill>
                        <w14:solidFill>
                          <w14:schemeClr w14:val="tx1"/>
                        </w14:solidFill>
                      </w14:textFill>
                    </w:rPr>
                  </w:pPr>
                </w:p>
                <w:p w14:paraId="0A7C3D2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渗滤液调节池</w:t>
                  </w:r>
                </w:p>
              </w:tc>
              <w:tc>
                <w:tcPr>
                  <w:tcW w:w="2488" w:type="dxa"/>
                  <w:vAlign w:val="top"/>
                </w:tcPr>
                <w:p w14:paraId="64D476E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项目初设提出调节池容积为16400</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项目垃圾场处理工 程环评经论证认为应扩容至30000</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项目渗滤液补充环评经论证认为已经建成的调节池16400</w:t>
                  </w:r>
                  <w:r>
                    <w:rPr>
                      <w:rFonts w:hint="eastAsia" w:ascii="Times New Roman" w:hAnsi="Times New Roman" w:cs="Times New Roman"/>
                      <w:color w:val="000000" w:themeColor="text1"/>
                      <w:lang w:val="en-US" w:eastAsia="zh-CN"/>
                      <w14:textFill>
                        <w14:solidFill>
                          <w14:schemeClr w14:val="tx1"/>
                        </w14:solidFill>
                      </w14:textFill>
                    </w:rPr>
                    <w:t>m³，</w:t>
                  </w:r>
                  <w:r>
                    <w:rPr>
                      <w:rFonts w:hint="default" w:ascii="Times New Roman" w:hAnsi="Times New Roman" w:cs="Times New Roman"/>
                      <w:color w:val="000000" w:themeColor="text1"/>
                      <w14:textFill>
                        <w14:solidFill>
                          <w14:schemeClr w14:val="tx1"/>
                        </w14:solidFill>
                      </w14:textFill>
                    </w:rPr>
                    <w:t>配合即将建设的150</w:t>
                  </w:r>
                  <w:r>
                    <w:rPr>
                      <w:rFonts w:hint="eastAsia" w:ascii="Times New Roman" w:hAnsi="Times New Roman" w:cs="Times New Roman"/>
                      <w:color w:val="000000" w:themeColor="text1"/>
                      <w:lang w:val="en-US" w:eastAsia="zh-CN"/>
                      <w14:textFill>
                        <w14:solidFill>
                          <w14:schemeClr w14:val="tx1"/>
                        </w14:solidFill>
                      </w14:textFill>
                    </w:rPr>
                    <w:t>t/d</w:t>
                  </w:r>
                  <w:r>
                    <w:rPr>
                      <w:rFonts w:hint="default" w:ascii="Times New Roman" w:hAnsi="Times New Roman" w:cs="Times New Roman"/>
                      <w:color w:val="000000" w:themeColor="text1"/>
                      <w14:textFill>
                        <w14:solidFill>
                          <w14:schemeClr w14:val="tx1"/>
                        </w14:solidFill>
                      </w14:textFill>
                    </w:rPr>
                    <w:t>渗   滤液处理系统，可以满足需求。不需扩容，</w:t>
                  </w:r>
                </w:p>
              </w:tc>
              <w:tc>
                <w:tcPr>
                  <w:tcW w:w="2340" w:type="dxa"/>
                  <w:vAlign w:val="top"/>
                </w:tcPr>
                <w:p w14:paraId="182F33B0">
                  <w:pPr>
                    <w:pStyle w:val="71"/>
                    <w:bidi w:val="0"/>
                    <w:jc w:val="center"/>
                    <w:rPr>
                      <w:rFonts w:hint="default" w:ascii="Times New Roman" w:hAnsi="Times New Roman" w:cs="Times New Roman"/>
                      <w:color w:val="000000" w:themeColor="text1"/>
                      <w14:textFill>
                        <w14:solidFill>
                          <w14:schemeClr w14:val="tx1"/>
                        </w14:solidFill>
                      </w14:textFill>
                    </w:rPr>
                  </w:pPr>
                </w:p>
                <w:p w14:paraId="3B2E1EA9">
                  <w:pPr>
                    <w:pStyle w:val="71"/>
                    <w:bidi w:val="0"/>
                    <w:jc w:val="center"/>
                    <w:rPr>
                      <w:rFonts w:hint="default" w:ascii="Times New Roman" w:hAnsi="Times New Roman" w:cs="Times New Roman"/>
                      <w:color w:val="000000" w:themeColor="text1"/>
                      <w14:textFill>
                        <w14:solidFill>
                          <w14:schemeClr w14:val="tx1"/>
                        </w14:solidFill>
                      </w14:textFill>
                    </w:rPr>
                  </w:pPr>
                </w:p>
                <w:p w14:paraId="600DD463">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实际建设一座渗滤液调节池</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容积为16400m³</w:t>
                  </w:r>
                </w:p>
              </w:tc>
              <w:tc>
                <w:tcPr>
                  <w:tcW w:w="940" w:type="dxa"/>
                  <w:vAlign w:val="top"/>
                </w:tcPr>
                <w:p w14:paraId="68D053B7">
                  <w:pPr>
                    <w:pStyle w:val="71"/>
                    <w:bidi w:val="0"/>
                    <w:jc w:val="center"/>
                    <w:rPr>
                      <w:rFonts w:hint="default" w:ascii="Times New Roman" w:hAnsi="Times New Roman" w:cs="Times New Roman"/>
                      <w:color w:val="000000" w:themeColor="text1"/>
                      <w14:textFill>
                        <w14:solidFill>
                          <w14:schemeClr w14:val="tx1"/>
                        </w14:solidFill>
                      </w14:textFill>
                    </w:rPr>
                  </w:pPr>
                </w:p>
                <w:p w14:paraId="1C6E3034">
                  <w:pPr>
                    <w:pStyle w:val="71"/>
                    <w:bidi w:val="0"/>
                    <w:jc w:val="center"/>
                    <w:rPr>
                      <w:rFonts w:hint="default" w:ascii="Times New Roman" w:hAnsi="Times New Roman" w:cs="Times New Roman"/>
                      <w:color w:val="000000" w:themeColor="text1"/>
                      <w14:textFill>
                        <w14:solidFill>
                          <w14:schemeClr w14:val="tx1"/>
                        </w14:solidFill>
                      </w14:textFill>
                    </w:rPr>
                  </w:pPr>
                </w:p>
                <w:p w14:paraId="7C90BEC1">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与补充环 评一致</w:t>
                  </w:r>
                </w:p>
              </w:tc>
            </w:tr>
            <w:tr w14:paraId="3C342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78" w:type="dxa"/>
                  <w:vMerge w:val="continue"/>
                  <w:tcBorders>
                    <w:top w:val="nil"/>
                  </w:tcBorders>
                  <w:vAlign w:val="top"/>
                </w:tcPr>
                <w:p w14:paraId="5CE98924">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1F696EBB">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法滤液处理系 统</w:t>
                  </w:r>
                </w:p>
              </w:tc>
              <w:tc>
                <w:tcPr>
                  <w:tcW w:w="2488" w:type="dxa"/>
                  <w:vAlign w:val="top"/>
                </w:tcPr>
                <w:p w14:paraId="4BB77F3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处理规模为150</w:t>
                  </w:r>
                  <w:r>
                    <w:rPr>
                      <w:rFonts w:hint="eastAsia" w:ascii="Times New Roman" w:hAnsi="Times New Roman" w:cs="Times New Roman"/>
                      <w:color w:val="000000" w:themeColor="text1"/>
                      <w:lang w:val="en-US" w:eastAsia="zh-CN"/>
                      <w14:textFill>
                        <w14:solidFill>
                          <w14:schemeClr w14:val="tx1"/>
                        </w14:solidFill>
                      </w14:textFill>
                    </w:rPr>
                    <w:t>t/d</w:t>
                  </w:r>
                </w:p>
              </w:tc>
              <w:tc>
                <w:tcPr>
                  <w:tcW w:w="2340" w:type="dxa"/>
                  <w:vAlign w:val="top"/>
                </w:tcPr>
                <w:p w14:paraId="399BBC9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实际建设1座渗滤液处理系统，处理规模为150</w:t>
                  </w:r>
                  <w:r>
                    <w:rPr>
                      <w:rFonts w:hint="eastAsia" w:ascii="Times New Roman" w:hAnsi="Times New Roman" w:cs="Times New Roman"/>
                      <w:color w:val="000000" w:themeColor="text1"/>
                      <w:lang w:val="en-US" w:eastAsia="zh-CN"/>
                      <w14:textFill>
                        <w14:solidFill>
                          <w14:schemeClr w14:val="tx1"/>
                        </w14:solidFill>
                      </w14:textFill>
                    </w:rPr>
                    <w:t>t/d</w:t>
                  </w:r>
                </w:p>
              </w:tc>
              <w:tc>
                <w:tcPr>
                  <w:tcW w:w="940" w:type="dxa"/>
                  <w:vAlign w:val="top"/>
                </w:tcPr>
                <w:p w14:paraId="01BCDDD2">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与补充环 评一致</w:t>
                  </w:r>
                </w:p>
              </w:tc>
            </w:tr>
            <w:tr w14:paraId="75F89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78" w:type="dxa"/>
                  <w:vMerge w:val="restart"/>
                  <w:tcBorders>
                    <w:bottom w:val="nil"/>
                  </w:tcBorders>
                  <w:vAlign w:val="top"/>
                </w:tcPr>
                <w:p w14:paraId="629A9250">
                  <w:pPr>
                    <w:pStyle w:val="71"/>
                    <w:bidi w:val="0"/>
                    <w:jc w:val="center"/>
                    <w:rPr>
                      <w:rFonts w:hint="default" w:ascii="Times New Roman" w:hAnsi="Times New Roman" w:cs="Times New Roman"/>
                      <w:color w:val="000000" w:themeColor="text1"/>
                      <w14:textFill>
                        <w14:solidFill>
                          <w14:schemeClr w14:val="tx1"/>
                        </w14:solidFill>
                      </w14:textFill>
                    </w:rPr>
                  </w:pPr>
                </w:p>
                <w:p w14:paraId="706D74A1">
                  <w:pPr>
                    <w:pStyle w:val="71"/>
                    <w:bidi w:val="0"/>
                    <w:jc w:val="center"/>
                    <w:rPr>
                      <w:rFonts w:hint="default" w:ascii="Times New Roman" w:hAnsi="Times New Roman" w:cs="Times New Roman"/>
                      <w:color w:val="000000" w:themeColor="text1"/>
                      <w14:textFill>
                        <w14:solidFill>
                          <w14:schemeClr w14:val="tx1"/>
                        </w14:solidFill>
                      </w14:textFill>
                    </w:rPr>
                  </w:pPr>
                </w:p>
                <w:p w14:paraId="45733D88">
                  <w:pPr>
                    <w:pStyle w:val="71"/>
                    <w:bidi w:val="0"/>
                    <w:jc w:val="center"/>
                    <w:rPr>
                      <w:rFonts w:hint="default" w:ascii="Times New Roman" w:hAnsi="Times New Roman" w:cs="Times New Roman"/>
                      <w:color w:val="000000" w:themeColor="text1"/>
                      <w14:textFill>
                        <w14:solidFill>
                          <w14:schemeClr w14:val="tx1"/>
                        </w14:solidFill>
                      </w14:textFill>
                    </w:rPr>
                  </w:pPr>
                </w:p>
                <w:p w14:paraId="7B01452E">
                  <w:pPr>
                    <w:pStyle w:val="71"/>
                    <w:bidi w:val="0"/>
                    <w:jc w:val="center"/>
                    <w:rPr>
                      <w:rFonts w:hint="default" w:ascii="Times New Roman" w:hAnsi="Times New Roman" w:cs="Times New Roman"/>
                      <w:color w:val="000000" w:themeColor="text1"/>
                      <w14:textFill>
                        <w14:solidFill>
                          <w14:schemeClr w14:val="tx1"/>
                        </w14:solidFill>
                      </w14:textFill>
                    </w:rPr>
                  </w:pPr>
                </w:p>
                <w:p w14:paraId="752442DA">
                  <w:pPr>
                    <w:pStyle w:val="71"/>
                    <w:bidi w:val="0"/>
                    <w:jc w:val="center"/>
                    <w:rPr>
                      <w:rFonts w:hint="default" w:ascii="Times New Roman" w:hAnsi="Times New Roman" w:cs="Times New Roman"/>
                      <w:color w:val="000000" w:themeColor="text1"/>
                      <w14:textFill>
                        <w14:solidFill>
                          <w14:schemeClr w14:val="tx1"/>
                        </w14:solidFill>
                      </w14:textFill>
                    </w:rPr>
                  </w:pPr>
                </w:p>
                <w:p w14:paraId="10A839F6">
                  <w:pPr>
                    <w:pStyle w:val="71"/>
                    <w:bidi w:val="0"/>
                    <w:jc w:val="center"/>
                    <w:rPr>
                      <w:rFonts w:hint="default" w:ascii="Times New Roman" w:hAnsi="Times New Roman" w:cs="Times New Roman"/>
                      <w:color w:val="000000" w:themeColor="text1"/>
                      <w14:textFill>
                        <w14:solidFill>
                          <w14:schemeClr w14:val="tx1"/>
                        </w14:solidFill>
                      </w14:textFill>
                    </w:rPr>
                  </w:pPr>
                </w:p>
                <w:p w14:paraId="6B50C4B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辅助工程</w:t>
                  </w:r>
                </w:p>
              </w:tc>
              <w:tc>
                <w:tcPr>
                  <w:tcW w:w="1228" w:type="dxa"/>
                  <w:vAlign w:val="top"/>
                </w:tcPr>
                <w:p w14:paraId="48B80EC1">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垃圾中转站</w:t>
                  </w:r>
                </w:p>
              </w:tc>
              <w:tc>
                <w:tcPr>
                  <w:tcW w:w="2488" w:type="dxa"/>
                  <w:vAlign w:val="top"/>
                </w:tcPr>
                <w:p w14:paraId="7CF19F6A">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 座</w:t>
                  </w:r>
                </w:p>
              </w:tc>
              <w:tc>
                <w:tcPr>
                  <w:tcW w:w="2340" w:type="dxa"/>
                  <w:vAlign w:val="top"/>
                </w:tcPr>
                <w:p w14:paraId="72D28F47">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实际建设2座垃圾中转站，新建设路转运站、珠宝路转运站</w:t>
                  </w:r>
                </w:p>
              </w:tc>
              <w:tc>
                <w:tcPr>
                  <w:tcW w:w="940" w:type="dxa"/>
                  <w:vAlign w:val="top"/>
                </w:tcPr>
                <w:p w14:paraId="1F23160D">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108069AA">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06D46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78" w:type="dxa"/>
                  <w:vMerge w:val="continue"/>
                  <w:tcBorders>
                    <w:top w:val="nil"/>
                    <w:bottom w:val="nil"/>
                  </w:tcBorders>
                  <w:vAlign w:val="top"/>
                </w:tcPr>
                <w:p w14:paraId="205D85CB">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3B06B91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管理区</w:t>
                  </w:r>
                </w:p>
              </w:tc>
              <w:tc>
                <w:tcPr>
                  <w:tcW w:w="2488" w:type="dxa"/>
                  <w:vAlign w:val="top"/>
                </w:tcPr>
                <w:p w14:paraId="5FE62B59">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办公区、生活区、停车区</w:t>
                  </w:r>
                </w:p>
              </w:tc>
              <w:tc>
                <w:tcPr>
                  <w:tcW w:w="2340" w:type="dxa"/>
                  <w:vAlign w:val="top"/>
                </w:tcPr>
                <w:p w14:paraId="6E9A4EF6">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实际建成办公区、生活区、停 车区</w:t>
                  </w:r>
                </w:p>
              </w:tc>
              <w:tc>
                <w:tcPr>
                  <w:tcW w:w="940" w:type="dxa"/>
                  <w:vAlign w:val="top"/>
                </w:tcPr>
                <w:p w14:paraId="33375D41">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1C739DC6">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5432F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78" w:type="dxa"/>
                  <w:vMerge w:val="continue"/>
                  <w:tcBorders>
                    <w:top w:val="nil"/>
                    <w:bottom w:val="nil"/>
                  </w:tcBorders>
                  <w:vAlign w:val="top"/>
                </w:tcPr>
                <w:p w14:paraId="10DDBF80">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4ED6137C">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截洪沟</w:t>
                  </w:r>
                </w:p>
              </w:tc>
              <w:tc>
                <w:tcPr>
                  <w:tcW w:w="2488" w:type="dxa"/>
                  <w:vAlign w:val="top"/>
                </w:tcPr>
                <w:p w14:paraId="25E5EE17">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水久截洪沟总长2360m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采用 浆砌块铺砌</w:t>
                  </w:r>
                </w:p>
              </w:tc>
              <w:tc>
                <w:tcPr>
                  <w:tcW w:w="2340" w:type="dxa"/>
                  <w:vAlign w:val="top"/>
                </w:tcPr>
                <w:p w14:paraId="66387E60">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实际建成水久截洪沟总长 2360m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采用浆砌块铺砌</w:t>
                  </w:r>
                </w:p>
              </w:tc>
              <w:tc>
                <w:tcPr>
                  <w:tcW w:w="940" w:type="dxa"/>
                  <w:vAlign w:val="top"/>
                </w:tcPr>
                <w:p w14:paraId="4A34C1B6">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038A1346">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1BACA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878" w:type="dxa"/>
                  <w:vMerge w:val="continue"/>
                  <w:tcBorders>
                    <w:top w:val="nil"/>
                    <w:bottom w:val="nil"/>
                  </w:tcBorders>
                  <w:vAlign w:val="top"/>
                </w:tcPr>
                <w:p w14:paraId="20191E11">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3C0C9443">
                  <w:pPr>
                    <w:pStyle w:val="71"/>
                    <w:bidi w:val="0"/>
                    <w:jc w:val="center"/>
                    <w:rPr>
                      <w:rFonts w:hint="default" w:ascii="Times New Roman" w:hAnsi="Times New Roman" w:cs="Times New Roman"/>
                      <w:color w:val="000000" w:themeColor="text1"/>
                      <w14:textFill>
                        <w14:solidFill>
                          <w14:schemeClr w14:val="tx1"/>
                        </w14:solidFill>
                      </w14:textFill>
                    </w:rPr>
                  </w:pPr>
                </w:p>
                <w:p w14:paraId="515C94F8">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垃圾坝</w:t>
                  </w:r>
                </w:p>
              </w:tc>
              <w:tc>
                <w:tcPr>
                  <w:tcW w:w="2488" w:type="dxa"/>
                  <w:vAlign w:val="top"/>
                </w:tcPr>
                <w:p w14:paraId="27C2AC41">
                  <w:pPr>
                    <w:pStyle w:val="71"/>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一座，坝身为浆砌块石</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坝顶高程980m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最大坝高18m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坝轴线长42.4m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坝基置于中风化砂岩，埋深约5.5m</w:t>
                  </w:r>
                  <w:r>
                    <w:rPr>
                      <w:rFonts w:hint="eastAsia" w:ascii="Times New Roman" w:hAnsi="Times New Roman" w:cs="Times New Roman"/>
                      <w:color w:val="000000" w:themeColor="text1"/>
                      <w:lang w:eastAsia="zh-CN"/>
                      <w14:textFill>
                        <w14:solidFill>
                          <w14:schemeClr w14:val="tx1"/>
                        </w14:solidFill>
                      </w14:textFill>
                    </w:rPr>
                    <w:t>。</w:t>
                  </w:r>
                </w:p>
              </w:tc>
              <w:tc>
                <w:tcPr>
                  <w:tcW w:w="2340" w:type="dxa"/>
                  <w:vAlign w:val="top"/>
                </w:tcPr>
                <w:p w14:paraId="40DEA963">
                  <w:pPr>
                    <w:pStyle w:val="71"/>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实际建成垃圾坝一座</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坝身为浆砌块石</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坝顶高程980m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最大坝高18m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坝轴线长42.4m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坝基置于中风化砂岩</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埋深约5.5m</w:t>
                  </w:r>
                  <w:r>
                    <w:rPr>
                      <w:rFonts w:hint="eastAsia" w:ascii="Times New Roman" w:hAnsi="Times New Roman" w:cs="Times New Roman"/>
                      <w:color w:val="000000" w:themeColor="text1"/>
                      <w:lang w:eastAsia="zh-CN"/>
                      <w14:textFill>
                        <w14:solidFill>
                          <w14:schemeClr w14:val="tx1"/>
                        </w14:solidFill>
                      </w14:textFill>
                    </w:rPr>
                    <w:t>。</w:t>
                  </w:r>
                </w:p>
              </w:tc>
              <w:tc>
                <w:tcPr>
                  <w:tcW w:w="940" w:type="dxa"/>
                  <w:vAlign w:val="top"/>
                </w:tcPr>
                <w:p w14:paraId="2135EC12">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586A56E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6BF90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878" w:type="dxa"/>
                  <w:vMerge w:val="continue"/>
                  <w:tcBorders>
                    <w:top w:val="nil"/>
                    <w:bottom w:val="nil"/>
                  </w:tcBorders>
                  <w:vAlign w:val="top"/>
                </w:tcPr>
                <w:p w14:paraId="3CEF7C78">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2546EDB0">
                  <w:pPr>
                    <w:pStyle w:val="71"/>
                    <w:bidi w:val="0"/>
                    <w:jc w:val="center"/>
                    <w:rPr>
                      <w:rFonts w:hint="default" w:ascii="Times New Roman" w:hAnsi="Times New Roman" w:cs="Times New Roman"/>
                      <w:color w:val="000000" w:themeColor="text1"/>
                      <w14:textFill>
                        <w14:solidFill>
                          <w14:schemeClr w14:val="tx1"/>
                        </w14:solidFill>
                      </w14:textFill>
                    </w:rPr>
                  </w:pPr>
                </w:p>
                <w:p w14:paraId="584ABAFF">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截污坝</w:t>
                  </w:r>
                </w:p>
              </w:tc>
              <w:tc>
                <w:tcPr>
                  <w:tcW w:w="2488" w:type="dxa"/>
                  <w:vAlign w:val="top"/>
                </w:tcPr>
                <w:p w14:paraId="5A650E9B">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坝身为浆砌块石，坝顶高程 970m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最大坝高10.5m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坝轴线长32.85m。坝基置于中风化砂岩，埋深约5.5m。</w:t>
                  </w:r>
                </w:p>
              </w:tc>
              <w:tc>
                <w:tcPr>
                  <w:tcW w:w="2340" w:type="dxa"/>
                  <w:vAlign w:val="top"/>
                </w:tcPr>
                <w:p w14:paraId="6AA910E4">
                  <w:pPr>
                    <w:pStyle w:val="71"/>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实际建成截污坝一座，坝身为浆砌块石</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坝顶高程970m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最大坝高10</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 xml:space="preserve"> 5m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坝轴线长32.85m</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坝基置于中风化砂岩，埋深约5.5m</w:t>
                  </w:r>
                  <w:r>
                    <w:rPr>
                      <w:rFonts w:hint="eastAsia" w:ascii="Times New Roman" w:hAnsi="Times New Roman" w:cs="Times New Roman"/>
                      <w:color w:val="000000" w:themeColor="text1"/>
                      <w:lang w:eastAsia="zh-CN"/>
                      <w14:textFill>
                        <w14:solidFill>
                          <w14:schemeClr w14:val="tx1"/>
                        </w14:solidFill>
                      </w14:textFill>
                    </w:rPr>
                    <w:t>。</w:t>
                  </w:r>
                </w:p>
              </w:tc>
              <w:tc>
                <w:tcPr>
                  <w:tcW w:w="940" w:type="dxa"/>
                  <w:vAlign w:val="top"/>
                </w:tcPr>
                <w:p w14:paraId="7CA58B0E">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462D3630">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62084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878" w:type="dxa"/>
                  <w:vMerge w:val="continue"/>
                  <w:tcBorders>
                    <w:top w:val="nil"/>
                  </w:tcBorders>
                  <w:vAlign w:val="top"/>
                </w:tcPr>
                <w:p w14:paraId="0D4BA729">
                  <w:pPr>
                    <w:pStyle w:val="71"/>
                    <w:bidi w:val="0"/>
                    <w:jc w:val="center"/>
                    <w:rPr>
                      <w:rFonts w:hint="default" w:ascii="Times New Roman" w:hAnsi="Times New Roman" w:cs="Times New Roman"/>
                      <w:color w:val="000000" w:themeColor="text1"/>
                      <w14:textFill>
                        <w14:solidFill>
                          <w14:schemeClr w14:val="tx1"/>
                        </w14:solidFill>
                      </w14:textFill>
                    </w:rPr>
                  </w:pPr>
                </w:p>
              </w:tc>
              <w:tc>
                <w:tcPr>
                  <w:tcW w:w="1228" w:type="dxa"/>
                  <w:vAlign w:val="top"/>
                </w:tcPr>
                <w:p w14:paraId="25CBC032">
                  <w:pPr>
                    <w:pStyle w:val="71"/>
                    <w:bidi w:val="0"/>
                    <w:jc w:val="center"/>
                    <w:rPr>
                      <w:rFonts w:hint="default" w:ascii="Times New Roman" w:hAnsi="Times New Roman" w:cs="Times New Roman"/>
                      <w:color w:val="000000" w:themeColor="text1"/>
                      <w14:textFill>
                        <w14:solidFill>
                          <w14:schemeClr w14:val="tx1"/>
                        </w14:solidFill>
                      </w14:textFill>
                    </w:rPr>
                  </w:pPr>
                </w:p>
                <w:p w14:paraId="4CBC869B">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库区防渗工程</w:t>
                  </w:r>
                </w:p>
              </w:tc>
              <w:tc>
                <w:tcPr>
                  <w:tcW w:w="2488" w:type="dxa"/>
                  <w:vAlign w:val="top"/>
                </w:tcPr>
                <w:p w14:paraId="7EA8BF38">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选用</w:t>
                  </w:r>
                  <w:r>
                    <w:rPr>
                      <w:rFonts w:hint="eastAsia" w:ascii="Times New Roman" w:hAnsi="Times New Roman" w:cs="Times New Roman"/>
                      <w:color w:val="000000" w:themeColor="text1"/>
                      <w:lang w:val="en-US" w:eastAsia="zh-CN"/>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t>mmHDPE膜</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上铺 设300mm/m²土工布一层，支</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持层为300mm粘土层，保护层为200mm中粗砂层，支持层下铺设300mm中粗砂作为反滤层，沿谷底设置地下水排水盲沟。</w:t>
                  </w:r>
                </w:p>
              </w:tc>
              <w:tc>
                <w:tcPr>
                  <w:tcW w:w="2340" w:type="dxa"/>
                  <w:vAlign w:val="top"/>
                </w:tcPr>
                <w:p w14:paraId="1DA620A9">
                  <w:pPr>
                    <w:pStyle w:val="71"/>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选用1.5mmHDPE膜，上铺设300mm/m²土工布一层，支持层为300mm粘土层，保护层为200mm中粗砂层，支持层下铺设300mm中粗砂作为反滤 层，沿谷底设置地下水排水盲沟</w:t>
                  </w:r>
                  <w:r>
                    <w:rPr>
                      <w:rFonts w:hint="eastAsia" w:ascii="Times New Roman" w:hAnsi="Times New Roman" w:cs="Times New Roman"/>
                      <w:color w:val="000000" w:themeColor="text1"/>
                      <w:lang w:eastAsia="zh-CN"/>
                      <w14:textFill>
                        <w14:solidFill>
                          <w14:schemeClr w14:val="tx1"/>
                        </w14:solidFill>
                      </w14:textFill>
                    </w:rPr>
                    <w:t>。</w:t>
                  </w:r>
                </w:p>
              </w:tc>
              <w:tc>
                <w:tcPr>
                  <w:tcW w:w="940" w:type="dxa"/>
                  <w:vAlign w:val="top"/>
                </w:tcPr>
                <w:p w14:paraId="608CE3FA">
                  <w:pPr>
                    <w:pStyle w:val="71"/>
                    <w:bidi w:val="0"/>
                    <w:jc w:val="center"/>
                    <w:rPr>
                      <w:rFonts w:hint="default" w:ascii="Times New Roman" w:hAnsi="Times New Roman" w:cs="Times New Roman"/>
                      <w:color w:val="000000" w:themeColor="text1"/>
                      <w14:textFill>
                        <w14:solidFill>
                          <w14:schemeClr w14:val="tx1"/>
                        </w14:solidFill>
                      </w14:textFill>
                    </w:rPr>
                  </w:pPr>
                </w:p>
                <w:p w14:paraId="1096FC1D">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与环评</w:t>
                  </w:r>
                </w:p>
                <w:p w14:paraId="3FE6F10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一致</w:t>
                  </w:r>
                </w:p>
              </w:tc>
            </w:tr>
            <w:tr w14:paraId="21CAB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78" w:type="dxa"/>
                  <w:vAlign w:val="top"/>
                </w:tcPr>
                <w:p w14:paraId="57C18F21">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环保工程</w:t>
                  </w:r>
                </w:p>
              </w:tc>
              <w:tc>
                <w:tcPr>
                  <w:tcW w:w="1228" w:type="dxa"/>
                  <w:vAlign w:val="top"/>
                </w:tcPr>
                <w:p w14:paraId="54A855B1">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渗滤液处理系统</w:t>
                  </w:r>
                </w:p>
              </w:tc>
              <w:tc>
                <w:tcPr>
                  <w:tcW w:w="2488" w:type="dxa"/>
                  <w:vAlign w:val="top"/>
                </w:tcPr>
                <w:p w14:paraId="26F31454">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处理规模为150</w:t>
                  </w:r>
                  <w:r>
                    <w:rPr>
                      <w:rFonts w:hint="eastAsia" w:ascii="Times New Roman" w:hAnsi="Times New Roman"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14:textFill>
                        <w14:solidFill>
                          <w14:schemeClr w14:val="tx1"/>
                        </w14:solidFill>
                      </w14:textFill>
                    </w:rPr>
                    <w:t>d</w:t>
                  </w:r>
                </w:p>
              </w:tc>
              <w:tc>
                <w:tcPr>
                  <w:tcW w:w="2340" w:type="dxa"/>
                  <w:vAlign w:val="top"/>
                </w:tcPr>
                <w:p w14:paraId="47F6C3C3">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实际处理规模为150</w:t>
                  </w:r>
                  <w:r>
                    <w:rPr>
                      <w:rFonts w:hint="eastAsia" w:ascii="Times New Roman" w:hAnsi="Times New Roman"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14:textFill>
                        <w14:solidFill>
                          <w14:schemeClr w14:val="tx1"/>
                        </w14:solidFill>
                      </w14:textFill>
                    </w:rPr>
                    <w:t>d</w:t>
                  </w:r>
                </w:p>
              </w:tc>
              <w:tc>
                <w:tcPr>
                  <w:tcW w:w="940" w:type="dxa"/>
                  <w:vAlign w:val="top"/>
                </w:tcPr>
                <w:p w14:paraId="4E6B4AC5">
                  <w:pPr>
                    <w:pStyle w:val="71"/>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与补充环 评一致</w:t>
                  </w:r>
                </w:p>
              </w:tc>
            </w:tr>
          </w:tbl>
          <w:p w14:paraId="2C859016">
            <w:pPr>
              <w:pStyle w:val="3"/>
              <w:bidi w:val="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5、生产工艺流程</w:t>
            </w:r>
          </w:p>
          <w:p w14:paraId="41001AA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（1）垃圾填埋</w:t>
            </w:r>
          </w:p>
          <w:p w14:paraId="6B60846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1）垃圾填埋场的前期处理</w:t>
            </w:r>
          </w:p>
          <w:p w14:paraId="4B9D01D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本项目采用卫生填埋工艺，库区包括防洪工程、垃圾坝及截污坝、库区防渗系统、库区地下水导排系统等。</w:t>
            </w:r>
          </w:p>
          <w:p w14:paraId="5AF2241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2）防洪工程：</w:t>
            </w:r>
          </w:p>
          <w:p w14:paraId="18D8145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①永久截洪沟：沿填埋库区边线设置永久截洪沟，总汇水面积约0.276万m²，截洪沟的过水能力按20年一遇洪水计算，采用浆砌石块铺砌，总长2360m。</w:t>
            </w:r>
          </w:p>
          <w:p w14:paraId="3C98CB8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②分区坝（临时挡水坝）：本工程不设置临时截洪沟，设分区坝挡水。分区坝以上、永久截洪沟以内的雨水通过地下水收集主管排入截污坝下，不进入一期垃圾堆体。分区坝坝顶高982m，坝轴线宽28.7m，坝高4m。</w:t>
            </w:r>
          </w:p>
          <w:p w14:paraId="55063F8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③表面排水沟：在垃圾堆体表面马道上设置表面排水沟，采用砌砖结构，断面为0.3m×0.3m，0.5m×0.5m两种。排水沟顺势接入截洪沟。</w:t>
            </w:r>
          </w:p>
          <w:p w14:paraId="0817F10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3）垃圾坝及截污沟</w:t>
            </w:r>
          </w:p>
          <w:p w14:paraId="6535212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①垃圾坝：垃圾坝身为浆砌块石，坝顶高程980m，最大坝高18m，坝顶行车，宽5m，坝轴线长42.4m。</w:t>
            </w:r>
          </w:p>
          <w:p w14:paraId="2B8A7E1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②截污坝：垃圾坝身为浆砌块石，坝顶高程970m，最大坝高10.5m，坝顶行车，宽5m，坝轴线长32.85m。</w:t>
            </w:r>
          </w:p>
          <w:p w14:paraId="3631769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（2）防渗工程</w:t>
            </w:r>
          </w:p>
          <w:p w14:paraId="477D76BE">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填埋区防渗工程：采用高密度聚乙烯（HDPE）土工膜水平防渗。场底防渗选用1.5mmHDPE膜，上铺300g/m²土工布一层，支持层为300mm粘土层，保护层为200mm中粗砂层。支持层下铺设300mm中粗砂作为反滤层，沿谷底设置地下水排水盲沟。</w:t>
            </w:r>
          </w:p>
          <w:p w14:paraId="61C992B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②边坡防渗：先进行边坡修整，再铺设1.5mmHDPE防渗膜，膜下铺一层600t/m²土工布，其上铺废汽车轮胎（胎内填上）。</w:t>
            </w:r>
          </w:p>
          <w:p w14:paraId="3E2C05B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③渗滤液调节池防渗：调节池采用高密度聚乙烯（HDPE）做水平防渗，首先将原来地表进行清除平整，然后在池底及坡面铺设300mm厚粘土支承层，在铺设1.5mm厚HDPE防渗膜，上铺一层300g/m²土工布，上面再砌块石。</w:t>
            </w:r>
          </w:p>
          <w:p w14:paraId="000A0C0E">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（3）库区地下水导排</w:t>
            </w:r>
          </w:p>
          <w:p w14:paraId="43FD5091">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库区内有三处泉点，雨季地下水丰富，库底地下水和泉水需要排除。主要措施为：在防渗膜下设置排除地下水盲沟，与渗滤液主盲沟对应设置。通过盲沟穿过填埋库区、垃圾坝、调节池和截污坝，将地下水和泉水引至截污坝下游的河沟内，具体布局方式见下图</w:t>
            </w:r>
          </w:p>
          <w:p w14:paraId="78595E25">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4972050" cy="3526790"/>
                  <wp:effectExtent l="0" t="0" r="1143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4972050" cy="3526790"/>
                          </a:xfrm>
                          <a:prstGeom prst="rect">
                            <a:avLst/>
                          </a:prstGeom>
                          <a:noFill/>
                          <a:ln>
                            <a:noFill/>
                          </a:ln>
                        </pic:spPr>
                      </pic:pic>
                    </a:graphicData>
                  </a:graphic>
                </wp:inline>
              </w:drawing>
            </w:r>
          </w:p>
          <w:p w14:paraId="33251C4E">
            <w:pPr>
              <w:spacing w:line="360" w:lineRule="auto"/>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3801745</wp:posOffset>
                      </wp:positionH>
                      <wp:positionV relativeFrom="paragraph">
                        <wp:posOffset>6283325</wp:posOffset>
                      </wp:positionV>
                      <wp:extent cx="438150" cy="9525"/>
                      <wp:effectExtent l="0" t="30480" r="3810" b="36195"/>
                      <wp:wrapNone/>
                      <wp:docPr id="1" name="直接箭头连接符 1"/>
                      <wp:cNvGraphicFramePr/>
                      <a:graphic xmlns:a="http://schemas.openxmlformats.org/drawingml/2006/main">
                        <a:graphicData uri="http://schemas.microsoft.com/office/word/2010/wordprocessingShape">
                          <wps:wsp>
                            <wps:cNvCnPr/>
                            <wps:spPr>
                              <a:xfrm flipH="1">
                                <a:off x="5094605" y="7204075"/>
                                <a:ext cx="438150" cy="9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9.35pt;margin-top:494.75pt;height:0.75pt;width:34.5pt;z-index:251669504;mso-width-relative:page;mso-height-relative:page;" filled="f" stroked="t" coordsize="21600,21600" o:gfxdata="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IKh29oA&#10;AAALAQAADwAAAAAAAAABACAAAAAiAAAAZHJzL2Rvd25yZXYueG1sUEsBAhQAFAAAAAgAh07iQGhB&#10;QPUdAgAA+AMAAA4AAAAAAAAAAQAgAAAAKQEAAGRycy9lMm9Eb2MueG1sUEsFBgAAAAAGAAYAWQEA&#10;ALgFAAAAAA==&#10;">
                      <v:fill on="f" focussize="0,0"/>
                      <v:stroke weight="0.5pt" color="#000000 [3213]" miterlimit="8" joinstyle="miter" dashstyle="dash" endarrow="block"/>
                      <v:imagedata o:title=""/>
                      <o:lock v:ext="edit" aspectratio="f"/>
                    </v:shape>
                  </w:pict>
                </mc:Fallback>
              </mc:AlternateContent>
            </w: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1249045</wp:posOffset>
                      </wp:positionH>
                      <wp:positionV relativeFrom="paragraph">
                        <wp:posOffset>6340475</wp:posOffset>
                      </wp:positionV>
                      <wp:extent cx="447675" cy="9525"/>
                      <wp:effectExtent l="0" t="36195" r="9525" b="30480"/>
                      <wp:wrapNone/>
                      <wp:docPr id="2" name="直接箭头连接符 2"/>
                      <wp:cNvGraphicFramePr/>
                      <a:graphic xmlns:a="http://schemas.openxmlformats.org/drawingml/2006/main">
                        <a:graphicData uri="http://schemas.microsoft.com/office/word/2010/wordprocessingShape">
                          <wps:wsp>
                            <wps:cNvCnPr/>
                            <wps:spPr>
                              <a:xfrm flipV="1">
                                <a:off x="2541905" y="7261225"/>
                                <a:ext cx="447675" cy="95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8.35pt;margin-top:499.25pt;height:0.75pt;width:35.25pt;z-index:251668480;mso-width-relative:page;mso-height-relative:page;" filled="f" stroked="t" coordsize="21600,21600" o:gfxdata="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FEWstoA&#10;AAAMAQAADwAAAAAAAAABACAAAAAiAAAAZHJzL2Rvd25yZXYueG1sUEsBAhQAFAAAAAgAh07iQBlz&#10;Yn0dAgAA+AMAAA4AAAAAAAAAAQAgAAAAKQEAAGRycy9lMm9Eb2MueG1sUEsFBgAAAAAGAAYAWQEA&#10;ALgFAAAAAA==&#10;">
                      <v:fill on="f" focussize="0,0"/>
                      <v:stroke weight="0.5pt" color="#000000 [3213]" miterlimit="8" joinstyle="miter" dashstyle="dash" endarrow="block"/>
                      <v:imagedata o:title=""/>
                      <o:lock v:ext="edit" aspectratio="f"/>
                    </v:shape>
                  </w:pict>
                </mc:Fallback>
              </mc:AlternateContent>
            </w:r>
            <w:r>
              <w:rPr>
                <w:rFonts w:hint="default" w:ascii="Times New Roman" w:hAnsi="Times New Roman" w:eastAsia="宋体" w:cs="Times New Roman"/>
                <w:b/>
                <w:color w:val="000000" w:themeColor="text1"/>
                <w:szCs w:val="21"/>
                <w14:textFill>
                  <w14:solidFill>
                    <w14:schemeClr w14:val="tx1"/>
                  </w14:solidFill>
                </w14:textFill>
              </w:rPr>
              <w:t>图2-</w:t>
            </w:r>
            <w:r>
              <w:rPr>
                <w:rFonts w:hint="eastAsia" w:ascii="Times New Roman" w:hAnsi="Times New Roman" w:eastAsia="宋体" w:cs="Times New Roman"/>
                <w:b/>
                <w:color w:val="000000" w:themeColor="text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Cs w:val="21"/>
                <w14:textFill>
                  <w14:solidFill>
                    <w14:schemeClr w14:val="tx1"/>
                  </w14:solidFill>
                </w14:textFill>
              </w:rPr>
              <w:t xml:space="preserve">  </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垃圾填埋场地下水导排系统示意图</w:t>
            </w:r>
          </w:p>
          <w:p w14:paraId="48392215">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垃圾卫生填埋</w:t>
            </w:r>
          </w:p>
          <w:p w14:paraId="3BA33F2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垃圾卫生填埋为厌氧填埋，在厌氧填埋发酵过程中，有机物会产生厌氧分解。垃圾填埋采用“分层-单元”式填埋。填埋场投入运行后，从垃圾坝处依次往上分单元、分层进行填埋，直至设计高程。填埋工艺包括以下几个部分：</w:t>
            </w:r>
          </w:p>
          <w:p w14:paraId="5EDB65A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1）填埋单元</w:t>
            </w:r>
          </w:p>
          <w:p w14:paraId="33AA47B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填埋单元根据日产垃圾实际入库量确定，每天作业一单元，每个单元填成斜四棱体，高度2.5m，底面长度和宽度视垃圾入库量不同而改变，其斜坡面坡度不大于1：3。</w:t>
            </w:r>
          </w:p>
          <w:p w14:paraId="77AD9532">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2）填埋中间层</w:t>
            </w:r>
          </w:p>
          <w:p w14:paraId="7280D9B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填埋中间层覆盖厚度0.3m，每个填埋中间层由两层填埋单元组成，高度5.0m，实际填埋垃圾压实厚度4.5m。</w:t>
            </w:r>
          </w:p>
          <w:p w14:paraId="0AB8884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3）填埋分层作业</w:t>
            </w:r>
          </w:p>
          <w:p w14:paraId="75A80CC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填埋采用分层压实方法进行操作，每层厚度0.3-0.4m。每日垃圾经过压实后净累计厚度2.2-2.3m，再进行单元式覆盖，覆盖材料采用自然土。覆盖层压实厚度0.2m。填埋单元总高2.5m。每完成两层填埋单元时，即形成一个中间层。</w:t>
            </w:r>
          </w:p>
          <w:p w14:paraId="5EF62A5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4）终期封场</w:t>
            </w:r>
          </w:p>
          <w:p w14:paraId="6E915107">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按“分层-单元”式填埋作业依次重复操作至设计填埋高程时，需进行终期覆土封场，其目的在于土地的综合利用、减少雨水的渗入。终期覆土由下至上由三部分组成：下层覆土为粘土或防渗膜，粘土层压实厚度0.3m，中间覆盖贫瘠土，压实厚度0.5m，其主要功能为防止植物根系穿透防渗层而导致渗水；最上层为营养土压实厚度0.2m，以种植草皮或浅根植物。封场后顶面坡度不小于2%，以利于降雨的自然排除。</w:t>
            </w:r>
          </w:p>
          <w:p w14:paraId="55BAB506">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5）渗滤液的收集</w:t>
            </w:r>
          </w:p>
          <w:p w14:paraId="7DA2B5F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收集系统主要由设置在底部防渗层上的排水层、集水盲沟和竖向石笼组成，其工作机理是：各垃圾层的渗滤液进入附近的石笼或流到坡面上，再经石笼或坡面流入支盲沟或主盲沟，最后经主盲沟排入调节池。</w:t>
            </w:r>
          </w:p>
          <w:p w14:paraId="24F4395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①排水层：在库底防渗层上铺设一层300mm 中粗砂或级配砾石。为防止细小颗粒进入排水层造成堵塞，排水层上层粒径要比下层小些。</w:t>
            </w:r>
          </w:p>
          <w:p w14:paraId="710C263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②集水盲沟：盲沟内设置高密度聚乙烯穿孔管，管外填充中粗砂和卵石作为滤层。填充材料粒径从管周至沟边依次增大。</w:t>
            </w:r>
          </w:p>
          <w:p w14:paraId="60B9CE0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③竖向石笼：由铁丝网填以碎石形成。石笼内设置DN200 HDPE穿孔管。</w:t>
            </w:r>
          </w:p>
          <w:p w14:paraId="300E3EF7">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④渗滤液集水系统：集水系统主要设置在场底和竖向。场底集水采用在盲沟中埋设穿孔密度聚乙烯（HDPE）管的方式，竖向采用石笼导排，盲沟材料采用中粗砂和卵石组成。</w:t>
            </w:r>
          </w:p>
          <w:p w14:paraId="29DC03C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通过以上排水系统，垃圾渗滤液可靠重力自流排入渗滤液调节池。具体布局见图2-5。</w:t>
            </w:r>
          </w:p>
          <w:p w14:paraId="7550A2F1">
            <w:pPr>
              <w:pStyle w:val="25"/>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p>
          <w:p w14:paraId="299A8505">
            <w:pPr>
              <w:pStyle w:val="25"/>
              <w:keepNext w:val="0"/>
              <w:keepLines w:val="0"/>
              <w:widowControl/>
              <w:suppressLineNumbers w:val="0"/>
              <w:spacing w:before="0" w:beforeAutospacing="0" w:after="0" w:afterAutospacing="0"/>
              <w:ind w:left="0" w:right="0" w:firstLine="0"/>
              <w:rPr>
                <w:rFonts w:hint="eastAsia"/>
                <w:color w:val="000000" w:themeColor="text1"/>
                <w:lang w:val="en-US" w:eastAsia="zh-CN"/>
                <w14:textFill>
                  <w14:solidFill>
                    <w14:schemeClr w14:val="tx1"/>
                  </w14:solidFill>
                </w14:textFill>
              </w:rPr>
            </w:pPr>
          </w:p>
          <w:p w14:paraId="1156703C">
            <w:pPr>
              <w:pStyle w:val="25"/>
              <w:keepNext w:val="0"/>
              <w:keepLines w:val="0"/>
              <w:widowControl/>
              <w:suppressLineNumbers w:val="0"/>
              <w:spacing w:before="0" w:beforeAutospacing="0" w:after="0" w:afterAutospacing="0"/>
              <w:ind w:left="0" w:right="0" w:firstLine="0"/>
              <w:rPr>
                <w:rFonts w:hint="eastAsia"/>
                <w:color w:val="000000" w:themeColor="text1"/>
                <w:lang w:val="en-US" w:eastAsia="zh-CN"/>
                <w14:textFill>
                  <w14:solidFill>
                    <w14:schemeClr w14:val="tx1"/>
                  </w14:solidFill>
                </w14:textFill>
              </w:rPr>
            </w:pPr>
          </w:p>
          <w:p w14:paraId="3514C037">
            <w:pPr>
              <w:pStyle w:val="25"/>
              <w:keepNext w:val="0"/>
              <w:keepLines w:val="0"/>
              <w:widowControl/>
              <w:suppressLineNumbers w:val="0"/>
              <w:spacing w:before="0" w:beforeAutospacing="0" w:after="0" w:afterAutospacing="0"/>
              <w:ind w:left="0" w:right="0" w:firstLine="0"/>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973955" cy="373380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rcRect b="1027"/>
                          <a:stretch>
                            <a:fillRect/>
                          </a:stretch>
                        </pic:blipFill>
                        <pic:spPr>
                          <a:xfrm>
                            <a:off x="0" y="0"/>
                            <a:ext cx="4973955" cy="3733800"/>
                          </a:xfrm>
                          <a:prstGeom prst="rect">
                            <a:avLst/>
                          </a:prstGeom>
                          <a:noFill/>
                          <a:ln>
                            <a:noFill/>
                          </a:ln>
                        </pic:spPr>
                      </pic:pic>
                    </a:graphicData>
                  </a:graphic>
                </wp:inline>
              </w:drawing>
            </w:r>
          </w:p>
          <w:p w14:paraId="6F51D2F2">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2-5 </w:t>
            </w:r>
            <w:r>
              <w:rPr>
                <w:rFonts w:hint="default" w:ascii="Times New Roman" w:hAnsi="Times New Roman" w:eastAsia="宋体" w:cs="Times New Roman"/>
                <w:b/>
                <w:color w:val="000000" w:themeColor="text1"/>
                <w:szCs w:val="21"/>
                <w14:textFill>
                  <w14:solidFill>
                    <w14:schemeClr w14:val="tx1"/>
                  </w14:solidFill>
                </w14:textFill>
              </w:rPr>
              <w:t>垃圾填埋场气体及渗滤液导排示意图</w:t>
            </w:r>
          </w:p>
          <w:p w14:paraId="7AC4A17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项目建设了一座容积为16400立方米的渗滤液调节池，用于渗滤液收集。</w:t>
            </w:r>
          </w:p>
          <w:p w14:paraId="1CA8C42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6）渗滤液处理工艺</w:t>
            </w:r>
          </w:p>
          <w:p w14:paraId="27CA8C06">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2006年9月垃圾填埋场一期项目竣工后，渗滤液采用调节池储存，然后外排至芒市生活污水处理厂的方式进行处理（芒市污水处理厂于2006年6月建成）。2010年，项目建设了回喷装置，将部分渗滤液回喷至填埋区，减量化处理，剩余部分仍通过城市市政污水管网进入污水处理厂处理。2015年10月渗滤液处理工程建成后，垃圾渗滤液进入处理渗滤液系统处理后，再经城市市政污水管网进入污水处理厂。</w:t>
            </w:r>
          </w:p>
          <w:p w14:paraId="7DC3FFBE">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渗滤液处理工艺采用“混凝沉淀＋MBR 系统＋纳滤＋RO”工艺，由预处理+生物处理+深度处理工序构成。</w:t>
            </w:r>
          </w:p>
          <w:p w14:paraId="0EA7C51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预处理系统包括混凝沉淀。渗滤液含有大量的悬浮物、胶体，绝大部分在运行中被截留及吸附，最后将产生大量的污泥，需要及时排除。</w:t>
            </w:r>
          </w:p>
          <w:p w14:paraId="628741B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生物处理工艺包括膜生物反应器。主要由反硝化、硝化及超滤工序构成。深度处理包括纳滤和反渗透系统。</w:t>
            </w:r>
          </w:p>
          <w:p w14:paraId="7F8CC4B7">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浓缩液处理系统包括污泥浓缩池和污泥处理设备。厌氧、反硝化/硝化、物化沉淀都会产生一定量的生物污泥，在污泥浓缩池浓缩后，经过压滤，泥饼进入填埋场填埋，污泥浓缩池上清液回流进入反硝化池。</w:t>
            </w:r>
          </w:p>
          <w:p w14:paraId="541AFA7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通过投加化学药剂，使浓缩液中的胶体和重金属沉淀，同时可去除部分有机污染物，处理后的浓缩液排出系统，污泥经浓缩池后进入污泥处理系统处理后回填埋场填埋。</w:t>
            </w:r>
          </w:p>
          <w:p w14:paraId="20F95E2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渗滤液处理工艺流程见图2-6。</w:t>
            </w:r>
          </w:p>
          <w:p w14:paraId="64F03A07">
            <w:pPr>
              <w:pStyle w:val="25"/>
              <w:keepNext w:val="0"/>
              <w:keepLines w:val="0"/>
              <w:widowControl/>
              <w:suppressLineNumbers w:val="0"/>
              <w:spacing w:before="0" w:beforeAutospacing="0" w:after="0" w:afterAutospacing="0"/>
              <w:ind w:left="0" w:right="0" w:firstLine="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55720" cy="475488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tretch>
                            <a:fillRect/>
                          </a:stretch>
                        </pic:blipFill>
                        <pic:spPr>
                          <a:xfrm>
                            <a:off x="0" y="0"/>
                            <a:ext cx="3855720" cy="4754880"/>
                          </a:xfrm>
                          <a:prstGeom prst="rect">
                            <a:avLst/>
                          </a:prstGeom>
                          <a:noFill/>
                          <a:ln>
                            <a:noFill/>
                          </a:ln>
                        </pic:spPr>
                      </pic:pic>
                    </a:graphicData>
                  </a:graphic>
                </wp:inline>
              </w:drawing>
            </w:r>
          </w:p>
          <w:p w14:paraId="7EEE54C2">
            <w:pPr>
              <w:spacing w:line="360" w:lineRule="auto"/>
              <w:jc w:val="center"/>
              <w:rPr>
                <w:rFonts w:hint="eastAsia"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2-6 渗滤液处理工程工艺流程图</w:t>
            </w:r>
          </w:p>
          <w:p w14:paraId="57FF637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（5）渗滤液处理工艺说明</w:t>
            </w:r>
          </w:p>
          <w:p w14:paraId="16C77216">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（1）预处理系统</w:t>
            </w:r>
          </w:p>
          <w:p w14:paraId="6212408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预处理系统包括混凝沉淀。渗滤液含有大量的悬浮物、胶体，绝大部分在运行中被截留及吸附，最后将产生大量的污泥，需要及时排除。</w:t>
            </w:r>
          </w:p>
          <w:p w14:paraId="5AEA2FA6">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（2）生物处理系统</w:t>
            </w:r>
          </w:p>
          <w:p w14:paraId="2A653CB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生物处理系统包括膜生物反应器（MBR）。</w:t>
            </w:r>
          </w:p>
          <w:p w14:paraId="0456D66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（3）反硝化（A）</w:t>
            </w:r>
          </w:p>
          <w:p w14:paraId="757FE85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《生活垃圾填埋场污染控制标准》（GB16889-2008）中表2除对出水的氨氮要求外，还对总氮提出了要求，为此，渗滤液处理工艺中采取A/O法去除总氮。</w:t>
            </w:r>
          </w:p>
          <w:p w14:paraId="78EBE97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前端为反硝化工艺段，在缺氧条件下，反硝化细菌利用回流液中的氧化态氮和污水中的有机碳进行反硝化反应，使化合态氮变为分子态氮，获得同时去碳和脱氮的效果。</w:t>
            </w:r>
          </w:p>
          <w:p w14:paraId="767AFB8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反硝化是反硝化菌异化硝酸盐的过程，反硝化菌以进水有机物为碳源，以回流液中硝酸盐的氧作为电子受体，进行呼吸和生命活动，将硝态氮（硝酸氮和亚硝酸氮）还原为气态氮（氮气），同时，降解污水中的有机碳源。反硝化反应受碳源（进水BOD）、pH值、溶解氧及温度的影响。</w:t>
            </w:r>
          </w:p>
          <w:p w14:paraId="29DE368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（4）硝化（O）</w:t>
            </w:r>
          </w:p>
          <w:p w14:paraId="2520753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反硝化池出水进入硝化池，在硝化工段完成绝大部分有机污染物的去除，同时利用硝化菌完成硝化作用。</w:t>
            </w:r>
          </w:p>
          <w:p w14:paraId="7BBC626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利用硝化池中高浓度活性污泥微生物，生化降解渗滤液污水中的可生化有机污染物。硝化分为氨化和硝化两个反应阶段。首先进行氨化反应，污水中的有机氮，如蛋白质、氨基酸、尿素、胺类化合物、硝基化合物等，在氨化菌的作用下，分解、转化为氨态氮。然后完成硝化反应，在硝化菌的作用下，氨态氮进一步分解氧化，首先，亚硝化菌将氨转化为亚硝酸氮，继之，亚硝酸氮在硝化菌的作用下，进一步转化为硝酸氮。</w:t>
            </w:r>
          </w:p>
          <w:p w14:paraId="405AF83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（5）超滤（UF）</w:t>
            </w:r>
          </w:p>
          <w:p w14:paraId="4202AC9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A/O+超滤膜”简称MBR，其中反硝化/硝化用于降解去除污水中的有机污染物及总氮，超滤用于代替常规的二沉池，超滤膜分离净化水和菌体，使分离效率大大提高，可使生化反应器体积减小，生化反应效率提高，超滤器的污泥回流可使生化反应器中的污泥浓度达到15～20g/L，经过不断驯化形成的微生物菌群能逐步降解渗滤液中难生物降解的有机物。</w:t>
            </w:r>
          </w:p>
          <w:p w14:paraId="75F84682">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超滤分离技术采用特定的膜，在一定的工作压力下，去除或浓缩原液中的物质。薄膜分离系统可以去除小颗粒及溶盐其原理是：加压的原液平行通过薄膜表面，部分的水流通过薄膜，被截留的颗粒在剩余的水流中浓度越来越高。由于溶液是连续性地流过，被截留的颗粒不会沉积，反而会被浓缩液带走。因此，一进水流在通过薄膜后便分为两道：通过薄膜的溶液（渗透液）和残留的浓缩液。错流过滤这种过滤方式的主要优点是：薄膜截留下来的物质被流体不断的带走，这在一定程度上相当于膜表面被连续的清洗，这样就延长了膜的寿命，并降低了维护和清洗的费用。相反，传统过滤中被截留的物质积累在过滤介质上，必须定期清洗更换介质。</w:t>
            </w:r>
          </w:p>
          <w:p w14:paraId="647FE754">
            <w:pPr>
              <w:pStyle w:val="3"/>
              <w:numPr>
                <w:ilvl w:val="0"/>
                <w:numId w:val="4"/>
              </w:numPr>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深度处理系统</w:t>
            </w:r>
          </w:p>
          <w:p w14:paraId="123461AF">
            <w:pPr>
              <w:pStyle w:val="3"/>
              <w:numPr>
                <w:ilvl w:val="0"/>
                <w:numId w:val="0"/>
              </w:numPr>
              <w:bidi w:val="0"/>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①纳滤（NF）</w:t>
            </w:r>
          </w:p>
          <w:p w14:paraId="5AC7E4C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纳滤膜孔径处于纳米级，它具有两个显著特征：一是截留分子量在200～1000，另一是纳滤膜对无机盐有一定的截留率。纳滤膜对二价的离子去除效果要优于一价离子，这是纳滤膜与反渗透膜的主要差别。</w:t>
            </w:r>
          </w:p>
          <w:p w14:paraId="7593AFC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本系统设计纳滤处理单元主要是考虑到为反渗透系统提供最佳的进水条件，同时也去除渗滤液中的污染物。</w:t>
            </w:r>
          </w:p>
          <w:p w14:paraId="4C16689E">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纳滤的产水率设计为80%。</w:t>
            </w:r>
          </w:p>
          <w:p w14:paraId="136C18B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②反渗透（RO）</w:t>
            </w:r>
          </w:p>
          <w:p w14:paraId="381977C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由于垃圾渗滤液污染物成份的复杂性，采用高强度好氧生化处理后，渗滤液中仍有少量残余的溶解性污染物，必须设置膜处理工段，进一步去除少量残余的溶解性污染物。</w:t>
            </w:r>
          </w:p>
          <w:p w14:paraId="1274E3D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反渗透膜处理系统处理原理为：利用半透膜的选择透过性，在反压差作用下，将渗滤液中的水同污染物分离，在膜的一侧产生清水，而另一侧则产生浓缩液。反渗透的产水率设计为75%。</w:t>
            </w:r>
          </w:p>
          <w:p w14:paraId="1EDFFF5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（7）污泥处理工艺</w:t>
            </w:r>
          </w:p>
          <w:p w14:paraId="4C56116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生活垃圾处理场污染控制标准》（GB16889-2008）中6.6的要求及解释条文，生活垃圾处理场产生的污泥可进入填埋场内处理。处理系统产生的污泥直接进入污泥处理系统处理后，泥饼进入垃圾处理场填埋，滤液进入调节池。采用工艺为“污泥浓缩+污泥压滤”工艺。</w:t>
            </w:r>
          </w:p>
          <w:p w14:paraId="13DC019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污泥处理工艺见图2-7。</w:t>
            </w:r>
          </w:p>
          <w:p w14:paraId="520B757E">
            <w:pPr>
              <w:pStyle w:val="25"/>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74590" cy="1129030"/>
                  <wp:effectExtent l="0" t="0" r="8890" b="139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6"/>
                          <a:stretch>
                            <a:fillRect/>
                          </a:stretch>
                        </pic:blipFill>
                        <pic:spPr>
                          <a:xfrm>
                            <a:off x="0" y="0"/>
                            <a:ext cx="4974590" cy="1129030"/>
                          </a:xfrm>
                          <a:prstGeom prst="rect">
                            <a:avLst/>
                          </a:prstGeom>
                          <a:noFill/>
                          <a:ln>
                            <a:noFill/>
                          </a:ln>
                        </pic:spPr>
                      </pic:pic>
                    </a:graphicData>
                  </a:graphic>
                </wp:inline>
              </w:drawing>
            </w:r>
          </w:p>
          <w:p w14:paraId="3DEA1592">
            <w:pPr>
              <w:spacing w:line="360" w:lineRule="auto"/>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图2-7 污泥处理流程图</w:t>
            </w:r>
          </w:p>
          <w:p w14:paraId="28809E4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浓缩液处理系统包括污泥浓缩池和污泥处理设备。</w:t>
            </w:r>
          </w:p>
          <w:p w14:paraId="1C5533E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厌氧、反硝化/硝化、物化沉淀都会产生一定量的生物污泥，在污泥浓缩池浓缩后，经过压滤，泥饼进入填埋场填埋，污泥浓缩池上清液回流进入反硝化池。</w:t>
            </w:r>
          </w:p>
          <w:p w14:paraId="679EE10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根据现场调查，结合项目台账记录，每个月清运泥饼120车，每车载重80kg，合约9600kg/月，115.2t/a。</w:t>
            </w:r>
          </w:p>
          <w:p w14:paraId="32C6FD7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（8）浓缩液处理工艺</w:t>
            </w:r>
          </w:p>
          <w:p w14:paraId="68E047B2">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浓缩液的处理采用化学方法，过程为"浓缩液收集+物化+排放"。通过投加化学药剂，使浓缩液中的胶体和重金属沉淀，同时可去除部分有机污染物，处理后的浓缩液排出系统，污泥经浓缩池后进入污泥处理系统处理后回灌垃圾填埋场。</w:t>
            </w:r>
          </w:p>
          <w:p w14:paraId="147CEB46">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（9）渗滤液排放去向说明</w:t>
            </w:r>
          </w:p>
          <w:p w14:paraId="767917C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潞西市城市生活垃圾处理工程环境影响报告书》中提出，项目生活垃圾处理场渗滤液采用调节池储存和回喷的方式进行处理。项目投运后，于2010年开始改为进入城市市政污水管网，与生活污水合并后进入污水处理厂处理，《生活垃圾填埋场污染控制标准》（GB16889-2008）要求，从2011年7月1日起全部生活垃圾场应自建污水处理站将渗滤液处理工程对渗滤液进行处理。按标准要求规定，项目于2011年1月委托云南省环境科学研究院编制了《芒市城市生活垃圾渗滤液处理工程环境影响补充报告》。2012年6月，云南省环境保护厅下达了《关于芒市城市生活垃圾渗渗液处理工程环境影响补充报告的批复》（云环审（2012）147号）。补充报告要求经渗滤液处理工程处理后的废水达《生活垃圾填埋场污染控制标准》（GB16889-2008）表2规定后排入芒市河。</w:t>
            </w:r>
          </w:p>
          <w:p w14:paraId="1613BFC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芒市城市生活垃圾渗渗液处理工程实施后，为减少外排废水对芒市河的影响，外排废水处理达标后排入城市污水处理厂，因排水去向发生变更，且在芒市生活污水处理厂同意接纳污水的情况下，芒市环境卫生管理站向德宏州环境保护局递交了变更申请，德宏州环境保护局于2016年10月18日下达了《关于芒市城市生活垃圾渗滤液处理工程变更渗滤液排放方式的批复》（德环发（2016）239号），同意将芒市城市生活垃圾渗滤液处理工程渗滤液处理达《生活垃圾填埋场污染控制标准》（GB16889-2008）表2规定的水污染物排放浓度限值后排放至芒市河的排放方式，调整为渗滤液处理达到《生活垃圾填埋场污染控制标准》（GB16889-2008）表2规定的水污染物排放浓度限值后排入芒市污水处理厂。</w:t>
            </w:r>
          </w:p>
          <w:p w14:paraId="66DBC59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（10）填埋气体导排及处置</w:t>
            </w:r>
          </w:p>
          <w:p w14:paraId="079B761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本项目采用被动控制，即在气体大量产生时，为其提供高渗透的通道，是气体按设计的方向导排。在每个竖向石笼顶部（接近最终覆盖层处）设置一根DN200 HDPE气体排放管，排放高度最终出覆盖层1m。</w:t>
            </w:r>
          </w:p>
          <w:p w14:paraId="44433FF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（11）库区地下水导排</w:t>
            </w:r>
          </w:p>
          <w:p w14:paraId="1B85DC2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在防渗膜下设置排除地下水盲沟，与渗滤液主盲沟对应设置。通过盲沟穿过填埋库区、垃圾坝、调节池和截污坝，将地下水和泉水引至截污坝下游的河沟内。</w:t>
            </w:r>
          </w:p>
          <w:p w14:paraId="2178C3F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垃圾填埋的工艺流程见图2-8。</w:t>
            </w:r>
          </w:p>
          <w:p w14:paraId="7A62F2B2">
            <w:pPr>
              <w:pStyle w:val="25"/>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53940" cy="3474720"/>
                  <wp:effectExtent l="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rcRect t="3270" r="2475"/>
                          <a:stretch>
                            <a:fillRect/>
                          </a:stretch>
                        </pic:blipFill>
                        <pic:spPr>
                          <a:xfrm>
                            <a:off x="0" y="0"/>
                            <a:ext cx="4853940" cy="3474720"/>
                          </a:xfrm>
                          <a:prstGeom prst="rect">
                            <a:avLst/>
                          </a:prstGeom>
                          <a:noFill/>
                          <a:ln>
                            <a:noFill/>
                          </a:ln>
                        </pic:spPr>
                      </pic:pic>
                    </a:graphicData>
                  </a:graphic>
                </wp:inline>
              </w:drawing>
            </w:r>
          </w:p>
          <w:p w14:paraId="04696F72">
            <w:pPr>
              <w:spacing w:line="360" w:lineRule="auto"/>
              <w:jc w:val="center"/>
              <w:rPr>
                <w:rFonts w:hint="eastAsia" w:ascii="Times New Roman" w:hAnsi="Times New Roman" w:eastAsia="宋体" w:cs="Times New Roman"/>
                <w:b/>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图2-8  垃圾填埋的工艺流程</w:t>
            </w:r>
          </w:p>
          <w:p w14:paraId="7EBD3A91">
            <w:pPr>
              <w:pStyle w:val="3"/>
              <w:bidi w:val="0"/>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主要污染源及污染物排放情况</w:t>
            </w:r>
          </w:p>
          <w:p w14:paraId="706A3067">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废水</w:t>
            </w:r>
          </w:p>
          <w:p w14:paraId="327A90FA">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1）渗滤液</w:t>
            </w:r>
          </w:p>
          <w:p w14:paraId="650620C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因渗滤液的产生量与每年垃圾产生量、降雨量及垃圾填埋场的累积量等因素均有着密不可分的联系，和填埋场作业顺序、高程及汇水面积等因素也有关，故每年产生的渗滤液量各不相同。《芒市城市生活垃圾渗滤液处理工程环境影响补充报告》对渗滤液的产生量进行周密的计算和翔实的描述。报告指出：2016年芒市垃圾填埋场垃圾产生量为197吨/天（此数据与建设方提供的2016年实际产生量170吨/天略高，考虑到垃圾填埋量会逐年递增，此处沿用了环评时的预测值进行统计计算）：填埋作业区汇水面积为44500m³；原生垃圾的含水率为L=50.8%；芒市年平均降雨量为1626.1mm，折算为日平均降雨量为I，=4.455mm/d；芒市年平均蒸发量为1718.2mm，折算为日平均蒸发量为I。=4.707mm/d；调节池的受水面积为3266m²。</w:t>
            </w:r>
          </w:p>
          <w:p w14:paraId="0151C29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从以上分析数据计算而得，芒市城市生活垃圾处理工程渗滤液污水产生量为97.55m³/d。渗滤液废水中的主要污染物为化学需氧量、五日生化需氧量、悬浮物、氨氮、粪大肠菌群、总磷、总汞、总铬、总砷、六价铬、总铅等。</w:t>
            </w:r>
          </w:p>
          <w:p w14:paraId="56D02BF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2）其它污水</w:t>
            </w:r>
          </w:p>
          <w:p w14:paraId="60BF47A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其它污水包括生活污水及清洗废水。</w:t>
            </w:r>
          </w:p>
          <w:p w14:paraId="07DE070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①生活污水</w:t>
            </w:r>
          </w:p>
          <w:p w14:paraId="54718B57">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渗滤液处理工程共14名工作人员，用水量以120L/人·天计，则用水量为1.68m²/d，废水产生量为1.344m³/d（按用水量的80%计）、490.56m³/a。</w:t>
            </w:r>
          </w:p>
          <w:p w14:paraId="744CB84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②清洗废水</w:t>
            </w:r>
          </w:p>
          <w:p w14:paraId="6694660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渗滤液处理工程东面为停车区，洗车污水的用水量为4.0m³d，车间地面冲洗水用水量为2.0m³/d。生产总用水量为6.0m³/d，废水产生量为4.8m³/d，1752m²/a。</w:t>
            </w:r>
          </w:p>
          <w:p w14:paraId="5439E5F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生活污水和清洗废水中的主要污染物为化学需氧量、五日生化需氧量、悬浮物、氨氮、粪大肠菌群、总磷等。</w:t>
            </w:r>
          </w:p>
          <w:p w14:paraId="6D11573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综合渗滤液、生活污水及清洗废水三部分，得出项目废水产生量为103.69m²/d、37846.85m²/a。渗滤液处理站的处理规模为150t/d，即54750m²/a。通过数据对比可知渗滤液处理站的处理规模可以满足垃圾填埋场所产生的渗滤液的实际需求。</w:t>
            </w:r>
          </w:p>
          <w:p w14:paraId="75D2CCD2">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站的处理规模为150t/d，外排废水量则为88t/d（59.5t/d的浓缩废液回灌至垃圾处理场作业区，自然蒸发量约2.5t/d）。处理达标后排入城市污水处理厂，因排水去向发生变更，且在芒市生活污水处理厂同意接纳污水的情况下，芒市环境卫生管理站向德宏州环境保护局递交了变更申请，德宏州环境保护局于2016年10月18日下达了《关于芒市城市生活垃圾渗滤液处理工程变更渗滤液排放方式的批复》（德环发〔2016〕239号），同意将芒市城</w:t>
            </w:r>
          </w:p>
          <w:p w14:paraId="6668876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市生活垃圾渗滤液处理工程渗滤液处理达《生活垃圾填埋场污染控制标准》（GB16889-2008）表2规定的水污染物排放浓度限值后排放至芒市河的排放方式，调整为渗滤液处理达到《生活垃圾填埋场污染控制标准》（GB16889-2008）表2规定的水污染物排放浓度限值后排入芒市污水处理厂。</w:t>
            </w:r>
          </w:p>
          <w:p w14:paraId="6541227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渗滤液通过专用管道，经水泵抽至渗滤液处理系统；生活污水及清洗废水经管道进入渗</w:t>
            </w:r>
          </w:p>
          <w:p w14:paraId="21DB938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滤液处理系统。本项目采用的渗滤液处理工艺为“混凝沉淀＋膜生物反应器（MBR 系统）＋纳滤（NF）/反渗透（RO）"工艺，由预处理+生物处理+深度处理工序构成。该工程的处理规模为150m²/d，处理规模大于废水产生量，处理能力可满足项目生产的实际需求。通过渗滤液处理量与渗滤液产生量之间的计算差值可知，渗滤液处理工程每年可消耗调节池中16903.15m³渗滤液，通过逐年递减，可有效控制渗滤液非正常排放机率的产生，从而确保项目运行对周围环境的影响。</w:t>
            </w:r>
          </w:p>
          <w:p w14:paraId="28DFAFE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（2）废气</w:t>
            </w:r>
          </w:p>
          <w:p w14:paraId="16AD9FE8">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1）垃圾收集、中转废气</w:t>
            </w:r>
          </w:p>
          <w:p w14:paraId="5CF0093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废气收集、中转过程中会有恶臭气体产生，项目主要通过袋装、桶装、密闭性较好的专用车清运等方式来降低气味的产生。</w:t>
            </w:r>
          </w:p>
          <w:p w14:paraId="41CD8631">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2）垃圾填埋场废气</w:t>
            </w:r>
          </w:p>
          <w:p w14:paraId="0228577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堆放及分解过程中会有恶臭气体散发出来，其种类较多，一般有硫化氢、氮、硫醇类、硫醚类、吲哚类、栓类、脂肪类，因而具有特殊的气味。恶臭气体仅是垃圾分解所散气体中的一部分，垃圾分解散发的主要气体是甲烷、二氧化碳及氨气。</w:t>
            </w:r>
          </w:p>
          <w:p w14:paraId="397B4ED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主要通过控制填埋方式来降低各项污染物的产生量，填埋场采用的填埋方式为厌氧填埋，以"分层-单元"式进行。填埋单元根据日产垃圾实际入库量确定，每天作业一单元，每个单元填成斜四棱体，高度2.5m，底面长度和宽度视垃圾入库量不同而改变，其斜坡面坡度不大于1：3。垃圾填埋采用分层压实方法进行操作，每层厚度0.3~0.4m。每日垃圾经过压实后净累计厚度2.2-2.3m，再进行单元式覆盖，覆盖材料采用自然土。覆盖层压实厚度0.2m。填埋单元总高2.5m。每完成两层填埋单元时，即形成一个中间层。通过中间层自然土层的控制，可有效地阻隔垃圾分解过程产生的气体气味，从而降低异味产生量。</w:t>
            </w:r>
          </w:p>
          <w:p w14:paraId="43D01A3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3）渗滤液处理系统</w:t>
            </w:r>
          </w:p>
          <w:p w14:paraId="20B6904B">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系统在运行期废气污染源主要为进水部分和污泥处理部分产生的恶臭气体，即硝化反应/反硝化反应池、污泥池等溢出的恶臭污染物，其成份主要是生化分解和反应过程中产生的氨、胺等含氮化合物及硫化氢、甲烷、硫醇、硫醚等混合物，属无组织排放源。其中：含量最高的是NH，其次是HS，而气味刺激性最强的甲基硫醇，其次是硫化氢。臭气污染向大气扩散受到诸多因素的影响，如水温、水质、处理工艺、污泥龄、周遍建筑物的密度及气象条件等。恶臭浓度最高处为污泥处置工序，恶臭逸出量最大的工段为曝气硝化反应工段，在硝化反应过程中恶臭物质逸入空气。</w:t>
            </w:r>
          </w:p>
          <w:p w14:paraId="105E9F9A">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工程采用曝气硝化滤池作为强化生物处理单元，该系统本身具有除臭功能，可大大减轻臭气排放。在总平面布置上，将气味大的构筑物尽量集中布置，污水处理系统与其他建筑之间设置绿化隔离带，道路两侧栽种行道树，以改善景观环境，减少气味向厂外扩散。采取上述措施，可有效减少气味向厂外扩散。</w:t>
            </w:r>
          </w:p>
          <w:p w14:paraId="31CC1607">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4）道路运输、装卸、压实</w:t>
            </w:r>
          </w:p>
          <w:p w14:paraId="1F0CAC3E">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及覆土在运输、装卸、压实过程中会有扬尘产生，扬尘在雨季产生量较小，旱季时较为明显，本项目主要通过选取较近采土场，缩短运输距离；及时维护进场道路等方式来降低扬尘的产生量。项目周围1000米范围内无村庄，仅西南向有搬迁散户，运输、装卸、压实过程中产生的扬尘对周围环境影响可以接受。</w:t>
            </w:r>
          </w:p>
          <w:p w14:paraId="0168340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5）生活废气</w:t>
            </w:r>
          </w:p>
          <w:p w14:paraId="18376657">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本项目共有工作人员14人，在综合楼内设置一小型食堂供职工用餐，炒菜过程中产生的油烟通过抽油烟机排入外环境中，因用餐人员较少，油烟产生量不大，对周围环境影响不明显。</w:t>
            </w:r>
          </w:p>
          <w:p w14:paraId="7ABE8E00">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（3）噪声</w:t>
            </w:r>
          </w:p>
          <w:p w14:paraId="1101CC49">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垃圾清运过程中，噪声产生于车辆运输、中转站机械设备的使用，垃圾清运具有间歇性，加之中转站机械设备全部设置于房屋内，通过墙体隔声，可有效降低机械噪声对周围环境的影响。</w:t>
            </w:r>
          </w:p>
          <w:p w14:paraId="7A900C8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渗滤液处理工程的噪声源主要是风机、水泵等动力设备。风机选用了低噪音的罗茨风机，并且风机安装在单独的风机房内，风机的进出口设置了消声器，可有效控制风机噪声。所有水泵选用了低噪声水泵，接口带软接头，减小了噪声和振动污染。</w:t>
            </w:r>
          </w:p>
          <w:p w14:paraId="3FC863C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（4）固体废物</w:t>
            </w:r>
          </w:p>
          <w:p w14:paraId="3D97862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管理人员生活垃圾统一收集后送到垃圾填埋场进行填埋：渗滤液处理系统污泥排入污泥池进行浓缩，其上清液溢回流至反硝化-硝化工段，浓缩后泥饼送至垃圾填埋场填埋处置；产生的浓缩液回灌至垃圾处理场填埋区。</w:t>
            </w:r>
          </w:p>
          <w:p w14:paraId="56F3E8C9">
            <w:pPr>
              <w:pStyle w:val="3"/>
              <w:bidi w:val="0"/>
              <w:rPr>
                <w:rFonts w:hint="default" w:ascii="Times New Roman" w:hAnsi="Times New Roman" w:cs="Times New Roman"/>
                <w:b/>
                <w:bCs/>
                <w:color w:val="000000" w:themeColor="text1"/>
                <w:lang w:val="en-US"/>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lang w:val="en-US"/>
                <w14:textFill>
                  <w14:solidFill>
                    <w14:schemeClr w14:val="tx1"/>
                  </w14:solidFill>
                </w14:textFill>
              </w:rPr>
              <w:t>现有填埋场渗滤液处理系统存在的问题及以新带老措施</w:t>
            </w:r>
          </w:p>
          <w:p w14:paraId="5DE92BAD">
            <w:pPr>
              <w:pStyle w:val="3"/>
              <w:bidi w:val="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目前，芒市生活垃圾渗滤液处理站因原有设备老化处理量降低，填埋场渗滤液处理系统处理效果不稳定，为了确保渗滤液处理站正常运行，</w:t>
            </w:r>
            <w:r>
              <w:rPr>
                <w:rFonts w:hint="eastAsia" w:ascii="Times New Roman" w:hAnsi="Times New Roman" w:eastAsia="宋体" w:cs="Times New Roman"/>
                <w:color w:val="000000" w:themeColor="text1"/>
                <w:sz w:val="24"/>
                <w:lang w:val="en-US" w:eastAsia="zh-CN"/>
                <w14:textFill>
                  <w14:solidFill>
                    <w14:schemeClr w14:val="tx1"/>
                  </w14:solidFill>
                </w14:textFill>
              </w:rPr>
              <w:t>不</w:t>
            </w:r>
            <w:r>
              <w:rPr>
                <w:rFonts w:hint="default" w:ascii="Times New Roman" w:hAnsi="Times New Roman" w:eastAsia="宋体" w:cs="Times New Roman"/>
                <w:color w:val="000000" w:themeColor="text1"/>
                <w:sz w:val="24"/>
                <w:lang w:val="en-US" w:eastAsia="zh-CN"/>
                <w14:textFill>
                  <w14:solidFill>
                    <w14:schemeClr w14:val="tx1"/>
                  </w14:solidFill>
                </w14:textFill>
              </w:rPr>
              <w:t>造成环保风险。</w:t>
            </w:r>
          </w:p>
          <w:p w14:paraId="47210B68">
            <w:pPr>
              <w:pStyle w:val="3"/>
              <w:bidi w:val="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拟采取以下措施：</w:t>
            </w:r>
          </w:p>
          <w:p w14:paraId="3608674E">
            <w:pPr>
              <w:pStyle w:val="3"/>
              <w:bidi w:val="0"/>
              <w:rPr>
                <w:rFonts w:hint="eastAsia" w:ascii="Times New Roman" w:hAnsi="Times New Roman"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增加一套提升改造设备，设计</w:t>
            </w:r>
            <w:r>
              <w:rPr>
                <w:rFonts w:hint="eastAsia" w:ascii="Times New Roman" w:hAnsi="Times New Roman" w:eastAsia="宋体" w:cs="Times New Roman"/>
                <w:color w:val="000000" w:themeColor="text1"/>
                <w:sz w:val="24"/>
                <w:lang w:val="en-US" w:eastAsia="zh-CN"/>
                <w14:textFill>
                  <w14:solidFill>
                    <w14:schemeClr w14:val="tx1"/>
                  </w14:solidFill>
                </w14:textFill>
              </w:rPr>
              <w:t>处理能力为</w:t>
            </w:r>
            <w:r>
              <w:rPr>
                <w:rFonts w:hint="default" w:ascii="Times New Roman" w:hAnsi="Times New Roman" w:eastAsia="宋体" w:cs="Times New Roman"/>
                <w:color w:val="000000" w:themeColor="text1"/>
                <w:sz w:val="24"/>
                <w:lang w:val="en-US" w:eastAsia="zh-CN"/>
                <w14:textFill>
                  <w14:solidFill>
                    <w14:schemeClr w14:val="tx1"/>
                  </w14:solidFill>
                </w14:textFill>
              </w:rPr>
              <w:t>150</w:t>
            </w:r>
            <w:r>
              <w:rPr>
                <w:rFonts w:hint="eastAsia" w:ascii="Times New Roman" w:hAnsi="Times New Roman" w:eastAsia="宋体" w:cs="Times New Roman"/>
                <w:color w:val="000000" w:themeColor="text1"/>
                <w:sz w:val="24"/>
                <w:lang w:val="en-US" w:eastAsia="zh-CN"/>
                <w14:textFill>
                  <w14:solidFill>
                    <w14:schemeClr w14:val="tx1"/>
                  </w14:solidFill>
                </w14:textFill>
              </w:rPr>
              <w:t>m³/d</w:t>
            </w:r>
            <w:r>
              <w:rPr>
                <w:rFonts w:hint="default" w:ascii="Times New Roman" w:hAnsi="Times New Roman" w:eastAsia="宋体" w:cs="Times New Roman"/>
                <w:color w:val="000000" w:themeColor="text1"/>
                <w:sz w:val="24"/>
                <w:lang w:val="en-US" w:eastAsia="zh-CN"/>
                <w14:textFill>
                  <w14:solidFill>
                    <w14:schemeClr w14:val="tx1"/>
                  </w14:solidFill>
                </w14:textFill>
              </w:rPr>
              <w:t>，处理工艺反渗透处理工艺又称STRO ，处理流程：（</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预处理+短程强化生化+NF+RO+去氨氮保障系统</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）；出水水质达到《生活垃圾填埋场污染物控制标准》（GB16889-2008）</w:t>
            </w:r>
            <w:r>
              <w:rPr>
                <w:rFonts w:hint="default" w:ascii="Times New Roman" w:hAnsi="Times New Roman" w:cs="Times New Roman"/>
                <w:bCs/>
                <w:color w:val="000000" w:themeColor="text1"/>
                <w:sz w:val="24"/>
                <w:lang w:val="en-US" w:eastAsia="zh-CN"/>
                <w14:textFill>
                  <w14:solidFill>
                    <w14:schemeClr w14:val="tx1"/>
                  </w14:solidFill>
                </w14:textFill>
              </w:rPr>
              <w:t>要求的污染物排放限值和减少对周边环境的影响</w:t>
            </w:r>
            <w:r>
              <w:rPr>
                <w:rFonts w:hint="eastAsia" w:ascii="Times New Roman" w:hAnsi="Times New Roman" w:cs="Times New Roman"/>
                <w:bCs/>
                <w:color w:val="000000" w:themeColor="text1"/>
                <w:sz w:val="24"/>
                <w:lang w:val="en-US" w:eastAsia="zh-CN"/>
                <w14:textFill>
                  <w14:solidFill>
                    <w14:schemeClr w14:val="tx1"/>
                  </w14:solidFill>
                </w14:textFill>
              </w:rPr>
              <w:t>。</w:t>
            </w:r>
          </w:p>
          <w:p w14:paraId="0AD6B627">
            <w:pPr>
              <w:pStyle w:val="3"/>
              <w:bidi w:val="0"/>
              <w:rPr>
                <w:rFonts w:hint="default"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8</w:t>
            </w:r>
            <w:r>
              <w:rPr>
                <w:rFonts w:hint="default" w:ascii="Times New Roman" w:hAnsi="Times New Roman" w:cs="Times New Roman"/>
                <w:b/>
                <w:bCs/>
                <w:color w:val="000000" w:themeColor="text1"/>
                <w:lang w:val="en-US" w:eastAsia="zh-CN"/>
                <w14:textFill>
                  <w14:solidFill>
                    <w14:schemeClr w14:val="tx1"/>
                  </w14:solidFill>
                </w14:textFill>
              </w:rPr>
              <w:t>、拟建项目与现有生活垃圾处理在的依托关系</w:t>
            </w:r>
          </w:p>
          <w:p w14:paraId="6C713F54">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1、建设用地依托关系</w:t>
            </w:r>
          </w:p>
          <w:p w14:paraId="03901145">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在原项目用地范围内现新增一套渗滤液处理设备，不新增用地，增加构筑物，日处理量为150m³/d，的渗滤液处理设备</w:t>
            </w:r>
            <w:r>
              <w:rPr>
                <w:rFonts w:hint="default" w:ascii="Times New Roman" w:hAnsi="Times New Roman" w:eastAsia="宋体" w:cs="Times New Roman"/>
                <w:color w:val="000000" w:themeColor="text1"/>
                <w:sz w:val="24"/>
                <w:lang w:val="en-US" w:eastAsia="zh-CN"/>
                <w14:textFill>
                  <w14:solidFill>
                    <w14:schemeClr w14:val="tx1"/>
                  </w14:solidFill>
                </w14:textFill>
              </w:rPr>
              <w:t>处理工艺反渗透处理工艺又称 STRO，处理流程：（</w:t>
            </w:r>
            <w:r>
              <w:rPr>
                <w:rFonts w:hint="eastAsia"/>
              </w:rPr>
              <w:t>预处理+短程强化生化+一</w:t>
            </w:r>
            <w:r>
              <w:rPr>
                <w:rFonts w:hint="eastAsia"/>
                <w:lang w:val="en-US" w:eastAsia="zh-CN"/>
              </w:rPr>
              <w:t>级</w:t>
            </w:r>
            <w:r>
              <w:rPr>
                <w:rFonts w:hint="eastAsia"/>
              </w:rPr>
              <w:t>RO+二级RO+去氨氮保障系统</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；等同原项目处理能力的设备，原有设备处理能力不及时，再启动新设备进行处理。</w:t>
            </w:r>
          </w:p>
          <w:p w14:paraId="50B0DAEA">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、其他</w:t>
            </w:r>
          </w:p>
          <w:p w14:paraId="6F011B2F">
            <w:pPr>
              <w:pStyle w:val="3"/>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本项目除了在填埋场渗滤液处理站新增一套设备外，其余</w:t>
            </w:r>
            <w:r>
              <w:rPr>
                <w:rFonts w:hint="default" w:ascii="Times New Roman" w:hAnsi="Times New Roman" w:cs="Times New Roman"/>
                <w:color w:val="000000" w:themeColor="text1"/>
                <w:lang w:val="en-US" w:eastAsia="zh-CN"/>
                <w14:textFill>
                  <w14:solidFill>
                    <w14:schemeClr w14:val="tx1"/>
                  </w14:solidFill>
                </w14:textFill>
              </w:rPr>
              <w:t>辅助设施、供水、供电、人员</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供水、供电</w:t>
            </w:r>
            <w:r>
              <w:rPr>
                <w:rFonts w:hint="eastAsia" w:ascii="Times New Roman" w:hAnsi="Times New Roman" w:cs="Times New Roman"/>
                <w:color w:val="000000" w:themeColor="text1"/>
                <w:lang w:val="en-US" w:eastAsia="zh-CN"/>
                <w14:textFill>
                  <w14:solidFill>
                    <w14:schemeClr w14:val="tx1"/>
                  </w14:solidFill>
                </w14:textFill>
              </w:rPr>
              <w:t>等将依托沿用原有</w:t>
            </w:r>
            <w:r>
              <w:rPr>
                <w:rFonts w:hint="default" w:ascii="Times New Roman" w:hAnsi="Times New Roman" w:cs="Times New Roman"/>
                <w:color w:val="000000" w:themeColor="text1"/>
                <w:lang w:val="en-US" w:eastAsia="zh-CN"/>
                <w14:textFill>
                  <w14:solidFill>
                    <w14:schemeClr w14:val="tx1"/>
                  </w14:solidFill>
                </w14:textFill>
              </w:rPr>
              <w:t>项目。</w:t>
            </w:r>
          </w:p>
          <w:p w14:paraId="0D44821F">
            <w:pPr>
              <w:pStyle w:val="3"/>
              <w:bidi w:val="0"/>
              <w:rPr>
                <w:rFonts w:hint="default" w:ascii="Times New Roman" w:hAnsi="Times New Roman" w:cs="Times New Roman"/>
                <w:b/>
                <w:bCs/>
                <w:color w:val="000000" w:themeColor="text1"/>
                <w:lang w:val="en-US"/>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9</w:t>
            </w:r>
            <w:r>
              <w:rPr>
                <w:rFonts w:hint="default" w:ascii="Times New Roman" w:hAnsi="Times New Roman" w:cs="Times New Roman"/>
                <w:b/>
                <w:bCs/>
                <w:color w:val="000000" w:themeColor="text1"/>
                <w:lang w:val="en-US" w:eastAsia="zh-CN"/>
                <w14:textFill>
                  <w14:solidFill>
                    <w14:schemeClr w14:val="tx1"/>
                  </w14:solidFill>
                </w14:textFill>
              </w:rPr>
              <w:t>、现有工程污染物排放统计情况</w:t>
            </w:r>
          </w:p>
          <w:p w14:paraId="0D78161F">
            <w:pPr>
              <w:pStyle w:val="3"/>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原污染源分析汇总如下表所示：</w:t>
            </w:r>
          </w:p>
          <w:p w14:paraId="6157342E">
            <w:pPr>
              <w:pStyle w:val="72"/>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表2-12  原污染源分析统计表</w:t>
            </w:r>
          </w:p>
          <w:tbl>
            <w:tblPr>
              <w:tblStyle w:val="28"/>
              <w:tblW w:w="4997" w:type="pct"/>
              <w:tblInd w:w="3"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802"/>
              <w:gridCol w:w="1548"/>
              <w:gridCol w:w="2219"/>
              <w:gridCol w:w="1451"/>
            </w:tblGrid>
            <w:tr w14:paraId="4EB60C1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tcBorders>
                    <w:tl2br w:val="nil"/>
                    <w:tr2bl w:val="nil"/>
                  </w:tcBorders>
                  <w:noWrap w:val="0"/>
                  <w:vAlign w:val="center"/>
                </w:tcPr>
                <w:p w14:paraId="40CF592C">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要素</w:t>
                  </w:r>
                </w:p>
              </w:tc>
              <w:tc>
                <w:tcPr>
                  <w:tcW w:w="1152" w:type="pct"/>
                  <w:tcBorders>
                    <w:tl2br w:val="nil"/>
                    <w:tr2bl w:val="nil"/>
                  </w:tcBorders>
                  <w:noWrap w:val="0"/>
                  <w:vAlign w:val="center"/>
                </w:tcPr>
                <w:p w14:paraId="31A6F0D6">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排放源名称</w:t>
                  </w:r>
                </w:p>
              </w:tc>
              <w:tc>
                <w:tcPr>
                  <w:tcW w:w="989" w:type="pct"/>
                  <w:tcBorders>
                    <w:tl2br w:val="nil"/>
                    <w:tr2bl w:val="nil"/>
                  </w:tcBorders>
                  <w:noWrap w:val="0"/>
                  <w:vAlign w:val="center"/>
                </w:tcPr>
                <w:p w14:paraId="2DE33AA3">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主要污染物</w:t>
                  </w:r>
                </w:p>
              </w:tc>
              <w:tc>
                <w:tcPr>
                  <w:tcW w:w="1419" w:type="pct"/>
                  <w:tcBorders>
                    <w:tl2br w:val="nil"/>
                    <w:tr2bl w:val="nil"/>
                  </w:tcBorders>
                  <w:noWrap w:val="0"/>
                  <w:vAlign w:val="center"/>
                </w:tcPr>
                <w:p w14:paraId="311F858D">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污染物排放量</w:t>
                  </w:r>
                </w:p>
              </w:tc>
              <w:tc>
                <w:tcPr>
                  <w:tcW w:w="927" w:type="pct"/>
                  <w:tcBorders>
                    <w:tl2br w:val="nil"/>
                    <w:tr2bl w:val="nil"/>
                  </w:tcBorders>
                  <w:noWrap w:val="0"/>
                  <w:vAlign w:val="center"/>
                </w:tcPr>
                <w:p w14:paraId="2E2340CA">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最终去向</w:t>
                  </w:r>
                </w:p>
              </w:tc>
            </w:tr>
            <w:tr w14:paraId="3F6BF91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restart"/>
                  <w:tcBorders>
                    <w:tl2br w:val="nil"/>
                    <w:tr2bl w:val="nil"/>
                  </w:tcBorders>
                  <w:noWrap w:val="0"/>
                  <w:vAlign w:val="center"/>
                </w:tcPr>
                <w:p w14:paraId="1003A300">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w:t>
                  </w:r>
                </w:p>
              </w:tc>
              <w:tc>
                <w:tcPr>
                  <w:tcW w:w="1152" w:type="pct"/>
                  <w:vMerge w:val="restart"/>
                  <w:tcBorders>
                    <w:tl2br w:val="nil"/>
                    <w:tr2bl w:val="nil"/>
                  </w:tcBorders>
                  <w:noWrap w:val="0"/>
                  <w:vAlign w:val="center"/>
                </w:tcPr>
                <w:p w14:paraId="34B2FADD">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填埋场</w:t>
                  </w:r>
                </w:p>
              </w:tc>
              <w:tc>
                <w:tcPr>
                  <w:tcW w:w="989" w:type="pct"/>
                  <w:tcBorders>
                    <w:tl2br w:val="nil"/>
                    <w:tr2bl w:val="nil"/>
                  </w:tcBorders>
                  <w:noWrap w:val="0"/>
                  <w:vAlign w:val="center"/>
                </w:tcPr>
                <w:p w14:paraId="76D26A54">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H</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S</w:t>
                  </w:r>
                </w:p>
              </w:tc>
              <w:tc>
                <w:tcPr>
                  <w:tcW w:w="1419" w:type="pct"/>
                  <w:tcBorders>
                    <w:tl2br w:val="nil"/>
                    <w:tr2bl w:val="nil"/>
                  </w:tcBorders>
                  <w:noWrap w:val="0"/>
                  <w:vAlign w:val="center"/>
                </w:tcPr>
                <w:p w14:paraId="25663161">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少量</w:t>
                  </w:r>
                </w:p>
              </w:tc>
              <w:tc>
                <w:tcPr>
                  <w:tcW w:w="927" w:type="pct"/>
                  <w:vMerge w:val="restart"/>
                  <w:tcBorders>
                    <w:tl2br w:val="nil"/>
                    <w:tr2bl w:val="nil"/>
                  </w:tcBorders>
                  <w:noWrap w:val="0"/>
                  <w:vAlign w:val="center"/>
                </w:tcPr>
                <w:p w14:paraId="241CE063">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大气</w:t>
                  </w:r>
                </w:p>
              </w:tc>
            </w:tr>
            <w:tr w14:paraId="31AF9D5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continue"/>
                  <w:tcBorders>
                    <w:tl2br w:val="nil"/>
                    <w:tr2bl w:val="nil"/>
                  </w:tcBorders>
                  <w:noWrap w:val="0"/>
                  <w:vAlign w:val="center"/>
                </w:tcPr>
                <w:p w14:paraId="7DBCAD21">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1152" w:type="pct"/>
                  <w:vMerge w:val="continue"/>
                  <w:tcBorders>
                    <w:tl2br w:val="nil"/>
                    <w:tr2bl w:val="nil"/>
                  </w:tcBorders>
                  <w:noWrap w:val="0"/>
                  <w:vAlign w:val="center"/>
                </w:tcPr>
                <w:p w14:paraId="65031E7E">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989" w:type="pct"/>
                  <w:tcBorders>
                    <w:tl2br w:val="nil"/>
                    <w:tr2bl w:val="nil"/>
                  </w:tcBorders>
                  <w:noWrap w:val="0"/>
                  <w:vAlign w:val="center"/>
                </w:tcPr>
                <w:p w14:paraId="75617E85">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NH</w:t>
                  </w:r>
                  <w:r>
                    <w:rPr>
                      <w:rFonts w:hint="default" w:ascii="Times New Roman" w:hAnsi="Times New Roman" w:cs="Times New Roman"/>
                      <w:color w:val="000000" w:themeColor="text1"/>
                      <w:vertAlign w:val="subscript"/>
                      <w:lang w:val="en-US" w:eastAsia="zh-CN"/>
                      <w14:textFill>
                        <w14:solidFill>
                          <w14:schemeClr w14:val="tx1"/>
                        </w14:solidFill>
                      </w14:textFill>
                    </w:rPr>
                    <w:t>3</w:t>
                  </w:r>
                </w:p>
              </w:tc>
              <w:tc>
                <w:tcPr>
                  <w:tcW w:w="1419" w:type="pct"/>
                  <w:tcBorders>
                    <w:tl2br w:val="nil"/>
                    <w:tr2bl w:val="nil"/>
                  </w:tcBorders>
                  <w:noWrap w:val="0"/>
                  <w:vAlign w:val="center"/>
                </w:tcPr>
                <w:p w14:paraId="3FD51044">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少量</w:t>
                  </w:r>
                </w:p>
              </w:tc>
              <w:tc>
                <w:tcPr>
                  <w:tcW w:w="927" w:type="pct"/>
                  <w:vMerge w:val="continue"/>
                  <w:tcBorders>
                    <w:tl2br w:val="nil"/>
                    <w:tr2bl w:val="nil"/>
                  </w:tcBorders>
                  <w:noWrap w:val="0"/>
                  <w:vAlign w:val="center"/>
                </w:tcPr>
                <w:p w14:paraId="721477B5">
                  <w:pPr>
                    <w:pStyle w:val="71"/>
                    <w:bidi w:val="0"/>
                    <w:rPr>
                      <w:rFonts w:hint="default" w:ascii="Times New Roman" w:hAnsi="Times New Roman" w:cs="Times New Roman"/>
                      <w:color w:val="000000" w:themeColor="text1"/>
                      <w:lang w:val="en-US" w:eastAsia="zh-CN"/>
                      <w14:textFill>
                        <w14:solidFill>
                          <w14:schemeClr w14:val="tx1"/>
                        </w14:solidFill>
                      </w14:textFill>
                    </w:rPr>
                  </w:pPr>
                </w:p>
              </w:tc>
            </w:tr>
            <w:tr w14:paraId="155DBAC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restart"/>
                  <w:tcBorders>
                    <w:tl2br w:val="nil"/>
                    <w:tr2bl w:val="nil"/>
                  </w:tcBorders>
                  <w:noWrap w:val="0"/>
                  <w:vAlign w:val="center"/>
                </w:tcPr>
                <w:p w14:paraId="41DA347A">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废水</w:t>
                  </w:r>
                </w:p>
              </w:tc>
              <w:tc>
                <w:tcPr>
                  <w:tcW w:w="1152" w:type="pct"/>
                  <w:vMerge w:val="restart"/>
                  <w:tcBorders>
                    <w:tl2br w:val="nil"/>
                    <w:tr2bl w:val="nil"/>
                  </w:tcBorders>
                  <w:noWrap w:val="0"/>
                  <w:vAlign w:val="center"/>
                </w:tcPr>
                <w:p w14:paraId="53EE2620">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渗滤液处理系统（处理规模：150m³/d)</w:t>
                  </w:r>
                </w:p>
              </w:tc>
              <w:tc>
                <w:tcPr>
                  <w:tcW w:w="989" w:type="pct"/>
                  <w:tcBorders>
                    <w:tl2br w:val="nil"/>
                    <w:tr2bl w:val="nil"/>
                  </w:tcBorders>
                  <w:noWrap w:val="0"/>
                  <w:vAlign w:val="center"/>
                </w:tcPr>
                <w:p w14:paraId="637E16C3">
                  <w:pPr>
                    <w:pStyle w:val="71"/>
                    <w:bidi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渗滤液量</w:t>
                  </w:r>
                </w:p>
              </w:tc>
              <w:tc>
                <w:tcPr>
                  <w:tcW w:w="1419" w:type="pct"/>
                  <w:tcBorders>
                    <w:tl2br w:val="nil"/>
                    <w:tr2bl w:val="nil"/>
                  </w:tcBorders>
                  <w:noWrap w:val="0"/>
                  <w:vAlign w:val="center"/>
                </w:tcPr>
                <w:p w14:paraId="4836A96C">
                  <w:pPr>
                    <w:pStyle w:val="71"/>
                    <w:bidi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2.45万t/a</w:t>
                  </w:r>
                </w:p>
              </w:tc>
              <w:tc>
                <w:tcPr>
                  <w:tcW w:w="927" w:type="pct"/>
                  <w:vMerge w:val="restart"/>
                  <w:tcBorders>
                    <w:tl2br w:val="nil"/>
                    <w:tr2bl w:val="nil"/>
                  </w:tcBorders>
                  <w:noWrap w:val="0"/>
                  <w:vAlign w:val="center"/>
                </w:tcPr>
                <w:p w14:paraId="1B1EA786">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经处理达标后外排</w:t>
                  </w:r>
                </w:p>
              </w:tc>
            </w:tr>
            <w:tr w14:paraId="516A59B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continue"/>
                  <w:tcBorders>
                    <w:tl2br w:val="nil"/>
                    <w:tr2bl w:val="nil"/>
                  </w:tcBorders>
                  <w:noWrap w:val="0"/>
                  <w:vAlign w:val="center"/>
                </w:tcPr>
                <w:p w14:paraId="62A49E0B">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1152" w:type="pct"/>
                  <w:vMerge w:val="continue"/>
                  <w:tcBorders>
                    <w:tl2br w:val="nil"/>
                    <w:tr2bl w:val="nil"/>
                  </w:tcBorders>
                  <w:noWrap w:val="0"/>
                  <w:vAlign w:val="center"/>
                </w:tcPr>
                <w:p w14:paraId="21E464C9">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989" w:type="pct"/>
                  <w:tcBorders>
                    <w:tl2br w:val="nil"/>
                    <w:tr2bl w:val="nil"/>
                  </w:tcBorders>
                  <w:noWrap w:val="0"/>
                  <w:vAlign w:val="center"/>
                </w:tcPr>
                <w:p w14:paraId="0540F699">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p>
              </w:tc>
              <w:tc>
                <w:tcPr>
                  <w:tcW w:w="1419" w:type="pct"/>
                  <w:tcBorders>
                    <w:tl2br w:val="nil"/>
                    <w:tr2bl w:val="nil"/>
                  </w:tcBorders>
                  <w:noWrap w:val="0"/>
                  <w:vAlign w:val="center"/>
                </w:tcPr>
                <w:p w14:paraId="2047D00C">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1.323t/a</w:t>
                  </w:r>
                </w:p>
              </w:tc>
              <w:tc>
                <w:tcPr>
                  <w:tcW w:w="927" w:type="pct"/>
                  <w:vMerge w:val="continue"/>
                  <w:tcBorders>
                    <w:tl2br w:val="nil"/>
                    <w:tr2bl w:val="nil"/>
                  </w:tcBorders>
                  <w:noWrap w:val="0"/>
                  <w:vAlign w:val="center"/>
                </w:tcPr>
                <w:p w14:paraId="5935B4EA">
                  <w:pPr>
                    <w:pStyle w:val="71"/>
                    <w:bidi w:val="0"/>
                    <w:rPr>
                      <w:rFonts w:hint="default" w:ascii="Times New Roman" w:hAnsi="Times New Roman" w:cs="Times New Roman"/>
                      <w:color w:val="000000" w:themeColor="text1"/>
                      <w:lang w:val="en-US" w:eastAsia="zh-CN"/>
                      <w14:textFill>
                        <w14:solidFill>
                          <w14:schemeClr w14:val="tx1"/>
                        </w14:solidFill>
                      </w14:textFill>
                    </w:rPr>
                  </w:pPr>
                </w:p>
              </w:tc>
            </w:tr>
            <w:tr w14:paraId="0BE6746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continue"/>
                  <w:tcBorders>
                    <w:tl2br w:val="nil"/>
                    <w:tr2bl w:val="nil"/>
                  </w:tcBorders>
                  <w:noWrap w:val="0"/>
                  <w:vAlign w:val="center"/>
                </w:tcPr>
                <w:p w14:paraId="567E6276">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1152" w:type="pct"/>
                  <w:vMerge w:val="continue"/>
                  <w:tcBorders>
                    <w:tl2br w:val="nil"/>
                    <w:tr2bl w:val="nil"/>
                  </w:tcBorders>
                  <w:noWrap w:val="0"/>
                  <w:vAlign w:val="center"/>
                </w:tcPr>
                <w:p w14:paraId="0D4C9AAA">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989" w:type="pct"/>
                  <w:tcBorders>
                    <w:tl2br w:val="nil"/>
                    <w:tr2bl w:val="nil"/>
                  </w:tcBorders>
                  <w:noWrap w:val="0"/>
                  <w:vAlign w:val="center"/>
                </w:tcPr>
                <w:p w14:paraId="1104445F">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NH</w:t>
                  </w:r>
                  <w:r>
                    <w:rPr>
                      <w:rFonts w:hint="default" w:ascii="Times New Roman" w:hAnsi="Times New Roman" w:cs="Times New Roman"/>
                      <w:color w:val="000000" w:themeColor="text1"/>
                      <w:vertAlign w:val="sub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-N</w:t>
                  </w:r>
                </w:p>
              </w:tc>
              <w:tc>
                <w:tcPr>
                  <w:tcW w:w="1419" w:type="pct"/>
                  <w:tcBorders>
                    <w:tl2br w:val="nil"/>
                    <w:tr2bl w:val="nil"/>
                  </w:tcBorders>
                  <w:noWrap w:val="0"/>
                  <w:vAlign w:val="center"/>
                </w:tcPr>
                <w:p w14:paraId="45B411DD">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0.379t/a</w:t>
                  </w:r>
                </w:p>
              </w:tc>
              <w:tc>
                <w:tcPr>
                  <w:tcW w:w="927" w:type="pct"/>
                  <w:vMerge w:val="continue"/>
                  <w:tcBorders>
                    <w:tl2br w:val="nil"/>
                    <w:tr2bl w:val="nil"/>
                  </w:tcBorders>
                  <w:noWrap w:val="0"/>
                  <w:vAlign w:val="center"/>
                </w:tcPr>
                <w:p w14:paraId="1C27BFD8">
                  <w:pPr>
                    <w:pStyle w:val="71"/>
                    <w:bidi w:val="0"/>
                    <w:rPr>
                      <w:rFonts w:hint="default" w:ascii="Times New Roman" w:hAnsi="Times New Roman" w:cs="Times New Roman"/>
                      <w:color w:val="000000" w:themeColor="text1"/>
                      <w:lang w:val="en-US" w:eastAsia="zh-CN"/>
                      <w14:textFill>
                        <w14:solidFill>
                          <w14:schemeClr w14:val="tx1"/>
                        </w14:solidFill>
                      </w14:textFill>
                    </w:rPr>
                  </w:pPr>
                </w:p>
              </w:tc>
            </w:tr>
            <w:tr w14:paraId="46C9F1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restart"/>
                  <w:tcBorders>
                    <w:tl2br w:val="nil"/>
                    <w:tr2bl w:val="nil"/>
                  </w:tcBorders>
                  <w:noWrap w:val="0"/>
                  <w:vAlign w:val="center"/>
                </w:tcPr>
                <w:p w14:paraId="19EDB61B">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固废</w:t>
                  </w:r>
                </w:p>
              </w:tc>
              <w:tc>
                <w:tcPr>
                  <w:tcW w:w="1152" w:type="pct"/>
                  <w:tcBorders>
                    <w:tl2br w:val="nil"/>
                    <w:tr2bl w:val="nil"/>
                  </w:tcBorders>
                  <w:noWrap w:val="0"/>
                  <w:vAlign w:val="center"/>
                </w:tcPr>
                <w:p w14:paraId="69729A1F">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w:t>
                  </w:r>
                </w:p>
              </w:tc>
              <w:tc>
                <w:tcPr>
                  <w:tcW w:w="989" w:type="pct"/>
                  <w:tcBorders>
                    <w:tl2br w:val="nil"/>
                    <w:tr2bl w:val="nil"/>
                  </w:tcBorders>
                  <w:noWrap w:val="0"/>
                  <w:vAlign w:val="center"/>
                </w:tcPr>
                <w:p w14:paraId="5D1CB65B">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w:t>
                  </w:r>
                </w:p>
              </w:tc>
              <w:tc>
                <w:tcPr>
                  <w:tcW w:w="1419" w:type="pct"/>
                  <w:tcBorders>
                    <w:tl2br w:val="nil"/>
                    <w:tr2bl w:val="nil"/>
                  </w:tcBorders>
                  <w:noWrap w:val="0"/>
                  <w:vAlign w:val="center"/>
                </w:tcPr>
                <w:p w14:paraId="29D50DF1">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1.5t/a</w:t>
                  </w:r>
                </w:p>
              </w:tc>
              <w:tc>
                <w:tcPr>
                  <w:tcW w:w="927" w:type="pct"/>
                  <w:vMerge w:val="restart"/>
                  <w:tcBorders>
                    <w:tl2br w:val="nil"/>
                    <w:tr2bl w:val="nil"/>
                  </w:tcBorders>
                  <w:noWrap w:val="0"/>
                  <w:vAlign w:val="center"/>
                </w:tcPr>
                <w:p w14:paraId="0D5F6AB7">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进行卫生填埋</w:t>
                  </w:r>
                </w:p>
              </w:tc>
            </w:tr>
            <w:tr w14:paraId="6FE6D2F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11" w:type="pct"/>
                  <w:vMerge w:val="continue"/>
                  <w:tcBorders>
                    <w:tl2br w:val="nil"/>
                    <w:tr2bl w:val="nil"/>
                  </w:tcBorders>
                  <w:noWrap w:val="0"/>
                  <w:vAlign w:val="center"/>
                </w:tcPr>
                <w:p w14:paraId="7E1E451E">
                  <w:pPr>
                    <w:pStyle w:val="71"/>
                    <w:bidi w:val="0"/>
                    <w:rPr>
                      <w:rFonts w:hint="default" w:ascii="Times New Roman" w:hAnsi="Times New Roman" w:cs="Times New Roman"/>
                      <w:color w:val="000000" w:themeColor="text1"/>
                      <w:lang w:val="en-US" w:eastAsia="zh-CN"/>
                      <w14:textFill>
                        <w14:solidFill>
                          <w14:schemeClr w14:val="tx1"/>
                        </w14:solidFill>
                      </w14:textFill>
                    </w:rPr>
                  </w:pPr>
                </w:p>
              </w:tc>
              <w:tc>
                <w:tcPr>
                  <w:tcW w:w="1152" w:type="pct"/>
                  <w:tcBorders>
                    <w:tl2br w:val="nil"/>
                    <w:tr2bl w:val="nil"/>
                  </w:tcBorders>
                  <w:noWrap w:val="0"/>
                  <w:vAlign w:val="center"/>
                </w:tcPr>
                <w:p w14:paraId="1EA5F122">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污泥</w:t>
                  </w:r>
                </w:p>
              </w:tc>
              <w:tc>
                <w:tcPr>
                  <w:tcW w:w="989" w:type="pct"/>
                  <w:tcBorders>
                    <w:tl2br w:val="nil"/>
                    <w:tr2bl w:val="nil"/>
                  </w:tcBorders>
                  <w:noWrap w:val="0"/>
                  <w:vAlign w:val="center"/>
                </w:tcPr>
                <w:p w14:paraId="6D2B7AAE">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污泥</w:t>
                  </w:r>
                </w:p>
              </w:tc>
              <w:tc>
                <w:tcPr>
                  <w:tcW w:w="1419" w:type="pct"/>
                  <w:tcBorders>
                    <w:tl2br w:val="nil"/>
                    <w:tr2bl w:val="nil"/>
                  </w:tcBorders>
                  <w:noWrap w:val="0"/>
                  <w:vAlign w:val="center"/>
                </w:tcPr>
                <w:p w14:paraId="42E92319">
                  <w:pPr>
                    <w:pStyle w:val="71"/>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10t/a</w:t>
                  </w:r>
                </w:p>
              </w:tc>
              <w:tc>
                <w:tcPr>
                  <w:tcW w:w="927" w:type="pct"/>
                  <w:vMerge w:val="continue"/>
                  <w:tcBorders>
                    <w:tl2br w:val="nil"/>
                    <w:tr2bl w:val="nil"/>
                  </w:tcBorders>
                  <w:noWrap w:val="0"/>
                  <w:vAlign w:val="center"/>
                </w:tcPr>
                <w:p w14:paraId="7AC0BDF9">
                  <w:pPr>
                    <w:pStyle w:val="71"/>
                    <w:bidi w:val="0"/>
                    <w:rPr>
                      <w:rFonts w:hint="default" w:ascii="Times New Roman" w:hAnsi="Times New Roman" w:cs="Times New Roman"/>
                      <w:color w:val="000000" w:themeColor="text1"/>
                      <w:lang w:val="en-US" w:eastAsia="zh-CN"/>
                      <w14:textFill>
                        <w14:solidFill>
                          <w14:schemeClr w14:val="tx1"/>
                        </w14:solidFill>
                      </w14:textFill>
                    </w:rPr>
                  </w:pPr>
                </w:p>
              </w:tc>
            </w:tr>
          </w:tbl>
          <w:p w14:paraId="69635A85">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5E2BE59C">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28F5060E">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p>
        </w:tc>
      </w:tr>
    </w:tbl>
    <w:p w14:paraId="3D8B4DB2">
      <w:pPr>
        <w:spacing w:line="360" w:lineRule="auto"/>
        <w:rPr>
          <w:rFonts w:ascii="黑体" w:hAnsi="宋体" w:eastAsia="黑体" w:cs="黑体"/>
          <w:color w:val="000000" w:themeColor="text1"/>
          <w:kern w:val="0"/>
          <w:sz w:val="30"/>
          <w:szCs w:val="30"/>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F61AEE7">
      <w:pPr>
        <w:pStyle w:val="6"/>
        <w:spacing w:before="0" w:after="0"/>
        <w:jc w:val="center"/>
        <w:rPr>
          <w:color w:val="000000" w:themeColor="text1"/>
          <w14:textFill>
            <w14:solidFill>
              <w14:schemeClr w14:val="tx1"/>
            </w14:solidFill>
          </w14:textFill>
        </w:rPr>
      </w:pPr>
      <w:bookmarkStart w:id="24" w:name="_Toc7372"/>
      <w:r>
        <w:rPr>
          <w:rFonts w:hint="eastAsia"/>
          <w:color w:val="000000" w:themeColor="text1"/>
          <w14:textFill>
            <w14:solidFill>
              <w14:schemeClr w14:val="tx1"/>
            </w14:solidFill>
          </w14:textFill>
        </w:rPr>
        <w:t>三、区域环境质量现状、环境保护目标及评价标准</w:t>
      </w:r>
      <w:bookmarkEnd w:id="24"/>
    </w:p>
    <w:tbl>
      <w:tblPr>
        <w:tblStyle w:val="28"/>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44"/>
      </w:tblGrid>
      <w:tr w14:paraId="7D1D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246" w:type="pct"/>
            <w:vAlign w:val="center"/>
          </w:tcPr>
          <w:p w14:paraId="5BF0E721">
            <w:pPr>
              <w:spacing w:line="360" w:lineRule="auto"/>
              <w:jc w:val="center"/>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区域环境质量现状</w:t>
            </w:r>
          </w:p>
        </w:tc>
        <w:tc>
          <w:tcPr>
            <w:tcW w:w="4753" w:type="pct"/>
          </w:tcPr>
          <w:p w14:paraId="4F5B8E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1、环境空气质量现状</w:t>
            </w:r>
          </w:p>
          <w:p w14:paraId="661765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bookmarkStart w:id="25" w:name="_Toc5494"/>
            <w:bookmarkStart w:id="26" w:name="_Toc21493"/>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（1）达标区判定</w:t>
            </w:r>
          </w:p>
          <w:bookmarkEnd w:id="25"/>
          <w:bookmarkEnd w:id="26"/>
          <w:p w14:paraId="01462202">
            <w:pPr>
              <w:autoSpaceDE w:val="0"/>
              <w:autoSpaceDN w:val="0"/>
              <w:adjustRightInd w:val="0"/>
              <w:spacing w:line="360" w:lineRule="auto"/>
              <w:ind w:firstLine="48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根据德宏州生态环境局发布的《德宏州202</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年度环境状况公报》，2020年，芒市的环境空气有效监测天数为359天，优235天，良121天，轻度污染3天。优良率为99.2%，年度综合评价。芒市环境空气质量达到二级标准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现状监测数据见表3-1</w:t>
            </w:r>
            <w:r>
              <w:rPr>
                <w:rFonts w:hint="default" w:ascii="Times New Roman" w:hAnsi="Times New Roman" w:cs="Times New Roman"/>
                <w:color w:val="000000" w:themeColor="text1"/>
                <w:sz w:val="24"/>
                <w14:textFill>
                  <w14:solidFill>
                    <w14:schemeClr w14:val="tx1"/>
                  </w14:solidFill>
                </w14:textFill>
              </w:rPr>
              <w:t>。</w:t>
            </w:r>
          </w:p>
          <w:p w14:paraId="4343B41F">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rPr>
            </w:pPr>
            <w:r>
              <w:rPr>
                <w:rFonts w:hint="default" w:ascii="Times New Roman" w:hAnsi="Times New Roman" w:cs="Times New Roman"/>
                <w:b/>
                <w:color w:val="auto"/>
                <w:szCs w:val="22"/>
              </w:rPr>
              <w:t>表3-1</w:t>
            </w:r>
            <w:r>
              <w:rPr>
                <w:rFonts w:hint="default" w:ascii="Times New Roman" w:hAnsi="Times New Roman" w:eastAsia="Times New Roman" w:cs="Times New Roman"/>
                <w:b/>
                <w:color w:val="auto"/>
                <w:szCs w:val="22"/>
              </w:rPr>
              <w:t xml:space="preserve">  202</w:t>
            </w:r>
            <w:r>
              <w:rPr>
                <w:rFonts w:hint="default" w:ascii="Times New Roman" w:hAnsi="Times New Roman" w:eastAsia="宋体" w:cs="Times New Roman"/>
                <w:b/>
                <w:color w:val="auto"/>
                <w:szCs w:val="22"/>
                <w:lang w:val="en-US" w:eastAsia="zh-CN"/>
              </w:rPr>
              <w:t>2</w:t>
            </w:r>
            <w:r>
              <w:rPr>
                <w:rFonts w:hint="default" w:ascii="Times New Roman" w:hAnsi="Times New Roman" w:cs="Times New Roman"/>
                <w:b/>
                <w:color w:val="auto"/>
                <w:szCs w:val="22"/>
              </w:rPr>
              <w:t>年度芒市环境空气质量指标年均值统计（μg/m</w:t>
            </w:r>
            <w:r>
              <w:rPr>
                <w:rFonts w:hint="default" w:ascii="Times New Roman" w:hAnsi="Times New Roman" w:cs="Times New Roman"/>
                <w:b/>
                <w:color w:val="auto"/>
                <w:szCs w:val="22"/>
                <w:vertAlign w:val="superscript"/>
              </w:rPr>
              <w:t>3</w:t>
            </w:r>
            <w:r>
              <w:rPr>
                <w:rFonts w:hint="default" w:ascii="Times New Roman" w:hAnsi="Times New Roman" w:cs="Times New Roman"/>
                <w:b/>
                <w:color w:val="auto"/>
                <w:szCs w:val="22"/>
              </w:rPr>
              <w:t>）</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1068"/>
              <w:gridCol w:w="995"/>
              <w:gridCol w:w="947"/>
              <w:gridCol w:w="1705"/>
              <w:gridCol w:w="1284"/>
              <w:gridCol w:w="993"/>
            </w:tblGrid>
            <w:tr w14:paraId="4424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245" w:type="pct"/>
                  <w:vAlign w:val="center"/>
                </w:tcPr>
                <w:p w14:paraId="75388CC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城市名称</w:t>
                  </w:r>
                </w:p>
              </w:tc>
              <w:tc>
                <w:tcPr>
                  <w:tcW w:w="573" w:type="pct"/>
                  <w:vAlign w:val="center"/>
                </w:tcPr>
                <w:p w14:paraId="5F8D7B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534" w:type="pct"/>
                  <w:vAlign w:val="center"/>
                </w:tcPr>
                <w:p w14:paraId="13CEBC1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508" w:type="pct"/>
                  <w:vAlign w:val="center"/>
                </w:tcPr>
                <w:p w14:paraId="0C4FC9F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915" w:type="pct"/>
                  <w:vAlign w:val="center"/>
                </w:tcPr>
                <w:p w14:paraId="66579C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689" w:type="pct"/>
                  <w:vAlign w:val="center"/>
                </w:tcPr>
                <w:p w14:paraId="3AB84CA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533" w:type="pct"/>
                  <w:vAlign w:val="center"/>
                </w:tcPr>
                <w:p w14:paraId="70E55F8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r>
            <w:tr w14:paraId="78F4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245" w:type="pct"/>
                  <w:vAlign w:val="center"/>
                </w:tcPr>
                <w:p w14:paraId="779E502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环境空气二级标准</w:t>
                  </w:r>
                </w:p>
              </w:tc>
              <w:tc>
                <w:tcPr>
                  <w:tcW w:w="573" w:type="pct"/>
                  <w:vAlign w:val="center"/>
                </w:tcPr>
                <w:p w14:paraId="4D6648A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34" w:type="pct"/>
                  <w:vAlign w:val="center"/>
                </w:tcPr>
                <w:p w14:paraId="5E3F856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508" w:type="pct"/>
                  <w:vAlign w:val="center"/>
                </w:tcPr>
                <w:p w14:paraId="562A21E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915" w:type="pct"/>
                  <w:vAlign w:val="center"/>
                </w:tcPr>
                <w:p w14:paraId="56211D1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89" w:type="pct"/>
                  <w:vAlign w:val="center"/>
                </w:tcPr>
                <w:p w14:paraId="62E1C28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533" w:type="pct"/>
                  <w:vAlign w:val="center"/>
                </w:tcPr>
                <w:p w14:paraId="3ADA690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14:paraId="7D0B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245" w:type="pct"/>
                  <w:vAlign w:val="center"/>
                </w:tcPr>
                <w:p w14:paraId="353EC42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芒市</w:t>
                  </w:r>
                </w:p>
              </w:tc>
              <w:tc>
                <w:tcPr>
                  <w:tcW w:w="573" w:type="pct"/>
                  <w:vAlign w:val="center"/>
                </w:tcPr>
                <w:p w14:paraId="493C212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534" w:type="pct"/>
                  <w:vAlign w:val="center"/>
                </w:tcPr>
                <w:p w14:paraId="3020465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508" w:type="pct"/>
                  <w:vAlign w:val="center"/>
                </w:tcPr>
                <w:p w14:paraId="2F86B49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915" w:type="pct"/>
                  <w:vAlign w:val="center"/>
                </w:tcPr>
                <w:p w14:paraId="7C6A8EE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689" w:type="pct"/>
                  <w:vAlign w:val="center"/>
                </w:tcPr>
                <w:p w14:paraId="3B60643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533" w:type="pct"/>
                  <w:vAlign w:val="center"/>
                </w:tcPr>
                <w:p w14:paraId="70E8D1A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r>
            <w:tr w14:paraId="51F2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5" w:type="pct"/>
                  <w:vAlign w:val="center"/>
                </w:tcPr>
                <w:p w14:paraId="622BB53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占标率（%）</w:t>
                  </w:r>
                </w:p>
              </w:tc>
              <w:tc>
                <w:tcPr>
                  <w:tcW w:w="573" w:type="pct"/>
                  <w:vAlign w:val="center"/>
                </w:tcPr>
                <w:p w14:paraId="5EAB306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534" w:type="pct"/>
                  <w:vAlign w:val="center"/>
                </w:tcPr>
                <w:p w14:paraId="4A4652C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47.5</w:t>
                  </w:r>
                </w:p>
              </w:tc>
              <w:tc>
                <w:tcPr>
                  <w:tcW w:w="508" w:type="pct"/>
                  <w:vAlign w:val="center"/>
                </w:tcPr>
                <w:p w14:paraId="76A56A2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915" w:type="pct"/>
                  <w:vAlign w:val="center"/>
                </w:tcPr>
                <w:p w14:paraId="46EEBCB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89" w:type="pct"/>
                  <w:vAlign w:val="center"/>
                </w:tcPr>
                <w:p w14:paraId="4CDFC72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44.4</w:t>
                  </w:r>
                </w:p>
              </w:tc>
              <w:tc>
                <w:tcPr>
                  <w:tcW w:w="533" w:type="pct"/>
                  <w:vAlign w:val="center"/>
                </w:tcPr>
                <w:p w14:paraId="2D913FF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62.9</w:t>
                  </w:r>
                </w:p>
              </w:tc>
            </w:tr>
          </w:tbl>
          <w:p w14:paraId="5007091C">
            <w:pPr>
              <w:autoSpaceDE w:val="0"/>
              <w:autoSpaceDN w:val="0"/>
              <w:adjustRightInd w:val="0"/>
              <w:spacing w:line="360" w:lineRule="auto"/>
              <w:ind w:firstLine="482"/>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芒市的污染物满足《环境空气质量标准》（GB3095-2012）中二级标准要求，芒市为环境空气达标区。本项目位于芒市镇街坡村后山，项目所在区域为达标区。</w:t>
            </w:r>
          </w:p>
          <w:p w14:paraId="551C48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（2）特征因子监测情况</w:t>
            </w:r>
          </w:p>
          <w:p w14:paraId="5B705875">
            <w:pPr>
              <w:autoSpaceDE w:val="0"/>
              <w:autoSpaceDN w:val="0"/>
              <w:adjustRightInd w:val="0"/>
              <w:spacing w:line="360" w:lineRule="auto"/>
              <w:ind w:firstLine="482"/>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为了解项目所在区域的大气环境质量现状，本次评价期间引用2022年11月芒市环境卫生管理站自行监测报告，云南方源科技有限公司出具的〔Y</w:t>
            </w:r>
            <w:r>
              <w:rPr>
                <w:rFonts w:hint="default" w:ascii="Times New Roman" w:hAnsi="Times New Roman" w:cs="Times New Roman"/>
                <w:color w:val="000000" w:themeColor="text1"/>
                <w:sz w:val="24"/>
                <w:lang w:val="en-US" w:eastAsia="en-US"/>
                <w14:textFill>
                  <w14:solidFill>
                    <w14:schemeClr w14:val="tx1"/>
                  </w14:solidFill>
                </w14:textFill>
              </w:rPr>
              <w:t>NFY DH20221</w:t>
            </w:r>
            <w:r>
              <w:rPr>
                <w:rFonts w:hint="default" w:ascii="Times New Roman" w:hAnsi="Times New Roman" w:cs="Times New Roman"/>
                <w:color w:val="000000" w:themeColor="text1"/>
                <w:sz w:val="24"/>
                <w:lang w:val="en-US" w:eastAsia="zh-CN"/>
                <w14:textFill>
                  <w14:solidFill>
                    <w14:schemeClr w14:val="tx1"/>
                  </w14:solidFill>
                </w14:textFill>
              </w:rPr>
              <w:t>10211〕监测报告，具体情况如下：</w:t>
            </w:r>
          </w:p>
          <w:p w14:paraId="080D3047">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en-US"/>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3-2 </w:t>
            </w:r>
            <w:r>
              <w:rPr>
                <w:rFonts w:hint="default" w:ascii="Times New Roman" w:hAnsi="Times New Roman" w:cs="Times New Roman"/>
                <w:b/>
                <w:color w:val="auto"/>
                <w:szCs w:val="22"/>
              </w:rPr>
              <w:t>无组织废气监测结果表</w:t>
            </w:r>
            <w:r>
              <w:rPr>
                <w:rFonts w:hint="default" w:ascii="Times New Roman" w:hAnsi="Times New Roman" w:cs="Times New Roman"/>
                <w:b/>
                <w:color w:val="auto"/>
                <w:szCs w:val="22"/>
              </w:rPr>
              <w:tab/>
            </w:r>
            <w:r>
              <w:rPr>
                <w:rFonts w:hint="default" w:ascii="Times New Roman" w:hAnsi="Times New Roman" w:cs="Times New Roman"/>
                <w:b/>
                <w:color w:val="auto"/>
                <w:szCs w:val="22"/>
              </w:rPr>
              <w:t xml:space="preserve"> 单位：mg/m</w:t>
            </w:r>
            <w:r>
              <w:rPr>
                <w:rFonts w:hint="default" w:ascii="Times New Roman" w:hAnsi="Times New Roman" w:cs="Times New Roman"/>
                <w:b/>
                <w:color w:val="auto"/>
                <w:szCs w:val="22"/>
                <w:vertAlign w:val="superscript"/>
              </w:rPr>
              <w:t>3</w:t>
            </w:r>
          </w:p>
          <w:tbl>
            <w:tblPr>
              <w:tblStyle w:val="28"/>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2299"/>
              <w:gridCol w:w="2299"/>
              <w:gridCol w:w="2299"/>
              <w:gridCol w:w="756"/>
            </w:tblGrid>
            <w:tr w14:paraId="3131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CF40446">
                  <w:pPr>
                    <w:spacing w:line="240" w:lineRule="auto"/>
                    <w:ind w:left="0"/>
                    <w:jc w:val="center"/>
                    <w:rPr>
                      <w:rFonts w:hint="default" w:ascii="Times New Roman" w:hAnsi="Times New Roman" w:eastAsia="宋体" w:cs="Times New Roman"/>
                      <w:b/>
                      <w:bCs w:val="0"/>
                      <w:color w:val="auto"/>
                      <w:sz w:val="21"/>
                      <w:szCs w:val="21"/>
                      <w:lang w:val="en-US" w:eastAsia="zh-CN"/>
                    </w:rPr>
                  </w:pPr>
                </w:p>
                <w:p w14:paraId="72369AA7">
                  <w:pPr>
                    <w:spacing w:line="240" w:lineRule="auto"/>
                    <w:ind w:left="0"/>
                    <w:jc w:val="center"/>
                    <mc:AlternateContent>
                      <mc:Choice Requires="wpsCustomData">
                        <wpsCustomData:diagonalParaType/>
                      </mc:Choice>
                    </mc:AlternateContent>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点位</w:t>
                  </w:r>
                </w:p>
                <w:p w14:paraId="459EADC0">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项目/编号</w:t>
                  </w:r>
                </w:p>
              </w:tc>
              <w:tc>
                <w:tcPr>
                  <w:tcW w:w="0" w:type="auto"/>
                  <w:gridSpan w:val="3"/>
                  <w:vAlign w:val="center"/>
                </w:tcPr>
                <w:p w14:paraId="78FE2C96">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en-US"/>
                    </w:rPr>
                    <w:t>2022. 11.04</w:t>
                  </w:r>
                </w:p>
              </w:tc>
              <w:tc>
                <w:tcPr>
                  <w:tcW w:w="0" w:type="auto"/>
                  <w:vMerge w:val="restart"/>
                  <w:vAlign w:val="center"/>
                </w:tcPr>
                <w:p w14:paraId="313F1CAE">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标准</w:t>
                  </w:r>
                </w:p>
                <w:p w14:paraId="4BEB2F7E">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限值</w:t>
                  </w:r>
                </w:p>
              </w:tc>
            </w:tr>
            <w:tr w14:paraId="288A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0" w:type="auto"/>
                  <w:vMerge w:val="continue"/>
                  <w:vAlign w:val="center"/>
                </w:tcPr>
                <w:p w14:paraId="5DC348F0">
                  <w:pPr>
                    <w:spacing w:line="240" w:lineRule="auto"/>
                    <w:ind w:left="0"/>
                    <w:jc w:val="center"/>
                    <w:rPr>
                      <w:rFonts w:hint="default" w:ascii="Times New Roman" w:hAnsi="Times New Roman" w:eastAsia="宋体" w:cs="Times New Roman"/>
                      <w:b/>
                      <w:bCs w:val="0"/>
                      <w:color w:val="auto"/>
                      <w:sz w:val="21"/>
                      <w:szCs w:val="21"/>
                      <w:lang w:val="en-US" w:eastAsia="zh-CN"/>
                    </w:rPr>
                  </w:pPr>
                </w:p>
              </w:tc>
              <w:tc>
                <w:tcPr>
                  <w:tcW w:w="0" w:type="auto"/>
                  <w:gridSpan w:val="3"/>
                  <w:vAlign w:val="center"/>
                </w:tcPr>
                <w:p w14:paraId="675A2D11">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zh-TW" w:eastAsia="zh-TW"/>
                    </w:rPr>
                    <w:t>颗粒物</w:t>
                  </w:r>
                </w:p>
              </w:tc>
              <w:tc>
                <w:tcPr>
                  <w:tcW w:w="0" w:type="auto"/>
                  <w:vMerge w:val="continue"/>
                  <w:vAlign w:val="center"/>
                </w:tcPr>
                <w:p w14:paraId="053F6351">
                  <w:pPr>
                    <w:spacing w:line="240" w:lineRule="auto"/>
                    <w:ind w:left="0"/>
                    <w:jc w:val="center"/>
                    <w:rPr>
                      <w:rFonts w:hint="default" w:ascii="Times New Roman" w:hAnsi="Times New Roman" w:eastAsia="宋体" w:cs="Times New Roman"/>
                      <w:b/>
                      <w:bCs w:val="0"/>
                      <w:color w:val="auto"/>
                      <w:sz w:val="21"/>
                      <w:szCs w:val="21"/>
                      <w:lang w:val="zh-TW" w:eastAsia="zh-TW"/>
                    </w:rPr>
                  </w:pPr>
                </w:p>
              </w:tc>
            </w:tr>
            <w:tr w14:paraId="2D99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Align w:val="center"/>
                </w:tcPr>
                <w:p w14:paraId="56D9B0A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lang w:val="en-US" w:eastAsia="zh-CN"/>
                    </w:rPr>
                    <w:t>时间</w:t>
                  </w:r>
                </w:p>
              </w:tc>
              <w:tc>
                <w:tcPr>
                  <w:tcW w:w="0" w:type="auto"/>
                  <w:vAlign w:val="center"/>
                </w:tcPr>
                <w:p w14:paraId="3BFD8C8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09:20-10:20</w:t>
                  </w:r>
                </w:p>
              </w:tc>
              <w:tc>
                <w:tcPr>
                  <w:tcW w:w="0" w:type="auto"/>
                  <w:vAlign w:val="center"/>
                </w:tcPr>
                <w:p w14:paraId="7E96E58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13:10-14:10</w:t>
                  </w:r>
                </w:p>
              </w:tc>
              <w:tc>
                <w:tcPr>
                  <w:tcW w:w="0" w:type="auto"/>
                  <w:vAlign w:val="center"/>
                </w:tcPr>
                <w:p w14:paraId="3FAB107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17:00-18:00</w:t>
                  </w:r>
                </w:p>
              </w:tc>
              <w:tc>
                <w:tcPr>
                  <w:tcW w:w="0" w:type="auto"/>
                  <w:vMerge w:val="continue"/>
                  <w:vAlign w:val="center"/>
                </w:tcPr>
                <w:p w14:paraId="63CE4AC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bCs/>
                      <w:color w:val="auto"/>
                      <w:sz w:val="21"/>
                      <w:szCs w:val="21"/>
                      <w:lang w:val="en-US" w:eastAsia="zh-CN"/>
                    </w:rPr>
                  </w:pPr>
                </w:p>
              </w:tc>
            </w:tr>
            <w:tr w14:paraId="377B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restart"/>
                  <w:vAlign w:val="center"/>
                </w:tcPr>
                <w:p w14:paraId="16CB8C0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上风向1#</w:t>
                  </w:r>
                </w:p>
              </w:tc>
              <w:tc>
                <w:tcPr>
                  <w:tcW w:w="0" w:type="auto"/>
                  <w:vAlign w:val="center"/>
                </w:tcPr>
                <w:p w14:paraId="39C8EF3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12-01</w:t>
                  </w:r>
                </w:p>
              </w:tc>
              <w:tc>
                <w:tcPr>
                  <w:tcW w:w="0" w:type="auto"/>
                  <w:vAlign w:val="center"/>
                </w:tcPr>
                <w:p w14:paraId="4CE9387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12-02</w:t>
                  </w:r>
                </w:p>
              </w:tc>
              <w:tc>
                <w:tcPr>
                  <w:tcW w:w="0" w:type="auto"/>
                  <w:vAlign w:val="center"/>
                </w:tcPr>
                <w:p w14:paraId="252829C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12-03</w:t>
                  </w:r>
                </w:p>
              </w:tc>
              <w:tc>
                <w:tcPr>
                  <w:tcW w:w="0" w:type="auto"/>
                  <w:vMerge w:val="restart"/>
                  <w:vAlign w:val="center"/>
                </w:tcPr>
                <w:p w14:paraId="1F09C34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0.3</w:t>
                  </w:r>
                </w:p>
              </w:tc>
            </w:tr>
            <w:tr w14:paraId="270E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continue"/>
                  <w:vAlign w:val="center"/>
                </w:tcPr>
                <w:p w14:paraId="14AA672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0" w:type="auto"/>
                  <w:vAlign w:val="center"/>
                </w:tcPr>
                <w:p w14:paraId="12EEAEB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0.117</w:t>
                  </w:r>
                </w:p>
              </w:tc>
              <w:tc>
                <w:tcPr>
                  <w:tcW w:w="0" w:type="auto"/>
                  <w:vAlign w:val="center"/>
                </w:tcPr>
                <w:p w14:paraId="1A31E83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0.150</w:t>
                  </w:r>
                </w:p>
              </w:tc>
              <w:tc>
                <w:tcPr>
                  <w:tcW w:w="0" w:type="auto"/>
                  <w:vAlign w:val="center"/>
                </w:tcPr>
                <w:p w14:paraId="0D85A1B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0.100</w:t>
                  </w:r>
                </w:p>
              </w:tc>
              <w:tc>
                <w:tcPr>
                  <w:tcW w:w="0" w:type="auto"/>
                  <w:vMerge w:val="continue"/>
                  <w:vAlign w:val="center"/>
                </w:tcPr>
                <w:p w14:paraId="55E87B8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7803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Align w:val="center"/>
                </w:tcPr>
                <w:p w14:paraId="1C70EBC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0" w:type="auto"/>
                  <w:vAlign w:val="center"/>
                </w:tcPr>
                <w:p w14:paraId="35A85C6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c>
                <w:tcPr>
                  <w:tcW w:w="0" w:type="auto"/>
                  <w:vAlign w:val="center"/>
                </w:tcPr>
                <w:p w14:paraId="657A93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c>
                <w:tcPr>
                  <w:tcW w:w="0" w:type="auto"/>
                  <w:vAlign w:val="center"/>
                </w:tcPr>
                <w:p w14:paraId="0AC3B3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c>
                <w:tcPr>
                  <w:tcW w:w="0" w:type="auto"/>
                  <w:vMerge w:val="continue"/>
                  <w:vAlign w:val="center"/>
                </w:tcPr>
                <w:p w14:paraId="4B61BBD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201F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restart"/>
                  <w:vAlign w:val="center"/>
                </w:tcPr>
                <w:p w14:paraId="5958DAD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下风向2#</w:t>
                  </w:r>
                </w:p>
              </w:tc>
              <w:tc>
                <w:tcPr>
                  <w:tcW w:w="0" w:type="auto"/>
                  <w:vAlign w:val="center"/>
                </w:tcPr>
                <w:p w14:paraId="074CC59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DH20221102112-04</w:t>
                  </w:r>
                </w:p>
              </w:tc>
              <w:tc>
                <w:tcPr>
                  <w:tcW w:w="0" w:type="auto"/>
                  <w:vAlign w:val="center"/>
                </w:tcPr>
                <w:p w14:paraId="00D233C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12-05</w:t>
                  </w:r>
                </w:p>
              </w:tc>
              <w:tc>
                <w:tcPr>
                  <w:tcW w:w="0" w:type="auto"/>
                  <w:vAlign w:val="center"/>
                </w:tcPr>
                <w:p w14:paraId="3108803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DH20221102112-06</w:t>
                  </w:r>
                </w:p>
              </w:tc>
              <w:tc>
                <w:tcPr>
                  <w:tcW w:w="0" w:type="auto"/>
                  <w:vMerge w:val="continue"/>
                  <w:vAlign w:val="center"/>
                </w:tcPr>
                <w:p w14:paraId="32DF3F8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7AEB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continue"/>
                  <w:vAlign w:val="center"/>
                </w:tcPr>
                <w:p w14:paraId="35D9217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0" w:type="auto"/>
                  <w:vAlign w:val="center"/>
                </w:tcPr>
                <w:p w14:paraId="6A04B10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0.249</w:t>
                  </w:r>
                </w:p>
              </w:tc>
              <w:tc>
                <w:tcPr>
                  <w:tcW w:w="0" w:type="auto"/>
                  <w:vAlign w:val="center"/>
                </w:tcPr>
                <w:p w14:paraId="3766C86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0.282</w:t>
                  </w:r>
                </w:p>
              </w:tc>
              <w:tc>
                <w:tcPr>
                  <w:tcW w:w="0" w:type="auto"/>
                  <w:vAlign w:val="center"/>
                </w:tcPr>
                <w:p w14:paraId="6FD8583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0.316</w:t>
                  </w:r>
                </w:p>
              </w:tc>
              <w:tc>
                <w:tcPr>
                  <w:tcW w:w="0" w:type="auto"/>
                  <w:vMerge w:val="continue"/>
                  <w:vAlign w:val="center"/>
                </w:tcPr>
                <w:p w14:paraId="1EF7776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5F48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Align w:val="center"/>
                </w:tcPr>
                <w:p w14:paraId="2BB7705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达标情况</w:t>
                  </w:r>
                </w:p>
              </w:tc>
              <w:tc>
                <w:tcPr>
                  <w:tcW w:w="0" w:type="auto"/>
                  <w:vAlign w:val="center"/>
                </w:tcPr>
                <w:p w14:paraId="36799AD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c>
                <w:tcPr>
                  <w:tcW w:w="0" w:type="auto"/>
                  <w:vAlign w:val="center"/>
                </w:tcPr>
                <w:p w14:paraId="02148FFB">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c>
                <w:tcPr>
                  <w:tcW w:w="0" w:type="auto"/>
                  <w:vAlign w:val="center"/>
                </w:tcPr>
                <w:p w14:paraId="025AE88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超标</w:t>
                  </w:r>
                </w:p>
              </w:tc>
              <w:tc>
                <w:tcPr>
                  <w:tcW w:w="0" w:type="auto"/>
                  <w:vMerge w:val="continue"/>
                  <w:vAlign w:val="center"/>
                </w:tcPr>
                <w:p w14:paraId="1B7CAFC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0153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restart"/>
                  <w:vAlign w:val="center"/>
                </w:tcPr>
                <w:p w14:paraId="778076F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下风向3#</w:t>
                  </w:r>
                </w:p>
              </w:tc>
              <w:tc>
                <w:tcPr>
                  <w:tcW w:w="0" w:type="auto"/>
                  <w:vAlign w:val="center"/>
                </w:tcPr>
                <w:p w14:paraId="2A0505F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12-07</w:t>
                  </w:r>
                </w:p>
              </w:tc>
              <w:tc>
                <w:tcPr>
                  <w:tcW w:w="0" w:type="auto"/>
                  <w:vAlign w:val="center"/>
                </w:tcPr>
                <w:p w14:paraId="762B692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12-08</w:t>
                  </w:r>
                </w:p>
              </w:tc>
              <w:tc>
                <w:tcPr>
                  <w:tcW w:w="0" w:type="auto"/>
                  <w:vAlign w:val="center"/>
                </w:tcPr>
                <w:p w14:paraId="41BFBA9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12-09</w:t>
                  </w:r>
                </w:p>
              </w:tc>
              <w:tc>
                <w:tcPr>
                  <w:tcW w:w="0" w:type="auto"/>
                  <w:vMerge w:val="continue"/>
                  <w:vAlign w:val="center"/>
                </w:tcPr>
                <w:p w14:paraId="5992D53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4A9E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continue"/>
                  <w:vAlign w:val="center"/>
                </w:tcPr>
                <w:p w14:paraId="1EFE9C6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0" w:type="auto"/>
                  <w:vAlign w:val="center"/>
                </w:tcPr>
                <w:p w14:paraId="40F95DD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0.532</w:t>
                  </w:r>
                </w:p>
              </w:tc>
              <w:tc>
                <w:tcPr>
                  <w:tcW w:w="0" w:type="auto"/>
                  <w:vAlign w:val="center"/>
                </w:tcPr>
                <w:p w14:paraId="6451D54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0.483</w:t>
                  </w:r>
                </w:p>
              </w:tc>
              <w:tc>
                <w:tcPr>
                  <w:tcW w:w="0" w:type="auto"/>
                  <w:vAlign w:val="center"/>
                </w:tcPr>
                <w:p w14:paraId="7D897FE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0.449</w:t>
                  </w:r>
                </w:p>
              </w:tc>
              <w:tc>
                <w:tcPr>
                  <w:tcW w:w="0" w:type="auto"/>
                  <w:vMerge w:val="continue"/>
                  <w:vAlign w:val="center"/>
                </w:tcPr>
                <w:p w14:paraId="56F0E34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2465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Align w:val="center"/>
                </w:tcPr>
                <w:p w14:paraId="43E6B0B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0" w:type="auto"/>
                  <w:vAlign w:val="center"/>
                </w:tcPr>
                <w:p w14:paraId="388A395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c>
                <w:tcPr>
                  <w:tcW w:w="0" w:type="auto"/>
                  <w:vAlign w:val="center"/>
                </w:tcPr>
                <w:p w14:paraId="7B6D2E1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超标</w:t>
                  </w:r>
                </w:p>
              </w:tc>
              <w:tc>
                <w:tcPr>
                  <w:tcW w:w="0" w:type="auto"/>
                  <w:vAlign w:val="center"/>
                </w:tcPr>
                <w:p w14:paraId="708733C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超标</w:t>
                  </w:r>
                </w:p>
              </w:tc>
              <w:tc>
                <w:tcPr>
                  <w:tcW w:w="0" w:type="auto"/>
                  <w:vMerge w:val="continue"/>
                  <w:vAlign w:val="center"/>
                </w:tcPr>
                <w:p w14:paraId="5AFADB7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5BE2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restart"/>
                  <w:vAlign w:val="center"/>
                </w:tcPr>
                <w:p w14:paraId="549037F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下风向4#</w:t>
                  </w:r>
                </w:p>
              </w:tc>
              <w:tc>
                <w:tcPr>
                  <w:tcW w:w="0" w:type="auto"/>
                  <w:vAlign w:val="center"/>
                </w:tcPr>
                <w:p w14:paraId="24CB60C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DH20221102112-10</w:t>
                  </w:r>
                </w:p>
              </w:tc>
              <w:tc>
                <w:tcPr>
                  <w:tcW w:w="0" w:type="auto"/>
                  <w:vAlign w:val="center"/>
                </w:tcPr>
                <w:p w14:paraId="71A3719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12-11</w:t>
                  </w:r>
                </w:p>
              </w:tc>
              <w:tc>
                <w:tcPr>
                  <w:tcW w:w="0" w:type="auto"/>
                  <w:vAlign w:val="center"/>
                </w:tcPr>
                <w:p w14:paraId="2CE543E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12-12</w:t>
                  </w:r>
                </w:p>
              </w:tc>
              <w:tc>
                <w:tcPr>
                  <w:tcW w:w="0" w:type="auto"/>
                  <w:vMerge w:val="continue"/>
                  <w:vAlign w:val="center"/>
                </w:tcPr>
                <w:p w14:paraId="441D2A6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28C8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0" w:type="auto"/>
                  <w:vMerge w:val="continue"/>
                  <w:vAlign w:val="center"/>
                </w:tcPr>
                <w:p w14:paraId="2AFEC6F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0" w:type="auto"/>
                  <w:vAlign w:val="center"/>
                </w:tcPr>
                <w:p w14:paraId="24015DD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0.383</w:t>
                  </w:r>
                </w:p>
              </w:tc>
              <w:tc>
                <w:tcPr>
                  <w:tcW w:w="0" w:type="auto"/>
                  <w:vAlign w:val="center"/>
                </w:tcPr>
                <w:p w14:paraId="4A8360A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0.399</w:t>
                  </w:r>
                </w:p>
              </w:tc>
              <w:tc>
                <w:tcPr>
                  <w:tcW w:w="0" w:type="auto"/>
                  <w:vAlign w:val="center"/>
                </w:tcPr>
                <w:p w14:paraId="0D11C87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0.333</w:t>
                  </w:r>
                </w:p>
              </w:tc>
              <w:tc>
                <w:tcPr>
                  <w:tcW w:w="0" w:type="auto"/>
                  <w:vMerge w:val="continue"/>
                  <w:vAlign w:val="center"/>
                </w:tcPr>
                <w:p w14:paraId="0D53899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r w14:paraId="0B11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0" w:type="auto"/>
                  <w:vAlign w:val="center"/>
                </w:tcPr>
                <w:p w14:paraId="60A5B41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c>
                <w:tcPr>
                  <w:tcW w:w="0" w:type="auto"/>
                  <w:vAlign w:val="center"/>
                </w:tcPr>
                <w:p w14:paraId="4A988F6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超标</w:t>
                  </w:r>
                </w:p>
              </w:tc>
              <w:tc>
                <w:tcPr>
                  <w:tcW w:w="0" w:type="auto"/>
                  <w:vAlign w:val="center"/>
                </w:tcPr>
                <w:p w14:paraId="64B7199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超标</w:t>
                  </w:r>
                </w:p>
              </w:tc>
              <w:tc>
                <w:tcPr>
                  <w:tcW w:w="0" w:type="auto"/>
                  <w:vAlign w:val="center"/>
                </w:tcPr>
                <w:p w14:paraId="69D1E3E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超标</w:t>
                  </w:r>
                </w:p>
              </w:tc>
              <w:tc>
                <w:tcPr>
                  <w:tcW w:w="0" w:type="auto"/>
                  <w:vMerge w:val="continue"/>
                  <w:vAlign w:val="center"/>
                </w:tcPr>
                <w:p w14:paraId="2B3295F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p>
              </w:tc>
            </w:tr>
          </w:tbl>
          <w:p w14:paraId="1B22DC46">
            <w:pPr>
              <w:autoSpaceDE w:val="0"/>
              <w:autoSpaceDN w:val="0"/>
              <w:adjustRightInd w:val="0"/>
              <w:spacing w:line="360" w:lineRule="auto"/>
              <w:ind w:firstLine="482"/>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由监测结果可知，无组织废气颗粒物上风向满足</w:t>
            </w:r>
            <w:r>
              <w:rPr>
                <w:rFonts w:hint="default" w:ascii="Times New Roman" w:hAnsi="Times New Roman" w:cs="Times New Roman"/>
                <w:color w:val="000000" w:themeColor="text1"/>
                <w:sz w:val="24"/>
                <w:lang w:val="zh-CN"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环境空气质量标准</w:t>
            </w:r>
            <w:r>
              <w:rPr>
                <w:rFonts w:hint="default" w:ascii="Times New Roman" w:hAnsi="Times New Roman" w:cs="Times New Roman"/>
                <w:color w:val="000000" w:themeColor="text1"/>
                <w:sz w:val="24"/>
                <w:lang w:val="zh-CN"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GB3095-2012</w:t>
            </w:r>
            <w:r>
              <w:rPr>
                <w:rFonts w:hint="default" w:ascii="Times New Roman" w:hAnsi="Times New Roman" w:cs="Times New Roman"/>
                <w:color w:val="000000" w:themeColor="text1"/>
                <w:sz w:val="24"/>
                <w:lang w:val="zh-CN"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二级标准，下风向平均浓度0.488，超出环境空气质量标准限值。</w:t>
            </w:r>
          </w:p>
          <w:p w14:paraId="58176EB6">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en-US"/>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3-3 </w:t>
            </w:r>
            <w:r>
              <w:rPr>
                <w:rFonts w:hint="default" w:ascii="Times New Roman" w:hAnsi="Times New Roman" w:cs="Times New Roman"/>
                <w:b/>
                <w:bCs/>
                <w:color w:val="000000"/>
                <w:spacing w:val="0"/>
                <w:w w:val="100"/>
                <w:position w:val="0"/>
                <w:lang w:val="zh-TW" w:eastAsia="zh-TW" w:bidi="zh-TW"/>
              </w:rPr>
              <w:t>硫化氢</w:t>
            </w:r>
            <w:r>
              <w:rPr>
                <w:rFonts w:hint="default" w:ascii="Times New Roman" w:hAnsi="Times New Roman" w:cs="Times New Roman"/>
                <w:b/>
                <w:color w:val="auto"/>
                <w:szCs w:val="22"/>
              </w:rPr>
              <w:t>监测结果表</w:t>
            </w:r>
            <w:r>
              <w:rPr>
                <w:rFonts w:hint="default" w:ascii="Times New Roman" w:hAnsi="Times New Roman" w:cs="Times New Roman"/>
                <w:b/>
                <w:color w:val="auto"/>
                <w:szCs w:val="22"/>
              </w:rPr>
              <w:tab/>
            </w:r>
            <w:r>
              <w:rPr>
                <w:rFonts w:hint="default" w:ascii="Times New Roman" w:hAnsi="Times New Roman" w:cs="Times New Roman"/>
                <w:b/>
                <w:color w:val="auto"/>
                <w:szCs w:val="22"/>
              </w:rPr>
              <w:t xml:space="preserve"> 单位：mg/m</w:t>
            </w:r>
            <w:r>
              <w:rPr>
                <w:rFonts w:hint="default" w:ascii="Times New Roman" w:hAnsi="Times New Roman" w:cs="Times New Roman"/>
                <w:b/>
                <w:color w:val="auto"/>
                <w:szCs w:val="22"/>
                <w:vertAlign w:val="superscript"/>
              </w:rPr>
              <w:t>3</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2217"/>
              <w:gridCol w:w="2342"/>
              <w:gridCol w:w="2228"/>
            </w:tblGrid>
            <w:tr w14:paraId="1823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5B398AB">
                  <w:pPr>
                    <w:spacing w:line="240" w:lineRule="auto"/>
                    <w:ind w:left="0"/>
                    <w:jc w:val="center"/>
                    <w:rPr>
                      <w:rFonts w:hint="default" w:ascii="Times New Roman" w:hAnsi="Times New Roman" w:eastAsia="宋体" w:cs="Times New Roman"/>
                      <w:b/>
                      <w:bCs w:val="0"/>
                      <w:color w:val="auto"/>
                      <w:sz w:val="21"/>
                      <w:szCs w:val="21"/>
                      <w:lang w:val="en-US" w:eastAsia="zh-CN"/>
                    </w:rPr>
                  </w:pPr>
                </w:p>
                <w:p w14:paraId="738D2885">
                  <w:pPr>
                    <w:spacing w:line="240" w:lineRule="auto"/>
                    <w:ind w:left="0"/>
                    <w:jc w:val="center"/>
                    <mc:AlternateContent>
                      <mc:Choice Requires="wpsCustomData">
                        <wpsCustomData:diagonalParaType/>
                      </mc:Choice>
                    </mc:AlternateContent>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点位</w:t>
                  </w:r>
                </w:p>
                <w:p w14:paraId="086319CE">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项目/编号</w:t>
                  </w:r>
                </w:p>
              </w:tc>
              <w:tc>
                <w:tcPr>
                  <w:tcW w:w="6787" w:type="dxa"/>
                  <w:gridSpan w:val="3"/>
                  <w:vAlign w:val="center"/>
                </w:tcPr>
                <w:p w14:paraId="2084141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000000"/>
                      <w:spacing w:val="0"/>
                      <w:w w:val="100"/>
                      <w:position w:val="0"/>
                      <w:lang w:val="en-US" w:eastAsia="en-US" w:bidi="en-US"/>
                    </w:rPr>
                    <w:t>2022.11.04</w:t>
                  </w:r>
                </w:p>
              </w:tc>
            </w:tr>
            <w:tr w14:paraId="541D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112" w:type="dxa"/>
                  <w:vMerge w:val="continue"/>
                  <w:vAlign w:val="center"/>
                </w:tcPr>
                <w:p w14:paraId="485D5084">
                  <w:pPr>
                    <w:spacing w:line="240" w:lineRule="auto"/>
                    <w:ind w:left="0"/>
                    <w:jc w:val="center"/>
                    <w:rPr>
                      <w:rFonts w:hint="default" w:ascii="Times New Roman" w:hAnsi="Times New Roman" w:eastAsia="宋体" w:cs="Times New Roman"/>
                      <w:b/>
                      <w:bCs w:val="0"/>
                      <w:color w:val="auto"/>
                      <w:sz w:val="21"/>
                      <w:szCs w:val="21"/>
                      <w:lang w:val="en-US" w:eastAsia="zh-CN"/>
                    </w:rPr>
                  </w:pPr>
                </w:p>
              </w:tc>
              <w:tc>
                <w:tcPr>
                  <w:tcW w:w="6787" w:type="dxa"/>
                  <w:gridSpan w:val="3"/>
                  <w:vAlign w:val="center"/>
                </w:tcPr>
                <w:p w14:paraId="0A3002C6">
                  <w:pPr>
                    <w:pStyle w:val="76"/>
                    <w:keepNext w:val="0"/>
                    <w:keepLines w:val="0"/>
                    <w:widowControl w:val="0"/>
                    <w:shd w:val="clear" w:color="auto" w:fill="auto"/>
                    <w:bidi w:val="0"/>
                    <w:spacing w:before="80" w:after="0" w:line="24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000000"/>
                      <w:spacing w:val="0"/>
                      <w:w w:val="100"/>
                      <w:position w:val="0"/>
                      <w:lang w:val="zh-TW" w:eastAsia="zh-TW" w:bidi="zh-TW"/>
                    </w:rPr>
                    <w:t>硫化氢</w:t>
                  </w:r>
                </w:p>
              </w:tc>
            </w:tr>
            <w:tr w14:paraId="60BC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Align w:val="center"/>
                </w:tcPr>
                <w:p w14:paraId="0093031D">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zh-TW" w:eastAsia="zh-TW" w:bidi="zh-TW"/>
                    </w:rPr>
                  </w:pPr>
                  <w:r>
                    <w:rPr>
                      <w:rFonts w:hint="default" w:ascii="Times New Roman" w:hAnsi="Times New Roman" w:cs="Times New Roman"/>
                      <w:b/>
                      <w:bCs/>
                      <w:color w:val="auto"/>
                      <w:sz w:val="21"/>
                      <w:szCs w:val="21"/>
                      <w:lang w:val="en-US" w:eastAsia="zh-CN"/>
                    </w:rPr>
                    <w:t>时间</w:t>
                  </w:r>
                </w:p>
              </w:tc>
              <w:tc>
                <w:tcPr>
                  <w:tcW w:w="2217" w:type="dxa"/>
                  <w:vAlign w:val="center"/>
                </w:tcPr>
                <w:p w14:paraId="7494C35A">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en-US" w:eastAsia="en-US" w:bidi="en-US"/>
                    </w:rPr>
                  </w:pPr>
                  <w:r>
                    <w:rPr>
                      <w:rFonts w:hint="default" w:ascii="Times New Roman" w:hAnsi="Times New Roman" w:cs="Times New Roman"/>
                      <w:b/>
                      <w:bCs/>
                      <w:color w:val="auto"/>
                      <w:sz w:val="21"/>
                      <w:szCs w:val="21"/>
                      <w:lang w:val="en-US" w:eastAsia="zh-CN"/>
                    </w:rPr>
                    <w:t>09:20-10:20</w:t>
                  </w:r>
                </w:p>
              </w:tc>
              <w:tc>
                <w:tcPr>
                  <w:tcW w:w="2342" w:type="dxa"/>
                  <w:vAlign w:val="center"/>
                </w:tcPr>
                <w:p w14:paraId="2CBB01DD">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en-US" w:eastAsia="en-US" w:bidi="en-US"/>
                    </w:rPr>
                  </w:pPr>
                  <w:r>
                    <w:rPr>
                      <w:rFonts w:hint="default" w:ascii="Times New Roman" w:hAnsi="Times New Roman" w:cs="Times New Roman"/>
                      <w:b/>
                      <w:bCs/>
                      <w:color w:val="auto"/>
                      <w:sz w:val="21"/>
                      <w:szCs w:val="21"/>
                      <w:lang w:val="en-US" w:eastAsia="zh-CN"/>
                    </w:rPr>
                    <w:t>13:10-14:10</w:t>
                  </w:r>
                </w:p>
              </w:tc>
              <w:tc>
                <w:tcPr>
                  <w:tcW w:w="2228" w:type="dxa"/>
                  <w:vAlign w:val="center"/>
                </w:tcPr>
                <w:p w14:paraId="288C54E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en-US" w:eastAsia="en-US" w:bidi="en-US"/>
                    </w:rPr>
                  </w:pPr>
                  <w:r>
                    <w:rPr>
                      <w:rFonts w:hint="default" w:ascii="Times New Roman" w:hAnsi="Times New Roman" w:cs="Times New Roman"/>
                      <w:b/>
                      <w:bCs/>
                      <w:color w:val="auto"/>
                      <w:sz w:val="21"/>
                      <w:szCs w:val="21"/>
                      <w:lang w:val="en-US" w:eastAsia="zh-CN"/>
                    </w:rPr>
                    <w:t>17:00-18:00</w:t>
                  </w:r>
                </w:p>
              </w:tc>
            </w:tr>
            <w:tr w14:paraId="4CF3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restart"/>
                  <w:vAlign w:val="center"/>
                </w:tcPr>
                <w:p w14:paraId="4D2421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上风向1#</w:t>
                  </w:r>
                </w:p>
              </w:tc>
              <w:tc>
                <w:tcPr>
                  <w:tcW w:w="2217" w:type="dxa"/>
                  <w:vAlign w:val="center"/>
                </w:tcPr>
                <w:p w14:paraId="452B0DF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DH20221102112-13</w:t>
                  </w:r>
                </w:p>
              </w:tc>
              <w:tc>
                <w:tcPr>
                  <w:tcW w:w="2342" w:type="dxa"/>
                  <w:vAlign w:val="center"/>
                </w:tcPr>
                <w:p w14:paraId="025695C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12-14</w:t>
                  </w:r>
                </w:p>
              </w:tc>
              <w:tc>
                <w:tcPr>
                  <w:tcW w:w="2228" w:type="dxa"/>
                  <w:vAlign w:val="center"/>
                </w:tcPr>
                <w:p w14:paraId="5E7A138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DH20221102112-15</w:t>
                  </w:r>
                </w:p>
              </w:tc>
            </w:tr>
            <w:tr w14:paraId="4EDC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continue"/>
                  <w:vAlign w:val="center"/>
                </w:tcPr>
                <w:p w14:paraId="05AC114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217" w:type="dxa"/>
                  <w:vAlign w:val="center"/>
                </w:tcPr>
                <w:p w14:paraId="6A7A118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0.007</w:t>
                  </w:r>
                </w:p>
              </w:tc>
              <w:tc>
                <w:tcPr>
                  <w:tcW w:w="2342" w:type="dxa"/>
                  <w:vAlign w:val="center"/>
                </w:tcPr>
                <w:p w14:paraId="4776F83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0.005</w:t>
                  </w:r>
                </w:p>
              </w:tc>
              <w:tc>
                <w:tcPr>
                  <w:tcW w:w="2228" w:type="dxa"/>
                  <w:vAlign w:val="center"/>
                </w:tcPr>
                <w:p w14:paraId="41EA5A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0.006</w:t>
                  </w:r>
                </w:p>
              </w:tc>
            </w:tr>
            <w:tr w14:paraId="601A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restart"/>
                  <w:vAlign w:val="center"/>
                </w:tcPr>
                <w:p w14:paraId="2A1B2BD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下风向2#</w:t>
                  </w:r>
                </w:p>
              </w:tc>
              <w:tc>
                <w:tcPr>
                  <w:tcW w:w="2217" w:type="dxa"/>
                  <w:vAlign w:val="center"/>
                </w:tcPr>
                <w:p w14:paraId="4DBD5DE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DH20221102112-16</w:t>
                  </w:r>
                </w:p>
              </w:tc>
              <w:tc>
                <w:tcPr>
                  <w:tcW w:w="2342" w:type="dxa"/>
                  <w:vAlign w:val="center"/>
                </w:tcPr>
                <w:p w14:paraId="01B3BA8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12-17</w:t>
                  </w:r>
                </w:p>
              </w:tc>
              <w:tc>
                <w:tcPr>
                  <w:tcW w:w="2228" w:type="dxa"/>
                  <w:vAlign w:val="center"/>
                </w:tcPr>
                <w:p w14:paraId="1D14DAE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DH20221102112-18</w:t>
                  </w:r>
                </w:p>
              </w:tc>
            </w:tr>
            <w:tr w14:paraId="58DF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continue"/>
                  <w:vAlign w:val="center"/>
                </w:tcPr>
                <w:p w14:paraId="5C20533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217" w:type="dxa"/>
                  <w:vAlign w:val="center"/>
                </w:tcPr>
                <w:p w14:paraId="6ADC0CF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0.010</w:t>
                  </w:r>
                </w:p>
              </w:tc>
              <w:tc>
                <w:tcPr>
                  <w:tcW w:w="2342" w:type="dxa"/>
                  <w:vAlign w:val="center"/>
                </w:tcPr>
                <w:p w14:paraId="49A9154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0.007</w:t>
                  </w:r>
                </w:p>
              </w:tc>
              <w:tc>
                <w:tcPr>
                  <w:tcW w:w="2228" w:type="dxa"/>
                  <w:vAlign w:val="center"/>
                </w:tcPr>
                <w:p w14:paraId="2FE4FF7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0.008</w:t>
                  </w:r>
                </w:p>
              </w:tc>
            </w:tr>
            <w:tr w14:paraId="4B62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restart"/>
                  <w:vAlign w:val="center"/>
                </w:tcPr>
                <w:p w14:paraId="14484C3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下风向3#</w:t>
                  </w:r>
                </w:p>
              </w:tc>
              <w:tc>
                <w:tcPr>
                  <w:tcW w:w="2217" w:type="dxa"/>
                  <w:vAlign w:val="center"/>
                </w:tcPr>
                <w:p w14:paraId="4FD8953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DH20221102112-19</w:t>
                  </w:r>
                </w:p>
              </w:tc>
              <w:tc>
                <w:tcPr>
                  <w:tcW w:w="2342" w:type="dxa"/>
                  <w:vAlign w:val="center"/>
                </w:tcPr>
                <w:p w14:paraId="7786182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12-20</w:t>
                  </w:r>
                </w:p>
              </w:tc>
              <w:tc>
                <w:tcPr>
                  <w:tcW w:w="2228" w:type="dxa"/>
                  <w:vAlign w:val="center"/>
                </w:tcPr>
                <w:p w14:paraId="4756FD8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12-21</w:t>
                  </w:r>
                </w:p>
              </w:tc>
            </w:tr>
            <w:tr w14:paraId="0FCA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continue"/>
                  <w:vAlign w:val="center"/>
                </w:tcPr>
                <w:p w14:paraId="5F37196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217" w:type="dxa"/>
                  <w:vAlign w:val="center"/>
                </w:tcPr>
                <w:p w14:paraId="3F54B11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0.013</w:t>
                  </w:r>
                </w:p>
              </w:tc>
              <w:tc>
                <w:tcPr>
                  <w:tcW w:w="2342" w:type="dxa"/>
                  <w:vAlign w:val="center"/>
                </w:tcPr>
                <w:p w14:paraId="2D83E53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0.009</w:t>
                  </w:r>
                </w:p>
              </w:tc>
              <w:tc>
                <w:tcPr>
                  <w:tcW w:w="2228" w:type="dxa"/>
                  <w:vAlign w:val="center"/>
                </w:tcPr>
                <w:p w14:paraId="362B805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0.011</w:t>
                  </w:r>
                </w:p>
              </w:tc>
            </w:tr>
            <w:tr w14:paraId="68FF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112" w:type="dxa"/>
                  <w:vMerge w:val="restart"/>
                  <w:vAlign w:val="center"/>
                </w:tcPr>
                <w:p w14:paraId="6175505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下风向4#</w:t>
                  </w:r>
                </w:p>
              </w:tc>
              <w:tc>
                <w:tcPr>
                  <w:tcW w:w="2217" w:type="dxa"/>
                  <w:vAlign w:val="center"/>
                </w:tcPr>
                <w:p w14:paraId="40E2DE4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12-22</w:t>
                  </w:r>
                </w:p>
              </w:tc>
              <w:tc>
                <w:tcPr>
                  <w:tcW w:w="2342" w:type="dxa"/>
                  <w:vAlign w:val="center"/>
                </w:tcPr>
                <w:p w14:paraId="5E73225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12-23</w:t>
                  </w:r>
                </w:p>
              </w:tc>
              <w:tc>
                <w:tcPr>
                  <w:tcW w:w="2228" w:type="dxa"/>
                  <w:vAlign w:val="center"/>
                </w:tcPr>
                <w:p w14:paraId="5876463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12-24</w:t>
                  </w:r>
                </w:p>
              </w:tc>
            </w:tr>
            <w:tr w14:paraId="39C4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12" w:type="dxa"/>
                  <w:vMerge w:val="continue"/>
                  <w:vAlign w:val="center"/>
                </w:tcPr>
                <w:p w14:paraId="2040300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217" w:type="dxa"/>
                  <w:vAlign w:val="center"/>
                </w:tcPr>
                <w:p w14:paraId="5160904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0.011</w:t>
                  </w:r>
                </w:p>
              </w:tc>
              <w:tc>
                <w:tcPr>
                  <w:tcW w:w="2342" w:type="dxa"/>
                  <w:vAlign w:val="center"/>
                </w:tcPr>
                <w:p w14:paraId="5369646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0.008</w:t>
                  </w:r>
                </w:p>
              </w:tc>
              <w:tc>
                <w:tcPr>
                  <w:tcW w:w="2228" w:type="dxa"/>
                  <w:vAlign w:val="center"/>
                </w:tcPr>
                <w:p w14:paraId="2F00578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0.010</w:t>
                  </w:r>
                </w:p>
              </w:tc>
            </w:tr>
            <w:tr w14:paraId="0047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12" w:type="dxa"/>
                  <w:vAlign w:val="center"/>
                </w:tcPr>
                <w:p w14:paraId="172E199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标准限值</w:t>
                  </w:r>
                </w:p>
              </w:tc>
              <w:tc>
                <w:tcPr>
                  <w:tcW w:w="6787" w:type="dxa"/>
                  <w:gridSpan w:val="3"/>
                  <w:vAlign w:val="center"/>
                </w:tcPr>
                <w:p w14:paraId="1D88576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lang w:val="en-US" w:eastAsia="zh-CN"/>
                    </w:rPr>
                    <w:t>0.01</w:t>
                  </w:r>
                </w:p>
              </w:tc>
            </w:tr>
            <w:tr w14:paraId="082D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12" w:type="dxa"/>
                  <w:vAlign w:val="center"/>
                </w:tcPr>
                <w:p w14:paraId="0F79E7B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达标情况</w:t>
                  </w:r>
                </w:p>
              </w:tc>
              <w:tc>
                <w:tcPr>
                  <w:tcW w:w="2217" w:type="dxa"/>
                  <w:vAlign w:val="center"/>
                </w:tcPr>
                <w:p w14:paraId="287F091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2342" w:type="dxa"/>
                  <w:vAlign w:val="center"/>
                </w:tcPr>
                <w:p w14:paraId="1104915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2228" w:type="dxa"/>
                  <w:vAlign w:val="center"/>
                </w:tcPr>
                <w:p w14:paraId="2DDF548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750CD6CE">
            <w:pPr>
              <w:spacing w:line="360" w:lineRule="auto"/>
              <w:ind w:firstLine="480" w:firstLineChars="200"/>
              <w:rPr>
                <w:rFonts w:hint="default" w:ascii="Times New Roman" w:hAnsi="Times New Roman" w:cs="Times New Roman"/>
                <w:color w:val="000000" w:themeColor="text1"/>
                <w:sz w:val="24"/>
                <w:lang w:val="en-US" w:eastAsia="en-US"/>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根据监测结果表明，硫化氢《恶臭污染物排放标准》（GB14554-93）中表1中二级标准。</w:t>
            </w:r>
          </w:p>
          <w:p w14:paraId="03E31750">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en-US"/>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3-4 </w:t>
            </w:r>
            <w:r>
              <w:rPr>
                <w:rFonts w:hint="default" w:ascii="Times New Roman" w:hAnsi="Times New Roman" w:cs="Times New Roman"/>
                <w:b/>
                <w:bCs/>
                <w:color w:val="000000"/>
                <w:spacing w:val="0"/>
                <w:w w:val="100"/>
                <w:position w:val="0"/>
                <w:lang w:val="zh-TW" w:eastAsia="zh-TW" w:bidi="zh-TW"/>
              </w:rPr>
              <w:t>氨</w:t>
            </w:r>
            <w:r>
              <w:rPr>
                <w:rFonts w:hint="default" w:ascii="Times New Roman" w:hAnsi="Times New Roman" w:cs="Times New Roman"/>
                <w:b/>
                <w:color w:val="auto"/>
                <w:szCs w:val="22"/>
              </w:rPr>
              <w:t>监测结果表</w:t>
            </w:r>
            <w:r>
              <w:rPr>
                <w:rFonts w:hint="default" w:ascii="Times New Roman" w:hAnsi="Times New Roman" w:cs="Times New Roman"/>
                <w:b/>
                <w:color w:val="auto"/>
                <w:szCs w:val="22"/>
              </w:rPr>
              <w:tab/>
            </w:r>
            <w:r>
              <w:rPr>
                <w:rFonts w:hint="default" w:ascii="Times New Roman" w:hAnsi="Times New Roman" w:cs="Times New Roman"/>
                <w:b/>
                <w:color w:val="auto"/>
                <w:szCs w:val="22"/>
              </w:rPr>
              <w:t xml:space="preserve"> 单位：mg/m</w:t>
            </w:r>
            <w:r>
              <w:rPr>
                <w:rFonts w:hint="default" w:ascii="Times New Roman" w:hAnsi="Times New Roman" w:cs="Times New Roman"/>
                <w:b/>
                <w:color w:val="auto"/>
                <w:szCs w:val="22"/>
                <w:vertAlign w:val="superscript"/>
              </w:rPr>
              <w:t>3</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2"/>
              <w:gridCol w:w="2349"/>
              <w:gridCol w:w="2337"/>
              <w:gridCol w:w="2281"/>
            </w:tblGrid>
            <w:tr w14:paraId="3688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5485BA3">
                  <w:pPr>
                    <w:spacing w:line="240" w:lineRule="auto"/>
                    <w:ind w:left="0"/>
                    <w:jc w:val="center"/>
                    <w:rPr>
                      <w:rFonts w:hint="default" w:ascii="Times New Roman" w:hAnsi="Times New Roman" w:eastAsia="宋体" w:cs="Times New Roman"/>
                      <w:b/>
                      <w:bCs w:val="0"/>
                      <w:color w:val="auto"/>
                      <w:sz w:val="21"/>
                      <w:szCs w:val="21"/>
                      <w:lang w:val="en-US" w:eastAsia="zh-CN"/>
                    </w:rPr>
                  </w:pPr>
                </w:p>
                <w:p w14:paraId="55ABFB45">
                  <w:pPr>
                    <w:spacing w:line="240" w:lineRule="auto"/>
                    <w:ind w:left="0"/>
                    <w:jc w:val="center"/>
                    <mc:AlternateContent>
                      <mc:Choice Requires="wpsCustomData">
                        <wpsCustomData:diagonalParaType/>
                      </mc:Choice>
                    </mc:AlternateContent>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点位</w:t>
                  </w:r>
                </w:p>
                <w:p w14:paraId="0305973F">
                  <w:pPr>
                    <w:spacing w:line="240" w:lineRule="auto"/>
                    <w:ind w:left="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项目/编号</w:t>
                  </w:r>
                </w:p>
              </w:tc>
              <w:tc>
                <w:tcPr>
                  <w:tcW w:w="6967" w:type="dxa"/>
                  <w:gridSpan w:val="3"/>
                  <w:vAlign w:val="center"/>
                </w:tcPr>
                <w:p w14:paraId="5B3A4AE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000000"/>
                      <w:spacing w:val="0"/>
                      <w:w w:val="100"/>
                      <w:position w:val="0"/>
                      <w:lang w:val="en-US" w:eastAsia="en-US" w:bidi="en-US"/>
                    </w:rPr>
                    <w:t>2022.11.04</w:t>
                  </w:r>
                </w:p>
              </w:tc>
            </w:tr>
            <w:tr w14:paraId="68FF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032" w:type="dxa"/>
                  <w:vMerge w:val="continue"/>
                  <w:vAlign w:val="center"/>
                </w:tcPr>
                <w:p w14:paraId="2BF39807">
                  <w:pPr>
                    <w:spacing w:line="240" w:lineRule="auto"/>
                    <w:ind w:left="0"/>
                    <w:jc w:val="center"/>
                    <w:rPr>
                      <w:rFonts w:hint="default" w:ascii="Times New Roman" w:hAnsi="Times New Roman" w:eastAsia="宋体" w:cs="Times New Roman"/>
                      <w:b/>
                      <w:bCs w:val="0"/>
                      <w:color w:val="auto"/>
                      <w:sz w:val="21"/>
                      <w:szCs w:val="21"/>
                      <w:lang w:val="en-US" w:eastAsia="zh-CN"/>
                    </w:rPr>
                  </w:pPr>
                </w:p>
              </w:tc>
              <w:tc>
                <w:tcPr>
                  <w:tcW w:w="6967" w:type="dxa"/>
                  <w:gridSpan w:val="3"/>
                  <w:vAlign w:val="center"/>
                </w:tcPr>
                <w:p w14:paraId="78907CB6">
                  <w:pPr>
                    <w:pStyle w:val="76"/>
                    <w:keepNext w:val="0"/>
                    <w:keepLines w:val="0"/>
                    <w:widowControl w:val="0"/>
                    <w:shd w:val="clear" w:color="auto" w:fill="auto"/>
                    <w:bidi w:val="0"/>
                    <w:spacing w:before="80" w:after="0" w:line="24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000000"/>
                      <w:spacing w:val="0"/>
                      <w:w w:val="100"/>
                      <w:position w:val="0"/>
                      <w:lang w:val="zh-TW" w:eastAsia="zh-TW" w:bidi="zh-TW"/>
                    </w:rPr>
                    <w:t>氨</w:t>
                  </w:r>
                </w:p>
              </w:tc>
            </w:tr>
            <w:tr w14:paraId="74E8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Align w:val="center"/>
                </w:tcPr>
                <w:p w14:paraId="653C2DE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zh-TW" w:eastAsia="zh-TW" w:bidi="zh-TW"/>
                    </w:rPr>
                  </w:pPr>
                  <w:r>
                    <w:rPr>
                      <w:rFonts w:hint="default" w:ascii="Times New Roman" w:hAnsi="Times New Roman" w:cs="Times New Roman"/>
                      <w:b/>
                      <w:bCs/>
                      <w:color w:val="auto"/>
                      <w:sz w:val="21"/>
                      <w:szCs w:val="21"/>
                      <w:lang w:val="en-US" w:eastAsia="zh-CN"/>
                    </w:rPr>
                    <w:t>时间</w:t>
                  </w:r>
                </w:p>
              </w:tc>
              <w:tc>
                <w:tcPr>
                  <w:tcW w:w="2349" w:type="dxa"/>
                  <w:vAlign w:val="center"/>
                </w:tcPr>
                <w:p w14:paraId="76004DCA">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en-US" w:eastAsia="en-US" w:bidi="en-US"/>
                    </w:rPr>
                  </w:pPr>
                  <w:r>
                    <w:rPr>
                      <w:rFonts w:hint="default" w:ascii="Times New Roman" w:hAnsi="Times New Roman" w:cs="Times New Roman"/>
                      <w:b/>
                      <w:bCs/>
                      <w:color w:val="auto"/>
                      <w:sz w:val="21"/>
                      <w:szCs w:val="21"/>
                      <w:lang w:val="en-US" w:eastAsia="zh-CN"/>
                    </w:rPr>
                    <w:t>09:20-10:20</w:t>
                  </w:r>
                </w:p>
              </w:tc>
              <w:tc>
                <w:tcPr>
                  <w:tcW w:w="2337" w:type="dxa"/>
                  <w:vAlign w:val="center"/>
                </w:tcPr>
                <w:p w14:paraId="4762542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en-US" w:eastAsia="en-US" w:bidi="en-US"/>
                    </w:rPr>
                  </w:pPr>
                  <w:r>
                    <w:rPr>
                      <w:rFonts w:hint="default" w:ascii="Times New Roman" w:hAnsi="Times New Roman" w:cs="Times New Roman"/>
                      <w:b/>
                      <w:bCs/>
                      <w:color w:val="auto"/>
                      <w:sz w:val="21"/>
                      <w:szCs w:val="21"/>
                      <w:lang w:val="en-US" w:eastAsia="zh-CN"/>
                    </w:rPr>
                    <w:t>13:10-14:10</w:t>
                  </w:r>
                </w:p>
              </w:tc>
              <w:tc>
                <w:tcPr>
                  <w:tcW w:w="2281" w:type="dxa"/>
                  <w:vAlign w:val="center"/>
                </w:tcPr>
                <w:p w14:paraId="2131D96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000000"/>
                      <w:spacing w:val="0"/>
                      <w:w w:val="100"/>
                      <w:position w:val="0"/>
                      <w:lang w:val="en-US" w:eastAsia="en-US" w:bidi="en-US"/>
                    </w:rPr>
                  </w:pPr>
                  <w:r>
                    <w:rPr>
                      <w:rFonts w:hint="default" w:ascii="Times New Roman" w:hAnsi="Times New Roman" w:cs="Times New Roman"/>
                      <w:b/>
                      <w:bCs/>
                      <w:color w:val="auto"/>
                      <w:sz w:val="21"/>
                      <w:szCs w:val="21"/>
                      <w:lang w:val="en-US" w:eastAsia="zh-CN"/>
                    </w:rPr>
                    <w:t>17:00-18:00</w:t>
                  </w:r>
                </w:p>
              </w:tc>
            </w:tr>
            <w:tr w14:paraId="5416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restart"/>
                  <w:vAlign w:val="center"/>
                </w:tcPr>
                <w:p w14:paraId="141C4B1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上风向1#</w:t>
                  </w:r>
                </w:p>
              </w:tc>
              <w:tc>
                <w:tcPr>
                  <w:tcW w:w="2349" w:type="dxa"/>
                  <w:vAlign w:val="center"/>
                </w:tcPr>
                <w:p w14:paraId="373D31C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12-25</w:t>
                  </w:r>
                </w:p>
              </w:tc>
              <w:tc>
                <w:tcPr>
                  <w:tcW w:w="2337" w:type="dxa"/>
                  <w:vAlign w:val="center"/>
                </w:tcPr>
                <w:p w14:paraId="5F60136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12-26</w:t>
                  </w:r>
                </w:p>
              </w:tc>
              <w:tc>
                <w:tcPr>
                  <w:tcW w:w="2281" w:type="dxa"/>
                  <w:vAlign w:val="center"/>
                </w:tcPr>
                <w:p w14:paraId="08BC7DD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DH20221102112-27</w:t>
                  </w:r>
                </w:p>
              </w:tc>
            </w:tr>
            <w:tr w14:paraId="72F8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continue"/>
                  <w:vAlign w:val="center"/>
                </w:tcPr>
                <w:p w14:paraId="401E3DD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349" w:type="dxa"/>
                  <w:vAlign w:val="center"/>
                </w:tcPr>
                <w:p w14:paraId="634CF05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0.09</w:t>
                  </w:r>
                </w:p>
              </w:tc>
              <w:tc>
                <w:tcPr>
                  <w:tcW w:w="2337" w:type="dxa"/>
                  <w:vAlign w:val="center"/>
                </w:tcPr>
                <w:p w14:paraId="0359432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0.05</w:t>
                  </w:r>
                </w:p>
              </w:tc>
              <w:tc>
                <w:tcPr>
                  <w:tcW w:w="2281" w:type="dxa"/>
                  <w:vAlign w:val="center"/>
                </w:tcPr>
                <w:p w14:paraId="54A6AD9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0.07</w:t>
                  </w:r>
                </w:p>
              </w:tc>
            </w:tr>
            <w:tr w14:paraId="12AE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restart"/>
                  <w:vAlign w:val="center"/>
                </w:tcPr>
                <w:p w14:paraId="66FC14C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下风向2#</w:t>
                  </w:r>
                </w:p>
              </w:tc>
              <w:tc>
                <w:tcPr>
                  <w:tcW w:w="2349" w:type="dxa"/>
                  <w:vAlign w:val="center"/>
                </w:tcPr>
                <w:p w14:paraId="15D4A91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DH20221102112-28</w:t>
                  </w:r>
                </w:p>
              </w:tc>
              <w:tc>
                <w:tcPr>
                  <w:tcW w:w="2337" w:type="dxa"/>
                  <w:vAlign w:val="center"/>
                </w:tcPr>
                <w:p w14:paraId="3F2EC12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12-29</w:t>
                  </w:r>
                </w:p>
              </w:tc>
              <w:tc>
                <w:tcPr>
                  <w:tcW w:w="2281" w:type="dxa"/>
                  <w:vAlign w:val="center"/>
                </w:tcPr>
                <w:p w14:paraId="60C93A2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DH20221102112-30</w:t>
                  </w:r>
                </w:p>
              </w:tc>
            </w:tr>
            <w:tr w14:paraId="5410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continue"/>
                  <w:vAlign w:val="center"/>
                </w:tcPr>
                <w:p w14:paraId="460560E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349" w:type="dxa"/>
                  <w:vAlign w:val="center"/>
                </w:tcPr>
                <w:p w14:paraId="040F427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0.18</w:t>
                  </w:r>
                </w:p>
              </w:tc>
              <w:tc>
                <w:tcPr>
                  <w:tcW w:w="2337" w:type="dxa"/>
                  <w:vAlign w:val="center"/>
                </w:tcPr>
                <w:p w14:paraId="4998886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0.14</w:t>
                  </w:r>
                </w:p>
              </w:tc>
              <w:tc>
                <w:tcPr>
                  <w:tcW w:w="2281" w:type="dxa"/>
                  <w:vAlign w:val="center"/>
                </w:tcPr>
                <w:p w14:paraId="2DBEC3F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0.16</w:t>
                  </w:r>
                </w:p>
              </w:tc>
            </w:tr>
            <w:tr w14:paraId="0279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restart"/>
                  <w:vAlign w:val="center"/>
                </w:tcPr>
                <w:p w14:paraId="0A8F284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下风向3#</w:t>
                  </w:r>
                </w:p>
              </w:tc>
              <w:tc>
                <w:tcPr>
                  <w:tcW w:w="2349" w:type="dxa"/>
                  <w:vAlign w:val="center"/>
                </w:tcPr>
                <w:p w14:paraId="22F344C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DH20221102112-31</w:t>
                  </w:r>
                </w:p>
              </w:tc>
              <w:tc>
                <w:tcPr>
                  <w:tcW w:w="2337" w:type="dxa"/>
                  <w:vAlign w:val="center"/>
                </w:tcPr>
                <w:p w14:paraId="3D351D9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12-32</w:t>
                  </w:r>
                </w:p>
              </w:tc>
              <w:tc>
                <w:tcPr>
                  <w:tcW w:w="2281" w:type="dxa"/>
                  <w:vAlign w:val="center"/>
                </w:tcPr>
                <w:p w14:paraId="79C4045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12-33</w:t>
                  </w:r>
                </w:p>
              </w:tc>
            </w:tr>
            <w:tr w14:paraId="5917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continue"/>
                  <w:vAlign w:val="center"/>
                </w:tcPr>
                <w:p w14:paraId="29F9D03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p>
              </w:tc>
              <w:tc>
                <w:tcPr>
                  <w:tcW w:w="2349" w:type="dxa"/>
                  <w:vAlign w:val="center"/>
                </w:tcPr>
                <w:p w14:paraId="774D51E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0.20</w:t>
                  </w:r>
                </w:p>
              </w:tc>
              <w:tc>
                <w:tcPr>
                  <w:tcW w:w="2337" w:type="dxa"/>
                  <w:vAlign w:val="center"/>
                </w:tcPr>
                <w:p w14:paraId="36CF66D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0.15</w:t>
                  </w:r>
                </w:p>
              </w:tc>
              <w:tc>
                <w:tcPr>
                  <w:tcW w:w="2281" w:type="dxa"/>
                  <w:vAlign w:val="center"/>
                </w:tcPr>
                <w:p w14:paraId="31104C3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0.18</w:t>
                  </w:r>
                </w:p>
              </w:tc>
            </w:tr>
            <w:tr w14:paraId="40C1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restart"/>
                  <w:vAlign w:val="center"/>
                </w:tcPr>
                <w:p w14:paraId="6183F14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TW" w:eastAsia="zh-TW"/>
                    </w:rPr>
                    <w:t>下风向4#</w:t>
                  </w:r>
                </w:p>
              </w:tc>
              <w:tc>
                <w:tcPr>
                  <w:tcW w:w="2349" w:type="dxa"/>
                  <w:vAlign w:val="center"/>
                </w:tcPr>
                <w:p w14:paraId="26B5C1E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DH20221102112-34</w:t>
                  </w:r>
                </w:p>
              </w:tc>
              <w:tc>
                <w:tcPr>
                  <w:tcW w:w="2337" w:type="dxa"/>
                  <w:vAlign w:val="center"/>
                </w:tcPr>
                <w:p w14:paraId="00B94A3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12-35</w:t>
                  </w:r>
                </w:p>
              </w:tc>
              <w:tc>
                <w:tcPr>
                  <w:tcW w:w="2281" w:type="dxa"/>
                  <w:vAlign w:val="center"/>
                </w:tcPr>
                <w:p w14:paraId="33C4303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en-US"/>
                    </w:rPr>
                    <w:t>DH20221</w:t>
                  </w:r>
                  <w:r>
                    <w:rPr>
                      <w:rFonts w:hint="default" w:ascii="Times New Roman" w:hAnsi="Times New Roman" w:cs="Times New Roman"/>
                      <w:color w:val="auto"/>
                      <w:sz w:val="21"/>
                      <w:szCs w:val="21"/>
                      <w:lang w:val="zh-TW" w:eastAsia="zh-TW"/>
                    </w:rPr>
                    <w:t>1021</w:t>
                  </w:r>
                  <w:r>
                    <w:rPr>
                      <w:rFonts w:hint="default" w:ascii="Times New Roman" w:hAnsi="Times New Roman" w:cs="Times New Roman"/>
                      <w:color w:val="auto"/>
                      <w:sz w:val="21"/>
                      <w:szCs w:val="21"/>
                      <w:lang w:val="en-US" w:eastAsia="en-US"/>
                    </w:rPr>
                    <w:t>12-36</w:t>
                  </w:r>
                </w:p>
              </w:tc>
            </w:tr>
            <w:tr w14:paraId="325A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Merge w:val="continue"/>
                  <w:vAlign w:val="center"/>
                </w:tcPr>
                <w:p w14:paraId="2CFEE847">
                  <w:pPr>
                    <w:pStyle w:val="3"/>
                    <w:bidi w:val="0"/>
                    <w:jc w:val="center"/>
                    <w:rPr>
                      <w:rFonts w:hint="default" w:ascii="Times New Roman" w:hAnsi="Times New Roman" w:cs="Times New Roman"/>
                      <w:vertAlign w:val="baseline"/>
                      <w:lang w:val="en-US" w:eastAsia="zh-CN"/>
                    </w:rPr>
                  </w:pPr>
                </w:p>
              </w:tc>
              <w:tc>
                <w:tcPr>
                  <w:tcW w:w="2349" w:type="dxa"/>
                  <w:vAlign w:val="center"/>
                </w:tcPr>
                <w:p w14:paraId="2108882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0.18</w:t>
                  </w:r>
                </w:p>
              </w:tc>
              <w:tc>
                <w:tcPr>
                  <w:tcW w:w="2337" w:type="dxa"/>
                  <w:vAlign w:val="center"/>
                </w:tcPr>
                <w:p w14:paraId="1DC8B11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0.15</w:t>
                  </w:r>
                </w:p>
              </w:tc>
              <w:tc>
                <w:tcPr>
                  <w:tcW w:w="2281" w:type="dxa"/>
                  <w:vAlign w:val="center"/>
                </w:tcPr>
                <w:p w14:paraId="5D667F1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en-US"/>
                    </w:rPr>
                    <w:t>0.17</w:t>
                  </w:r>
                </w:p>
              </w:tc>
            </w:tr>
            <w:tr w14:paraId="7155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032" w:type="dxa"/>
                  <w:vAlign w:val="center"/>
                </w:tcPr>
                <w:p w14:paraId="176E2011">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auto"/>
                      <w:sz w:val="21"/>
                      <w:szCs w:val="21"/>
                      <w:lang w:val="en-US" w:eastAsia="zh-CN"/>
                    </w:rPr>
                    <w:t>标准限值</w:t>
                  </w:r>
                </w:p>
              </w:tc>
              <w:tc>
                <w:tcPr>
                  <w:tcW w:w="6967" w:type="dxa"/>
                  <w:gridSpan w:val="3"/>
                  <w:vAlign w:val="center"/>
                </w:tcPr>
                <w:p w14:paraId="7B63FBC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lang w:val="en-US" w:eastAsia="zh-CN"/>
                    </w:rPr>
                    <w:t>0.20</w:t>
                  </w:r>
                </w:p>
              </w:tc>
            </w:tr>
            <w:tr w14:paraId="3D46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032" w:type="dxa"/>
                  <w:vAlign w:val="center"/>
                </w:tcPr>
                <w:p w14:paraId="680E02D8">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vertAlign w:val="baseline"/>
                      <w:lang w:val="en-US" w:eastAsia="zh-CN"/>
                    </w:rPr>
                  </w:pPr>
                  <w:r>
                    <w:rPr>
                      <w:rFonts w:hint="default" w:ascii="Times New Roman" w:hAnsi="Times New Roman" w:cs="Times New Roman"/>
                      <w:color w:val="auto"/>
                      <w:sz w:val="21"/>
                      <w:szCs w:val="21"/>
                      <w:lang w:val="en-US" w:eastAsia="zh-CN"/>
                    </w:rPr>
                    <w:t>达标情况</w:t>
                  </w:r>
                </w:p>
              </w:tc>
              <w:tc>
                <w:tcPr>
                  <w:tcW w:w="2349" w:type="dxa"/>
                  <w:vAlign w:val="center"/>
                </w:tcPr>
                <w:p w14:paraId="2C74530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c>
                <w:tcPr>
                  <w:tcW w:w="2337" w:type="dxa"/>
                  <w:vAlign w:val="center"/>
                </w:tcPr>
                <w:p w14:paraId="748CF9D6">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zh-CN"/>
                    </w:rPr>
                    <w:t>达标</w:t>
                  </w:r>
                </w:p>
              </w:tc>
              <w:tc>
                <w:tcPr>
                  <w:tcW w:w="2281" w:type="dxa"/>
                  <w:vAlign w:val="center"/>
                </w:tcPr>
                <w:p w14:paraId="029BE119">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zh-CN"/>
                    </w:rPr>
                    <w:t>达标</w:t>
                  </w:r>
                </w:p>
              </w:tc>
            </w:tr>
          </w:tbl>
          <w:p w14:paraId="5B8709F5">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根据监测结果表明，氨浓度符合《恶臭污染物排放标准》（GB14554-93）中表1中二级标准。</w:t>
            </w:r>
          </w:p>
          <w:p w14:paraId="70153684">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eastAsiaTheme="minorEastAsia"/>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3-5 </w:t>
            </w:r>
            <w:r>
              <w:rPr>
                <w:rFonts w:hint="default" w:ascii="Times New Roman" w:hAnsi="Times New Roman" w:cs="Times New Roman"/>
                <w:b/>
                <w:bCs/>
                <w:color w:val="000000"/>
                <w:spacing w:val="0"/>
                <w:w w:val="100"/>
                <w:position w:val="0"/>
                <w:lang w:val="en-US" w:eastAsia="zh-CN" w:bidi="zh-TW"/>
              </w:rPr>
              <w:t>臭气</w:t>
            </w:r>
            <w:r>
              <w:rPr>
                <w:rFonts w:hint="default" w:ascii="Times New Roman" w:hAnsi="Times New Roman" w:cs="Times New Roman"/>
                <w:b/>
                <w:color w:val="auto"/>
                <w:szCs w:val="22"/>
              </w:rPr>
              <w:t>监测结果表</w:t>
            </w:r>
            <w:r>
              <w:rPr>
                <w:rFonts w:hint="default" w:ascii="Times New Roman" w:hAnsi="Times New Roman" w:cs="Times New Roman"/>
                <w:b/>
                <w:color w:val="auto"/>
                <w:szCs w:val="22"/>
              </w:rPr>
              <w:tab/>
            </w:r>
            <w:r>
              <w:rPr>
                <w:rFonts w:hint="default" w:ascii="Times New Roman" w:hAnsi="Times New Roman" w:cs="Times New Roman"/>
                <w:b/>
                <w:color w:val="auto"/>
                <w:szCs w:val="22"/>
              </w:rPr>
              <w:t xml:space="preserve"> 单位：</w:t>
            </w:r>
            <w:r>
              <w:rPr>
                <w:rFonts w:hint="default" w:ascii="Times New Roman" w:hAnsi="Times New Roman" w:cs="Times New Roman"/>
                <w:b/>
                <w:color w:val="auto"/>
                <w:szCs w:val="22"/>
                <w:lang w:val="en-US" w:eastAsia="zh-CN"/>
              </w:rPr>
              <w:t>无量纲</w:t>
            </w:r>
          </w:p>
          <w:tbl>
            <w:tblPr>
              <w:tblStyle w:val="27"/>
              <w:tblW w:w="4999" w:type="pct"/>
              <w:jc w:val="center"/>
              <w:tblLayout w:type="autofit"/>
              <w:tblCellMar>
                <w:top w:w="0" w:type="dxa"/>
                <w:left w:w="10" w:type="dxa"/>
                <w:bottom w:w="0" w:type="dxa"/>
                <w:right w:w="10" w:type="dxa"/>
              </w:tblCellMar>
            </w:tblPr>
            <w:tblGrid>
              <w:gridCol w:w="1397"/>
              <w:gridCol w:w="2642"/>
              <w:gridCol w:w="2642"/>
              <w:gridCol w:w="2645"/>
            </w:tblGrid>
            <w:tr w14:paraId="0EB5D7E6">
              <w:tblPrEx>
                <w:tblCellMar>
                  <w:top w:w="0" w:type="dxa"/>
                  <w:left w:w="10" w:type="dxa"/>
                  <w:bottom w:w="0" w:type="dxa"/>
                  <w:right w:w="10" w:type="dxa"/>
                </w:tblCellMar>
              </w:tblPrEx>
              <w:trPr>
                <w:trHeight w:val="451" w:hRule="exact"/>
                <w:jc w:val="center"/>
              </w:trPr>
              <w:tc>
                <w:tcPr>
                  <w:tcW w:w="749" w:type="pct"/>
                  <w:vMerge w:val="restart"/>
                  <w:tcBorders>
                    <w:top w:val="single" w:color="auto" w:sz="4" w:space="0"/>
                    <w:left w:val="single" w:color="auto" w:sz="4" w:space="0"/>
                  </w:tcBorders>
                  <w:shd w:val="clear" w:color="auto" w:fill="FFFFFF"/>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732574">
                  <w:pPr>
                    <w:spacing w:line="240" w:lineRule="auto"/>
                    <w:ind w:left="0"/>
                    <w:jc w:val="center"/>
                    <w:rPr>
                      <w:rFonts w:hint="default" w:ascii="Times New Roman" w:hAnsi="Times New Roman" w:eastAsia="宋体" w:cs="Times New Roman"/>
                      <w:b/>
                      <w:bCs w:val="0"/>
                      <w:color w:val="auto"/>
                      <w:sz w:val="21"/>
                      <w:szCs w:val="21"/>
                      <w:lang w:val="en-US" w:eastAsia="zh-CN"/>
                    </w:rPr>
                  </w:pPr>
                </w:p>
                <w:p w14:paraId="79FC1E21">
                  <w:pPr>
                    <w:spacing w:line="240" w:lineRule="auto"/>
                    <w:ind w:left="0"/>
                    <w:jc w:val="center"/>
                    <mc:AlternateContent>
                      <mc:Choice Requires="wpsCustomData">
                        <wpsCustomData:diagonalParaType/>
                      </mc:Choice>
                    </mc:AlternateContent>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点位</w:t>
                  </w:r>
                </w:p>
                <w:p w14:paraId="4A790054">
                  <w:pPr>
                    <w:spacing w:line="240" w:lineRule="auto"/>
                    <w:ind w:left="0" w:leftChars="0"/>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sz w:val="21"/>
                      <w:szCs w:val="21"/>
                      <w:lang w:val="en-US" w:eastAsia="zh-CN"/>
                    </w:rPr>
                    <w:t>项目/编号</w:t>
                  </w:r>
                </w:p>
              </w:tc>
              <w:tc>
                <w:tcPr>
                  <w:tcW w:w="4250" w:type="pct"/>
                  <w:gridSpan w:val="3"/>
                  <w:tcBorders>
                    <w:top w:val="single" w:color="auto" w:sz="4" w:space="0"/>
                    <w:left w:val="single" w:color="auto" w:sz="4" w:space="0"/>
                    <w:right w:val="single" w:color="auto" w:sz="4" w:space="0"/>
                  </w:tcBorders>
                  <w:shd w:val="clear" w:color="auto" w:fill="FFFFFF"/>
                  <w:vAlign w:val="center"/>
                </w:tcPr>
                <w:p w14:paraId="0E0F4D47">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2022. 11.04</w:t>
                  </w:r>
                </w:p>
              </w:tc>
            </w:tr>
            <w:tr w14:paraId="55C97A70">
              <w:tblPrEx>
                <w:tblCellMar>
                  <w:top w:w="0" w:type="dxa"/>
                  <w:left w:w="10" w:type="dxa"/>
                  <w:bottom w:w="0" w:type="dxa"/>
                  <w:right w:w="10" w:type="dxa"/>
                </w:tblCellMar>
              </w:tblPrEx>
              <w:trPr>
                <w:trHeight w:val="432" w:hRule="exact"/>
                <w:jc w:val="center"/>
              </w:trPr>
              <w:tc>
                <w:tcPr>
                  <w:tcW w:w="749" w:type="pct"/>
                  <w:vMerge w:val="continue"/>
                  <w:tcBorders>
                    <w:left w:val="single" w:color="auto" w:sz="4" w:space="0"/>
                  </w:tcBorders>
                  <w:shd w:val="clear" w:color="auto" w:fill="FFFFFF"/>
                  <w:vAlign w:val="center"/>
                </w:tcPr>
                <w:p w14:paraId="0C35BD41">
                  <w:pPr>
                    <w:jc w:val="center"/>
                    <w:rPr>
                      <w:rFonts w:hint="default" w:ascii="Times New Roman" w:hAnsi="Times New Roman" w:cs="Times New Roman"/>
                    </w:rPr>
                  </w:pPr>
                </w:p>
              </w:tc>
              <w:tc>
                <w:tcPr>
                  <w:tcW w:w="4250" w:type="pct"/>
                  <w:gridSpan w:val="3"/>
                  <w:tcBorders>
                    <w:top w:val="single" w:color="auto" w:sz="4" w:space="0"/>
                    <w:left w:val="single" w:color="auto" w:sz="4" w:space="0"/>
                    <w:right w:val="single" w:color="auto" w:sz="4" w:space="0"/>
                  </w:tcBorders>
                  <w:shd w:val="clear" w:color="auto" w:fill="FFFFFF"/>
                  <w:vAlign w:val="center"/>
                </w:tcPr>
                <w:p w14:paraId="0128CDA2">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臭气浓度</w:t>
                  </w:r>
                </w:p>
              </w:tc>
            </w:tr>
            <w:tr w14:paraId="62EC7679">
              <w:tblPrEx>
                <w:tblCellMar>
                  <w:top w:w="0" w:type="dxa"/>
                  <w:left w:w="10" w:type="dxa"/>
                  <w:bottom w:w="0" w:type="dxa"/>
                  <w:right w:w="10" w:type="dxa"/>
                </w:tblCellMar>
              </w:tblPrEx>
              <w:trPr>
                <w:trHeight w:val="427" w:hRule="exact"/>
                <w:jc w:val="center"/>
              </w:trPr>
              <w:tc>
                <w:tcPr>
                  <w:tcW w:w="749" w:type="pct"/>
                  <w:tcBorders>
                    <w:top w:val="single" w:color="auto" w:sz="4" w:space="0"/>
                    <w:left w:val="single" w:color="auto" w:sz="4" w:space="0"/>
                  </w:tcBorders>
                  <w:shd w:val="clear" w:color="auto" w:fill="FFFFFF"/>
                  <w:vAlign w:val="center"/>
                </w:tcPr>
                <w:p w14:paraId="248B29F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时间</w:t>
                  </w:r>
                </w:p>
              </w:tc>
              <w:tc>
                <w:tcPr>
                  <w:tcW w:w="1416" w:type="pct"/>
                  <w:tcBorders>
                    <w:top w:val="single" w:color="auto" w:sz="4" w:space="0"/>
                    <w:left w:val="single" w:color="auto" w:sz="4" w:space="0"/>
                  </w:tcBorders>
                  <w:shd w:val="clear" w:color="auto" w:fill="FFFFFF"/>
                  <w:vAlign w:val="center"/>
                </w:tcPr>
                <w:p w14:paraId="09C81DCA">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09:44</w:t>
                  </w:r>
                </w:p>
              </w:tc>
              <w:tc>
                <w:tcPr>
                  <w:tcW w:w="1416" w:type="pct"/>
                  <w:tcBorders>
                    <w:top w:val="single" w:color="auto" w:sz="4" w:space="0"/>
                    <w:left w:val="single" w:color="auto" w:sz="4" w:space="0"/>
                  </w:tcBorders>
                  <w:shd w:val="clear" w:color="auto" w:fill="FFFFFF"/>
                  <w:vAlign w:val="center"/>
                </w:tcPr>
                <w:p w14:paraId="74D042B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13:41</w:t>
                  </w:r>
                </w:p>
              </w:tc>
              <w:tc>
                <w:tcPr>
                  <w:tcW w:w="1417" w:type="pct"/>
                  <w:tcBorders>
                    <w:top w:val="single" w:color="auto" w:sz="4" w:space="0"/>
                    <w:left w:val="single" w:color="auto" w:sz="4" w:space="0"/>
                    <w:right w:val="single" w:color="auto" w:sz="4" w:space="0"/>
                  </w:tcBorders>
                  <w:shd w:val="clear" w:color="auto" w:fill="FFFFFF"/>
                  <w:vAlign w:val="center"/>
                </w:tcPr>
                <w:p w14:paraId="2B4CB4A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17:45</w:t>
                  </w:r>
                </w:p>
              </w:tc>
            </w:tr>
            <w:tr w14:paraId="3E02A36F">
              <w:tblPrEx>
                <w:tblCellMar>
                  <w:top w:w="0" w:type="dxa"/>
                  <w:left w:w="10" w:type="dxa"/>
                  <w:bottom w:w="0" w:type="dxa"/>
                  <w:right w:w="10" w:type="dxa"/>
                </w:tblCellMar>
              </w:tblPrEx>
              <w:trPr>
                <w:trHeight w:val="427" w:hRule="exact"/>
                <w:jc w:val="center"/>
              </w:trPr>
              <w:tc>
                <w:tcPr>
                  <w:tcW w:w="749" w:type="pct"/>
                  <w:vMerge w:val="restart"/>
                  <w:tcBorders>
                    <w:top w:val="single" w:color="auto" w:sz="4" w:space="0"/>
                    <w:left w:val="single" w:color="auto" w:sz="4" w:space="0"/>
                  </w:tcBorders>
                  <w:shd w:val="clear" w:color="auto" w:fill="FFFFFF"/>
                  <w:vAlign w:val="center"/>
                </w:tcPr>
                <w:p w14:paraId="726BB8B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上风向1#</w:t>
                  </w:r>
                </w:p>
              </w:tc>
              <w:tc>
                <w:tcPr>
                  <w:tcW w:w="1416" w:type="pct"/>
                  <w:tcBorders>
                    <w:top w:val="single" w:color="auto" w:sz="4" w:space="0"/>
                    <w:left w:val="single" w:color="auto" w:sz="4" w:space="0"/>
                  </w:tcBorders>
                  <w:shd w:val="clear" w:color="auto" w:fill="FFFFFF"/>
                  <w:vAlign w:val="center"/>
                </w:tcPr>
                <w:p w14:paraId="645D06A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DH20221102112-37</w:t>
                  </w:r>
                </w:p>
              </w:tc>
              <w:tc>
                <w:tcPr>
                  <w:tcW w:w="1416" w:type="pct"/>
                  <w:tcBorders>
                    <w:top w:val="single" w:color="auto" w:sz="4" w:space="0"/>
                    <w:left w:val="single" w:color="auto" w:sz="4" w:space="0"/>
                  </w:tcBorders>
                  <w:shd w:val="clear" w:color="auto" w:fill="FFFFFF"/>
                  <w:vAlign w:val="center"/>
                </w:tcPr>
                <w:p w14:paraId="6A79D1D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12-38</w:t>
                  </w:r>
                </w:p>
              </w:tc>
              <w:tc>
                <w:tcPr>
                  <w:tcW w:w="1417" w:type="pct"/>
                  <w:tcBorders>
                    <w:top w:val="single" w:color="auto" w:sz="4" w:space="0"/>
                    <w:left w:val="single" w:color="auto" w:sz="4" w:space="0"/>
                    <w:right w:val="single" w:color="auto" w:sz="4" w:space="0"/>
                  </w:tcBorders>
                  <w:shd w:val="clear" w:color="auto" w:fill="FFFFFF"/>
                  <w:vAlign w:val="center"/>
                </w:tcPr>
                <w:p w14:paraId="3919F0AD">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DH20221102112-39</w:t>
                  </w:r>
                </w:p>
              </w:tc>
            </w:tr>
            <w:tr w14:paraId="33139392">
              <w:tblPrEx>
                <w:tblCellMar>
                  <w:top w:w="0" w:type="dxa"/>
                  <w:left w:w="10" w:type="dxa"/>
                  <w:bottom w:w="0" w:type="dxa"/>
                  <w:right w:w="10" w:type="dxa"/>
                </w:tblCellMar>
              </w:tblPrEx>
              <w:trPr>
                <w:trHeight w:val="427" w:hRule="exact"/>
                <w:jc w:val="center"/>
              </w:trPr>
              <w:tc>
                <w:tcPr>
                  <w:tcW w:w="749" w:type="pct"/>
                  <w:vMerge w:val="continue"/>
                  <w:tcBorders>
                    <w:left w:val="single" w:color="auto" w:sz="4" w:space="0"/>
                  </w:tcBorders>
                  <w:shd w:val="clear" w:color="auto" w:fill="FFFFFF"/>
                  <w:vAlign w:val="center"/>
                </w:tcPr>
                <w:p w14:paraId="7F1F48D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p>
              </w:tc>
              <w:tc>
                <w:tcPr>
                  <w:tcW w:w="1416" w:type="pct"/>
                  <w:tcBorders>
                    <w:top w:val="single" w:color="auto" w:sz="4" w:space="0"/>
                    <w:left w:val="single" w:color="auto" w:sz="4" w:space="0"/>
                  </w:tcBorders>
                  <w:shd w:val="clear" w:color="auto" w:fill="FFFFFF"/>
                  <w:vAlign w:val="center"/>
                </w:tcPr>
                <w:p w14:paraId="43AF5ABB">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&lt;10</w:t>
                  </w:r>
                </w:p>
              </w:tc>
              <w:tc>
                <w:tcPr>
                  <w:tcW w:w="1416" w:type="pct"/>
                  <w:tcBorders>
                    <w:top w:val="single" w:color="auto" w:sz="4" w:space="0"/>
                    <w:left w:val="single" w:color="auto" w:sz="4" w:space="0"/>
                  </w:tcBorders>
                  <w:shd w:val="clear" w:color="auto" w:fill="FFFFFF"/>
                  <w:vAlign w:val="center"/>
                </w:tcPr>
                <w:p w14:paraId="085EAF3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&lt;10</w:t>
                  </w:r>
                </w:p>
              </w:tc>
              <w:tc>
                <w:tcPr>
                  <w:tcW w:w="1417" w:type="pct"/>
                  <w:tcBorders>
                    <w:top w:val="single" w:color="auto" w:sz="4" w:space="0"/>
                    <w:left w:val="single" w:color="auto" w:sz="4" w:space="0"/>
                    <w:right w:val="single" w:color="auto" w:sz="4" w:space="0"/>
                  </w:tcBorders>
                  <w:shd w:val="clear" w:color="auto" w:fill="FFFFFF"/>
                  <w:vAlign w:val="center"/>
                </w:tcPr>
                <w:p w14:paraId="46A3D46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&lt;10</w:t>
                  </w:r>
                </w:p>
              </w:tc>
            </w:tr>
            <w:tr w14:paraId="01137969">
              <w:tblPrEx>
                <w:tblCellMar>
                  <w:top w:w="0" w:type="dxa"/>
                  <w:left w:w="10" w:type="dxa"/>
                  <w:bottom w:w="0" w:type="dxa"/>
                  <w:right w:w="10" w:type="dxa"/>
                </w:tblCellMar>
              </w:tblPrEx>
              <w:trPr>
                <w:trHeight w:val="427" w:hRule="exact"/>
                <w:jc w:val="center"/>
              </w:trPr>
              <w:tc>
                <w:tcPr>
                  <w:tcW w:w="749" w:type="pct"/>
                  <w:tcBorders>
                    <w:top w:val="single" w:color="auto" w:sz="4" w:space="0"/>
                    <w:left w:val="single" w:color="auto" w:sz="4" w:space="0"/>
                  </w:tcBorders>
                  <w:shd w:val="clear" w:color="auto" w:fill="FFFFFF"/>
                  <w:vAlign w:val="center"/>
                </w:tcPr>
                <w:p w14:paraId="4F508407">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时间</w:t>
                  </w:r>
                </w:p>
              </w:tc>
              <w:tc>
                <w:tcPr>
                  <w:tcW w:w="1416" w:type="pct"/>
                  <w:tcBorders>
                    <w:top w:val="single" w:color="auto" w:sz="4" w:space="0"/>
                    <w:left w:val="single" w:color="auto" w:sz="4" w:space="0"/>
                  </w:tcBorders>
                  <w:shd w:val="clear" w:color="auto" w:fill="FFFFFF"/>
                  <w:vAlign w:val="center"/>
                </w:tcPr>
                <w:p w14:paraId="5464027B">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10:01</w:t>
                  </w:r>
                </w:p>
              </w:tc>
              <w:tc>
                <w:tcPr>
                  <w:tcW w:w="1416" w:type="pct"/>
                  <w:tcBorders>
                    <w:top w:val="single" w:color="auto" w:sz="4" w:space="0"/>
                    <w:left w:val="single" w:color="auto" w:sz="4" w:space="0"/>
                  </w:tcBorders>
                  <w:shd w:val="clear" w:color="auto" w:fill="FFFFFF"/>
                  <w:vAlign w:val="center"/>
                </w:tcPr>
                <w:p w14:paraId="268BBB1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13:57</w:t>
                  </w:r>
                </w:p>
              </w:tc>
              <w:tc>
                <w:tcPr>
                  <w:tcW w:w="1417" w:type="pct"/>
                  <w:tcBorders>
                    <w:top w:val="single" w:color="auto" w:sz="4" w:space="0"/>
                    <w:left w:val="single" w:color="auto" w:sz="4" w:space="0"/>
                    <w:right w:val="single" w:color="auto" w:sz="4" w:space="0"/>
                  </w:tcBorders>
                  <w:shd w:val="clear" w:color="auto" w:fill="FFFFFF"/>
                  <w:vAlign w:val="center"/>
                </w:tcPr>
                <w:p w14:paraId="293E7F9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18:03</w:t>
                  </w:r>
                </w:p>
              </w:tc>
            </w:tr>
            <w:tr w14:paraId="2038C710">
              <w:tblPrEx>
                <w:tblCellMar>
                  <w:top w:w="0" w:type="dxa"/>
                  <w:left w:w="10" w:type="dxa"/>
                  <w:bottom w:w="0" w:type="dxa"/>
                  <w:right w:w="10" w:type="dxa"/>
                </w:tblCellMar>
              </w:tblPrEx>
              <w:trPr>
                <w:trHeight w:val="418" w:hRule="exact"/>
                <w:jc w:val="center"/>
              </w:trPr>
              <w:tc>
                <w:tcPr>
                  <w:tcW w:w="749" w:type="pct"/>
                  <w:vMerge w:val="restart"/>
                  <w:tcBorders>
                    <w:top w:val="single" w:color="auto" w:sz="4" w:space="0"/>
                    <w:left w:val="single" w:color="auto" w:sz="4" w:space="0"/>
                  </w:tcBorders>
                  <w:shd w:val="clear" w:color="auto" w:fill="FFFFFF"/>
                  <w:vAlign w:val="center"/>
                </w:tcPr>
                <w:p w14:paraId="599426B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下风向2#</w:t>
                  </w:r>
                </w:p>
              </w:tc>
              <w:tc>
                <w:tcPr>
                  <w:tcW w:w="1416" w:type="pct"/>
                  <w:tcBorders>
                    <w:top w:val="single" w:color="auto" w:sz="4" w:space="0"/>
                    <w:left w:val="single" w:color="auto" w:sz="4" w:space="0"/>
                  </w:tcBorders>
                  <w:shd w:val="clear" w:color="auto" w:fill="FFFFFF"/>
                  <w:vAlign w:val="center"/>
                </w:tcPr>
                <w:p w14:paraId="7106F01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DH20221102112-40</w:t>
                  </w:r>
                </w:p>
              </w:tc>
              <w:tc>
                <w:tcPr>
                  <w:tcW w:w="1416" w:type="pct"/>
                  <w:tcBorders>
                    <w:top w:val="single" w:color="auto" w:sz="4" w:space="0"/>
                    <w:left w:val="single" w:color="auto" w:sz="4" w:space="0"/>
                  </w:tcBorders>
                  <w:shd w:val="clear" w:color="auto" w:fill="FFFFFF"/>
                  <w:vAlign w:val="center"/>
                </w:tcPr>
                <w:p w14:paraId="79D014B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DH20221102112-41</w:t>
                  </w:r>
                </w:p>
              </w:tc>
              <w:tc>
                <w:tcPr>
                  <w:tcW w:w="1417" w:type="pct"/>
                  <w:tcBorders>
                    <w:top w:val="single" w:color="auto" w:sz="4" w:space="0"/>
                    <w:left w:val="single" w:color="auto" w:sz="4" w:space="0"/>
                    <w:right w:val="single" w:color="auto" w:sz="4" w:space="0"/>
                  </w:tcBorders>
                  <w:shd w:val="clear" w:color="auto" w:fill="FFFFFF"/>
                  <w:vAlign w:val="center"/>
                </w:tcPr>
                <w:p w14:paraId="59E83D1C">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12-42</w:t>
                  </w:r>
                </w:p>
              </w:tc>
            </w:tr>
            <w:tr w14:paraId="6B149155">
              <w:tblPrEx>
                <w:tblCellMar>
                  <w:top w:w="0" w:type="dxa"/>
                  <w:left w:w="10" w:type="dxa"/>
                  <w:bottom w:w="0" w:type="dxa"/>
                  <w:right w:w="10" w:type="dxa"/>
                </w:tblCellMar>
              </w:tblPrEx>
              <w:trPr>
                <w:trHeight w:val="427" w:hRule="exact"/>
                <w:jc w:val="center"/>
              </w:trPr>
              <w:tc>
                <w:tcPr>
                  <w:tcW w:w="749" w:type="pct"/>
                  <w:vMerge w:val="continue"/>
                  <w:tcBorders>
                    <w:left w:val="single" w:color="auto" w:sz="4" w:space="0"/>
                  </w:tcBorders>
                  <w:shd w:val="clear" w:color="auto" w:fill="FFFFFF"/>
                  <w:vAlign w:val="center"/>
                </w:tcPr>
                <w:p w14:paraId="4AD7DFF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p>
              </w:tc>
              <w:tc>
                <w:tcPr>
                  <w:tcW w:w="1416" w:type="pct"/>
                  <w:tcBorders>
                    <w:top w:val="single" w:color="auto" w:sz="4" w:space="0"/>
                    <w:left w:val="single" w:color="auto" w:sz="4" w:space="0"/>
                  </w:tcBorders>
                  <w:shd w:val="clear" w:color="auto" w:fill="FFFFFF"/>
                  <w:vAlign w:val="center"/>
                </w:tcPr>
                <w:p w14:paraId="7F3849F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17</w:t>
                  </w:r>
                </w:p>
              </w:tc>
              <w:tc>
                <w:tcPr>
                  <w:tcW w:w="1416" w:type="pct"/>
                  <w:tcBorders>
                    <w:top w:val="single" w:color="auto" w:sz="4" w:space="0"/>
                    <w:left w:val="single" w:color="auto" w:sz="4" w:space="0"/>
                  </w:tcBorders>
                  <w:shd w:val="clear" w:color="auto" w:fill="FFFFFF"/>
                  <w:vAlign w:val="center"/>
                </w:tcPr>
                <w:p w14:paraId="02157F21">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17</w:t>
                  </w:r>
                </w:p>
              </w:tc>
              <w:tc>
                <w:tcPr>
                  <w:tcW w:w="1417" w:type="pct"/>
                  <w:tcBorders>
                    <w:top w:val="single" w:color="auto" w:sz="4" w:space="0"/>
                    <w:left w:val="single" w:color="auto" w:sz="4" w:space="0"/>
                    <w:right w:val="single" w:color="auto" w:sz="4" w:space="0"/>
                  </w:tcBorders>
                  <w:shd w:val="clear" w:color="auto" w:fill="FFFFFF"/>
                  <w:vAlign w:val="center"/>
                </w:tcPr>
                <w:p w14:paraId="2B39FA2E">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17</w:t>
                  </w:r>
                </w:p>
              </w:tc>
            </w:tr>
            <w:tr w14:paraId="476AD923">
              <w:tblPrEx>
                <w:tblCellMar>
                  <w:top w:w="0" w:type="dxa"/>
                  <w:left w:w="10" w:type="dxa"/>
                  <w:bottom w:w="0" w:type="dxa"/>
                  <w:right w:w="10" w:type="dxa"/>
                </w:tblCellMar>
              </w:tblPrEx>
              <w:trPr>
                <w:trHeight w:val="422" w:hRule="exact"/>
                <w:jc w:val="center"/>
              </w:trPr>
              <w:tc>
                <w:tcPr>
                  <w:tcW w:w="749" w:type="pct"/>
                  <w:tcBorders>
                    <w:top w:val="single" w:color="auto" w:sz="4" w:space="0"/>
                    <w:left w:val="single" w:color="auto" w:sz="4" w:space="0"/>
                  </w:tcBorders>
                  <w:shd w:val="clear" w:color="auto" w:fill="FFFFFF"/>
                  <w:vAlign w:val="center"/>
                </w:tcPr>
                <w:p w14:paraId="741FF548">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时间</w:t>
                  </w:r>
                </w:p>
              </w:tc>
              <w:tc>
                <w:tcPr>
                  <w:tcW w:w="1416" w:type="pct"/>
                  <w:tcBorders>
                    <w:top w:val="single" w:color="auto" w:sz="4" w:space="0"/>
                    <w:left w:val="single" w:color="auto" w:sz="4" w:space="0"/>
                  </w:tcBorders>
                  <w:shd w:val="clear" w:color="auto" w:fill="FFFFFF"/>
                  <w:vAlign w:val="center"/>
                </w:tcPr>
                <w:p w14:paraId="7B900508">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10:14</w:t>
                  </w:r>
                </w:p>
              </w:tc>
              <w:tc>
                <w:tcPr>
                  <w:tcW w:w="1416" w:type="pct"/>
                  <w:tcBorders>
                    <w:top w:val="single" w:color="auto" w:sz="4" w:space="0"/>
                    <w:left w:val="single" w:color="auto" w:sz="4" w:space="0"/>
                  </w:tcBorders>
                  <w:shd w:val="clear" w:color="auto" w:fill="FFFFFF"/>
                  <w:vAlign w:val="center"/>
                </w:tcPr>
                <w:p w14:paraId="6943E4DF">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14:09</w:t>
                  </w:r>
                </w:p>
              </w:tc>
              <w:tc>
                <w:tcPr>
                  <w:tcW w:w="1417" w:type="pct"/>
                  <w:tcBorders>
                    <w:top w:val="single" w:color="auto" w:sz="4" w:space="0"/>
                    <w:left w:val="single" w:color="auto" w:sz="4" w:space="0"/>
                    <w:right w:val="single" w:color="auto" w:sz="4" w:space="0"/>
                  </w:tcBorders>
                  <w:shd w:val="clear" w:color="auto" w:fill="FFFFFF"/>
                  <w:vAlign w:val="center"/>
                </w:tcPr>
                <w:p w14:paraId="6B28E6A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18:15</w:t>
                  </w:r>
                </w:p>
              </w:tc>
            </w:tr>
            <w:tr w14:paraId="703C02B7">
              <w:tblPrEx>
                <w:tblCellMar>
                  <w:top w:w="0" w:type="dxa"/>
                  <w:left w:w="10" w:type="dxa"/>
                  <w:bottom w:w="0" w:type="dxa"/>
                  <w:right w:w="10" w:type="dxa"/>
                </w:tblCellMar>
              </w:tblPrEx>
              <w:trPr>
                <w:trHeight w:val="418" w:hRule="exact"/>
                <w:jc w:val="center"/>
              </w:trPr>
              <w:tc>
                <w:tcPr>
                  <w:tcW w:w="749" w:type="pct"/>
                  <w:vMerge w:val="restart"/>
                  <w:tcBorders>
                    <w:top w:val="single" w:color="auto" w:sz="4" w:space="0"/>
                    <w:left w:val="single" w:color="auto" w:sz="4" w:space="0"/>
                  </w:tcBorders>
                  <w:shd w:val="clear" w:color="auto" w:fill="FFFFFF"/>
                  <w:vAlign w:val="center"/>
                </w:tcPr>
                <w:p w14:paraId="126D523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下风向3#</w:t>
                  </w:r>
                </w:p>
              </w:tc>
              <w:tc>
                <w:tcPr>
                  <w:tcW w:w="1416" w:type="pct"/>
                  <w:tcBorders>
                    <w:top w:val="single" w:color="auto" w:sz="4" w:space="0"/>
                    <w:left w:val="single" w:color="auto" w:sz="4" w:space="0"/>
                  </w:tcBorders>
                  <w:shd w:val="clear" w:color="auto" w:fill="FFFFFF"/>
                  <w:vAlign w:val="center"/>
                </w:tcPr>
                <w:p w14:paraId="5BAB2F9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DH20221102112-43</w:t>
                  </w:r>
                </w:p>
              </w:tc>
              <w:tc>
                <w:tcPr>
                  <w:tcW w:w="1416" w:type="pct"/>
                  <w:tcBorders>
                    <w:top w:val="single" w:color="auto" w:sz="4" w:space="0"/>
                    <w:left w:val="single" w:color="auto" w:sz="4" w:space="0"/>
                  </w:tcBorders>
                  <w:shd w:val="clear" w:color="auto" w:fill="FFFFFF"/>
                  <w:vAlign w:val="center"/>
                </w:tcPr>
                <w:p w14:paraId="53E93CD9">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12-44</w:t>
                  </w:r>
                </w:p>
              </w:tc>
              <w:tc>
                <w:tcPr>
                  <w:tcW w:w="1417" w:type="pct"/>
                  <w:tcBorders>
                    <w:top w:val="single" w:color="auto" w:sz="4" w:space="0"/>
                    <w:left w:val="single" w:color="auto" w:sz="4" w:space="0"/>
                    <w:right w:val="single" w:color="auto" w:sz="4" w:space="0"/>
                  </w:tcBorders>
                  <w:shd w:val="clear" w:color="auto" w:fill="FFFFFF"/>
                  <w:vAlign w:val="center"/>
                </w:tcPr>
                <w:p w14:paraId="4A65E850">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12-45</w:t>
                  </w:r>
                </w:p>
              </w:tc>
            </w:tr>
            <w:tr w14:paraId="5795391B">
              <w:tblPrEx>
                <w:tblCellMar>
                  <w:top w:w="0" w:type="dxa"/>
                  <w:left w:w="10" w:type="dxa"/>
                  <w:bottom w:w="0" w:type="dxa"/>
                  <w:right w:w="10" w:type="dxa"/>
                </w:tblCellMar>
              </w:tblPrEx>
              <w:trPr>
                <w:trHeight w:val="427" w:hRule="exact"/>
                <w:jc w:val="center"/>
              </w:trPr>
              <w:tc>
                <w:tcPr>
                  <w:tcW w:w="749" w:type="pct"/>
                  <w:vMerge w:val="continue"/>
                  <w:tcBorders>
                    <w:left w:val="single" w:color="auto" w:sz="4" w:space="0"/>
                  </w:tcBorders>
                  <w:shd w:val="clear" w:color="auto" w:fill="FFFFFF"/>
                  <w:vAlign w:val="center"/>
                </w:tcPr>
                <w:p w14:paraId="589D311D">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p>
              </w:tc>
              <w:tc>
                <w:tcPr>
                  <w:tcW w:w="1416" w:type="pct"/>
                  <w:tcBorders>
                    <w:top w:val="single" w:color="auto" w:sz="4" w:space="0"/>
                    <w:left w:val="single" w:color="auto" w:sz="4" w:space="0"/>
                  </w:tcBorders>
                  <w:shd w:val="clear" w:color="auto" w:fill="FFFFFF"/>
                  <w:vAlign w:val="center"/>
                </w:tcPr>
                <w:p w14:paraId="7B3AD982">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19</w:t>
                  </w:r>
                </w:p>
              </w:tc>
              <w:tc>
                <w:tcPr>
                  <w:tcW w:w="1416" w:type="pct"/>
                  <w:tcBorders>
                    <w:top w:val="single" w:color="auto" w:sz="4" w:space="0"/>
                    <w:left w:val="single" w:color="auto" w:sz="4" w:space="0"/>
                  </w:tcBorders>
                  <w:shd w:val="clear" w:color="auto" w:fill="FFFFFF"/>
                  <w:vAlign w:val="center"/>
                </w:tcPr>
                <w:p w14:paraId="1E3B5646">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w:t>
                  </w:r>
                </w:p>
              </w:tc>
              <w:tc>
                <w:tcPr>
                  <w:tcW w:w="1417" w:type="pct"/>
                  <w:tcBorders>
                    <w:top w:val="single" w:color="auto" w:sz="4" w:space="0"/>
                    <w:left w:val="single" w:color="auto" w:sz="4" w:space="0"/>
                    <w:right w:val="single" w:color="auto" w:sz="4" w:space="0"/>
                  </w:tcBorders>
                  <w:shd w:val="clear" w:color="auto" w:fill="FFFFFF"/>
                  <w:vAlign w:val="center"/>
                </w:tcPr>
                <w:p w14:paraId="5F6513D8">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w:t>
                  </w:r>
                </w:p>
              </w:tc>
            </w:tr>
            <w:tr w14:paraId="0A33DDBC">
              <w:tblPrEx>
                <w:tblCellMar>
                  <w:top w:w="0" w:type="dxa"/>
                  <w:left w:w="10" w:type="dxa"/>
                  <w:bottom w:w="0" w:type="dxa"/>
                  <w:right w:w="10" w:type="dxa"/>
                </w:tblCellMar>
              </w:tblPrEx>
              <w:trPr>
                <w:trHeight w:val="422" w:hRule="exact"/>
                <w:jc w:val="center"/>
              </w:trPr>
              <w:tc>
                <w:tcPr>
                  <w:tcW w:w="749" w:type="pct"/>
                  <w:tcBorders>
                    <w:top w:val="single" w:color="auto" w:sz="4" w:space="0"/>
                    <w:left w:val="single" w:color="auto" w:sz="4" w:space="0"/>
                  </w:tcBorders>
                  <w:shd w:val="clear" w:color="auto" w:fill="FFFFFF"/>
                  <w:vAlign w:val="center"/>
                </w:tcPr>
                <w:p w14:paraId="2A3807EF">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时间</w:t>
                  </w:r>
                </w:p>
              </w:tc>
              <w:tc>
                <w:tcPr>
                  <w:tcW w:w="1416" w:type="pct"/>
                  <w:tcBorders>
                    <w:top w:val="single" w:color="auto" w:sz="4" w:space="0"/>
                    <w:left w:val="single" w:color="auto" w:sz="4" w:space="0"/>
                  </w:tcBorders>
                  <w:shd w:val="clear" w:color="auto" w:fill="FFFFFF"/>
                  <w:vAlign w:val="center"/>
                </w:tcPr>
                <w:p w14:paraId="5D17B1FA">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10:25</w:t>
                  </w:r>
                </w:p>
              </w:tc>
              <w:tc>
                <w:tcPr>
                  <w:tcW w:w="1416" w:type="pct"/>
                  <w:tcBorders>
                    <w:top w:val="single" w:color="auto" w:sz="4" w:space="0"/>
                    <w:left w:val="single" w:color="auto" w:sz="4" w:space="0"/>
                  </w:tcBorders>
                  <w:shd w:val="clear" w:color="auto" w:fill="FFFFFF"/>
                  <w:vAlign w:val="center"/>
                </w:tcPr>
                <w:p w14:paraId="4D138E55">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14:19</w:t>
                  </w:r>
                </w:p>
              </w:tc>
              <w:tc>
                <w:tcPr>
                  <w:tcW w:w="1417" w:type="pct"/>
                  <w:tcBorders>
                    <w:top w:val="single" w:color="auto" w:sz="4" w:space="0"/>
                    <w:left w:val="single" w:color="auto" w:sz="4" w:space="0"/>
                    <w:right w:val="single" w:color="auto" w:sz="4" w:space="0"/>
                  </w:tcBorders>
                  <w:shd w:val="clear" w:color="auto" w:fill="FFFFFF"/>
                  <w:vAlign w:val="center"/>
                </w:tcPr>
                <w:p w14:paraId="2298823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18:26</w:t>
                  </w:r>
                </w:p>
              </w:tc>
            </w:tr>
            <w:tr w14:paraId="027EBFBA">
              <w:tblPrEx>
                <w:tblCellMar>
                  <w:top w:w="0" w:type="dxa"/>
                  <w:left w:w="10" w:type="dxa"/>
                  <w:bottom w:w="0" w:type="dxa"/>
                  <w:right w:w="10" w:type="dxa"/>
                </w:tblCellMar>
              </w:tblPrEx>
              <w:trPr>
                <w:trHeight w:val="422" w:hRule="exact"/>
                <w:jc w:val="center"/>
              </w:trPr>
              <w:tc>
                <w:tcPr>
                  <w:tcW w:w="749" w:type="pct"/>
                  <w:vMerge w:val="restart"/>
                  <w:tcBorders>
                    <w:top w:val="single" w:color="auto" w:sz="4" w:space="0"/>
                    <w:left w:val="single" w:color="auto" w:sz="4" w:space="0"/>
                  </w:tcBorders>
                  <w:shd w:val="clear" w:color="auto" w:fill="FFFFFF"/>
                  <w:vAlign w:val="center"/>
                </w:tcPr>
                <w:p w14:paraId="20557E71">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下风向4#</w:t>
                  </w:r>
                </w:p>
              </w:tc>
              <w:tc>
                <w:tcPr>
                  <w:tcW w:w="1416" w:type="pct"/>
                  <w:tcBorders>
                    <w:top w:val="single" w:color="auto" w:sz="4" w:space="0"/>
                    <w:left w:val="single" w:color="auto" w:sz="4" w:space="0"/>
                  </w:tcBorders>
                  <w:shd w:val="clear" w:color="auto" w:fill="FFFFFF"/>
                  <w:vAlign w:val="center"/>
                </w:tcPr>
                <w:p w14:paraId="6DDBD152">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DH20221102112-46</w:t>
                  </w:r>
                </w:p>
              </w:tc>
              <w:tc>
                <w:tcPr>
                  <w:tcW w:w="1416" w:type="pct"/>
                  <w:tcBorders>
                    <w:top w:val="single" w:color="auto" w:sz="4" w:space="0"/>
                    <w:left w:val="single" w:color="auto" w:sz="4" w:space="0"/>
                  </w:tcBorders>
                  <w:shd w:val="clear" w:color="auto" w:fill="FFFFFF"/>
                  <w:vAlign w:val="center"/>
                </w:tcPr>
                <w:p w14:paraId="6A1B3142">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DH20221102112-47</w:t>
                  </w:r>
                </w:p>
              </w:tc>
              <w:tc>
                <w:tcPr>
                  <w:tcW w:w="1417" w:type="pct"/>
                  <w:tcBorders>
                    <w:top w:val="single" w:color="auto" w:sz="4" w:space="0"/>
                    <w:left w:val="single" w:color="auto" w:sz="4" w:space="0"/>
                    <w:right w:val="single" w:color="auto" w:sz="4" w:space="0"/>
                  </w:tcBorders>
                  <w:shd w:val="clear" w:color="auto" w:fill="FFFFFF"/>
                  <w:vAlign w:val="center"/>
                </w:tcPr>
                <w:p w14:paraId="747A5EA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12-48</w:t>
                  </w:r>
                </w:p>
              </w:tc>
            </w:tr>
            <w:tr w14:paraId="7C3099BA">
              <w:tblPrEx>
                <w:tblCellMar>
                  <w:top w:w="0" w:type="dxa"/>
                  <w:left w:w="10" w:type="dxa"/>
                  <w:bottom w:w="0" w:type="dxa"/>
                  <w:right w:w="10" w:type="dxa"/>
                </w:tblCellMar>
              </w:tblPrEx>
              <w:trPr>
                <w:trHeight w:val="451" w:hRule="exact"/>
                <w:jc w:val="center"/>
              </w:trPr>
              <w:tc>
                <w:tcPr>
                  <w:tcW w:w="749" w:type="pct"/>
                  <w:vMerge w:val="continue"/>
                  <w:tcBorders>
                    <w:left w:val="single" w:color="auto" w:sz="4" w:space="0"/>
                    <w:bottom w:val="single" w:color="auto" w:sz="4" w:space="0"/>
                  </w:tcBorders>
                  <w:shd w:val="clear" w:color="auto" w:fill="FFFFFF"/>
                  <w:vAlign w:val="center"/>
                </w:tcPr>
                <w:p w14:paraId="42EE9A74">
                  <w:pPr>
                    <w:jc w:val="center"/>
                    <w:rPr>
                      <w:rFonts w:hint="default" w:ascii="Times New Roman" w:hAnsi="Times New Roman" w:cs="Times New Roman"/>
                    </w:rPr>
                  </w:pPr>
                </w:p>
              </w:tc>
              <w:tc>
                <w:tcPr>
                  <w:tcW w:w="1416" w:type="pct"/>
                  <w:tcBorders>
                    <w:top w:val="single" w:color="auto" w:sz="4" w:space="0"/>
                    <w:left w:val="single" w:color="auto" w:sz="4" w:space="0"/>
                    <w:bottom w:val="single" w:color="auto" w:sz="4" w:space="0"/>
                  </w:tcBorders>
                  <w:shd w:val="clear" w:color="auto" w:fill="FFFFFF"/>
                  <w:vAlign w:val="center"/>
                </w:tcPr>
                <w:p w14:paraId="532D4111">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16</w:t>
                  </w:r>
                </w:p>
              </w:tc>
              <w:tc>
                <w:tcPr>
                  <w:tcW w:w="1416" w:type="pct"/>
                  <w:tcBorders>
                    <w:top w:val="single" w:color="auto" w:sz="4" w:space="0"/>
                    <w:left w:val="single" w:color="auto" w:sz="4" w:space="0"/>
                    <w:bottom w:val="single" w:color="auto" w:sz="4" w:space="0"/>
                  </w:tcBorders>
                  <w:shd w:val="clear" w:color="auto" w:fill="FFFFFF"/>
                  <w:vAlign w:val="center"/>
                </w:tcPr>
                <w:p w14:paraId="694CC5F4">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w:t>
                  </w:r>
                </w:p>
              </w:tc>
              <w:tc>
                <w:tcPr>
                  <w:tcW w:w="1417" w:type="pct"/>
                  <w:tcBorders>
                    <w:top w:val="single" w:color="auto" w:sz="4" w:space="0"/>
                    <w:left w:val="single" w:color="auto" w:sz="4" w:space="0"/>
                    <w:bottom w:val="single" w:color="auto" w:sz="4" w:space="0"/>
                    <w:right w:val="single" w:color="auto" w:sz="4" w:space="0"/>
                  </w:tcBorders>
                  <w:shd w:val="clear" w:color="auto" w:fill="FFFFFF"/>
                  <w:vAlign w:val="center"/>
                </w:tcPr>
                <w:p w14:paraId="31BE391E">
                  <w:pPr>
                    <w:pStyle w:val="74"/>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17</w:t>
                  </w:r>
                </w:p>
              </w:tc>
            </w:tr>
          </w:tbl>
          <w:p w14:paraId="7814D661">
            <w:pPr>
              <w:spacing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根据监测结果表明，臭气浓度满足《恶臭污染物排放标准》（GB14554-93）中表1中二级标准。</w:t>
            </w:r>
          </w:p>
          <w:p w14:paraId="7801C4B7">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 xml:space="preserve">2、地表水环境质量现状  </w:t>
            </w:r>
          </w:p>
          <w:p w14:paraId="7EEC9664">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现场调查，距项目区最近地表水主要为芒市大河，根据《云南省水功能区划报告2014》可知，项目区所属的芒市大河属于“木康水文站-等戛水文站”河段，主要功能为工业、农业、景观用水，水质现状为Ⅳ类，2020年水质标准为Ⅲ类，2030年水质标准为Ⅲ类。因此，执行《地表水环境质量标准》（GB3838-2002）Ⅲ类标准。</w:t>
            </w:r>
          </w:p>
          <w:p w14:paraId="5965960C">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本次评价地表水质量现状引用“2022年9月云南升环检测技术有限公司对芒市大河的监测结果”中“芒市大河帕底片区最西边界下游500m处”断面数据进行评价。</w:t>
            </w:r>
          </w:p>
          <w:p w14:paraId="36D3537D">
            <w:pPr>
              <w:keepNext w:val="0"/>
              <w:keepLines w:val="0"/>
              <w:suppressLineNumbers w:val="0"/>
              <w:spacing w:before="0" w:beforeAutospacing="0" w:after="0" w:afterAutospacing="0"/>
              <w:ind w:left="0" w:right="0" w:firstLine="482"/>
              <w:contextualSpacing/>
              <w:jc w:val="center"/>
              <w:rPr>
                <w:rFonts w:hint="default" w:ascii="Times New Roman" w:hAnsi="Times New Roman" w:eastAsia="宋体" w:cs="Times New Roman"/>
                <w:b/>
                <w:color w:val="auto"/>
                <w:lang w:val="en-US" w:eastAsia="zh-CN"/>
              </w:rPr>
            </w:pPr>
            <w:r>
              <w:rPr>
                <w:rFonts w:hint="default" w:ascii="Times New Roman" w:hAnsi="Times New Roman" w:cs="Times New Roman"/>
                <w:b/>
                <w:color w:val="auto"/>
                <w:lang w:val="en-US" w:eastAsia="zh-CN"/>
              </w:rPr>
              <w:t>表</w:t>
            </w:r>
            <w:r>
              <w:rPr>
                <w:rFonts w:hint="default" w:ascii="Times New Roman" w:hAnsi="Times New Roman" w:cs="Times New Roman"/>
                <w:b/>
                <w:color w:val="auto"/>
              </w:rPr>
              <w:t>3-</w:t>
            </w:r>
            <w:r>
              <w:rPr>
                <w:rFonts w:hint="default" w:ascii="Times New Roman" w:hAnsi="Times New Roman" w:cs="Times New Roman"/>
                <w:b/>
                <w:color w:val="auto"/>
                <w:lang w:val="en-US" w:eastAsia="zh-CN"/>
              </w:rPr>
              <w:t>6</w:t>
            </w:r>
            <w:r>
              <w:rPr>
                <w:rFonts w:hint="default" w:ascii="Times New Roman" w:hAnsi="Times New Roman" w:cs="Times New Roman"/>
                <w:b/>
                <w:color w:val="auto"/>
              </w:rPr>
              <w:t xml:space="preserve">  </w:t>
            </w:r>
            <w:r>
              <w:rPr>
                <w:rFonts w:hint="default" w:ascii="Times New Roman" w:hAnsi="Times New Roman" w:cs="Times New Roman"/>
                <w:b/>
                <w:color w:val="auto"/>
                <w:lang w:val="en-US" w:eastAsia="zh-CN"/>
              </w:rPr>
              <w:t>引用的地表水监测数据</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824"/>
              <w:gridCol w:w="1824"/>
              <w:gridCol w:w="1825"/>
              <w:gridCol w:w="1824"/>
            </w:tblGrid>
            <w:tr w14:paraId="52D2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822" w:type="dxa"/>
                  <w:vAlign w:val="center"/>
                </w:tcPr>
                <w:p w14:paraId="1519D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监测项目</w:t>
                  </w:r>
                </w:p>
              </w:tc>
              <w:tc>
                <w:tcPr>
                  <w:tcW w:w="1824" w:type="dxa"/>
                  <w:vAlign w:val="center"/>
                </w:tcPr>
                <w:p w14:paraId="7602E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采样日期</w:t>
                  </w:r>
                </w:p>
              </w:tc>
              <w:tc>
                <w:tcPr>
                  <w:tcW w:w="1824" w:type="dxa"/>
                  <w:vAlign w:val="center"/>
                </w:tcPr>
                <w:p w14:paraId="2D5CE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芒市大河帕底片区下游500m</w:t>
                  </w:r>
                </w:p>
              </w:tc>
              <w:tc>
                <w:tcPr>
                  <w:tcW w:w="1825" w:type="dxa"/>
                  <w:vAlign w:val="center"/>
                </w:tcPr>
                <w:p w14:paraId="76CD0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标准值（mg/L）</w:t>
                  </w:r>
                </w:p>
              </w:tc>
              <w:tc>
                <w:tcPr>
                  <w:tcW w:w="1824" w:type="dxa"/>
                  <w:vAlign w:val="center"/>
                </w:tcPr>
                <w:p w14:paraId="36378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达标情况</w:t>
                  </w:r>
                </w:p>
              </w:tc>
            </w:tr>
            <w:tr w14:paraId="36E41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51709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pH</w:t>
                  </w:r>
                </w:p>
              </w:tc>
              <w:tc>
                <w:tcPr>
                  <w:tcW w:w="1824" w:type="dxa"/>
                  <w:vAlign w:val="center"/>
                </w:tcPr>
                <w:p w14:paraId="71C1B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46309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6.6</w:t>
                  </w:r>
                </w:p>
              </w:tc>
              <w:tc>
                <w:tcPr>
                  <w:tcW w:w="1825" w:type="dxa"/>
                  <w:vMerge w:val="restart"/>
                  <w:vAlign w:val="center"/>
                </w:tcPr>
                <w:p w14:paraId="06F0C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6-9</w:t>
                  </w:r>
                </w:p>
              </w:tc>
              <w:tc>
                <w:tcPr>
                  <w:tcW w:w="1824" w:type="dxa"/>
                  <w:vAlign w:val="center"/>
                </w:tcPr>
                <w:p w14:paraId="4C807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14:paraId="20B5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16750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25A3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7D57E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6.6</w:t>
                  </w:r>
                </w:p>
              </w:tc>
              <w:tc>
                <w:tcPr>
                  <w:tcW w:w="1825" w:type="dxa"/>
                  <w:vMerge w:val="continue"/>
                  <w:vAlign w:val="center"/>
                </w:tcPr>
                <w:p w14:paraId="1012A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FFB9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392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34EC7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669DB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546EC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6.6</w:t>
                  </w:r>
                </w:p>
              </w:tc>
              <w:tc>
                <w:tcPr>
                  <w:tcW w:w="1825" w:type="dxa"/>
                  <w:vMerge w:val="continue"/>
                  <w:vAlign w:val="center"/>
                </w:tcPr>
                <w:p w14:paraId="7C56E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4D6D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4E5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7655C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高锰酸盐指数</w:t>
                  </w:r>
                </w:p>
              </w:tc>
              <w:tc>
                <w:tcPr>
                  <w:tcW w:w="1824" w:type="dxa"/>
                  <w:vAlign w:val="center"/>
                </w:tcPr>
                <w:p w14:paraId="68EDF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6FFF7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c>
                <w:tcPr>
                  <w:tcW w:w="1825" w:type="dxa"/>
                  <w:vMerge w:val="restart"/>
                  <w:vAlign w:val="center"/>
                </w:tcPr>
                <w:p w14:paraId="1C043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1824" w:type="dxa"/>
                  <w:vAlign w:val="center"/>
                </w:tcPr>
                <w:p w14:paraId="6A27C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BA7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34B0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95CB8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DB8E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1.8</w:t>
                  </w:r>
                </w:p>
              </w:tc>
              <w:tc>
                <w:tcPr>
                  <w:tcW w:w="1825" w:type="dxa"/>
                  <w:vMerge w:val="continue"/>
                  <w:vAlign w:val="center"/>
                </w:tcPr>
                <w:p w14:paraId="25AAF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8119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775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4C101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C484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43B5C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1.8</w:t>
                  </w:r>
                </w:p>
              </w:tc>
              <w:tc>
                <w:tcPr>
                  <w:tcW w:w="1825" w:type="dxa"/>
                  <w:vMerge w:val="continue"/>
                  <w:vAlign w:val="center"/>
                </w:tcPr>
                <w:p w14:paraId="73254E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6056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F2C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62987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悬浮物</w:t>
                  </w:r>
                </w:p>
              </w:tc>
              <w:tc>
                <w:tcPr>
                  <w:tcW w:w="1824" w:type="dxa"/>
                  <w:vAlign w:val="center"/>
                </w:tcPr>
                <w:p w14:paraId="79B42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4AD23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w:t>
                  </w:r>
                </w:p>
              </w:tc>
              <w:tc>
                <w:tcPr>
                  <w:tcW w:w="1825" w:type="dxa"/>
                  <w:vMerge w:val="restart"/>
                  <w:vAlign w:val="center"/>
                </w:tcPr>
                <w:p w14:paraId="33799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824" w:type="dxa"/>
                  <w:vAlign w:val="center"/>
                </w:tcPr>
                <w:p w14:paraId="3976C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5648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A29D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8429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3DBE8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w:t>
                  </w:r>
                </w:p>
              </w:tc>
              <w:tc>
                <w:tcPr>
                  <w:tcW w:w="1825" w:type="dxa"/>
                  <w:vMerge w:val="continue"/>
                  <w:vAlign w:val="center"/>
                </w:tcPr>
                <w:p w14:paraId="207414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0172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13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4B399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D236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481DB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w:t>
                  </w:r>
                </w:p>
              </w:tc>
              <w:tc>
                <w:tcPr>
                  <w:tcW w:w="1825" w:type="dxa"/>
                  <w:vMerge w:val="continue"/>
                  <w:vAlign w:val="center"/>
                </w:tcPr>
                <w:p w14:paraId="784FB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82A3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D48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6DF7F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氟化物</w:t>
                  </w:r>
                </w:p>
              </w:tc>
              <w:tc>
                <w:tcPr>
                  <w:tcW w:w="1824" w:type="dxa"/>
                  <w:vAlign w:val="center"/>
                </w:tcPr>
                <w:p w14:paraId="46B9A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55903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0.34</w:t>
                  </w:r>
                </w:p>
              </w:tc>
              <w:tc>
                <w:tcPr>
                  <w:tcW w:w="1825" w:type="dxa"/>
                  <w:vMerge w:val="restart"/>
                  <w:vAlign w:val="center"/>
                </w:tcPr>
                <w:p w14:paraId="55EC28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824" w:type="dxa"/>
                  <w:vAlign w:val="center"/>
                </w:tcPr>
                <w:p w14:paraId="561E3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6A2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6DEC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CEE7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FC18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0.36</w:t>
                  </w:r>
                </w:p>
              </w:tc>
              <w:tc>
                <w:tcPr>
                  <w:tcW w:w="1825" w:type="dxa"/>
                  <w:vMerge w:val="continue"/>
                  <w:vAlign w:val="center"/>
                </w:tcPr>
                <w:p w14:paraId="326BE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747A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BE8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AF59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25A2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10D66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0.38</w:t>
                  </w:r>
                </w:p>
              </w:tc>
              <w:tc>
                <w:tcPr>
                  <w:tcW w:w="1825" w:type="dxa"/>
                  <w:vMerge w:val="continue"/>
                  <w:vAlign w:val="center"/>
                </w:tcPr>
                <w:p w14:paraId="52112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227B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13A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7DCC1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石油类</w:t>
                  </w:r>
                </w:p>
              </w:tc>
              <w:tc>
                <w:tcPr>
                  <w:tcW w:w="1824" w:type="dxa"/>
                  <w:vAlign w:val="center"/>
                </w:tcPr>
                <w:p w14:paraId="1FBB6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17FB39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w:t>
                  </w:r>
                </w:p>
              </w:tc>
              <w:tc>
                <w:tcPr>
                  <w:tcW w:w="1825" w:type="dxa"/>
                  <w:vMerge w:val="restart"/>
                  <w:vAlign w:val="center"/>
                </w:tcPr>
                <w:p w14:paraId="7FBBE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1824" w:type="dxa"/>
                  <w:vAlign w:val="center"/>
                </w:tcPr>
                <w:p w14:paraId="200F3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F86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3E7F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1ED5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20575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0.03</w:t>
                  </w:r>
                </w:p>
              </w:tc>
              <w:tc>
                <w:tcPr>
                  <w:tcW w:w="1825" w:type="dxa"/>
                  <w:vMerge w:val="continue"/>
                  <w:vAlign w:val="center"/>
                </w:tcPr>
                <w:p w14:paraId="36D6B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CFE8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F11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7F6CE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0E0B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71D0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w:t>
                  </w:r>
                </w:p>
              </w:tc>
              <w:tc>
                <w:tcPr>
                  <w:tcW w:w="1825" w:type="dxa"/>
                  <w:vMerge w:val="continue"/>
                  <w:vAlign w:val="center"/>
                </w:tcPr>
                <w:p w14:paraId="703CE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7998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3B87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16CA7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化学需氧量</w:t>
                  </w:r>
                </w:p>
              </w:tc>
              <w:tc>
                <w:tcPr>
                  <w:tcW w:w="1824" w:type="dxa"/>
                  <w:vAlign w:val="center"/>
                </w:tcPr>
                <w:p w14:paraId="1C200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7A1E1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1825" w:type="dxa"/>
                  <w:vMerge w:val="restart"/>
                  <w:vAlign w:val="center"/>
                </w:tcPr>
                <w:p w14:paraId="659AF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1824" w:type="dxa"/>
                  <w:vAlign w:val="center"/>
                </w:tcPr>
                <w:p w14:paraId="3E698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BAA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ADDB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056B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35FBC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c>
                <w:tcPr>
                  <w:tcW w:w="1825" w:type="dxa"/>
                  <w:vMerge w:val="continue"/>
                  <w:vAlign w:val="center"/>
                </w:tcPr>
                <w:p w14:paraId="684BA7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E881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5A7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3D8496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81AA7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32022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1825" w:type="dxa"/>
                  <w:vMerge w:val="continue"/>
                  <w:vAlign w:val="center"/>
                </w:tcPr>
                <w:p w14:paraId="0D8FD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7F9E9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5CB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16C01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氨氮</w:t>
                  </w:r>
                </w:p>
              </w:tc>
              <w:tc>
                <w:tcPr>
                  <w:tcW w:w="1824" w:type="dxa"/>
                  <w:vAlign w:val="center"/>
                </w:tcPr>
                <w:p w14:paraId="4E57B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77E1B4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0.472</w:t>
                  </w:r>
                </w:p>
              </w:tc>
              <w:tc>
                <w:tcPr>
                  <w:tcW w:w="1825" w:type="dxa"/>
                  <w:vMerge w:val="restart"/>
                  <w:vAlign w:val="center"/>
                </w:tcPr>
                <w:p w14:paraId="4498C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824" w:type="dxa"/>
                  <w:vAlign w:val="center"/>
                </w:tcPr>
                <w:p w14:paraId="7E565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C85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471E5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E00F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F2B8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0.462</w:t>
                  </w:r>
                </w:p>
              </w:tc>
              <w:tc>
                <w:tcPr>
                  <w:tcW w:w="1825" w:type="dxa"/>
                  <w:vMerge w:val="continue"/>
                  <w:vAlign w:val="center"/>
                </w:tcPr>
                <w:p w14:paraId="71FD0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48EF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2B1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1D6D2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6582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D1B6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0.482</w:t>
                  </w:r>
                </w:p>
              </w:tc>
              <w:tc>
                <w:tcPr>
                  <w:tcW w:w="1825" w:type="dxa"/>
                  <w:vMerge w:val="continue"/>
                  <w:vAlign w:val="center"/>
                </w:tcPr>
                <w:p w14:paraId="2D645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D175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81A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5F695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汞（μg/L）</w:t>
                  </w:r>
                </w:p>
              </w:tc>
              <w:tc>
                <w:tcPr>
                  <w:tcW w:w="1824" w:type="dxa"/>
                  <w:vAlign w:val="center"/>
                </w:tcPr>
                <w:p w14:paraId="72A38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5AE9D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0.02L</w:t>
                  </w:r>
                </w:p>
              </w:tc>
              <w:tc>
                <w:tcPr>
                  <w:tcW w:w="1825" w:type="dxa"/>
                  <w:vMerge w:val="restart"/>
                  <w:vAlign w:val="center"/>
                </w:tcPr>
                <w:p w14:paraId="620C0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0.0001</w:t>
                  </w:r>
                </w:p>
              </w:tc>
              <w:tc>
                <w:tcPr>
                  <w:tcW w:w="1824" w:type="dxa"/>
                  <w:vAlign w:val="center"/>
                </w:tcPr>
                <w:p w14:paraId="592FA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766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5932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E600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6D031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0.02L</w:t>
                  </w:r>
                </w:p>
              </w:tc>
              <w:tc>
                <w:tcPr>
                  <w:tcW w:w="1825" w:type="dxa"/>
                  <w:vMerge w:val="continue"/>
                  <w:vAlign w:val="center"/>
                </w:tcPr>
                <w:p w14:paraId="38C51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B5BF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0E2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0F86A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BFCE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70930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0.02L</w:t>
                  </w:r>
                </w:p>
              </w:tc>
              <w:tc>
                <w:tcPr>
                  <w:tcW w:w="1825" w:type="dxa"/>
                  <w:vMerge w:val="continue"/>
                  <w:vAlign w:val="center"/>
                </w:tcPr>
                <w:p w14:paraId="62298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95C1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D79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0F872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六价铬</w:t>
                  </w:r>
                </w:p>
              </w:tc>
              <w:tc>
                <w:tcPr>
                  <w:tcW w:w="1824" w:type="dxa"/>
                  <w:vAlign w:val="center"/>
                </w:tcPr>
                <w:p w14:paraId="0B47AC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5B1AF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0.004L</w:t>
                  </w:r>
                </w:p>
              </w:tc>
              <w:tc>
                <w:tcPr>
                  <w:tcW w:w="1825" w:type="dxa"/>
                  <w:vMerge w:val="restart"/>
                  <w:vAlign w:val="center"/>
                </w:tcPr>
                <w:p w14:paraId="3D220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1824" w:type="dxa"/>
                  <w:vAlign w:val="center"/>
                </w:tcPr>
                <w:p w14:paraId="26786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630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3947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55B8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6AE51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0.004L</w:t>
                  </w:r>
                </w:p>
              </w:tc>
              <w:tc>
                <w:tcPr>
                  <w:tcW w:w="1825" w:type="dxa"/>
                  <w:vMerge w:val="continue"/>
                  <w:vAlign w:val="center"/>
                </w:tcPr>
                <w:p w14:paraId="78995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7877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E2D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45DDE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774B6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DF03F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0.004L</w:t>
                  </w:r>
                </w:p>
              </w:tc>
              <w:tc>
                <w:tcPr>
                  <w:tcW w:w="1825" w:type="dxa"/>
                  <w:vMerge w:val="continue"/>
                  <w:vAlign w:val="center"/>
                </w:tcPr>
                <w:p w14:paraId="0D30B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0F88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5ED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402BA0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硒（μg/L）</w:t>
                  </w:r>
                </w:p>
              </w:tc>
              <w:tc>
                <w:tcPr>
                  <w:tcW w:w="1824" w:type="dxa"/>
                  <w:vAlign w:val="center"/>
                </w:tcPr>
                <w:p w14:paraId="4B060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6578D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0.4L</w:t>
                  </w:r>
                </w:p>
              </w:tc>
              <w:tc>
                <w:tcPr>
                  <w:tcW w:w="1825" w:type="dxa"/>
                  <w:vMerge w:val="restart"/>
                  <w:vAlign w:val="center"/>
                </w:tcPr>
                <w:p w14:paraId="3ED5E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824" w:type="dxa"/>
                  <w:vAlign w:val="center"/>
                </w:tcPr>
                <w:p w14:paraId="34B2E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1F2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054331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233A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EF31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0.4L</w:t>
                  </w:r>
                </w:p>
              </w:tc>
              <w:tc>
                <w:tcPr>
                  <w:tcW w:w="1825" w:type="dxa"/>
                  <w:vMerge w:val="continue"/>
                  <w:vAlign w:val="center"/>
                </w:tcPr>
                <w:p w14:paraId="13784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D644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5D7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AD9E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5B25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7D814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0.4L</w:t>
                  </w:r>
                </w:p>
              </w:tc>
              <w:tc>
                <w:tcPr>
                  <w:tcW w:w="1825" w:type="dxa"/>
                  <w:vMerge w:val="continue"/>
                  <w:vAlign w:val="center"/>
                </w:tcPr>
                <w:p w14:paraId="3BE3CA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FBE0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3910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21365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挥发酚</w:t>
                  </w:r>
                </w:p>
              </w:tc>
              <w:tc>
                <w:tcPr>
                  <w:tcW w:w="1824" w:type="dxa"/>
                  <w:vAlign w:val="center"/>
                </w:tcPr>
                <w:p w14:paraId="1FE22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6B899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0.0003L</w:t>
                  </w:r>
                </w:p>
              </w:tc>
              <w:tc>
                <w:tcPr>
                  <w:tcW w:w="1825" w:type="dxa"/>
                  <w:vMerge w:val="restart"/>
                  <w:vAlign w:val="center"/>
                </w:tcPr>
                <w:p w14:paraId="58C69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0.005</w:t>
                  </w:r>
                </w:p>
              </w:tc>
              <w:tc>
                <w:tcPr>
                  <w:tcW w:w="1824" w:type="dxa"/>
                  <w:vAlign w:val="center"/>
                </w:tcPr>
                <w:p w14:paraId="4BA32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432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44F84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86FD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257A9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0.0003L</w:t>
                  </w:r>
                </w:p>
              </w:tc>
              <w:tc>
                <w:tcPr>
                  <w:tcW w:w="1825" w:type="dxa"/>
                  <w:vMerge w:val="continue"/>
                  <w:vAlign w:val="center"/>
                </w:tcPr>
                <w:p w14:paraId="5AED0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6C987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0C5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72181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CFB8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D7C9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0.0003L</w:t>
                  </w:r>
                </w:p>
              </w:tc>
              <w:tc>
                <w:tcPr>
                  <w:tcW w:w="1825" w:type="dxa"/>
                  <w:vMerge w:val="continue"/>
                  <w:vAlign w:val="center"/>
                </w:tcPr>
                <w:p w14:paraId="102445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87F9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FCE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4DD30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粪大肠菌群（MPN/L）</w:t>
                  </w:r>
                </w:p>
              </w:tc>
              <w:tc>
                <w:tcPr>
                  <w:tcW w:w="1824" w:type="dxa"/>
                  <w:vAlign w:val="center"/>
                </w:tcPr>
                <w:p w14:paraId="4C5A0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644BD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cs="Times New Roman"/>
                      <w:color w:val="auto"/>
                      <w:sz w:val="21"/>
                      <w:szCs w:val="21"/>
                      <w:vertAlign w:val="baseline"/>
                      <w:lang w:val="en-US" w:eastAsia="zh-CN"/>
                    </w:rPr>
                    <w:t>1.1×10</w:t>
                  </w:r>
                  <w:r>
                    <w:rPr>
                      <w:rFonts w:hint="default" w:ascii="Times New Roman" w:hAnsi="Times New Roman" w:cs="Times New Roman"/>
                      <w:color w:val="auto"/>
                      <w:sz w:val="21"/>
                      <w:szCs w:val="21"/>
                      <w:vertAlign w:val="superscript"/>
                      <w:lang w:val="en-US" w:eastAsia="zh-CN"/>
                    </w:rPr>
                    <w:t>3</w:t>
                  </w:r>
                </w:p>
              </w:tc>
              <w:tc>
                <w:tcPr>
                  <w:tcW w:w="1825" w:type="dxa"/>
                  <w:vMerge w:val="restart"/>
                  <w:vAlign w:val="center"/>
                </w:tcPr>
                <w:p w14:paraId="65326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10000</w:t>
                  </w:r>
                </w:p>
              </w:tc>
              <w:tc>
                <w:tcPr>
                  <w:tcW w:w="1824" w:type="dxa"/>
                  <w:vAlign w:val="center"/>
                </w:tcPr>
                <w:p w14:paraId="785DD4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BD4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70EDB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39D1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0050D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1.7×10</w:t>
                  </w:r>
                  <w:r>
                    <w:rPr>
                      <w:rFonts w:hint="default" w:ascii="Times New Roman" w:hAnsi="Times New Roman" w:cs="Times New Roman"/>
                      <w:color w:val="auto"/>
                      <w:sz w:val="21"/>
                      <w:szCs w:val="21"/>
                      <w:vertAlign w:val="superscript"/>
                      <w:lang w:val="en-US" w:eastAsia="zh-CN"/>
                    </w:rPr>
                    <w:t>3</w:t>
                  </w:r>
                </w:p>
              </w:tc>
              <w:tc>
                <w:tcPr>
                  <w:tcW w:w="1825" w:type="dxa"/>
                  <w:vMerge w:val="continue"/>
                  <w:vAlign w:val="center"/>
                </w:tcPr>
                <w:p w14:paraId="7B2B6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B7EE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DE9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A33E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7348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3F0AE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1.7×10</w:t>
                  </w:r>
                  <w:r>
                    <w:rPr>
                      <w:rFonts w:hint="default" w:ascii="Times New Roman" w:hAnsi="Times New Roman" w:cs="Times New Roman"/>
                      <w:color w:val="auto"/>
                      <w:sz w:val="21"/>
                      <w:szCs w:val="21"/>
                      <w:vertAlign w:val="superscript"/>
                      <w:lang w:val="en-US" w:eastAsia="zh-CN"/>
                    </w:rPr>
                    <w:t>3</w:t>
                  </w:r>
                </w:p>
              </w:tc>
              <w:tc>
                <w:tcPr>
                  <w:tcW w:w="1825" w:type="dxa"/>
                  <w:vMerge w:val="continue"/>
                  <w:vAlign w:val="center"/>
                </w:tcPr>
                <w:p w14:paraId="2D58A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FEC0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115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22320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铅</w:t>
                  </w:r>
                </w:p>
              </w:tc>
              <w:tc>
                <w:tcPr>
                  <w:tcW w:w="1824" w:type="dxa"/>
                  <w:vAlign w:val="center"/>
                </w:tcPr>
                <w:p w14:paraId="6A9387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59A90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0.01L</w:t>
                  </w:r>
                </w:p>
              </w:tc>
              <w:tc>
                <w:tcPr>
                  <w:tcW w:w="1825" w:type="dxa"/>
                  <w:vMerge w:val="restart"/>
                  <w:vAlign w:val="center"/>
                </w:tcPr>
                <w:p w14:paraId="72F145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w:t>
                  </w:r>
                </w:p>
              </w:tc>
              <w:tc>
                <w:tcPr>
                  <w:tcW w:w="1824" w:type="dxa"/>
                  <w:vAlign w:val="center"/>
                </w:tcPr>
                <w:p w14:paraId="71437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DAE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39754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B943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302D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0.01L</w:t>
                  </w:r>
                </w:p>
              </w:tc>
              <w:tc>
                <w:tcPr>
                  <w:tcW w:w="1825" w:type="dxa"/>
                  <w:vMerge w:val="continue"/>
                  <w:vAlign w:val="center"/>
                </w:tcPr>
                <w:p w14:paraId="46779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A6198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A0B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1C16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1710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6B367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0.01L</w:t>
                  </w:r>
                </w:p>
              </w:tc>
              <w:tc>
                <w:tcPr>
                  <w:tcW w:w="1825" w:type="dxa"/>
                  <w:vMerge w:val="continue"/>
                  <w:vAlign w:val="center"/>
                </w:tcPr>
                <w:p w14:paraId="57691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6D627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95D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12A5FE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铜</w:t>
                  </w:r>
                </w:p>
              </w:tc>
              <w:tc>
                <w:tcPr>
                  <w:tcW w:w="1824" w:type="dxa"/>
                  <w:vAlign w:val="center"/>
                </w:tcPr>
                <w:p w14:paraId="79C35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231FD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0.001L</w:t>
                  </w:r>
                </w:p>
              </w:tc>
              <w:tc>
                <w:tcPr>
                  <w:tcW w:w="1825" w:type="dxa"/>
                  <w:vMerge w:val="restart"/>
                  <w:vAlign w:val="center"/>
                </w:tcPr>
                <w:p w14:paraId="74A31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824" w:type="dxa"/>
                  <w:vAlign w:val="center"/>
                </w:tcPr>
                <w:p w14:paraId="4B203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0F0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18C0E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1F06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31155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0.001L</w:t>
                  </w:r>
                </w:p>
              </w:tc>
              <w:tc>
                <w:tcPr>
                  <w:tcW w:w="1825" w:type="dxa"/>
                  <w:vMerge w:val="continue"/>
                  <w:vAlign w:val="center"/>
                </w:tcPr>
                <w:p w14:paraId="02BB0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F20D1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89A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0F68B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5BEF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353D54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0.001L</w:t>
                  </w:r>
                </w:p>
              </w:tc>
              <w:tc>
                <w:tcPr>
                  <w:tcW w:w="1825" w:type="dxa"/>
                  <w:vMerge w:val="continue"/>
                  <w:vAlign w:val="center"/>
                </w:tcPr>
                <w:p w14:paraId="1C54C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9CE5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8FA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00AF6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锌</w:t>
                  </w:r>
                </w:p>
              </w:tc>
              <w:tc>
                <w:tcPr>
                  <w:tcW w:w="1824" w:type="dxa"/>
                  <w:vAlign w:val="center"/>
                </w:tcPr>
                <w:p w14:paraId="2477E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43B20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0.05L</w:t>
                  </w:r>
                </w:p>
              </w:tc>
              <w:tc>
                <w:tcPr>
                  <w:tcW w:w="1825" w:type="dxa"/>
                  <w:vMerge w:val="restart"/>
                  <w:vAlign w:val="center"/>
                </w:tcPr>
                <w:p w14:paraId="05E67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824" w:type="dxa"/>
                  <w:vAlign w:val="center"/>
                </w:tcPr>
                <w:p w14:paraId="1B0D2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E46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885F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84512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0A726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0.05L</w:t>
                  </w:r>
                </w:p>
              </w:tc>
              <w:tc>
                <w:tcPr>
                  <w:tcW w:w="1825" w:type="dxa"/>
                  <w:vMerge w:val="continue"/>
                  <w:vAlign w:val="center"/>
                </w:tcPr>
                <w:p w14:paraId="334811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6307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F59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2A0C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FE75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A5C0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0.05L</w:t>
                  </w:r>
                </w:p>
              </w:tc>
              <w:tc>
                <w:tcPr>
                  <w:tcW w:w="1825" w:type="dxa"/>
                  <w:vMerge w:val="continue"/>
                  <w:vAlign w:val="center"/>
                </w:tcPr>
                <w:p w14:paraId="4D860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6432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F14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3398B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镉</w:t>
                  </w:r>
                </w:p>
              </w:tc>
              <w:tc>
                <w:tcPr>
                  <w:tcW w:w="1824" w:type="dxa"/>
                  <w:vAlign w:val="center"/>
                </w:tcPr>
                <w:p w14:paraId="11D31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6B08F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0.001L</w:t>
                  </w:r>
                </w:p>
              </w:tc>
              <w:tc>
                <w:tcPr>
                  <w:tcW w:w="1825" w:type="dxa"/>
                  <w:vMerge w:val="restart"/>
                  <w:vAlign w:val="center"/>
                </w:tcPr>
                <w:p w14:paraId="2EAE0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0.005</w:t>
                  </w:r>
                </w:p>
              </w:tc>
              <w:tc>
                <w:tcPr>
                  <w:tcW w:w="1824" w:type="dxa"/>
                  <w:vAlign w:val="center"/>
                </w:tcPr>
                <w:p w14:paraId="7B362E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D1A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2109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5490F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C27A5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0.001L</w:t>
                  </w:r>
                </w:p>
              </w:tc>
              <w:tc>
                <w:tcPr>
                  <w:tcW w:w="1825" w:type="dxa"/>
                  <w:vMerge w:val="continue"/>
                  <w:vAlign w:val="center"/>
                </w:tcPr>
                <w:p w14:paraId="54B30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0B4B4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77A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1AFA5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E895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4F517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0.001L</w:t>
                  </w:r>
                </w:p>
              </w:tc>
              <w:tc>
                <w:tcPr>
                  <w:tcW w:w="1825" w:type="dxa"/>
                  <w:vMerge w:val="continue"/>
                  <w:vAlign w:val="center"/>
                </w:tcPr>
                <w:p w14:paraId="5554E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357E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3B7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1DB93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阴离子表面活性剂</w:t>
                  </w:r>
                </w:p>
              </w:tc>
              <w:tc>
                <w:tcPr>
                  <w:tcW w:w="1824" w:type="dxa"/>
                  <w:vAlign w:val="center"/>
                </w:tcPr>
                <w:p w14:paraId="648DC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31B77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0.05L</w:t>
                  </w:r>
                </w:p>
              </w:tc>
              <w:tc>
                <w:tcPr>
                  <w:tcW w:w="1825" w:type="dxa"/>
                  <w:vMerge w:val="restart"/>
                  <w:vAlign w:val="center"/>
                </w:tcPr>
                <w:p w14:paraId="144E7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1824" w:type="dxa"/>
                  <w:vAlign w:val="center"/>
                </w:tcPr>
                <w:p w14:paraId="09C34B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52E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E8B2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61E7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62F6B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0.05L</w:t>
                  </w:r>
                </w:p>
              </w:tc>
              <w:tc>
                <w:tcPr>
                  <w:tcW w:w="1825" w:type="dxa"/>
                  <w:vMerge w:val="continue"/>
                  <w:vAlign w:val="center"/>
                </w:tcPr>
                <w:p w14:paraId="696E9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CA0C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197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609A3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835B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B211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0.05L</w:t>
                  </w:r>
                </w:p>
              </w:tc>
              <w:tc>
                <w:tcPr>
                  <w:tcW w:w="1825" w:type="dxa"/>
                  <w:vMerge w:val="continue"/>
                  <w:vAlign w:val="center"/>
                </w:tcPr>
                <w:p w14:paraId="3DD90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050B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C85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736212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subscript"/>
                      <w:lang w:val="en-US" w:eastAsia="zh-CN"/>
                    </w:rPr>
                  </w:pPr>
                  <w:r>
                    <w:rPr>
                      <w:rFonts w:hint="default" w:ascii="Times New Roman" w:hAnsi="Times New Roman" w:cs="Times New Roman"/>
                      <w:color w:val="auto"/>
                      <w:sz w:val="21"/>
                      <w:szCs w:val="21"/>
                      <w:vertAlign w:val="baseline"/>
                      <w:lang w:val="en-US" w:eastAsia="zh-CN"/>
                    </w:rPr>
                    <w:t>BOD</w:t>
                  </w:r>
                  <w:r>
                    <w:rPr>
                      <w:rFonts w:hint="default" w:ascii="Times New Roman" w:hAnsi="Times New Roman" w:cs="Times New Roman"/>
                      <w:color w:val="auto"/>
                      <w:sz w:val="21"/>
                      <w:szCs w:val="21"/>
                      <w:vertAlign w:val="subscript"/>
                      <w:lang w:val="en-US" w:eastAsia="zh-CN"/>
                    </w:rPr>
                    <w:t>5</w:t>
                  </w:r>
                </w:p>
              </w:tc>
              <w:tc>
                <w:tcPr>
                  <w:tcW w:w="1824" w:type="dxa"/>
                  <w:vAlign w:val="center"/>
                </w:tcPr>
                <w:p w14:paraId="5E31A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2F737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3.8</w:t>
                  </w:r>
                </w:p>
              </w:tc>
              <w:tc>
                <w:tcPr>
                  <w:tcW w:w="1825" w:type="dxa"/>
                  <w:vMerge w:val="restart"/>
                  <w:vAlign w:val="center"/>
                </w:tcPr>
                <w:p w14:paraId="22880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824" w:type="dxa"/>
                  <w:vAlign w:val="center"/>
                </w:tcPr>
                <w:p w14:paraId="58FBB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6B5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1E14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4AEF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12764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2.9</w:t>
                  </w:r>
                </w:p>
              </w:tc>
              <w:tc>
                <w:tcPr>
                  <w:tcW w:w="1825" w:type="dxa"/>
                  <w:vMerge w:val="continue"/>
                  <w:vAlign w:val="center"/>
                </w:tcPr>
                <w:p w14:paraId="61C6F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3BAE2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F8D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0E4A0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55636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3A6C3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w:t>
                  </w:r>
                </w:p>
              </w:tc>
              <w:tc>
                <w:tcPr>
                  <w:tcW w:w="1825" w:type="dxa"/>
                  <w:vMerge w:val="continue"/>
                  <w:vAlign w:val="center"/>
                </w:tcPr>
                <w:p w14:paraId="7442B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40F87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30F1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06434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总氮</w:t>
                  </w:r>
                </w:p>
              </w:tc>
              <w:tc>
                <w:tcPr>
                  <w:tcW w:w="1824" w:type="dxa"/>
                  <w:vAlign w:val="center"/>
                </w:tcPr>
                <w:p w14:paraId="7DF35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3CA71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0.76</w:t>
                  </w:r>
                </w:p>
              </w:tc>
              <w:tc>
                <w:tcPr>
                  <w:tcW w:w="1825" w:type="dxa"/>
                  <w:vMerge w:val="restart"/>
                  <w:vAlign w:val="center"/>
                </w:tcPr>
                <w:p w14:paraId="6DEF5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824" w:type="dxa"/>
                  <w:vAlign w:val="center"/>
                </w:tcPr>
                <w:p w14:paraId="26345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702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016C9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8D3B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513BD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0.71</w:t>
                  </w:r>
                </w:p>
              </w:tc>
              <w:tc>
                <w:tcPr>
                  <w:tcW w:w="1825" w:type="dxa"/>
                  <w:vMerge w:val="continue"/>
                  <w:vAlign w:val="center"/>
                </w:tcPr>
                <w:p w14:paraId="74773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BA3D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B6A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140B6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1FDD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1877A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0.74</w:t>
                  </w:r>
                </w:p>
              </w:tc>
              <w:tc>
                <w:tcPr>
                  <w:tcW w:w="1825" w:type="dxa"/>
                  <w:vMerge w:val="continue"/>
                  <w:vAlign w:val="center"/>
                </w:tcPr>
                <w:p w14:paraId="74743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A938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4822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08F62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溶解氧</w:t>
                  </w:r>
                </w:p>
              </w:tc>
              <w:tc>
                <w:tcPr>
                  <w:tcW w:w="1824" w:type="dxa"/>
                  <w:vAlign w:val="center"/>
                </w:tcPr>
                <w:p w14:paraId="4FC75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13765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6.6</w:t>
                  </w:r>
                </w:p>
              </w:tc>
              <w:tc>
                <w:tcPr>
                  <w:tcW w:w="1825" w:type="dxa"/>
                  <w:vMerge w:val="restart"/>
                  <w:vAlign w:val="center"/>
                </w:tcPr>
                <w:p w14:paraId="705F4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824" w:type="dxa"/>
                  <w:vAlign w:val="center"/>
                </w:tcPr>
                <w:p w14:paraId="20DD5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2D3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7ACBA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191D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28047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6.9</w:t>
                  </w:r>
                </w:p>
              </w:tc>
              <w:tc>
                <w:tcPr>
                  <w:tcW w:w="1825" w:type="dxa"/>
                  <w:vMerge w:val="continue"/>
                  <w:vAlign w:val="center"/>
                </w:tcPr>
                <w:p w14:paraId="6D723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364B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D91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7AF779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1AC3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694DA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1825" w:type="dxa"/>
                  <w:vMerge w:val="continue"/>
                  <w:vAlign w:val="center"/>
                </w:tcPr>
                <w:p w14:paraId="1C397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57181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821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4D8D9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水温（℃）</w:t>
                  </w:r>
                </w:p>
              </w:tc>
              <w:tc>
                <w:tcPr>
                  <w:tcW w:w="1824" w:type="dxa"/>
                  <w:vAlign w:val="center"/>
                </w:tcPr>
                <w:p w14:paraId="4A763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320D3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22.7</w:t>
                  </w:r>
                </w:p>
              </w:tc>
              <w:tc>
                <w:tcPr>
                  <w:tcW w:w="1825" w:type="dxa"/>
                  <w:vMerge w:val="restart"/>
                  <w:vAlign w:val="center"/>
                </w:tcPr>
                <w:p w14:paraId="6130B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824" w:type="dxa"/>
                  <w:vAlign w:val="center"/>
                </w:tcPr>
                <w:p w14:paraId="2DC01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73B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12C6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84F8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64664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23.6</w:t>
                  </w:r>
                </w:p>
              </w:tc>
              <w:tc>
                <w:tcPr>
                  <w:tcW w:w="1825" w:type="dxa"/>
                  <w:vMerge w:val="continue"/>
                  <w:vAlign w:val="center"/>
                </w:tcPr>
                <w:p w14:paraId="3B8E7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4DEF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0793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C4B8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552F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6519E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22.9</w:t>
                  </w:r>
                </w:p>
              </w:tc>
              <w:tc>
                <w:tcPr>
                  <w:tcW w:w="1825" w:type="dxa"/>
                  <w:vMerge w:val="continue"/>
                  <w:vAlign w:val="center"/>
                </w:tcPr>
                <w:p w14:paraId="3701F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AAE2D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500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2B547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总磷</w:t>
                  </w:r>
                </w:p>
              </w:tc>
              <w:tc>
                <w:tcPr>
                  <w:tcW w:w="1824" w:type="dxa"/>
                  <w:vAlign w:val="center"/>
                </w:tcPr>
                <w:p w14:paraId="369DC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16BEC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0.101</w:t>
                  </w:r>
                </w:p>
              </w:tc>
              <w:tc>
                <w:tcPr>
                  <w:tcW w:w="1825" w:type="dxa"/>
                  <w:vMerge w:val="restart"/>
                  <w:vAlign w:val="center"/>
                </w:tcPr>
                <w:p w14:paraId="7A89A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1824" w:type="dxa"/>
                  <w:vAlign w:val="center"/>
                </w:tcPr>
                <w:p w14:paraId="2B326B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136A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334F8F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85AA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7AF58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0.063</w:t>
                  </w:r>
                </w:p>
              </w:tc>
              <w:tc>
                <w:tcPr>
                  <w:tcW w:w="1825" w:type="dxa"/>
                  <w:vMerge w:val="continue"/>
                  <w:vAlign w:val="center"/>
                </w:tcPr>
                <w:p w14:paraId="2606A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DBAA5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33B8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3A410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A4AB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21075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0.074</w:t>
                  </w:r>
                </w:p>
              </w:tc>
              <w:tc>
                <w:tcPr>
                  <w:tcW w:w="1825" w:type="dxa"/>
                  <w:vMerge w:val="continue"/>
                  <w:vAlign w:val="center"/>
                </w:tcPr>
                <w:p w14:paraId="62525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8CD9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2B4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3CBA1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硫化物</w:t>
                  </w:r>
                </w:p>
              </w:tc>
              <w:tc>
                <w:tcPr>
                  <w:tcW w:w="1824" w:type="dxa"/>
                  <w:vAlign w:val="center"/>
                </w:tcPr>
                <w:p w14:paraId="32A0F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74A4D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0.01L</w:t>
                  </w:r>
                </w:p>
              </w:tc>
              <w:tc>
                <w:tcPr>
                  <w:tcW w:w="1825" w:type="dxa"/>
                  <w:vMerge w:val="restart"/>
                  <w:vAlign w:val="center"/>
                </w:tcPr>
                <w:p w14:paraId="130D1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1824" w:type="dxa"/>
                  <w:vAlign w:val="center"/>
                </w:tcPr>
                <w:p w14:paraId="4936E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EC5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3B0E51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E88D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4882D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0.01L</w:t>
                  </w:r>
                </w:p>
              </w:tc>
              <w:tc>
                <w:tcPr>
                  <w:tcW w:w="1825" w:type="dxa"/>
                  <w:vMerge w:val="continue"/>
                  <w:vAlign w:val="center"/>
                </w:tcPr>
                <w:p w14:paraId="41DB9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DF6C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5A19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3C9CF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38E0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19A3B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0.01L</w:t>
                  </w:r>
                </w:p>
              </w:tc>
              <w:tc>
                <w:tcPr>
                  <w:tcW w:w="1825" w:type="dxa"/>
                  <w:vMerge w:val="continue"/>
                  <w:vAlign w:val="center"/>
                </w:tcPr>
                <w:p w14:paraId="1DD98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05D66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36B2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43AC3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砷（μg/L）</w:t>
                  </w:r>
                </w:p>
              </w:tc>
              <w:tc>
                <w:tcPr>
                  <w:tcW w:w="1824" w:type="dxa"/>
                  <w:vAlign w:val="center"/>
                </w:tcPr>
                <w:p w14:paraId="7CE96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6A4E84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825" w:type="dxa"/>
                  <w:vMerge w:val="restart"/>
                  <w:vAlign w:val="center"/>
                </w:tcPr>
                <w:p w14:paraId="26808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c>
                <w:tcPr>
                  <w:tcW w:w="1824" w:type="dxa"/>
                  <w:vAlign w:val="center"/>
                </w:tcPr>
                <w:p w14:paraId="4515F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D6A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161E1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2E6AA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6A06E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825" w:type="dxa"/>
                  <w:vMerge w:val="continue"/>
                  <w:vAlign w:val="center"/>
                </w:tcPr>
                <w:p w14:paraId="648ED4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7EEA4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3A1E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25A74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37AB2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0768A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1825" w:type="dxa"/>
                  <w:vMerge w:val="continue"/>
                  <w:vAlign w:val="center"/>
                </w:tcPr>
                <w:p w14:paraId="5A1BF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1E6B9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65A4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restart"/>
                  <w:vAlign w:val="center"/>
                </w:tcPr>
                <w:p w14:paraId="0601D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氰化物</w:t>
                  </w:r>
                </w:p>
              </w:tc>
              <w:tc>
                <w:tcPr>
                  <w:tcW w:w="1824" w:type="dxa"/>
                  <w:vAlign w:val="center"/>
                </w:tcPr>
                <w:p w14:paraId="7F518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2022.09.21</w:t>
                  </w:r>
                </w:p>
              </w:tc>
              <w:tc>
                <w:tcPr>
                  <w:tcW w:w="1824" w:type="dxa"/>
                  <w:vAlign w:val="center"/>
                </w:tcPr>
                <w:p w14:paraId="3D26C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0.004L</w:t>
                  </w:r>
                </w:p>
              </w:tc>
              <w:tc>
                <w:tcPr>
                  <w:tcW w:w="1825" w:type="dxa"/>
                  <w:vMerge w:val="restart"/>
                  <w:vAlign w:val="center"/>
                </w:tcPr>
                <w:p w14:paraId="02BE6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1824" w:type="dxa"/>
                  <w:vAlign w:val="center"/>
                </w:tcPr>
                <w:p w14:paraId="09E84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75CC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22" w:type="dxa"/>
                  <w:vMerge w:val="continue"/>
                  <w:vAlign w:val="center"/>
                </w:tcPr>
                <w:p w14:paraId="51D82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40282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2022.09.22</w:t>
                  </w:r>
                </w:p>
              </w:tc>
              <w:tc>
                <w:tcPr>
                  <w:tcW w:w="1824" w:type="dxa"/>
                  <w:vAlign w:val="center"/>
                </w:tcPr>
                <w:p w14:paraId="71827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0.004L</w:t>
                  </w:r>
                </w:p>
              </w:tc>
              <w:tc>
                <w:tcPr>
                  <w:tcW w:w="1825" w:type="dxa"/>
                  <w:vMerge w:val="continue"/>
                  <w:vAlign w:val="center"/>
                </w:tcPr>
                <w:p w14:paraId="3DE74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2C5FC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r w14:paraId="258B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822" w:type="dxa"/>
                  <w:vMerge w:val="continue"/>
                  <w:vAlign w:val="center"/>
                </w:tcPr>
                <w:p w14:paraId="658D1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7FDF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2022.09.23</w:t>
                  </w:r>
                </w:p>
              </w:tc>
              <w:tc>
                <w:tcPr>
                  <w:tcW w:w="1824" w:type="dxa"/>
                  <w:vAlign w:val="center"/>
                </w:tcPr>
                <w:p w14:paraId="5A449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0.004L</w:t>
                  </w:r>
                </w:p>
              </w:tc>
              <w:tc>
                <w:tcPr>
                  <w:tcW w:w="1825" w:type="dxa"/>
                  <w:vMerge w:val="continue"/>
                  <w:vAlign w:val="center"/>
                </w:tcPr>
                <w:p w14:paraId="04E0A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p>
              </w:tc>
              <w:tc>
                <w:tcPr>
                  <w:tcW w:w="1824" w:type="dxa"/>
                  <w:vAlign w:val="center"/>
                </w:tcPr>
                <w:p w14:paraId="66CFC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达标</w:t>
                  </w:r>
                </w:p>
              </w:tc>
            </w:tr>
          </w:tbl>
          <w:p w14:paraId="0CBEB3B9">
            <w:p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由表可知，芒市大河帕底片区下游500m断面2022年水质达到《地表水环境质量标准》（GB3838-2002）中Ⅲ类水质标准，因此，项目所在区域属于水环境质量达标区。</w:t>
            </w:r>
          </w:p>
          <w:p w14:paraId="69929ED5">
            <w:pPr>
              <w:adjustRightInd w:val="0"/>
              <w:snapToGrid w:val="0"/>
              <w:spacing w:line="360" w:lineRule="auto"/>
              <w:ind w:firstLine="482"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3、声环境质量现状</w:t>
            </w:r>
          </w:p>
          <w:p w14:paraId="19F1C238">
            <w:pPr>
              <w:adjustRightInd w:val="0"/>
              <w:snapToGrid w:val="0"/>
              <w:spacing w:line="360" w:lineRule="auto"/>
              <w:ind w:firstLine="480" w:firstLineChars="200"/>
              <w:jc w:val="left"/>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现场踏勘，本项目位于芒市镇街坡村后山，属于2类声环境功能区，执行《声环境质量标准》（GB3096-2008）中2类区标准。根据现场勘察，周围无较大工业噪声源，项目区50m内无敏感目标。本次评价期间引用2022年11月芒市环境卫生管理站自行监测报告，云南方源科技有限公司出具的〔Y</w:t>
            </w:r>
            <w:r>
              <w:rPr>
                <w:rFonts w:hint="default" w:ascii="Times New Roman" w:hAnsi="Times New Roman" w:cs="Times New Roman"/>
                <w:color w:val="000000" w:themeColor="text1"/>
                <w:sz w:val="24"/>
                <w:lang w:val="en-US" w:eastAsia="en-US"/>
                <w14:textFill>
                  <w14:solidFill>
                    <w14:schemeClr w14:val="tx1"/>
                  </w14:solidFill>
                </w14:textFill>
              </w:rPr>
              <w:t>NFY DH20221</w:t>
            </w:r>
            <w:r>
              <w:rPr>
                <w:rFonts w:hint="default" w:ascii="Times New Roman" w:hAnsi="Times New Roman" w:cs="Times New Roman"/>
                <w:color w:val="000000" w:themeColor="text1"/>
                <w:sz w:val="24"/>
                <w:lang w:val="en-US" w:eastAsia="zh-CN"/>
                <w14:textFill>
                  <w14:solidFill>
                    <w14:schemeClr w14:val="tx1"/>
                  </w14:solidFill>
                </w14:textFill>
              </w:rPr>
              <w:t>10211〕监测报告，具体情况如下：</w:t>
            </w:r>
          </w:p>
          <w:p w14:paraId="058119C9">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3-7</w:t>
            </w:r>
            <w:r>
              <w:rPr>
                <w:rFonts w:hint="default" w:ascii="Times New Roman" w:hAnsi="Times New Roman" w:cs="Times New Roman"/>
                <w:b/>
                <w:color w:val="auto"/>
                <w:szCs w:val="22"/>
              </w:rPr>
              <w:t>噪声检测结果表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dB(A)</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 w:type="dxa"/>
                <w:bottom w:w="0" w:type="dxa"/>
                <w:right w:w="10" w:type="dxa"/>
              </w:tblCellMar>
            </w:tblPr>
            <w:tblGrid>
              <w:gridCol w:w="2267"/>
              <w:gridCol w:w="2213"/>
              <w:gridCol w:w="2258"/>
              <w:gridCol w:w="1285"/>
              <w:gridCol w:w="1286"/>
            </w:tblGrid>
            <w:tr w14:paraId="1BCD2BF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1171" w:hRule="exact"/>
                <w:jc w:val="center"/>
              </w:trPr>
              <w:tc>
                <w:tcPr>
                  <w:tcW w:w="1217" w:type="pc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1B8C2A0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51578D66">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w:t>
                  </w:r>
                </w:p>
                <w:p w14:paraId="6BECC31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项目/编号</w:t>
                  </w:r>
                </w:p>
              </w:tc>
              <w:tc>
                <w:tcPr>
                  <w:tcW w:w="1188" w:type="pct"/>
                  <w:tcBorders>
                    <w:tl2br w:val="nil"/>
                    <w:tr2bl w:val="nil"/>
                  </w:tcBorders>
                  <w:shd w:val="clear" w:color="auto" w:fill="FFFFFF"/>
                  <w:vAlign w:val="center"/>
                </w:tcPr>
                <w:p w14:paraId="661149D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 xml:space="preserve">2022.11.04 </w:t>
                  </w:r>
                  <w:r>
                    <w:rPr>
                      <w:rFonts w:hint="default" w:ascii="Times New Roman" w:hAnsi="Times New Roman" w:eastAsia="宋体" w:cs="Times New Roman"/>
                      <w:color w:val="000000"/>
                      <w:spacing w:val="0"/>
                      <w:w w:val="100"/>
                      <w:position w:val="0"/>
                      <w:sz w:val="21"/>
                      <w:szCs w:val="21"/>
                      <w:lang w:val="zh-TW" w:eastAsia="zh-TW" w:bidi="en-US"/>
                    </w:rPr>
                    <w:t>昼间</w:t>
                  </w:r>
                </w:p>
              </w:tc>
              <w:tc>
                <w:tcPr>
                  <w:tcW w:w="1212" w:type="pct"/>
                  <w:tcBorders>
                    <w:tl2br w:val="nil"/>
                    <w:tr2bl w:val="nil"/>
                  </w:tcBorders>
                  <w:shd w:val="clear" w:color="auto" w:fill="FFFFFF"/>
                  <w:vAlign w:val="center"/>
                </w:tcPr>
                <w:p w14:paraId="14FACD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 xml:space="preserve">2022. 11.04 </w:t>
                  </w:r>
                  <w:r>
                    <w:rPr>
                      <w:rFonts w:hint="default" w:ascii="Times New Roman" w:hAnsi="Times New Roman" w:eastAsia="宋体" w:cs="Times New Roman"/>
                      <w:color w:val="000000"/>
                      <w:spacing w:val="0"/>
                      <w:w w:val="100"/>
                      <w:position w:val="0"/>
                      <w:sz w:val="21"/>
                      <w:szCs w:val="21"/>
                      <w:lang w:val="zh-TW" w:eastAsia="zh-TW" w:bidi="en-US"/>
                    </w:rPr>
                    <w:t>夜间</w:t>
                  </w:r>
                </w:p>
              </w:tc>
              <w:tc>
                <w:tcPr>
                  <w:tcW w:w="690" w:type="pct"/>
                  <w:tcBorders>
                    <w:tl2br w:val="nil"/>
                    <w:tr2bl w:val="nil"/>
                  </w:tcBorders>
                  <w:shd w:val="clear" w:color="auto" w:fill="FFFFFF"/>
                  <w:vAlign w:val="center"/>
                </w:tcPr>
                <w:p w14:paraId="6173A29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标准限值</w:t>
                  </w:r>
                </w:p>
              </w:tc>
              <w:tc>
                <w:tcPr>
                  <w:tcW w:w="690" w:type="pct"/>
                  <w:tcBorders>
                    <w:tl2br w:val="nil"/>
                    <w:tr2bl w:val="nil"/>
                  </w:tcBorders>
                  <w:shd w:val="clear" w:color="auto" w:fill="FFFFFF"/>
                  <w:vAlign w:val="center"/>
                </w:tcPr>
                <w:p w14:paraId="5477DA8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达标情况</w:t>
                  </w:r>
                </w:p>
              </w:tc>
            </w:tr>
            <w:tr w14:paraId="4E615C8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51" w:hRule="exact"/>
                <w:jc w:val="center"/>
              </w:trPr>
              <w:tc>
                <w:tcPr>
                  <w:tcW w:w="1217" w:type="pct"/>
                  <w:vMerge w:val="restart"/>
                  <w:tcBorders>
                    <w:tl2br w:val="nil"/>
                    <w:tr2bl w:val="nil"/>
                  </w:tcBorders>
                  <w:shd w:val="clear" w:color="auto" w:fill="FFFFFF"/>
                  <w:vAlign w:val="center"/>
                </w:tcPr>
                <w:p w14:paraId="38C46CE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TW" w:bidi="en-US"/>
                    </w:rPr>
                    <w:t>厂界西</w:t>
                  </w:r>
                </w:p>
              </w:tc>
              <w:tc>
                <w:tcPr>
                  <w:tcW w:w="1188" w:type="pct"/>
                  <w:tcBorders>
                    <w:tl2br w:val="nil"/>
                    <w:tr2bl w:val="nil"/>
                  </w:tcBorders>
                  <w:shd w:val="clear" w:color="auto" w:fill="FFFFFF"/>
                  <w:vAlign w:val="center"/>
                </w:tcPr>
                <w:p w14:paraId="29F9FD6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DH20221102113-01</w:t>
                  </w:r>
                </w:p>
              </w:tc>
              <w:tc>
                <w:tcPr>
                  <w:tcW w:w="1212" w:type="pct"/>
                  <w:tcBorders>
                    <w:tl2br w:val="nil"/>
                    <w:tr2bl w:val="nil"/>
                  </w:tcBorders>
                  <w:shd w:val="clear" w:color="auto" w:fill="FFFFFF"/>
                  <w:vAlign w:val="center"/>
                </w:tcPr>
                <w:p w14:paraId="108F93F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DH20221102113-05</w:t>
                  </w:r>
                </w:p>
              </w:tc>
              <w:tc>
                <w:tcPr>
                  <w:tcW w:w="690" w:type="pct"/>
                  <w:vMerge w:val="restart"/>
                  <w:tcBorders>
                    <w:tl2br w:val="nil"/>
                    <w:tr2bl w:val="nil"/>
                  </w:tcBorders>
                  <w:shd w:val="clear" w:color="auto" w:fill="FFFFFF"/>
                  <w:vAlign w:val="center"/>
                </w:tcPr>
                <w:p w14:paraId="4596352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昼间60</w:t>
                  </w:r>
                  <w:r>
                    <w:rPr>
                      <w:rFonts w:hint="default" w:ascii="Times New Roman" w:hAnsi="Times New Roman" w:eastAsia="宋体" w:cs="Times New Roman"/>
                      <w:color w:val="000000"/>
                      <w:spacing w:val="0"/>
                      <w:w w:val="100"/>
                      <w:position w:val="0"/>
                      <w:sz w:val="21"/>
                      <w:szCs w:val="21"/>
                      <w:lang w:val="en-US" w:eastAsia="zh-CN" w:bidi="en-US"/>
                    </w:rPr>
                    <w:t>/夜间</w:t>
                  </w:r>
                  <w:r>
                    <w:rPr>
                      <w:rFonts w:hint="default" w:ascii="Times New Roman" w:hAnsi="Times New Roman" w:eastAsia="宋体" w:cs="Times New Roman"/>
                      <w:color w:val="000000"/>
                      <w:spacing w:val="0"/>
                      <w:w w:val="100"/>
                      <w:position w:val="0"/>
                      <w:sz w:val="21"/>
                      <w:szCs w:val="21"/>
                      <w:lang w:val="zh-TW" w:eastAsia="zh-TW" w:bidi="en-US"/>
                    </w:rPr>
                    <w:t>50</w:t>
                  </w:r>
                </w:p>
              </w:tc>
              <w:tc>
                <w:tcPr>
                  <w:tcW w:w="690" w:type="pct"/>
                  <w:vMerge w:val="restart"/>
                  <w:tcBorders>
                    <w:tl2br w:val="nil"/>
                    <w:tr2bl w:val="nil"/>
                  </w:tcBorders>
                  <w:shd w:val="clear" w:color="auto" w:fill="FFFFFF"/>
                  <w:vAlign w:val="center"/>
                </w:tcPr>
                <w:p w14:paraId="1E0A05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7429560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46" w:hRule="exact"/>
                <w:jc w:val="center"/>
              </w:trPr>
              <w:tc>
                <w:tcPr>
                  <w:tcW w:w="1217" w:type="pct"/>
                  <w:vMerge w:val="continue"/>
                  <w:tcBorders>
                    <w:tl2br w:val="nil"/>
                    <w:tr2bl w:val="nil"/>
                  </w:tcBorders>
                  <w:shd w:val="clear" w:color="auto" w:fill="FFFFFF"/>
                  <w:vAlign w:val="center"/>
                </w:tcPr>
                <w:p w14:paraId="1B61646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1188" w:type="pct"/>
                  <w:tcBorders>
                    <w:tl2br w:val="nil"/>
                    <w:tr2bl w:val="nil"/>
                  </w:tcBorders>
                  <w:shd w:val="clear" w:color="auto" w:fill="FFFFFF"/>
                  <w:vAlign w:val="center"/>
                </w:tcPr>
                <w:p w14:paraId="46CEB5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53.9</w:t>
                  </w:r>
                </w:p>
              </w:tc>
              <w:tc>
                <w:tcPr>
                  <w:tcW w:w="1212" w:type="pct"/>
                  <w:tcBorders>
                    <w:tl2br w:val="nil"/>
                    <w:tr2bl w:val="nil"/>
                  </w:tcBorders>
                  <w:shd w:val="clear" w:color="auto" w:fill="FFFFFF"/>
                  <w:vAlign w:val="center"/>
                </w:tcPr>
                <w:p w14:paraId="27C3785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44.4</w:t>
                  </w:r>
                </w:p>
              </w:tc>
              <w:tc>
                <w:tcPr>
                  <w:tcW w:w="690" w:type="pct"/>
                  <w:vMerge w:val="continue"/>
                  <w:tcBorders>
                    <w:tl2br w:val="nil"/>
                    <w:tr2bl w:val="nil"/>
                  </w:tcBorders>
                  <w:shd w:val="clear" w:color="auto" w:fill="FFFFFF"/>
                  <w:vAlign w:val="center"/>
                </w:tcPr>
                <w:p w14:paraId="24621E7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690" w:type="pct"/>
                  <w:vMerge w:val="continue"/>
                  <w:tcBorders>
                    <w:tl2br w:val="nil"/>
                    <w:tr2bl w:val="nil"/>
                  </w:tcBorders>
                  <w:shd w:val="clear" w:color="auto" w:fill="FFFFFF"/>
                  <w:vAlign w:val="center"/>
                </w:tcPr>
                <w:p w14:paraId="0B17CA6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7616A3A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46" w:hRule="exact"/>
                <w:jc w:val="center"/>
              </w:trPr>
              <w:tc>
                <w:tcPr>
                  <w:tcW w:w="1217" w:type="pct"/>
                  <w:vMerge w:val="restart"/>
                  <w:tcBorders>
                    <w:tl2br w:val="nil"/>
                    <w:tr2bl w:val="nil"/>
                  </w:tcBorders>
                  <w:shd w:val="clear" w:color="auto" w:fill="FFFFFF"/>
                  <w:vAlign w:val="center"/>
                </w:tcPr>
                <w:p w14:paraId="11AD68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TW" w:bidi="en-US"/>
                    </w:rPr>
                    <w:t>厂界南</w:t>
                  </w:r>
                </w:p>
              </w:tc>
              <w:tc>
                <w:tcPr>
                  <w:tcW w:w="1188" w:type="pct"/>
                  <w:tcBorders>
                    <w:tl2br w:val="nil"/>
                    <w:tr2bl w:val="nil"/>
                  </w:tcBorders>
                  <w:shd w:val="clear" w:color="auto" w:fill="FFFFFF"/>
                  <w:vAlign w:val="center"/>
                </w:tcPr>
                <w:p w14:paraId="594B141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DH20221102113-02</w:t>
                  </w:r>
                </w:p>
              </w:tc>
              <w:tc>
                <w:tcPr>
                  <w:tcW w:w="1212" w:type="pct"/>
                  <w:tcBorders>
                    <w:tl2br w:val="nil"/>
                    <w:tr2bl w:val="nil"/>
                  </w:tcBorders>
                  <w:shd w:val="clear" w:color="auto" w:fill="FFFFFF"/>
                  <w:vAlign w:val="center"/>
                </w:tcPr>
                <w:p w14:paraId="50969E2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w:t>
                  </w:r>
                  <w:r>
                    <w:rPr>
                      <w:rFonts w:hint="default" w:ascii="Times New Roman" w:hAnsi="Times New Roman" w:eastAsia="宋体" w:cs="Times New Roman"/>
                      <w:color w:val="000000"/>
                      <w:spacing w:val="0"/>
                      <w:w w:val="100"/>
                      <w:position w:val="0"/>
                      <w:sz w:val="21"/>
                      <w:szCs w:val="21"/>
                      <w:lang w:val="en-US" w:eastAsia="en-US" w:bidi="en-US"/>
                    </w:rPr>
                    <w:t>13-06</w:t>
                  </w:r>
                </w:p>
              </w:tc>
              <w:tc>
                <w:tcPr>
                  <w:tcW w:w="690" w:type="pct"/>
                  <w:vMerge w:val="continue"/>
                  <w:tcBorders>
                    <w:tl2br w:val="nil"/>
                    <w:tr2bl w:val="nil"/>
                  </w:tcBorders>
                  <w:shd w:val="clear" w:color="auto" w:fill="FFFFFF"/>
                  <w:vAlign w:val="center"/>
                </w:tcPr>
                <w:p w14:paraId="043CB95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690" w:type="pct"/>
                  <w:vMerge w:val="restart"/>
                  <w:tcBorders>
                    <w:tl2br w:val="nil"/>
                    <w:tr2bl w:val="nil"/>
                  </w:tcBorders>
                  <w:shd w:val="clear" w:color="auto" w:fill="FFFFFF"/>
                  <w:vAlign w:val="center"/>
                </w:tcPr>
                <w:p w14:paraId="3CD726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48075AD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51" w:hRule="exact"/>
                <w:jc w:val="center"/>
              </w:trPr>
              <w:tc>
                <w:tcPr>
                  <w:tcW w:w="1217" w:type="pct"/>
                  <w:vMerge w:val="continue"/>
                  <w:tcBorders>
                    <w:tl2br w:val="nil"/>
                    <w:tr2bl w:val="nil"/>
                  </w:tcBorders>
                  <w:shd w:val="clear" w:color="auto" w:fill="FFFFFF"/>
                  <w:vAlign w:val="center"/>
                </w:tcPr>
                <w:p w14:paraId="7C9C59F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1188" w:type="pct"/>
                  <w:tcBorders>
                    <w:tl2br w:val="nil"/>
                    <w:tr2bl w:val="nil"/>
                  </w:tcBorders>
                  <w:shd w:val="clear" w:color="auto" w:fill="FFFFFF"/>
                  <w:vAlign w:val="center"/>
                </w:tcPr>
                <w:p w14:paraId="519950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52.8</w:t>
                  </w:r>
                </w:p>
              </w:tc>
              <w:tc>
                <w:tcPr>
                  <w:tcW w:w="1212" w:type="pct"/>
                  <w:tcBorders>
                    <w:tl2br w:val="nil"/>
                    <w:tr2bl w:val="nil"/>
                  </w:tcBorders>
                  <w:shd w:val="clear" w:color="auto" w:fill="FFFFFF"/>
                  <w:vAlign w:val="center"/>
                </w:tcPr>
                <w:p w14:paraId="0392FF4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43.0</w:t>
                  </w:r>
                </w:p>
              </w:tc>
              <w:tc>
                <w:tcPr>
                  <w:tcW w:w="690" w:type="pct"/>
                  <w:vMerge w:val="continue"/>
                  <w:tcBorders>
                    <w:tl2br w:val="nil"/>
                    <w:tr2bl w:val="nil"/>
                  </w:tcBorders>
                  <w:shd w:val="clear" w:color="auto" w:fill="FFFFFF"/>
                  <w:vAlign w:val="center"/>
                </w:tcPr>
                <w:p w14:paraId="30B3002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690" w:type="pct"/>
                  <w:vMerge w:val="continue"/>
                  <w:tcBorders>
                    <w:tl2br w:val="nil"/>
                    <w:tr2bl w:val="nil"/>
                  </w:tcBorders>
                  <w:shd w:val="clear" w:color="auto" w:fill="FFFFFF"/>
                  <w:vAlign w:val="center"/>
                </w:tcPr>
                <w:p w14:paraId="0EC6839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5ADDE93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51" w:hRule="exact"/>
                <w:jc w:val="center"/>
              </w:trPr>
              <w:tc>
                <w:tcPr>
                  <w:tcW w:w="1217" w:type="pct"/>
                  <w:vMerge w:val="restart"/>
                  <w:tcBorders>
                    <w:tl2br w:val="nil"/>
                    <w:tr2bl w:val="nil"/>
                  </w:tcBorders>
                  <w:shd w:val="clear" w:color="auto" w:fill="FFFFFF"/>
                  <w:vAlign w:val="center"/>
                </w:tcPr>
                <w:p w14:paraId="35DA84B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TW" w:bidi="en-US"/>
                    </w:rPr>
                    <w:t>厂界东</w:t>
                  </w:r>
                </w:p>
              </w:tc>
              <w:tc>
                <w:tcPr>
                  <w:tcW w:w="1188" w:type="pct"/>
                  <w:tcBorders>
                    <w:tl2br w:val="nil"/>
                    <w:tr2bl w:val="nil"/>
                  </w:tcBorders>
                  <w:shd w:val="clear" w:color="auto" w:fill="FFFFFF"/>
                  <w:vAlign w:val="center"/>
                </w:tcPr>
                <w:p w14:paraId="6FCDE0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w:t>
                  </w:r>
                  <w:r>
                    <w:rPr>
                      <w:rFonts w:hint="default" w:ascii="Times New Roman" w:hAnsi="Times New Roman" w:eastAsia="宋体" w:cs="Times New Roman"/>
                      <w:color w:val="000000"/>
                      <w:spacing w:val="0"/>
                      <w:w w:val="100"/>
                      <w:position w:val="0"/>
                      <w:sz w:val="21"/>
                      <w:szCs w:val="21"/>
                      <w:lang w:val="en-US" w:eastAsia="en-US" w:bidi="en-US"/>
                    </w:rPr>
                    <w:t>13-03</w:t>
                  </w:r>
                </w:p>
              </w:tc>
              <w:tc>
                <w:tcPr>
                  <w:tcW w:w="1212" w:type="pct"/>
                  <w:tcBorders>
                    <w:tl2br w:val="nil"/>
                    <w:tr2bl w:val="nil"/>
                  </w:tcBorders>
                  <w:shd w:val="clear" w:color="auto" w:fill="FFFFFF"/>
                  <w:vAlign w:val="center"/>
                </w:tcPr>
                <w:p w14:paraId="328080F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w:t>
                  </w:r>
                  <w:r>
                    <w:rPr>
                      <w:rFonts w:hint="default" w:ascii="Times New Roman" w:hAnsi="Times New Roman" w:eastAsia="宋体" w:cs="Times New Roman"/>
                      <w:color w:val="000000"/>
                      <w:spacing w:val="0"/>
                      <w:w w:val="100"/>
                      <w:position w:val="0"/>
                      <w:sz w:val="21"/>
                      <w:szCs w:val="21"/>
                      <w:lang w:val="en-US" w:eastAsia="en-US" w:bidi="en-US"/>
                    </w:rPr>
                    <w:t>13-07</w:t>
                  </w:r>
                </w:p>
              </w:tc>
              <w:tc>
                <w:tcPr>
                  <w:tcW w:w="690" w:type="pct"/>
                  <w:vMerge w:val="continue"/>
                  <w:tcBorders>
                    <w:tl2br w:val="nil"/>
                    <w:tr2bl w:val="nil"/>
                  </w:tcBorders>
                  <w:shd w:val="clear" w:color="auto" w:fill="FFFFFF"/>
                  <w:vAlign w:val="center"/>
                </w:tcPr>
                <w:p w14:paraId="12CF0B5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690" w:type="pct"/>
                  <w:vMerge w:val="restart"/>
                  <w:tcBorders>
                    <w:tl2br w:val="nil"/>
                    <w:tr2bl w:val="nil"/>
                  </w:tcBorders>
                  <w:shd w:val="clear" w:color="auto" w:fill="FFFFFF"/>
                  <w:vAlign w:val="center"/>
                </w:tcPr>
                <w:p w14:paraId="3CE3CF8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8E5E7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46" w:hRule="exact"/>
                <w:jc w:val="center"/>
              </w:trPr>
              <w:tc>
                <w:tcPr>
                  <w:tcW w:w="1217" w:type="pct"/>
                  <w:vMerge w:val="continue"/>
                  <w:tcBorders>
                    <w:tl2br w:val="nil"/>
                    <w:tr2bl w:val="nil"/>
                  </w:tcBorders>
                  <w:shd w:val="clear" w:color="auto" w:fill="FFFFFF"/>
                  <w:vAlign w:val="center"/>
                </w:tcPr>
                <w:p w14:paraId="1BDFADE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1188" w:type="pct"/>
                  <w:tcBorders>
                    <w:tl2br w:val="nil"/>
                    <w:tr2bl w:val="nil"/>
                  </w:tcBorders>
                  <w:shd w:val="clear" w:color="auto" w:fill="FFFFFF"/>
                  <w:vAlign w:val="center"/>
                </w:tcPr>
                <w:p w14:paraId="67F8A72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52.3</w:t>
                  </w:r>
                </w:p>
              </w:tc>
              <w:tc>
                <w:tcPr>
                  <w:tcW w:w="1212" w:type="pct"/>
                  <w:tcBorders>
                    <w:tl2br w:val="nil"/>
                    <w:tr2bl w:val="nil"/>
                  </w:tcBorders>
                  <w:shd w:val="clear" w:color="auto" w:fill="FFFFFF"/>
                  <w:vAlign w:val="center"/>
                </w:tcPr>
                <w:p w14:paraId="04768B3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43.1</w:t>
                  </w:r>
                </w:p>
              </w:tc>
              <w:tc>
                <w:tcPr>
                  <w:tcW w:w="690" w:type="pct"/>
                  <w:vMerge w:val="continue"/>
                  <w:tcBorders>
                    <w:tl2br w:val="nil"/>
                    <w:tr2bl w:val="nil"/>
                  </w:tcBorders>
                  <w:shd w:val="clear" w:color="auto" w:fill="FFFFFF"/>
                  <w:vAlign w:val="center"/>
                </w:tcPr>
                <w:p w14:paraId="46251EA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690" w:type="pct"/>
                  <w:vMerge w:val="continue"/>
                  <w:tcBorders>
                    <w:tl2br w:val="nil"/>
                    <w:tr2bl w:val="nil"/>
                  </w:tcBorders>
                  <w:shd w:val="clear" w:color="auto" w:fill="FFFFFF"/>
                  <w:vAlign w:val="center"/>
                </w:tcPr>
                <w:p w14:paraId="06AFC30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50D156B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46" w:hRule="exact"/>
                <w:jc w:val="center"/>
              </w:trPr>
              <w:tc>
                <w:tcPr>
                  <w:tcW w:w="1217" w:type="pct"/>
                  <w:vMerge w:val="restart"/>
                  <w:tcBorders>
                    <w:tl2br w:val="nil"/>
                    <w:tr2bl w:val="nil"/>
                  </w:tcBorders>
                  <w:shd w:val="clear" w:color="auto" w:fill="FFFFFF"/>
                  <w:vAlign w:val="center"/>
                </w:tcPr>
                <w:p w14:paraId="207DF7F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TW" w:bidi="en-US"/>
                    </w:rPr>
                    <w:t>厂界北</w:t>
                  </w:r>
                </w:p>
              </w:tc>
              <w:tc>
                <w:tcPr>
                  <w:tcW w:w="1188" w:type="pct"/>
                  <w:tcBorders>
                    <w:tl2br w:val="nil"/>
                    <w:tr2bl w:val="nil"/>
                  </w:tcBorders>
                  <w:shd w:val="clear" w:color="auto" w:fill="FFFFFF"/>
                  <w:vAlign w:val="center"/>
                </w:tcPr>
                <w:p w14:paraId="6ACC082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DH20221102113-04</w:t>
                  </w:r>
                </w:p>
              </w:tc>
              <w:tc>
                <w:tcPr>
                  <w:tcW w:w="1212" w:type="pct"/>
                  <w:tcBorders>
                    <w:tl2br w:val="nil"/>
                    <w:tr2bl w:val="nil"/>
                  </w:tcBorders>
                  <w:shd w:val="clear" w:color="auto" w:fill="FFFFFF"/>
                  <w:vAlign w:val="center"/>
                </w:tcPr>
                <w:p w14:paraId="35558D2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w:t>
                  </w:r>
                  <w:r>
                    <w:rPr>
                      <w:rFonts w:hint="default" w:ascii="Times New Roman" w:hAnsi="Times New Roman" w:eastAsia="宋体" w:cs="Times New Roman"/>
                      <w:color w:val="000000"/>
                      <w:spacing w:val="0"/>
                      <w:w w:val="100"/>
                      <w:position w:val="0"/>
                      <w:sz w:val="21"/>
                      <w:szCs w:val="21"/>
                      <w:lang w:val="en-US" w:eastAsia="en-US" w:bidi="en-US"/>
                    </w:rPr>
                    <w:t>13-08</w:t>
                  </w:r>
                </w:p>
              </w:tc>
              <w:tc>
                <w:tcPr>
                  <w:tcW w:w="690" w:type="pct"/>
                  <w:vMerge w:val="continue"/>
                  <w:tcBorders>
                    <w:tl2br w:val="nil"/>
                    <w:tr2bl w:val="nil"/>
                  </w:tcBorders>
                  <w:shd w:val="clear" w:color="auto" w:fill="FFFFFF"/>
                  <w:vAlign w:val="center"/>
                </w:tcPr>
                <w:p w14:paraId="68A4DE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690" w:type="pct"/>
                  <w:vMerge w:val="restart"/>
                  <w:tcBorders>
                    <w:tl2br w:val="nil"/>
                    <w:tr2bl w:val="nil"/>
                  </w:tcBorders>
                  <w:shd w:val="clear" w:color="auto" w:fill="FFFFFF"/>
                  <w:vAlign w:val="center"/>
                </w:tcPr>
                <w:p w14:paraId="7D11CAF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B6B533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66" w:hRule="exact"/>
                <w:jc w:val="center"/>
              </w:trPr>
              <w:tc>
                <w:tcPr>
                  <w:tcW w:w="1217" w:type="pct"/>
                  <w:vMerge w:val="continue"/>
                  <w:tcBorders>
                    <w:tl2br w:val="nil"/>
                    <w:tr2bl w:val="nil"/>
                  </w:tcBorders>
                  <w:shd w:val="clear" w:color="auto" w:fill="FFFFFF"/>
                  <w:vAlign w:val="center"/>
                </w:tcPr>
                <w:p w14:paraId="380F8452">
                  <w:pPr>
                    <w:jc w:val="center"/>
                    <w:rPr>
                      <w:rFonts w:hint="default" w:ascii="Times New Roman" w:hAnsi="Times New Roman" w:eastAsia="宋体" w:cs="Times New Roman"/>
                      <w:sz w:val="21"/>
                      <w:szCs w:val="21"/>
                    </w:rPr>
                  </w:pPr>
                </w:p>
              </w:tc>
              <w:tc>
                <w:tcPr>
                  <w:tcW w:w="1188" w:type="pct"/>
                  <w:tcBorders>
                    <w:tl2br w:val="nil"/>
                    <w:tr2bl w:val="nil"/>
                  </w:tcBorders>
                  <w:shd w:val="clear" w:color="auto" w:fill="FFFFFF"/>
                  <w:vAlign w:val="center"/>
                </w:tcPr>
                <w:p w14:paraId="31A534A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53.5</w:t>
                  </w:r>
                </w:p>
              </w:tc>
              <w:tc>
                <w:tcPr>
                  <w:tcW w:w="1212" w:type="pct"/>
                  <w:tcBorders>
                    <w:tl2br w:val="nil"/>
                    <w:tr2bl w:val="nil"/>
                  </w:tcBorders>
                  <w:shd w:val="clear" w:color="auto" w:fill="FFFFFF"/>
                  <w:vAlign w:val="center"/>
                </w:tcPr>
                <w:p w14:paraId="31A43B7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en-US" w:bidi="en-US"/>
                    </w:rPr>
                    <w:t>42.7</w:t>
                  </w:r>
                </w:p>
              </w:tc>
              <w:tc>
                <w:tcPr>
                  <w:tcW w:w="690" w:type="pct"/>
                  <w:vMerge w:val="continue"/>
                  <w:tcBorders>
                    <w:tl2br w:val="nil"/>
                    <w:tr2bl w:val="nil"/>
                  </w:tcBorders>
                  <w:shd w:val="clear" w:color="auto" w:fill="FFFFFF"/>
                  <w:vAlign w:val="center"/>
                </w:tcPr>
                <w:p w14:paraId="5FCFD949">
                  <w:pPr>
                    <w:jc w:val="center"/>
                    <w:rPr>
                      <w:rFonts w:hint="default" w:ascii="Times New Roman" w:hAnsi="Times New Roman" w:eastAsia="宋体" w:cs="Times New Roman"/>
                      <w:sz w:val="21"/>
                      <w:szCs w:val="21"/>
                    </w:rPr>
                  </w:pPr>
                </w:p>
              </w:tc>
              <w:tc>
                <w:tcPr>
                  <w:tcW w:w="690" w:type="pct"/>
                  <w:vMerge w:val="continue"/>
                  <w:tcBorders>
                    <w:tl2br w:val="nil"/>
                    <w:tr2bl w:val="nil"/>
                  </w:tcBorders>
                  <w:shd w:val="clear" w:color="auto" w:fill="FFFFFF"/>
                  <w:vAlign w:val="center"/>
                </w:tcPr>
                <w:p w14:paraId="6B44ED6F">
                  <w:pPr>
                    <w:jc w:val="center"/>
                    <w:rPr>
                      <w:rFonts w:hint="default" w:ascii="Times New Roman" w:hAnsi="Times New Roman" w:eastAsia="宋体" w:cs="Times New Roman"/>
                      <w:sz w:val="21"/>
                      <w:szCs w:val="21"/>
                    </w:rPr>
                  </w:pPr>
                </w:p>
              </w:tc>
            </w:tr>
          </w:tbl>
          <w:p w14:paraId="1DE64E2B">
            <w:pPr>
              <w:pStyle w:val="3"/>
              <w:ind w:firstLine="48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由上表噪声监测数据可知，项目厂界东、南、西、北厂界噪声现状水平都能满足《声环境质量标准》（GB3096-2008）2类标准。项目所在区域声环境质量现状良好。</w:t>
            </w:r>
          </w:p>
          <w:p w14:paraId="619EFC5C">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4、地下水、土壤环境现状</w:t>
            </w:r>
          </w:p>
          <w:p w14:paraId="18E284D1">
            <w:pPr>
              <w:spacing w:line="360" w:lineRule="auto"/>
              <w:ind w:firstLine="42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auto"/>
                <w:kern w:val="0"/>
              </w:rPr>
              <w:t>项目所在区域地下水环境质量执行《地下水质量标准》（GB/T14848-2017）表1中Ⅲ类标准</w:t>
            </w:r>
            <w:r>
              <w:rPr>
                <w:rFonts w:hint="default" w:ascii="Times New Roman" w:hAnsi="Times New Roman" w:cs="Times New Roman"/>
                <w:color w:val="auto"/>
              </w:rPr>
              <w:t>要求</w:t>
            </w:r>
            <w:r>
              <w:rPr>
                <w:rFonts w:hint="default" w:ascii="Times New Roman" w:hAnsi="Times New Roman" w:cs="Times New Roman"/>
                <w:color w:val="auto"/>
                <w:lang w:bidi="ar"/>
              </w:rPr>
              <w:t>。</w:t>
            </w:r>
            <w:r>
              <w:rPr>
                <w:rFonts w:hint="default" w:ascii="Times New Roman" w:hAnsi="Times New Roman" w:cs="Times New Roman"/>
                <w:color w:val="000000" w:themeColor="text1"/>
                <w:sz w:val="24"/>
                <w14:textFill>
                  <w14:solidFill>
                    <w14:schemeClr w14:val="tx1"/>
                  </w14:solidFill>
                </w14:textFill>
              </w:rPr>
              <w:t>调查</w:t>
            </w:r>
            <w:r>
              <w:rPr>
                <w:rFonts w:hint="default" w:ascii="Times New Roman" w:hAnsi="Times New Roman" w:cs="Times New Roman"/>
                <w:color w:val="000000" w:themeColor="text1"/>
                <w:sz w:val="24"/>
                <w:lang w:val="en-US" w:eastAsia="zh-CN"/>
                <w14:textFill>
                  <w14:solidFill>
                    <w14:schemeClr w14:val="tx1"/>
                  </w14:solidFill>
                </w14:textFill>
              </w:rPr>
              <w:t>本次评价地表水质量现状引用“2022年11月芒市环境卫生管理站自行监测报告，云南方源科技有限公司出具的〔Y</w:t>
            </w:r>
            <w:r>
              <w:rPr>
                <w:rFonts w:hint="default" w:ascii="Times New Roman" w:hAnsi="Times New Roman" w:cs="Times New Roman"/>
                <w:color w:val="000000" w:themeColor="text1"/>
                <w:sz w:val="24"/>
                <w:lang w:val="en-US" w:eastAsia="en-US"/>
                <w14:textFill>
                  <w14:solidFill>
                    <w14:schemeClr w14:val="tx1"/>
                  </w14:solidFill>
                </w14:textFill>
              </w:rPr>
              <w:t>NFY DH20221</w:t>
            </w:r>
            <w:r>
              <w:rPr>
                <w:rFonts w:hint="default" w:ascii="Times New Roman" w:hAnsi="Times New Roman" w:cs="Times New Roman"/>
                <w:color w:val="000000" w:themeColor="text1"/>
                <w:sz w:val="24"/>
                <w:lang w:val="en-US" w:eastAsia="zh-CN"/>
                <w14:textFill>
                  <w14:solidFill>
                    <w14:schemeClr w14:val="tx1"/>
                  </w14:solidFill>
                </w14:textFill>
              </w:rPr>
              <w:t>10211〕监测报告”</w:t>
            </w:r>
            <w:r>
              <w:rPr>
                <w:rFonts w:hint="default" w:ascii="Times New Roman" w:hAnsi="Times New Roman" w:cs="Times New Roman"/>
                <w:color w:val="000000" w:themeColor="text1"/>
                <w:sz w:val="24"/>
                <w14:textFill>
                  <w14:solidFill>
                    <w14:schemeClr w14:val="tx1"/>
                  </w14:solidFill>
                </w14:textFill>
              </w:rPr>
              <w:t>数据进行评价。</w:t>
            </w:r>
          </w:p>
          <w:p w14:paraId="0781648A">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3-8 </w:t>
            </w:r>
            <w:r>
              <w:rPr>
                <w:rFonts w:hint="default" w:ascii="Times New Roman" w:hAnsi="Times New Roman" w:cs="Times New Roman"/>
                <w:b/>
                <w:color w:val="auto"/>
                <w:szCs w:val="22"/>
                <w:lang w:val="zh-TW" w:eastAsia="zh-TW"/>
              </w:rPr>
              <w:t>渗滤液处理站出口</w:t>
            </w:r>
            <w:r>
              <w:rPr>
                <w:rFonts w:hint="default" w:ascii="Times New Roman" w:hAnsi="Times New Roman" w:cs="Times New Roman"/>
                <w:b/>
                <w:color w:val="auto"/>
                <w:szCs w:val="22"/>
                <w:lang w:val="en-US" w:eastAsia="en-US"/>
              </w:rPr>
              <w:t>（DW001）</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8"/>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1931"/>
              <w:gridCol w:w="1931"/>
              <w:gridCol w:w="1931"/>
              <w:gridCol w:w="936"/>
              <w:gridCol w:w="638"/>
            </w:tblGrid>
            <w:tr w14:paraId="3C60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4CE928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2CC0022E">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3ADC4F9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0B93F53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0" w:type="auto"/>
                  <w:gridSpan w:val="3"/>
                  <w:vAlign w:val="center"/>
                </w:tcPr>
                <w:p w14:paraId="637E3F9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渗滤液处理站出口</w:t>
                  </w:r>
                  <w:r>
                    <w:rPr>
                      <w:rFonts w:hint="default" w:ascii="Times New Roman" w:hAnsi="Times New Roman" w:eastAsia="宋体" w:cs="Times New Roman"/>
                      <w:color w:val="auto"/>
                      <w:sz w:val="21"/>
                      <w:szCs w:val="21"/>
                      <w:lang w:val="en-US" w:eastAsia="en-US"/>
                    </w:rPr>
                    <w:t>（DW001）</w:t>
                  </w:r>
                </w:p>
              </w:tc>
              <w:tc>
                <w:tcPr>
                  <w:tcW w:w="0" w:type="auto"/>
                  <w:vMerge w:val="restart"/>
                  <w:vAlign w:val="center"/>
                </w:tcPr>
                <w:p w14:paraId="684BC67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0" w:type="auto"/>
                  <w:vMerge w:val="restart"/>
                  <w:vAlign w:val="center"/>
                </w:tcPr>
                <w:p w14:paraId="7358957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1136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18B2458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0" w:type="auto"/>
                  <w:gridSpan w:val="3"/>
                  <w:vAlign w:val="center"/>
                </w:tcPr>
                <w:p w14:paraId="366BAAC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2022.11. </w:t>
                  </w:r>
                  <w:r>
                    <w:rPr>
                      <w:rFonts w:hint="default" w:ascii="Times New Roman" w:hAnsi="Times New Roman" w:eastAsia="宋体" w:cs="Times New Roman"/>
                      <w:color w:val="auto"/>
                      <w:sz w:val="21"/>
                      <w:szCs w:val="21"/>
                      <w:lang w:val="zh-TW" w:eastAsia="zh-TW"/>
                    </w:rPr>
                    <w:t>12</w:t>
                  </w:r>
                </w:p>
              </w:tc>
              <w:tc>
                <w:tcPr>
                  <w:tcW w:w="0" w:type="auto"/>
                  <w:vMerge w:val="continue"/>
                  <w:vAlign w:val="center"/>
                </w:tcPr>
                <w:p w14:paraId="2391B9D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0" w:type="auto"/>
                  <w:vMerge w:val="continue"/>
                  <w:vAlign w:val="center"/>
                </w:tcPr>
                <w:p w14:paraId="6BE1BF0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063F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43CD13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0" w:type="auto"/>
                  <w:vAlign w:val="center"/>
                </w:tcPr>
                <w:p w14:paraId="62C104B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10:47</w:t>
                  </w:r>
                </w:p>
              </w:tc>
              <w:tc>
                <w:tcPr>
                  <w:tcW w:w="0" w:type="auto"/>
                  <w:vAlign w:val="center"/>
                </w:tcPr>
                <w:p w14:paraId="0B218BD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14:25</w:t>
                  </w:r>
                </w:p>
              </w:tc>
              <w:tc>
                <w:tcPr>
                  <w:tcW w:w="0" w:type="auto"/>
                  <w:vAlign w:val="center"/>
                </w:tcPr>
                <w:p w14:paraId="166F735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18:14</w:t>
                  </w:r>
                </w:p>
              </w:tc>
              <w:tc>
                <w:tcPr>
                  <w:tcW w:w="0" w:type="auto"/>
                  <w:vMerge w:val="continue"/>
                  <w:vAlign w:val="center"/>
                </w:tcPr>
                <w:p w14:paraId="11B0217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0" w:type="auto"/>
                  <w:vMerge w:val="continue"/>
                  <w:vAlign w:val="center"/>
                </w:tcPr>
                <w:p w14:paraId="355AA90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533C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662F2BD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0" w:type="auto"/>
                  <w:vAlign w:val="center"/>
                </w:tcPr>
                <w:p w14:paraId="041D30B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11-28</w:t>
                  </w:r>
                </w:p>
              </w:tc>
              <w:tc>
                <w:tcPr>
                  <w:tcW w:w="0" w:type="auto"/>
                  <w:vAlign w:val="center"/>
                </w:tcPr>
                <w:p w14:paraId="4D97145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11-29</w:t>
                  </w:r>
                </w:p>
              </w:tc>
              <w:tc>
                <w:tcPr>
                  <w:tcW w:w="0" w:type="auto"/>
                  <w:vAlign w:val="center"/>
                </w:tcPr>
                <w:p w14:paraId="2149C3B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11-30</w:t>
                  </w:r>
                </w:p>
              </w:tc>
              <w:tc>
                <w:tcPr>
                  <w:tcW w:w="0" w:type="auto"/>
                  <w:vMerge w:val="continue"/>
                  <w:vAlign w:val="center"/>
                </w:tcPr>
                <w:p w14:paraId="0A6F861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0" w:type="auto"/>
                  <w:vMerge w:val="continue"/>
                  <w:vAlign w:val="center"/>
                </w:tcPr>
                <w:p w14:paraId="4760A6C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7B7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1FDD7B1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色度（倍）</w:t>
                  </w:r>
                </w:p>
              </w:tc>
              <w:tc>
                <w:tcPr>
                  <w:tcW w:w="0" w:type="auto"/>
                  <w:vAlign w:val="center"/>
                </w:tcPr>
                <w:p w14:paraId="2A4BEDF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2</w:t>
                  </w:r>
                  <w:r>
                    <w:rPr>
                      <w:rFonts w:hint="default"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en-US" w:eastAsia="en-US"/>
                    </w:rPr>
                    <w:t>pH 6.9</w:t>
                  </w:r>
                  <w:r>
                    <w:rPr>
                      <w:rFonts w:hint="default" w:ascii="Times New Roman" w:hAnsi="Times New Roman" w:eastAsia="宋体" w:cs="Times New Roman"/>
                      <w:color w:val="auto"/>
                      <w:sz w:val="21"/>
                      <w:szCs w:val="21"/>
                      <w:lang w:val="zh-TW" w:eastAsia="zh-CN"/>
                    </w:rPr>
                    <w:t>）</w:t>
                  </w:r>
                </w:p>
              </w:tc>
              <w:tc>
                <w:tcPr>
                  <w:tcW w:w="0" w:type="auto"/>
                  <w:vAlign w:val="center"/>
                </w:tcPr>
                <w:p w14:paraId="364FB25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2</w:t>
                  </w:r>
                  <w:r>
                    <w:rPr>
                      <w:rFonts w:hint="default"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en-US" w:eastAsia="en-US"/>
                    </w:rPr>
                    <w:t>pH 6.8</w:t>
                  </w:r>
                  <w:r>
                    <w:rPr>
                      <w:rFonts w:hint="default" w:ascii="Times New Roman" w:hAnsi="Times New Roman" w:eastAsia="宋体" w:cs="Times New Roman"/>
                      <w:color w:val="auto"/>
                      <w:sz w:val="21"/>
                      <w:szCs w:val="21"/>
                      <w:lang w:val="zh-TW" w:eastAsia="zh-CN"/>
                    </w:rPr>
                    <w:t>）</w:t>
                  </w:r>
                </w:p>
              </w:tc>
              <w:tc>
                <w:tcPr>
                  <w:tcW w:w="0" w:type="auto"/>
                  <w:vAlign w:val="center"/>
                </w:tcPr>
                <w:p w14:paraId="2DA763D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3</w:t>
                  </w:r>
                  <w:r>
                    <w:rPr>
                      <w:rFonts w:hint="default"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en-US" w:eastAsia="en-US"/>
                    </w:rPr>
                    <w:t>pH 7.1</w:t>
                  </w:r>
                  <w:r>
                    <w:rPr>
                      <w:rFonts w:hint="default" w:ascii="Times New Roman" w:hAnsi="Times New Roman" w:eastAsia="宋体" w:cs="Times New Roman"/>
                      <w:color w:val="auto"/>
                      <w:sz w:val="21"/>
                      <w:szCs w:val="21"/>
                      <w:lang w:val="zh-TW" w:eastAsia="zh-CN"/>
                    </w:rPr>
                    <w:t>）</w:t>
                  </w:r>
                </w:p>
              </w:tc>
              <w:tc>
                <w:tcPr>
                  <w:tcW w:w="0" w:type="auto"/>
                  <w:vAlign w:val="center"/>
                </w:tcPr>
                <w:p w14:paraId="13AFC0F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0" w:type="auto"/>
                  <w:vAlign w:val="center"/>
                </w:tcPr>
                <w:p w14:paraId="78CD4EE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0A8C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16379A6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五日生化需氧量</w:t>
                  </w:r>
                </w:p>
              </w:tc>
              <w:tc>
                <w:tcPr>
                  <w:tcW w:w="0" w:type="auto"/>
                  <w:vAlign w:val="center"/>
                </w:tcPr>
                <w:p w14:paraId="04DE913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12.1</w:t>
                  </w:r>
                </w:p>
              </w:tc>
              <w:tc>
                <w:tcPr>
                  <w:tcW w:w="0" w:type="auto"/>
                  <w:vAlign w:val="center"/>
                </w:tcPr>
                <w:p w14:paraId="684AC3E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10.6</w:t>
                  </w:r>
                </w:p>
              </w:tc>
              <w:tc>
                <w:tcPr>
                  <w:tcW w:w="0" w:type="auto"/>
                  <w:vAlign w:val="center"/>
                </w:tcPr>
                <w:p w14:paraId="356D568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9.7</w:t>
                  </w:r>
                </w:p>
              </w:tc>
              <w:tc>
                <w:tcPr>
                  <w:tcW w:w="0" w:type="auto"/>
                  <w:vAlign w:val="center"/>
                </w:tcPr>
                <w:p w14:paraId="3FA367F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0" w:type="auto"/>
                  <w:vAlign w:val="center"/>
                </w:tcPr>
                <w:p w14:paraId="3723015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r>
            <w:tr w14:paraId="0279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255BF44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悬浮物</w:t>
                  </w:r>
                </w:p>
              </w:tc>
              <w:tc>
                <w:tcPr>
                  <w:tcW w:w="0" w:type="auto"/>
                  <w:vAlign w:val="center"/>
                </w:tcPr>
                <w:p w14:paraId="35F9BFF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6</w:t>
                  </w:r>
                </w:p>
              </w:tc>
              <w:tc>
                <w:tcPr>
                  <w:tcW w:w="0" w:type="auto"/>
                  <w:vAlign w:val="center"/>
                </w:tcPr>
                <w:p w14:paraId="217C1A0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10</w:t>
                  </w:r>
                </w:p>
              </w:tc>
              <w:tc>
                <w:tcPr>
                  <w:tcW w:w="0" w:type="auto"/>
                  <w:vAlign w:val="center"/>
                </w:tcPr>
                <w:p w14:paraId="41CE8DB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8</w:t>
                  </w:r>
                </w:p>
              </w:tc>
              <w:tc>
                <w:tcPr>
                  <w:tcW w:w="0" w:type="auto"/>
                  <w:vAlign w:val="center"/>
                </w:tcPr>
                <w:p w14:paraId="209BDEA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0" w:type="auto"/>
                  <w:vAlign w:val="center"/>
                </w:tcPr>
                <w:p w14:paraId="246DD02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8EE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0" w:type="auto"/>
                  <w:vAlign w:val="center"/>
                </w:tcPr>
                <w:p w14:paraId="626C17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粪大肠菌群</w:t>
                  </w:r>
                  <w:r>
                    <w:rPr>
                      <w:rFonts w:hint="default" w:ascii="Times New Roman" w:hAnsi="Times New Roman" w:eastAsia="宋体" w:cs="Times New Roman"/>
                      <w:color w:val="auto"/>
                      <w:sz w:val="21"/>
                      <w:szCs w:val="21"/>
                      <w:lang w:val="en-US" w:eastAsia="en-US"/>
                    </w:rPr>
                    <w:t>（MPN/L）</w:t>
                  </w:r>
                </w:p>
              </w:tc>
              <w:tc>
                <w:tcPr>
                  <w:tcW w:w="0" w:type="auto"/>
                  <w:vAlign w:val="center"/>
                </w:tcPr>
                <w:p w14:paraId="1EE07D2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6.3x10</w:t>
                  </w:r>
                  <w:r>
                    <w:rPr>
                      <w:rFonts w:hint="default" w:ascii="Times New Roman" w:hAnsi="Times New Roman" w:eastAsia="宋体" w:cs="Times New Roman"/>
                      <w:color w:val="auto"/>
                      <w:sz w:val="21"/>
                      <w:szCs w:val="21"/>
                      <w:vertAlign w:val="superscript"/>
                      <w:lang w:val="en-US" w:eastAsia="en-US"/>
                    </w:rPr>
                    <w:t>3</w:t>
                  </w:r>
                </w:p>
              </w:tc>
              <w:tc>
                <w:tcPr>
                  <w:tcW w:w="0" w:type="auto"/>
                  <w:vAlign w:val="center"/>
                </w:tcPr>
                <w:p w14:paraId="799E2E4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4.9x10</w:t>
                  </w:r>
                  <w:r>
                    <w:rPr>
                      <w:rFonts w:hint="default" w:ascii="Times New Roman" w:hAnsi="Times New Roman" w:eastAsia="宋体" w:cs="Times New Roman"/>
                      <w:color w:val="auto"/>
                      <w:sz w:val="21"/>
                      <w:szCs w:val="21"/>
                      <w:vertAlign w:val="superscript"/>
                      <w:lang w:val="en-US" w:eastAsia="en-US"/>
                    </w:rPr>
                    <w:t>3</w:t>
                  </w:r>
                </w:p>
              </w:tc>
              <w:tc>
                <w:tcPr>
                  <w:tcW w:w="0" w:type="auto"/>
                  <w:vAlign w:val="center"/>
                </w:tcPr>
                <w:p w14:paraId="1E13ABA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5.4x1</w:t>
                  </w:r>
                  <w:r>
                    <w:rPr>
                      <w:rFonts w:hint="default" w:ascii="Times New Roman" w:hAnsi="Times New Roman" w:eastAsia="宋体" w:cs="Times New Roman"/>
                      <w:color w:val="auto"/>
                      <w:sz w:val="21"/>
                      <w:szCs w:val="21"/>
                      <w:lang w:val="zh-TW" w:eastAsia="zh-TW"/>
                    </w:rPr>
                    <w:t>0</w:t>
                  </w:r>
                  <w:r>
                    <w:rPr>
                      <w:rFonts w:hint="default" w:ascii="Times New Roman" w:hAnsi="Times New Roman" w:eastAsia="宋体" w:cs="Times New Roman"/>
                      <w:color w:val="auto"/>
                      <w:sz w:val="21"/>
                      <w:szCs w:val="21"/>
                      <w:vertAlign w:val="superscript"/>
                      <w:lang w:val="zh-TW" w:eastAsia="zh-TW"/>
                    </w:rPr>
                    <w:t>3</w:t>
                  </w:r>
                </w:p>
              </w:tc>
              <w:tc>
                <w:tcPr>
                  <w:tcW w:w="0" w:type="auto"/>
                  <w:vAlign w:val="center"/>
                </w:tcPr>
                <w:p w14:paraId="098F690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10000</w:t>
                  </w:r>
                </w:p>
              </w:tc>
              <w:tc>
                <w:tcPr>
                  <w:tcW w:w="0" w:type="auto"/>
                  <w:vAlign w:val="center"/>
                </w:tcPr>
                <w:p w14:paraId="08D7214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61BC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895AFA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7FF664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28BB0BD2">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7CC8445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0A2255F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0" w:type="auto"/>
                  <w:gridSpan w:val="3"/>
                  <w:vAlign w:val="center"/>
                </w:tcPr>
                <w:p w14:paraId="08EEA9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渗滤液处理站出口</w:t>
                  </w:r>
                  <w:r>
                    <w:rPr>
                      <w:rFonts w:hint="default" w:ascii="Times New Roman" w:hAnsi="Times New Roman" w:eastAsia="宋体" w:cs="Times New Roman"/>
                      <w:color w:val="auto"/>
                      <w:sz w:val="21"/>
                      <w:szCs w:val="21"/>
                      <w:lang w:val="en-US" w:eastAsia="en-US"/>
                    </w:rPr>
                    <w:t>（DW001）</w:t>
                  </w:r>
                </w:p>
              </w:tc>
              <w:tc>
                <w:tcPr>
                  <w:tcW w:w="0" w:type="auto"/>
                  <w:vMerge w:val="restart"/>
                  <w:vAlign w:val="center"/>
                </w:tcPr>
                <w:p w14:paraId="0C4B370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0" w:type="auto"/>
                  <w:vMerge w:val="restart"/>
                  <w:vAlign w:val="center"/>
                </w:tcPr>
                <w:p w14:paraId="22AF0F2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680C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0DCC304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0" w:type="auto"/>
                  <w:gridSpan w:val="3"/>
                  <w:vAlign w:val="center"/>
                </w:tcPr>
                <w:p w14:paraId="1E1A36C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2022.11. </w:t>
                  </w:r>
                  <w:r>
                    <w:rPr>
                      <w:rFonts w:hint="default" w:ascii="Times New Roman" w:hAnsi="Times New Roman" w:eastAsia="宋体" w:cs="Times New Roman"/>
                      <w:color w:val="auto"/>
                      <w:sz w:val="21"/>
                      <w:szCs w:val="21"/>
                      <w:lang w:val="zh-TW" w:eastAsia="zh-TW"/>
                    </w:rPr>
                    <w:t>12</w:t>
                  </w:r>
                </w:p>
              </w:tc>
              <w:tc>
                <w:tcPr>
                  <w:tcW w:w="0" w:type="auto"/>
                  <w:vMerge w:val="continue"/>
                  <w:vAlign w:val="center"/>
                </w:tcPr>
                <w:p w14:paraId="6E19C79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0" w:type="auto"/>
                  <w:vMerge w:val="continue"/>
                  <w:vAlign w:val="center"/>
                </w:tcPr>
                <w:p w14:paraId="4AB59C6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1EA1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67E66BF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0" w:type="auto"/>
                  <w:gridSpan w:val="3"/>
                  <w:vAlign w:val="center"/>
                </w:tcPr>
                <w:p w14:paraId="5E43BDB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18:18 （混合样品）</w:t>
                  </w:r>
                </w:p>
              </w:tc>
              <w:tc>
                <w:tcPr>
                  <w:tcW w:w="0" w:type="auto"/>
                  <w:vMerge w:val="continue"/>
                  <w:vAlign w:val="center"/>
                </w:tcPr>
                <w:p w14:paraId="3B21E32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0" w:type="auto"/>
                  <w:vMerge w:val="continue"/>
                  <w:vAlign w:val="center"/>
                </w:tcPr>
                <w:p w14:paraId="36D6B05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6BB0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14:paraId="569CE1F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0" w:type="auto"/>
                  <w:gridSpan w:val="3"/>
                  <w:vAlign w:val="center"/>
                </w:tcPr>
                <w:p w14:paraId="3E2F3B4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DH20221102111-31</w:t>
                  </w:r>
                </w:p>
              </w:tc>
              <w:tc>
                <w:tcPr>
                  <w:tcW w:w="0" w:type="auto"/>
                  <w:vMerge w:val="continue"/>
                  <w:vAlign w:val="center"/>
                </w:tcPr>
                <w:p w14:paraId="6D3F63F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0" w:type="auto"/>
                  <w:vMerge w:val="continue"/>
                  <w:vAlign w:val="center"/>
                </w:tcPr>
                <w:p w14:paraId="5EF0556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2D7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0C8E5B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六价铭</w:t>
                  </w:r>
                </w:p>
              </w:tc>
              <w:tc>
                <w:tcPr>
                  <w:tcW w:w="0" w:type="auto"/>
                  <w:gridSpan w:val="3"/>
                  <w:vAlign w:val="center"/>
                </w:tcPr>
                <w:p w14:paraId="77A33AF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&lt;0.004</w:t>
                  </w:r>
                </w:p>
              </w:tc>
              <w:tc>
                <w:tcPr>
                  <w:tcW w:w="0" w:type="auto"/>
                  <w:vAlign w:val="center"/>
                </w:tcPr>
                <w:p w14:paraId="00AB55B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color w:val="auto"/>
                      <w:sz w:val="21"/>
                      <w:szCs w:val="21"/>
                      <w:vertAlign w:val="baseline"/>
                      <w:lang w:val="en-US" w:eastAsia="zh-CN"/>
                    </w:rPr>
                    <w:t>0.05</w:t>
                  </w:r>
                </w:p>
              </w:tc>
              <w:tc>
                <w:tcPr>
                  <w:tcW w:w="0" w:type="auto"/>
                  <w:vAlign w:val="center"/>
                </w:tcPr>
                <w:p w14:paraId="120C33B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67BC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4D6FB1C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化学需氧量</w:t>
                  </w:r>
                </w:p>
              </w:tc>
              <w:tc>
                <w:tcPr>
                  <w:tcW w:w="0" w:type="auto"/>
                  <w:gridSpan w:val="3"/>
                  <w:vAlign w:val="center"/>
                </w:tcPr>
                <w:p w14:paraId="6005987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47</w:t>
                  </w:r>
                </w:p>
              </w:tc>
              <w:tc>
                <w:tcPr>
                  <w:tcW w:w="0" w:type="auto"/>
                  <w:vAlign w:val="center"/>
                </w:tcPr>
                <w:p w14:paraId="5AD1768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cs="Times New Roman"/>
                      <w:lang w:val="en-US" w:eastAsia="zh-CN"/>
                    </w:rPr>
                    <w:t>20</w:t>
                  </w:r>
                </w:p>
              </w:tc>
              <w:tc>
                <w:tcPr>
                  <w:tcW w:w="0" w:type="auto"/>
                  <w:vAlign w:val="center"/>
                </w:tcPr>
                <w:p w14:paraId="512A3CD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r>
            <w:tr w14:paraId="1929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511C388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总氮</w:t>
                  </w:r>
                </w:p>
              </w:tc>
              <w:tc>
                <w:tcPr>
                  <w:tcW w:w="0" w:type="auto"/>
                  <w:gridSpan w:val="3"/>
                  <w:vAlign w:val="center"/>
                </w:tcPr>
                <w:p w14:paraId="734B712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17.9</w:t>
                  </w:r>
                </w:p>
              </w:tc>
              <w:tc>
                <w:tcPr>
                  <w:tcW w:w="0" w:type="auto"/>
                  <w:vAlign w:val="center"/>
                </w:tcPr>
                <w:p w14:paraId="617B0D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1.0</w:t>
                  </w:r>
                </w:p>
              </w:tc>
              <w:tc>
                <w:tcPr>
                  <w:tcW w:w="0" w:type="auto"/>
                  <w:vAlign w:val="center"/>
                </w:tcPr>
                <w:p w14:paraId="2BB3888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r>
            <w:tr w14:paraId="2A73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31D18CC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氨氮</w:t>
                  </w:r>
                </w:p>
              </w:tc>
              <w:tc>
                <w:tcPr>
                  <w:tcW w:w="0" w:type="auto"/>
                  <w:gridSpan w:val="3"/>
                  <w:vAlign w:val="center"/>
                </w:tcPr>
                <w:p w14:paraId="4D53E42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9.26</w:t>
                  </w:r>
                </w:p>
              </w:tc>
              <w:tc>
                <w:tcPr>
                  <w:tcW w:w="0" w:type="auto"/>
                  <w:vAlign w:val="center"/>
                </w:tcPr>
                <w:p w14:paraId="6C7D7A3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1.0</w:t>
                  </w:r>
                </w:p>
              </w:tc>
              <w:tc>
                <w:tcPr>
                  <w:tcW w:w="0" w:type="auto"/>
                  <w:vAlign w:val="center"/>
                </w:tcPr>
                <w:p w14:paraId="3D6369D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r>
            <w:tr w14:paraId="0623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5498A38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总磷</w:t>
                  </w:r>
                </w:p>
              </w:tc>
              <w:tc>
                <w:tcPr>
                  <w:tcW w:w="0" w:type="auto"/>
                  <w:gridSpan w:val="3"/>
                  <w:vAlign w:val="center"/>
                </w:tcPr>
                <w:p w14:paraId="0106C07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0.96</w:t>
                  </w:r>
                </w:p>
              </w:tc>
              <w:tc>
                <w:tcPr>
                  <w:tcW w:w="0" w:type="auto"/>
                  <w:vAlign w:val="center"/>
                </w:tcPr>
                <w:p w14:paraId="4A87082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0.2</w:t>
                  </w:r>
                </w:p>
              </w:tc>
              <w:tc>
                <w:tcPr>
                  <w:tcW w:w="0" w:type="auto"/>
                  <w:vAlign w:val="center"/>
                </w:tcPr>
                <w:p w14:paraId="327BF64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超标</w:t>
                  </w:r>
                </w:p>
              </w:tc>
            </w:tr>
            <w:tr w14:paraId="3E26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315BC28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总汞（</w:t>
                  </w: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lang w:val="en-US" w:eastAsia="en-US"/>
                    </w:rPr>
                    <w:t>g/L）</w:t>
                  </w:r>
                </w:p>
              </w:tc>
              <w:tc>
                <w:tcPr>
                  <w:tcW w:w="0" w:type="auto"/>
                  <w:gridSpan w:val="3"/>
                  <w:vAlign w:val="center"/>
                </w:tcPr>
                <w:p w14:paraId="7DC71A3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0.14</w:t>
                  </w:r>
                </w:p>
              </w:tc>
              <w:tc>
                <w:tcPr>
                  <w:tcW w:w="0" w:type="auto"/>
                  <w:vAlign w:val="center"/>
                </w:tcPr>
                <w:p w14:paraId="0BB74A3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0.0001</w:t>
                  </w:r>
                </w:p>
              </w:tc>
              <w:tc>
                <w:tcPr>
                  <w:tcW w:w="0" w:type="auto"/>
                  <w:vAlign w:val="center"/>
                </w:tcPr>
                <w:p w14:paraId="7439013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5FEE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60CB973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总镉（</w:t>
                  </w: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lang w:val="en-US" w:eastAsia="en-US"/>
                    </w:rPr>
                    <w:t>g/L）</w:t>
                  </w:r>
                </w:p>
              </w:tc>
              <w:tc>
                <w:tcPr>
                  <w:tcW w:w="0" w:type="auto"/>
                  <w:gridSpan w:val="3"/>
                  <w:vAlign w:val="center"/>
                </w:tcPr>
                <w:p w14:paraId="40F1F73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0.13</w:t>
                  </w:r>
                </w:p>
              </w:tc>
              <w:tc>
                <w:tcPr>
                  <w:tcW w:w="0" w:type="auto"/>
                  <w:vAlign w:val="center"/>
                </w:tcPr>
                <w:p w14:paraId="5454A73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color w:val="auto"/>
                      <w:sz w:val="21"/>
                      <w:szCs w:val="21"/>
                      <w:vertAlign w:val="baseline"/>
                      <w:lang w:val="en-US" w:eastAsia="zh-CN"/>
                    </w:rPr>
                    <w:t>0.005</w:t>
                  </w:r>
                </w:p>
              </w:tc>
              <w:tc>
                <w:tcPr>
                  <w:tcW w:w="0" w:type="auto"/>
                  <w:vAlign w:val="center"/>
                </w:tcPr>
                <w:p w14:paraId="21F36820">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r>
            <w:tr w14:paraId="0F00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18A2958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w:t>
                  </w:r>
                  <w:r>
                    <w:rPr>
                      <w:rFonts w:hint="default" w:ascii="Times New Roman" w:hAnsi="Times New Roman" w:eastAsia="宋体" w:cs="Times New Roman"/>
                      <w:color w:val="auto"/>
                      <w:sz w:val="21"/>
                      <w:szCs w:val="21"/>
                      <w:lang w:val="en-US" w:eastAsia="zh-CN"/>
                    </w:rPr>
                    <w:t>铬</w:t>
                  </w:r>
                  <w:r>
                    <w:rPr>
                      <w:rFonts w:hint="default"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lang w:val="en-US" w:eastAsia="en-US"/>
                    </w:rPr>
                    <w:t>g/L</w:t>
                  </w:r>
                  <w:r>
                    <w:rPr>
                      <w:rFonts w:hint="default" w:ascii="Times New Roman" w:hAnsi="Times New Roman" w:eastAsia="宋体" w:cs="Times New Roman"/>
                      <w:color w:val="auto"/>
                      <w:sz w:val="21"/>
                      <w:szCs w:val="21"/>
                      <w:lang w:val="zh-TW" w:eastAsia="zh-CN"/>
                    </w:rPr>
                    <w:t>）</w:t>
                  </w:r>
                </w:p>
              </w:tc>
              <w:tc>
                <w:tcPr>
                  <w:tcW w:w="0" w:type="auto"/>
                  <w:gridSpan w:val="3"/>
                  <w:vAlign w:val="center"/>
                </w:tcPr>
                <w:p w14:paraId="74F37F4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0.50</w:t>
                  </w:r>
                </w:p>
              </w:tc>
              <w:tc>
                <w:tcPr>
                  <w:tcW w:w="0" w:type="auto"/>
                  <w:vAlign w:val="center"/>
                </w:tcPr>
                <w:p w14:paraId="120D90B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0.05</w:t>
                  </w:r>
                </w:p>
              </w:tc>
              <w:tc>
                <w:tcPr>
                  <w:tcW w:w="0" w:type="auto"/>
                  <w:vAlign w:val="center"/>
                </w:tcPr>
                <w:p w14:paraId="53E360B4">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r>
            <w:tr w14:paraId="04E8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6B07F22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w:t>
                  </w:r>
                  <w:r>
                    <w:rPr>
                      <w:rFonts w:hint="default" w:ascii="Times New Roman" w:hAnsi="Times New Roman" w:eastAsia="宋体" w:cs="Times New Roman"/>
                      <w:color w:val="auto"/>
                      <w:sz w:val="21"/>
                      <w:szCs w:val="21"/>
                      <w:lang w:val="en-US" w:eastAsia="zh-CN"/>
                    </w:rPr>
                    <w:t>砷</w:t>
                  </w:r>
                  <w:r>
                    <w:rPr>
                      <w:rFonts w:hint="default" w:ascii="Times New Roman" w:hAnsi="Times New Roman" w:eastAsia="宋体" w:cs="Times New Roman"/>
                      <w:color w:val="auto"/>
                      <w:sz w:val="21"/>
                      <w:szCs w:val="21"/>
                      <w:lang w:val="zh-TW" w:eastAsia="zh-CN"/>
                    </w:rPr>
                    <w:t>（</w:t>
                  </w:r>
                  <w:r>
                    <w:rPr>
                      <w:rFonts w:hint="default" w:ascii="Times New Roman" w:hAnsi="Times New Roman" w:eastAsia="宋体" w:cs="Times New Roman"/>
                      <w:color w:val="auto"/>
                      <w:sz w:val="21"/>
                      <w:szCs w:val="21"/>
                      <w:lang w:val="en-US" w:eastAsia="en-US"/>
                    </w:rPr>
                    <w:t>ug/L</w:t>
                  </w:r>
                  <w:r>
                    <w:rPr>
                      <w:rFonts w:hint="default" w:ascii="Times New Roman" w:hAnsi="Times New Roman" w:eastAsia="宋体" w:cs="Times New Roman"/>
                      <w:color w:val="auto"/>
                      <w:sz w:val="21"/>
                      <w:szCs w:val="21"/>
                      <w:lang w:val="zh-TW" w:eastAsia="zh-CN"/>
                    </w:rPr>
                    <w:t>）</w:t>
                  </w:r>
                </w:p>
              </w:tc>
              <w:tc>
                <w:tcPr>
                  <w:tcW w:w="0" w:type="auto"/>
                  <w:gridSpan w:val="3"/>
                  <w:vAlign w:val="center"/>
                </w:tcPr>
                <w:p w14:paraId="2832951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18.9</w:t>
                  </w:r>
                </w:p>
              </w:tc>
              <w:tc>
                <w:tcPr>
                  <w:tcW w:w="0" w:type="auto"/>
                  <w:vAlign w:val="center"/>
                </w:tcPr>
                <w:p w14:paraId="40F4124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0.01</w:t>
                  </w:r>
                </w:p>
              </w:tc>
              <w:tc>
                <w:tcPr>
                  <w:tcW w:w="0" w:type="auto"/>
                  <w:vAlign w:val="center"/>
                </w:tcPr>
                <w:p w14:paraId="030AD47C">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r>
            <w:tr w14:paraId="7640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0" w:type="auto"/>
                  <w:vAlign w:val="center"/>
                </w:tcPr>
                <w:p w14:paraId="0527641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总铅（</w:t>
                  </w:r>
                  <w:r>
                    <w:rPr>
                      <w:rFonts w:hint="default" w:ascii="Times New Roman" w:hAnsi="Times New Roman" w:eastAsia="宋体" w:cs="Times New Roman"/>
                      <w:color w:val="auto"/>
                      <w:sz w:val="21"/>
                      <w:szCs w:val="21"/>
                      <w:lang w:val="en-US" w:eastAsia="zh-CN"/>
                    </w:rPr>
                    <w:t>u</w:t>
                  </w:r>
                  <w:r>
                    <w:rPr>
                      <w:rFonts w:hint="default" w:ascii="Times New Roman" w:hAnsi="Times New Roman" w:eastAsia="宋体" w:cs="Times New Roman"/>
                      <w:color w:val="auto"/>
                      <w:sz w:val="21"/>
                      <w:szCs w:val="21"/>
                      <w:lang w:val="en-US" w:eastAsia="en-US"/>
                    </w:rPr>
                    <w:t>g/L）</w:t>
                  </w:r>
                </w:p>
              </w:tc>
              <w:tc>
                <w:tcPr>
                  <w:tcW w:w="0" w:type="auto"/>
                  <w:gridSpan w:val="3"/>
                  <w:vAlign w:val="center"/>
                </w:tcPr>
                <w:p w14:paraId="4B5C77B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1.31</w:t>
                  </w:r>
                </w:p>
              </w:tc>
              <w:tc>
                <w:tcPr>
                  <w:tcW w:w="0" w:type="auto"/>
                  <w:vAlign w:val="center"/>
                </w:tcPr>
                <w:p w14:paraId="7B49D02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cs="Times New Roman"/>
                      <w:lang w:val="en-US" w:eastAsia="zh-CN"/>
                    </w:rPr>
                    <w:t>0.05</w:t>
                  </w:r>
                </w:p>
              </w:tc>
              <w:tc>
                <w:tcPr>
                  <w:tcW w:w="0" w:type="auto"/>
                  <w:vAlign w:val="center"/>
                </w:tcPr>
                <w:p w14:paraId="5DBD3CEA">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达标</w:t>
                  </w:r>
                </w:p>
              </w:tc>
            </w:tr>
          </w:tbl>
          <w:p w14:paraId="15902CD3">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3-9 </w:t>
            </w:r>
            <w:r>
              <w:rPr>
                <w:rFonts w:hint="default" w:ascii="Times New Roman" w:hAnsi="Times New Roman" w:cs="Times New Roman"/>
                <w:b/>
                <w:color w:val="auto"/>
                <w:szCs w:val="22"/>
                <w:lang w:val="zh-TW" w:eastAsia="zh-TW"/>
              </w:rPr>
              <w:t>排水井</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8"/>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962"/>
              <w:gridCol w:w="2078"/>
              <w:gridCol w:w="2084"/>
              <w:gridCol w:w="841"/>
              <w:gridCol w:w="741"/>
            </w:tblGrid>
            <w:tr w14:paraId="3E7E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A84886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2752E0FB">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7676936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0FC7C3A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3380" w:type="pct"/>
                  <w:gridSpan w:val="3"/>
                  <w:vAlign w:val="center"/>
                </w:tcPr>
                <w:p w14:paraId="3C84974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排水井</w:t>
                  </w:r>
                </w:p>
              </w:tc>
              <w:tc>
                <w:tcPr>
                  <w:tcW w:w="464" w:type="pct"/>
                  <w:vMerge w:val="restart"/>
                  <w:vAlign w:val="center"/>
                </w:tcPr>
                <w:p w14:paraId="2703087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409" w:type="pct"/>
                  <w:vMerge w:val="restart"/>
                  <w:vAlign w:val="center"/>
                </w:tcPr>
                <w:p w14:paraId="58750FC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1035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04D126E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380" w:type="pct"/>
                  <w:gridSpan w:val="3"/>
                  <w:vAlign w:val="center"/>
                </w:tcPr>
                <w:p w14:paraId="6683BB5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2022. 11. </w:t>
                  </w:r>
                  <w:r>
                    <w:rPr>
                      <w:rFonts w:hint="default" w:ascii="Times New Roman" w:hAnsi="Times New Roman" w:eastAsia="宋体" w:cs="Times New Roman"/>
                      <w:color w:val="auto"/>
                      <w:sz w:val="21"/>
                      <w:szCs w:val="21"/>
                      <w:lang w:val="zh-TW" w:eastAsia="zh-TW"/>
                    </w:rPr>
                    <w:t>04</w:t>
                  </w:r>
                </w:p>
              </w:tc>
              <w:tc>
                <w:tcPr>
                  <w:tcW w:w="464" w:type="pct"/>
                  <w:vMerge w:val="continue"/>
                  <w:vAlign w:val="center"/>
                </w:tcPr>
                <w:p w14:paraId="7986415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409" w:type="pct"/>
                  <w:vMerge w:val="continue"/>
                  <w:vAlign w:val="center"/>
                </w:tcPr>
                <w:p w14:paraId="59AF047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14A5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1174C1A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083" w:type="pct"/>
                  <w:vAlign w:val="center"/>
                </w:tcPr>
                <w:p w14:paraId="6A37811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08:37</w:t>
                  </w:r>
                </w:p>
              </w:tc>
              <w:tc>
                <w:tcPr>
                  <w:tcW w:w="1147" w:type="pct"/>
                  <w:vAlign w:val="center"/>
                </w:tcPr>
                <w:p w14:paraId="578DAC9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12:44</w:t>
                  </w:r>
                </w:p>
              </w:tc>
              <w:tc>
                <w:tcPr>
                  <w:tcW w:w="1149" w:type="pct"/>
                  <w:vAlign w:val="center"/>
                </w:tcPr>
                <w:p w14:paraId="2A1CF54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16:31</w:t>
                  </w:r>
                </w:p>
              </w:tc>
              <w:tc>
                <w:tcPr>
                  <w:tcW w:w="464" w:type="pct"/>
                  <w:vMerge w:val="continue"/>
                  <w:vAlign w:val="center"/>
                </w:tcPr>
                <w:p w14:paraId="6B7ED42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409" w:type="pct"/>
                  <w:vMerge w:val="continue"/>
                  <w:vAlign w:val="center"/>
                </w:tcPr>
                <w:p w14:paraId="06D8E3F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358F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691FD3D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083" w:type="pct"/>
                  <w:vAlign w:val="center"/>
                </w:tcPr>
                <w:p w14:paraId="46DFDCD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DH20221102111-01</w:t>
                  </w:r>
                </w:p>
              </w:tc>
              <w:tc>
                <w:tcPr>
                  <w:tcW w:w="1147" w:type="pct"/>
                  <w:vAlign w:val="center"/>
                </w:tcPr>
                <w:p w14:paraId="6E75986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11-02</w:t>
                  </w:r>
                </w:p>
              </w:tc>
              <w:tc>
                <w:tcPr>
                  <w:tcW w:w="1149" w:type="pct"/>
                  <w:vAlign w:val="center"/>
                </w:tcPr>
                <w:p w14:paraId="24C80DC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DH20221102111-03</w:t>
                  </w:r>
                </w:p>
              </w:tc>
              <w:tc>
                <w:tcPr>
                  <w:tcW w:w="464" w:type="pct"/>
                  <w:vMerge w:val="continue"/>
                  <w:vAlign w:val="center"/>
                </w:tcPr>
                <w:p w14:paraId="677B12F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409" w:type="pct"/>
                  <w:vMerge w:val="continue"/>
                  <w:vAlign w:val="center"/>
                </w:tcPr>
                <w:p w14:paraId="0512C0C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0246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Align w:val="center"/>
                </w:tcPr>
                <w:p w14:paraId="5A6CEC3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pH </w:t>
                  </w:r>
                  <w:r>
                    <w:rPr>
                      <w:rFonts w:hint="default" w:ascii="Times New Roman" w:hAnsi="Times New Roman" w:eastAsia="宋体" w:cs="Times New Roman"/>
                      <w:color w:val="auto"/>
                      <w:sz w:val="21"/>
                      <w:szCs w:val="21"/>
                      <w:lang w:val="zh-TW" w:eastAsia="zh-TW"/>
                    </w:rPr>
                    <w:t>（无量纲）</w:t>
                  </w:r>
                </w:p>
              </w:tc>
              <w:tc>
                <w:tcPr>
                  <w:tcW w:w="1083" w:type="pct"/>
                  <w:vAlign w:val="center"/>
                </w:tcPr>
                <w:p w14:paraId="20A6501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7.0</w:t>
                  </w:r>
                </w:p>
              </w:tc>
              <w:tc>
                <w:tcPr>
                  <w:tcW w:w="1147" w:type="pct"/>
                  <w:vAlign w:val="center"/>
                </w:tcPr>
                <w:p w14:paraId="5AED0B7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7.3</w:t>
                  </w:r>
                </w:p>
              </w:tc>
              <w:tc>
                <w:tcPr>
                  <w:tcW w:w="1149" w:type="pct"/>
                  <w:vAlign w:val="center"/>
                </w:tcPr>
                <w:p w14:paraId="217C6DE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7.2</w:t>
                  </w:r>
                </w:p>
              </w:tc>
              <w:tc>
                <w:tcPr>
                  <w:tcW w:w="464" w:type="pct"/>
                  <w:vAlign w:val="center"/>
                </w:tcPr>
                <w:p w14:paraId="522A1D1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409" w:type="pct"/>
                  <w:vAlign w:val="center"/>
                </w:tcPr>
                <w:p w14:paraId="0DEBE22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DF8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37542D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3F15C72F">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7D251D0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04786DC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3380" w:type="pct"/>
                  <w:gridSpan w:val="3"/>
                  <w:vAlign w:val="center"/>
                </w:tcPr>
                <w:p w14:paraId="2FBEF0F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排水井</w:t>
                  </w:r>
                </w:p>
              </w:tc>
              <w:tc>
                <w:tcPr>
                  <w:tcW w:w="464" w:type="pct"/>
                  <w:vMerge w:val="restart"/>
                  <w:vAlign w:val="center"/>
                </w:tcPr>
                <w:p w14:paraId="11DF3AD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409" w:type="pct"/>
                  <w:vMerge w:val="restart"/>
                  <w:vAlign w:val="center"/>
                </w:tcPr>
                <w:p w14:paraId="31C623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4444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5872811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380" w:type="pct"/>
                  <w:gridSpan w:val="3"/>
                  <w:vAlign w:val="center"/>
                </w:tcPr>
                <w:p w14:paraId="000C31F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2022. 11. </w:t>
                  </w:r>
                  <w:r>
                    <w:rPr>
                      <w:rFonts w:hint="default" w:ascii="Times New Roman" w:hAnsi="Times New Roman" w:eastAsia="宋体" w:cs="Times New Roman"/>
                      <w:color w:val="auto"/>
                      <w:sz w:val="21"/>
                      <w:szCs w:val="21"/>
                      <w:lang w:val="zh-TW" w:eastAsia="zh-TW"/>
                    </w:rPr>
                    <w:t>21</w:t>
                  </w:r>
                </w:p>
              </w:tc>
              <w:tc>
                <w:tcPr>
                  <w:tcW w:w="464" w:type="pct"/>
                  <w:vMerge w:val="continue"/>
                  <w:vAlign w:val="center"/>
                </w:tcPr>
                <w:p w14:paraId="3AA0C97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409" w:type="pct"/>
                  <w:vMerge w:val="continue"/>
                  <w:vAlign w:val="center"/>
                </w:tcPr>
                <w:p w14:paraId="0DCC460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516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2EA5843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083" w:type="pct"/>
                  <w:vAlign w:val="center"/>
                </w:tcPr>
                <w:p w14:paraId="353BEC3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09:52</w:t>
                  </w:r>
                </w:p>
              </w:tc>
              <w:tc>
                <w:tcPr>
                  <w:tcW w:w="1147" w:type="pct"/>
                  <w:vAlign w:val="center"/>
                </w:tcPr>
                <w:p w14:paraId="56F000A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14:03</w:t>
                  </w:r>
                </w:p>
              </w:tc>
              <w:tc>
                <w:tcPr>
                  <w:tcW w:w="1149" w:type="pct"/>
                  <w:vAlign w:val="center"/>
                </w:tcPr>
                <w:p w14:paraId="0B72F4E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sz w:val="21"/>
                      <w:szCs w:val="21"/>
                      <w:lang w:val="zh-TW" w:eastAsia="zh-TW"/>
                    </w:rPr>
                    <w:t>17:14</w:t>
                  </w:r>
                </w:p>
              </w:tc>
              <w:tc>
                <w:tcPr>
                  <w:tcW w:w="464" w:type="pct"/>
                  <w:vMerge w:val="continue"/>
                  <w:vAlign w:val="center"/>
                </w:tcPr>
                <w:p w14:paraId="496B10F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409" w:type="pct"/>
                  <w:vMerge w:val="continue"/>
                  <w:vAlign w:val="center"/>
                </w:tcPr>
                <w:p w14:paraId="2B75EE6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627E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2B49D9F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083" w:type="pct"/>
                  <w:vAlign w:val="center"/>
                </w:tcPr>
                <w:p w14:paraId="4805140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11-32</w:t>
                  </w:r>
                </w:p>
              </w:tc>
              <w:tc>
                <w:tcPr>
                  <w:tcW w:w="1147" w:type="pct"/>
                  <w:vAlign w:val="center"/>
                </w:tcPr>
                <w:p w14:paraId="10C56EB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DH20221102111-33</w:t>
                  </w:r>
                </w:p>
              </w:tc>
              <w:tc>
                <w:tcPr>
                  <w:tcW w:w="1149" w:type="pct"/>
                  <w:vAlign w:val="center"/>
                </w:tcPr>
                <w:p w14:paraId="2B123FE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DH20221102111-34</w:t>
                  </w:r>
                </w:p>
              </w:tc>
              <w:tc>
                <w:tcPr>
                  <w:tcW w:w="464" w:type="pct"/>
                  <w:vMerge w:val="continue"/>
                  <w:vAlign w:val="center"/>
                </w:tcPr>
                <w:p w14:paraId="1881F11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409" w:type="pct"/>
                  <w:vMerge w:val="continue"/>
                  <w:vAlign w:val="center"/>
                </w:tcPr>
                <w:p w14:paraId="7486CCE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7F5B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Align w:val="center"/>
                </w:tcPr>
                <w:p w14:paraId="640090C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pH </w:t>
                  </w:r>
                  <w:r>
                    <w:rPr>
                      <w:rFonts w:hint="default" w:ascii="Times New Roman" w:hAnsi="Times New Roman" w:eastAsia="宋体" w:cs="Times New Roman"/>
                      <w:color w:val="auto"/>
                      <w:sz w:val="21"/>
                      <w:szCs w:val="21"/>
                      <w:lang w:val="zh-TW" w:eastAsia="zh-TW"/>
                    </w:rPr>
                    <w:t>（无量纲）</w:t>
                  </w:r>
                </w:p>
              </w:tc>
              <w:tc>
                <w:tcPr>
                  <w:tcW w:w="1083" w:type="pct"/>
                  <w:vAlign w:val="center"/>
                </w:tcPr>
                <w:p w14:paraId="714E560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7.3</w:t>
                  </w:r>
                </w:p>
              </w:tc>
              <w:tc>
                <w:tcPr>
                  <w:tcW w:w="1147" w:type="pct"/>
                  <w:vAlign w:val="center"/>
                </w:tcPr>
                <w:p w14:paraId="1ECD2A0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7.3</w:t>
                  </w:r>
                </w:p>
              </w:tc>
              <w:tc>
                <w:tcPr>
                  <w:tcW w:w="1149" w:type="pct"/>
                  <w:vAlign w:val="center"/>
                </w:tcPr>
                <w:p w14:paraId="1A9C0D4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7.3</w:t>
                  </w:r>
                </w:p>
              </w:tc>
              <w:tc>
                <w:tcPr>
                  <w:tcW w:w="464" w:type="pct"/>
                  <w:vAlign w:val="center"/>
                </w:tcPr>
                <w:p w14:paraId="1020322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6-9</w:t>
                  </w:r>
                </w:p>
              </w:tc>
              <w:tc>
                <w:tcPr>
                  <w:tcW w:w="409" w:type="pct"/>
                  <w:vAlign w:val="center"/>
                </w:tcPr>
                <w:p w14:paraId="1CE60B2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4B4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2A2410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3C2921C0">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2CEB85E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1869591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3380" w:type="pct"/>
                  <w:gridSpan w:val="3"/>
                  <w:vAlign w:val="center"/>
                </w:tcPr>
                <w:p w14:paraId="31A9C9B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排水井</w:t>
                  </w:r>
                </w:p>
              </w:tc>
              <w:tc>
                <w:tcPr>
                  <w:tcW w:w="464" w:type="pct"/>
                  <w:vMerge w:val="restart"/>
                  <w:vAlign w:val="center"/>
                </w:tcPr>
                <w:p w14:paraId="7169652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409" w:type="pct"/>
                  <w:vMerge w:val="restart"/>
                  <w:vAlign w:val="center"/>
                </w:tcPr>
                <w:p w14:paraId="29F8738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7F2B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3F690E8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380" w:type="pct"/>
                  <w:gridSpan w:val="3"/>
                  <w:vAlign w:val="center"/>
                </w:tcPr>
                <w:p w14:paraId="121613E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2022. 11. </w:t>
                  </w:r>
                  <w:r>
                    <w:rPr>
                      <w:rFonts w:hint="default" w:ascii="Times New Roman" w:hAnsi="Times New Roman" w:eastAsia="宋体" w:cs="Times New Roman"/>
                      <w:color w:val="auto"/>
                      <w:sz w:val="21"/>
                      <w:szCs w:val="21"/>
                      <w:lang w:val="zh-TW" w:eastAsia="zh-TW"/>
                    </w:rPr>
                    <w:t>28</w:t>
                  </w:r>
                </w:p>
              </w:tc>
              <w:tc>
                <w:tcPr>
                  <w:tcW w:w="464" w:type="pct"/>
                  <w:vMerge w:val="continue"/>
                  <w:vAlign w:val="center"/>
                </w:tcPr>
                <w:p w14:paraId="574A1F5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409" w:type="pct"/>
                  <w:vMerge w:val="continue"/>
                  <w:vAlign w:val="center"/>
                </w:tcPr>
                <w:p w14:paraId="6577909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3A3D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799F074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083" w:type="pct"/>
                  <w:vAlign w:val="center"/>
                </w:tcPr>
                <w:p w14:paraId="0A82667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10:31</w:t>
                  </w:r>
                </w:p>
              </w:tc>
              <w:tc>
                <w:tcPr>
                  <w:tcW w:w="1147" w:type="pct"/>
                  <w:vAlign w:val="center"/>
                </w:tcPr>
                <w:p w14:paraId="1E54AE6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14:39</w:t>
                  </w:r>
                </w:p>
              </w:tc>
              <w:tc>
                <w:tcPr>
                  <w:tcW w:w="1149" w:type="pct"/>
                  <w:vAlign w:val="center"/>
                </w:tcPr>
                <w:p w14:paraId="3C712F7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17:44</w:t>
                  </w:r>
                </w:p>
              </w:tc>
              <w:tc>
                <w:tcPr>
                  <w:tcW w:w="464" w:type="pct"/>
                  <w:vMerge w:val="continue"/>
                  <w:vAlign w:val="center"/>
                </w:tcPr>
                <w:p w14:paraId="4E96D01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409" w:type="pct"/>
                  <w:vMerge w:val="continue"/>
                  <w:vAlign w:val="center"/>
                </w:tcPr>
                <w:p w14:paraId="79D0E45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7E89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Merge w:val="continue"/>
                  <w:vAlign w:val="center"/>
                </w:tcPr>
                <w:p w14:paraId="6F1CB18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083" w:type="pct"/>
                  <w:vAlign w:val="center"/>
                </w:tcPr>
                <w:p w14:paraId="11D25D9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11-47</w:t>
                  </w:r>
                </w:p>
              </w:tc>
              <w:tc>
                <w:tcPr>
                  <w:tcW w:w="1147" w:type="pct"/>
                  <w:vAlign w:val="center"/>
                </w:tcPr>
                <w:p w14:paraId="6F2D4C1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DH20221102111-48</w:t>
                  </w:r>
                </w:p>
              </w:tc>
              <w:tc>
                <w:tcPr>
                  <w:tcW w:w="1149" w:type="pct"/>
                  <w:vAlign w:val="center"/>
                </w:tcPr>
                <w:p w14:paraId="1ECC41A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11-49</w:t>
                  </w:r>
                </w:p>
              </w:tc>
              <w:tc>
                <w:tcPr>
                  <w:tcW w:w="464" w:type="pct"/>
                  <w:vMerge w:val="continue"/>
                  <w:vAlign w:val="center"/>
                </w:tcPr>
                <w:p w14:paraId="0FFB369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409" w:type="pct"/>
                  <w:vMerge w:val="continue"/>
                  <w:vAlign w:val="center"/>
                </w:tcPr>
                <w:p w14:paraId="1E83012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746F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6" w:type="pct"/>
                  <w:vAlign w:val="center"/>
                </w:tcPr>
                <w:p w14:paraId="73D7A1E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pH </w:t>
                  </w:r>
                  <w:r>
                    <w:rPr>
                      <w:rFonts w:hint="default" w:ascii="Times New Roman" w:hAnsi="Times New Roman" w:eastAsia="宋体" w:cs="Times New Roman"/>
                      <w:color w:val="auto"/>
                      <w:sz w:val="21"/>
                      <w:szCs w:val="21"/>
                      <w:lang w:val="zh-TW" w:eastAsia="zh-TW"/>
                    </w:rPr>
                    <w:t>（无量纲）</w:t>
                  </w:r>
                </w:p>
              </w:tc>
              <w:tc>
                <w:tcPr>
                  <w:tcW w:w="1083" w:type="pct"/>
                  <w:vAlign w:val="center"/>
                </w:tcPr>
                <w:p w14:paraId="592D6FC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7.5</w:t>
                  </w:r>
                </w:p>
              </w:tc>
              <w:tc>
                <w:tcPr>
                  <w:tcW w:w="1147" w:type="pct"/>
                  <w:vAlign w:val="center"/>
                </w:tcPr>
                <w:p w14:paraId="6BD393E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7.3</w:t>
                  </w:r>
                </w:p>
              </w:tc>
              <w:tc>
                <w:tcPr>
                  <w:tcW w:w="1149" w:type="pct"/>
                  <w:vAlign w:val="center"/>
                </w:tcPr>
                <w:p w14:paraId="6F36627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7.2</w:t>
                  </w:r>
                </w:p>
              </w:tc>
              <w:tc>
                <w:tcPr>
                  <w:tcW w:w="464" w:type="pct"/>
                  <w:vAlign w:val="center"/>
                </w:tcPr>
                <w:p w14:paraId="5AB4E8F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409" w:type="pct"/>
                  <w:vAlign w:val="center"/>
                </w:tcPr>
                <w:p w14:paraId="5CC7388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bl>
          <w:p w14:paraId="144D3A8A">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 xml:space="preserve">3-10 </w:t>
            </w:r>
            <w:r>
              <w:rPr>
                <w:rFonts w:hint="default" w:ascii="Times New Roman" w:hAnsi="Times New Roman" w:cs="Times New Roman"/>
                <w:b/>
                <w:color w:val="auto"/>
                <w:szCs w:val="22"/>
                <w:lang w:val="zh-TW" w:eastAsia="zh-TW"/>
              </w:rPr>
              <w:t>排水井</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145"/>
              <w:gridCol w:w="2132"/>
              <w:gridCol w:w="2100"/>
              <w:gridCol w:w="900"/>
              <w:gridCol w:w="684"/>
            </w:tblGrid>
            <w:tr w14:paraId="0D84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C827BD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38B30949">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73E986E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761FFF5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3422" w:type="pct"/>
                  <w:gridSpan w:val="3"/>
                  <w:vAlign w:val="center"/>
                </w:tcPr>
                <w:p w14:paraId="6F0DA45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排水井</w:t>
                  </w:r>
                </w:p>
              </w:tc>
              <w:tc>
                <w:tcPr>
                  <w:tcW w:w="483" w:type="pct"/>
                  <w:vMerge w:val="restart"/>
                  <w:vAlign w:val="center"/>
                </w:tcPr>
                <w:p w14:paraId="7AC5546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367" w:type="pct"/>
                  <w:vMerge w:val="restart"/>
                  <w:vAlign w:val="center"/>
                </w:tcPr>
                <w:p w14:paraId="595C60E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5319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continue"/>
                  <w:vAlign w:val="center"/>
                </w:tcPr>
                <w:p w14:paraId="6376CBE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422" w:type="pct"/>
                  <w:gridSpan w:val="3"/>
                  <w:vAlign w:val="center"/>
                </w:tcPr>
                <w:p w14:paraId="6230208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2022. 11. </w:t>
                  </w:r>
                  <w:r>
                    <w:rPr>
                      <w:rFonts w:hint="default" w:ascii="Times New Roman" w:hAnsi="Times New Roman" w:eastAsia="宋体" w:cs="Times New Roman"/>
                      <w:color w:val="auto"/>
                      <w:sz w:val="21"/>
                      <w:szCs w:val="21"/>
                      <w:lang w:val="zh-TW" w:eastAsia="zh-TW"/>
                    </w:rPr>
                    <w:t>04</w:t>
                  </w:r>
                </w:p>
              </w:tc>
              <w:tc>
                <w:tcPr>
                  <w:tcW w:w="483" w:type="pct"/>
                  <w:vMerge w:val="continue"/>
                  <w:vAlign w:val="center"/>
                </w:tcPr>
                <w:p w14:paraId="2FE0FA6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367" w:type="pct"/>
                  <w:vMerge w:val="continue"/>
                  <w:vAlign w:val="center"/>
                </w:tcPr>
                <w:p w14:paraId="4BB2842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276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continue"/>
                  <w:vAlign w:val="center"/>
                </w:tcPr>
                <w:p w14:paraId="77573FB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151" w:type="pct"/>
                  <w:vAlign w:val="center"/>
                </w:tcPr>
                <w:p w14:paraId="5756136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08:37</w:t>
                  </w:r>
                </w:p>
              </w:tc>
              <w:tc>
                <w:tcPr>
                  <w:tcW w:w="1144" w:type="pct"/>
                  <w:vAlign w:val="center"/>
                </w:tcPr>
                <w:p w14:paraId="7D3F9AD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12:44</w:t>
                  </w:r>
                </w:p>
              </w:tc>
              <w:tc>
                <w:tcPr>
                  <w:tcW w:w="1125" w:type="pct"/>
                  <w:vAlign w:val="center"/>
                </w:tcPr>
                <w:p w14:paraId="34A427E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TW" w:eastAsia="zh-TW"/>
                    </w:rPr>
                    <w:t>16:31</w:t>
                  </w:r>
                </w:p>
              </w:tc>
              <w:tc>
                <w:tcPr>
                  <w:tcW w:w="483" w:type="pct"/>
                  <w:vMerge w:val="continue"/>
                  <w:vAlign w:val="center"/>
                </w:tcPr>
                <w:p w14:paraId="5A37607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367" w:type="pct"/>
                  <w:vMerge w:val="continue"/>
                  <w:vAlign w:val="center"/>
                </w:tcPr>
                <w:p w14:paraId="3AE02FD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3ACD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26" w:type="pct"/>
                  <w:vMerge w:val="continue"/>
                  <w:vAlign w:val="center"/>
                </w:tcPr>
                <w:p w14:paraId="5462EB7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1151" w:type="pct"/>
                  <w:vAlign w:val="center"/>
                </w:tcPr>
                <w:p w14:paraId="50914F0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DH20221102111-01</w:t>
                  </w:r>
                </w:p>
              </w:tc>
              <w:tc>
                <w:tcPr>
                  <w:tcW w:w="1144" w:type="pct"/>
                  <w:vAlign w:val="center"/>
                </w:tcPr>
                <w:p w14:paraId="6ABE5B5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w:t>
                  </w:r>
                  <w:r>
                    <w:rPr>
                      <w:rFonts w:hint="default" w:ascii="Times New Roman" w:hAnsi="Times New Roman" w:eastAsia="宋体" w:cs="Times New Roman"/>
                      <w:color w:val="auto"/>
                      <w:sz w:val="21"/>
                      <w:szCs w:val="21"/>
                      <w:lang w:val="zh-TW" w:eastAsia="zh-TW"/>
                    </w:rPr>
                    <w:t>1021</w:t>
                  </w:r>
                  <w:r>
                    <w:rPr>
                      <w:rFonts w:hint="default" w:ascii="Times New Roman" w:hAnsi="Times New Roman" w:eastAsia="宋体" w:cs="Times New Roman"/>
                      <w:color w:val="auto"/>
                      <w:sz w:val="21"/>
                      <w:szCs w:val="21"/>
                      <w:lang w:val="en-US" w:eastAsia="en-US"/>
                    </w:rPr>
                    <w:t>11-02</w:t>
                  </w:r>
                </w:p>
              </w:tc>
              <w:tc>
                <w:tcPr>
                  <w:tcW w:w="1125" w:type="pct"/>
                  <w:vAlign w:val="center"/>
                </w:tcPr>
                <w:p w14:paraId="484F487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DH20221102111-03</w:t>
                  </w:r>
                </w:p>
              </w:tc>
              <w:tc>
                <w:tcPr>
                  <w:tcW w:w="483" w:type="pct"/>
                  <w:vMerge w:val="continue"/>
                  <w:vAlign w:val="center"/>
                </w:tcPr>
                <w:p w14:paraId="6B0D255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367" w:type="pct"/>
                  <w:vMerge w:val="continue"/>
                  <w:vAlign w:val="center"/>
                </w:tcPr>
                <w:p w14:paraId="403B319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316C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26" w:type="pct"/>
                  <w:vAlign w:val="center"/>
                </w:tcPr>
                <w:p w14:paraId="3A17CCC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 xml:space="preserve">pH </w:t>
                  </w:r>
                  <w:r>
                    <w:rPr>
                      <w:rFonts w:hint="default" w:ascii="Times New Roman" w:hAnsi="Times New Roman" w:eastAsia="宋体" w:cs="Times New Roman"/>
                      <w:color w:val="auto"/>
                      <w:sz w:val="21"/>
                      <w:szCs w:val="21"/>
                      <w:lang w:val="zh-TW" w:eastAsia="zh-TW"/>
                    </w:rPr>
                    <w:t>（无量纲）</w:t>
                  </w:r>
                </w:p>
              </w:tc>
              <w:tc>
                <w:tcPr>
                  <w:tcW w:w="1151" w:type="pct"/>
                  <w:vAlign w:val="center"/>
                </w:tcPr>
                <w:p w14:paraId="76E2C57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7.0</w:t>
                  </w:r>
                </w:p>
              </w:tc>
              <w:tc>
                <w:tcPr>
                  <w:tcW w:w="1144" w:type="pct"/>
                  <w:vAlign w:val="center"/>
                </w:tcPr>
                <w:p w14:paraId="029891F0">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7.3</w:t>
                  </w:r>
                </w:p>
              </w:tc>
              <w:tc>
                <w:tcPr>
                  <w:tcW w:w="1125" w:type="pct"/>
                  <w:vAlign w:val="center"/>
                </w:tcPr>
                <w:p w14:paraId="40E24D3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en-US"/>
                    </w:rPr>
                    <w:t>7.2</w:t>
                  </w:r>
                </w:p>
              </w:tc>
              <w:tc>
                <w:tcPr>
                  <w:tcW w:w="483" w:type="pct"/>
                  <w:vAlign w:val="center"/>
                </w:tcPr>
                <w:p w14:paraId="71F93B6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w:t>
                  </w:r>
                </w:p>
              </w:tc>
              <w:tc>
                <w:tcPr>
                  <w:tcW w:w="367" w:type="pct"/>
                  <w:vAlign w:val="center"/>
                </w:tcPr>
                <w:p w14:paraId="23EAB8D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69CE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Align w:val="center"/>
                </w:tcPr>
                <w:p w14:paraId="776D45B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zh-TW" w:eastAsia="zh-TW"/>
                    </w:rPr>
                    <w:t>挥发酚</w:t>
                  </w:r>
                </w:p>
              </w:tc>
              <w:tc>
                <w:tcPr>
                  <w:tcW w:w="1151" w:type="pct"/>
                  <w:vAlign w:val="center"/>
                </w:tcPr>
                <w:p w14:paraId="0CDB869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&lt;0.0003</w:t>
                  </w:r>
                </w:p>
              </w:tc>
              <w:tc>
                <w:tcPr>
                  <w:tcW w:w="1144" w:type="pct"/>
                  <w:vAlign w:val="center"/>
                </w:tcPr>
                <w:p w14:paraId="0759123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&lt;0.0003</w:t>
                  </w:r>
                </w:p>
              </w:tc>
              <w:tc>
                <w:tcPr>
                  <w:tcW w:w="1125" w:type="pct"/>
                  <w:vAlign w:val="center"/>
                </w:tcPr>
                <w:p w14:paraId="42CECC8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&lt;0.0003</w:t>
                  </w:r>
                </w:p>
              </w:tc>
              <w:tc>
                <w:tcPr>
                  <w:tcW w:w="483" w:type="pct"/>
                  <w:vAlign w:val="center"/>
                </w:tcPr>
                <w:p w14:paraId="6F326292">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0.005</w:t>
                  </w:r>
                </w:p>
              </w:tc>
              <w:tc>
                <w:tcPr>
                  <w:tcW w:w="367" w:type="pct"/>
                  <w:vAlign w:val="center"/>
                </w:tcPr>
                <w:p w14:paraId="666CC1C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822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Align w:val="center"/>
                </w:tcPr>
                <w:p w14:paraId="1B933CE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zh-CN"/>
                    </w:rPr>
                    <w:t>氰</w:t>
                  </w:r>
                  <w:r>
                    <w:rPr>
                      <w:rFonts w:hint="default" w:ascii="Times New Roman" w:hAnsi="Times New Roman" w:eastAsia="宋体" w:cs="Times New Roman"/>
                      <w:color w:val="auto"/>
                      <w:sz w:val="21"/>
                      <w:szCs w:val="21"/>
                      <w:lang w:val="zh-TW" w:eastAsia="zh-TW"/>
                    </w:rPr>
                    <w:t>化物</w:t>
                  </w:r>
                </w:p>
              </w:tc>
              <w:tc>
                <w:tcPr>
                  <w:tcW w:w="1151" w:type="pct"/>
                  <w:vAlign w:val="center"/>
                </w:tcPr>
                <w:p w14:paraId="6F0A2C1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&lt;0.004</w:t>
                  </w:r>
                </w:p>
              </w:tc>
              <w:tc>
                <w:tcPr>
                  <w:tcW w:w="1144" w:type="pct"/>
                  <w:vAlign w:val="center"/>
                </w:tcPr>
                <w:p w14:paraId="428016BD">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&lt;0.004</w:t>
                  </w:r>
                </w:p>
              </w:tc>
              <w:tc>
                <w:tcPr>
                  <w:tcW w:w="1125" w:type="pct"/>
                  <w:vAlign w:val="center"/>
                </w:tcPr>
                <w:p w14:paraId="53D2EA1A">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&lt;0.004</w:t>
                  </w:r>
                </w:p>
              </w:tc>
              <w:tc>
                <w:tcPr>
                  <w:tcW w:w="483" w:type="pct"/>
                  <w:vAlign w:val="center"/>
                </w:tcPr>
                <w:p w14:paraId="71AC29F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p>
              </w:tc>
              <w:tc>
                <w:tcPr>
                  <w:tcW w:w="367" w:type="pct"/>
                  <w:vAlign w:val="center"/>
                </w:tcPr>
                <w:p w14:paraId="2032AC6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7BDA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26" w:type="pct"/>
                  <w:vAlign w:val="center"/>
                </w:tcPr>
                <w:p w14:paraId="37BA044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zh-TW" w:eastAsia="zh-TW"/>
                    </w:rPr>
                    <w:t>粪大肠菌</w:t>
                  </w:r>
                  <w:r>
                    <w:rPr>
                      <w:rFonts w:hint="default" w:ascii="Times New Roman" w:hAnsi="Times New Roman" w:eastAsia="宋体" w:cs="Times New Roman"/>
                      <w:color w:val="auto"/>
                      <w:sz w:val="21"/>
                      <w:szCs w:val="21"/>
                      <w:lang w:val="en-US" w:eastAsia="en-US"/>
                    </w:rPr>
                    <w:t>（MPN/L）</w:t>
                  </w:r>
                </w:p>
              </w:tc>
              <w:tc>
                <w:tcPr>
                  <w:tcW w:w="1151" w:type="pct"/>
                  <w:vAlign w:val="center"/>
                </w:tcPr>
                <w:p w14:paraId="63E9228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1.2x10</w:t>
                  </w:r>
                  <w:r>
                    <w:rPr>
                      <w:rFonts w:hint="default" w:ascii="Times New Roman" w:hAnsi="Times New Roman" w:eastAsia="宋体" w:cs="Times New Roman"/>
                      <w:color w:val="auto"/>
                      <w:sz w:val="21"/>
                      <w:szCs w:val="21"/>
                      <w:vertAlign w:val="superscript"/>
                      <w:lang w:val="en-US" w:eastAsia="en-US"/>
                    </w:rPr>
                    <w:t>2</w:t>
                  </w:r>
                </w:p>
              </w:tc>
              <w:tc>
                <w:tcPr>
                  <w:tcW w:w="1144" w:type="pct"/>
                  <w:vAlign w:val="center"/>
                </w:tcPr>
                <w:p w14:paraId="2CC39CE4">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zh-TW" w:eastAsia="zh-TW"/>
                    </w:rPr>
                    <w:t>60</w:t>
                  </w:r>
                </w:p>
              </w:tc>
              <w:tc>
                <w:tcPr>
                  <w:tcW w:w="1125" w:type="pct"/>
                  <w:vAlign w:val="center"/>
                </w:tcPr>
                <w:p w14:paraId="03C01CA3">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lang w:val="en-US" w:eastAsia="en-US"/>
                    </w:rPr>
                    <w:t>1.3x10</w:t>
                  </w:r>
                  <w:r>
                    <w:rPr>
                      <w:rFonts w:hint="default" w:ascii="Times New Roman" w:hAnsi="Times New Roman" w:eastAsia="宋体" w:cs="Times New Roman"/>
                      <w:color w:val="auto"/>
                      <w:sz w:val="21"/>
                      <w:szCs w:val="21"/>
                      <w:vertAlign w:val="superscript"/>
                      <w:lang w:val="en-US" w:eastAsia="en-US"/>
                    </w:rPr>
                    <w:t>2</w:t>
                  </w:r>
                </w:p>
              </w:tc>
              <w:tc>
                <w:tcPr>
                  <w:tcW w:w="483" w:type="pct"/>
                  <w:vAlign w:val="center"/>
                </w:tcPr>
                <w:p w14:paraId="160935F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w:t>
                  </w:r>
                </w:p>
              </w:tc>
              <w:tc>
                <w:tcPr>
                  <w:tcW w:w="367" w:type="pct"/>
                  <w:vAlign w:val="center"/>
                </w:tcPr>
                <w:p w14:paraId="77548DC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w:t>
                  </w:r>
                </w:p>
              </w:tc>
            </w:tr>
            <w:tr w14:paraId="2BF1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B76917F">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p w14:paraId="5DBE4CF6">
                  <w:pPr>
                    <w:pStyle w:val="74"/>
                    <w:keepNext w:val="0"/>
                    <w:keepLines w:val="0"/>
                    <w:suppressLineNumbers w:val="0"/>
                    <w:spacing w:before="0" w:beforeAutospacing="0" w:after="0" w:afterAutospacing="0"/>
                    <w:ind w:left="0" w:right="0" w:firstLine="0" w:firstLineChars="0"/>
                    <w:jc w:val="center"/>
                    <mc:AlternateContent>
                      <mc:Choice Requires="wpsCustomData">
                        <wpsCustomData:diagonalParaType/>
                      </mc:Choice>
                    </mc:AlternateConten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检测项目</w:t>
                  </w:r>
                </w:p>
                <w:p w14:paraId="21627F5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点位/时间/</w:t>
                  </w:r>
                </w:p>
                <w:p w14:paraId="51C2597B">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3422" w:type="pct"/>
                  <w:gridSpan w:val="3"/>
                  <w:vAlign w:val="center"/>
                </w:tcPr>
                <w:p w14:paraId="37F7161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pacing w:val="0"/>
                      <w:w w:val="100"/>
                      <w:position w:val="0"/>
                      <w:lang w:val="zh-TW" w:eastAsia="zh-TW" w:bidi="zh-TW"/>
                    </w:rPr>
                    <w:t>排水井</w:t>
                  </w:r>
                </w:p>
              </w:tc>
              <w:tc>
                <w:tcPr>
                  <w:tcW w:w="483" w:type="pct"/>
                  <w:vMerge w:val="restart"/>
                  <w:vAlign w:val="center"/>
                </w:tcPr>
                <w:p w14:paraId="2DC1C98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标准限值</w:t>
                  </w:r>
                </w:p>
              </w:tc>
              <w:tc>
                <w:tcPr>
                  <w:tcW w:w="367" w:type="pct"/>
                  <w:vMerge w:val="restart"/>
                  <w:vAlign w:val="center"/>
                </w:tcPr>
                <w:p w14:paraId="5C9DE53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达标情况</w:t>
                  </w:r>
                </w:p>
              </w:tc>
            </w:tr>
            <w:tr w14:paraId="144B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continue"/>
                  <w:vAlign w:val="center"/>
                </w:tcPr>
                <w:p w14:paraId="24939259">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422" w:type="pct"/>
                  <w:gridSpan w:val="3"/>
                  <w:vAlign w:val="center"/>
                </w:tcPr>
                <w:p w14:paraId="74B7839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pacing w:val="0"/>
                      <w:w w:val="100"/>
                      <w:position w:val="0"/>
                      <w:lang w:val="en-US" w:eastAsia="en-US" w:bidi="en-US"/>
                    </w:rPr>
                    <w:t xml:space="preserve">2022. 11. </w:t>
                  </w:r>
                  <w:r>
                    <w:rPr>
                      <w:rFonts w:hint="default" w:ascii="Times New Roman" w:hAnsi="Times New Roman" w:cs="Times New Roman"/>
                      <w:color w:val="000000"/>
                      <w:spacing w:val="0"/>
                      <w:w w:val="100"/>
                      <w:position w:val="0"/>
                      <w:lang w:val="zh-TW" w:eastAsia="zh-TW" w:bidi="zh-TW"/>
                    </w:rPr>
                    <w:t>12</w:t>
                  </w:r>
                </w:p>
              </w:tc>
              <w:tc>
                <w:tcPr>
                  <w:tcW w:w="483" w:type="pct"/>
                  <w:vMerge w:val="continue"/>
                  <w:vAlign w:val="center"/>
                </w:tcPr>
                <w:p w14:paraId="2E7E43D5">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367" w:type="pct"/>
                  <w:vMerge w:val="continue"/>
                  <w:vAlign w:val="center"/>
                </w:tcPr>
                <w:p w14:paraId="73116417">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617C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continue"/>
                  <w:vAlign w:val="center"/>
                </w:tcPr>
                <w:p w14:paraId="108947EE">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422" w:type="pct"/>
                  <w:gridSpan w:val="3"/>
                  <w:vAlign w:val="center"/>
                </w:tcPr>
                <w:p w14:paraId="19288CA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pacing w:val="0"/>
                      <w:w w:val="100"/>
                      <w:position w:val="0"/>
                      <w:lang w:val="zh-TW" w:eastAsia="zh-TW" w:bidi="zh-TW"/>
                    </w:rPr>
                    <w:t>17:58 （混合样品）</w:t>
                  </w:r>
                </w:p>
              </w:tc>
              <w:tc>
                <w:tcPr>
                  <w:tcW w:w="483" w:type="pct"/>
                  <w:vMerge w:val="continue"/>
                  <w:vAlign w:val="center"/>
                </w:tcPr>
                <w:p w14:paraId="76180ECC">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c>
                <w:tcPr>
                  <w:tcW w:w="367" w:type="pct"/>
                  <w:vMerge w:val="continue"/>
                  <w:vAlign w:val="center"/>
                </w:tcPr>
                <w:p w14:paraId="648C0346">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zh-TW" w:eastAsia="zh-TW"/>
                    </w:rPr>
                  </w:pPr>
                </w:p>
              </w:tc>
            </w:tr>
            <w:tr w14:paraId="1767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26" w:type="pct"/>
                  <w:vMerge w:val="continue"/>
                  <w:vAlign w:val="center"/>
                </w:tcPr>
                <w:p w14:paraId="77218871">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zh-CN"/>
                    </w:rPr>
                  </w:pPr>
                </w:p>
              </w:tc>
              <w:tc>
                <w:tcPr>
                  <w:tcW w:w="3422" w:type="pct"/>
                  <w:gridSpan w:val="3"/>
                  <w:vAlign w:val="center"/>
                </w:tcPr>
                <w:p w14:paraId="5181AC4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spacing w:val="0"/>
                      <w:w w:val="100"/>
                      <w:position w:val="0"/>
                      <w:lang w:val="en-US" w:eastAsia="en-US" w:bidi="en-US"/>
                    </w:rPr>
                    <w:t>DH20221102111-27</w:t>
                  </w:r>
                </w:p>
              </w:tc>
              <w:tc>
                <w:tcPr>
                  <w:tcW w:w="483" w:type="pct"/>
                  <w:vMerge w:val="continue"/>
                  <w:vAlign w:val="center"/>
                </w:tcPr>
                <w:p w14:paraId="487442A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c>
                <w:tcPr>
                  <w:tcW w:w="367" w:type="pct"/>
                  <w:vMerge w:val="continue"/>
                  <w:vAlign w:val="center"/>
                </w:tcPr>
                <w:p w14:paraId="469C5E68">
                  <w:pPr>
                    <w:pStyle w:val="74"/>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 w:val="21"/>
                      <w:szCs w:val="21"/>
                      <w:lang w:val="en-US" w:eastAsia="en-US"/>
                    </w:rPr>
                  </w:pPr>
                </w:p>
              </w:tc>
            </w:tr>
            <w:tr w14:paraId="732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4C1D332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总硬度</w:t>
                  </w:r>
                </w:p>
              </w:tc>
              <w:tc>
                <w:tcPr>
                  <w:tcW w:w="3422" w:type="pct"/>
                  <w:gridSpan w:val="3"/>
                  <w:vAlign w:val="center"/>
                </w:tcPr>
                <w:p w14:paraId="6C9D1BA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48.3</w:t>
                  </w:r>
                </w:p>
              </w:tc>
              <w:tc>
                <w:tcPr>
                  <w:tcW w:w="483" w:type="pct"/>
                  <w:vAlign w:val="center"/>
                </w:tcPr>
                <w:p w14:paraId="768BA43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450</w:t>
                  </w:r>
                </w:p>
              </w:tc>
              <w:tc>
                <w:tcPr>
                  <w:tcW w:w="367" w:type="pct"/>
                  <w:vAlign w:val="center"/>
                </w:tcPr>
                <w:p w14:paraId="7045C54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148B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726" w:type="pct"/>
                  <w:vAlign w:val="center"/>
                </w:tcPr>
                <w:p w14:paraId="64F2EC2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溶解性总固体</w:t>
                  </w:r>
                </w:p>
              </w:tc>
              <w:tc>
                <w:tcPr>
                  <w:tcW w:w="3422" w:type="pct"/>
                  <w:gridSpan w:val="3"/>
                  <w:vAlign w:val="center"/>
                </w:tcPr>
                <w:p w14:paraId="1D10BDB3">
                  <w:pPr>
                    <w:pStyle w:val="76"/>
                    <w:keepNext w:val="0"/>
                    <w:keepLines w:val="0"/>
                    <w:widowControl w:val="0"/>
                    <w:shd w:val="clear" w:color="auto" w:fill="auto"/>
                    <w:bidi w:val="0"/>
                    <w:spacing w:before="0" w:after="0" w:line="240" w:lineRule="auto"/>
                    <w:ind w:leftChars="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zh-TW" w:eastAsia="zh-TW" w:bidi="en-US"/>
                    </w:rPr>
                    <w:t>85</w:t>
                  </w:r>
                </w:p>
              </w:tc>
              <w:tc>
                <w:tcPr>
                  <w:tcW w:w="483" w:type="pct"/>
                  <w:vAlign w:val="center"/>
                </w:tcPr>
                <w:p w14:paraId="0276513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1000</w:t>
                  </w:r>
                </w:p>
              </w:tc>
              <w:tc>
                <w:tcPr>
                  <w:tcW w:w="367" w:type="pct"/>
                  <w:vAlign w:val="center"/>
                </w:tcPr>
                <w:p w14:paraId="21EA52BE">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6544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pct"/>
                  <w:vAlign w:val="center"/>
                </w:tcPr>
                <w:p w14:paraId="57AACC8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高</w:t>
                  </w:r>
                  <w:r>
                    <w:rPr>
                      <w:rFonts w:hint="default" w:ascii="Times New Roman" w:hAnsi="Times New Roman" w:eastAsia="宋体" w:cs="Times New Roman"/>
                      <w:color w:val="000000"/>
                      <w:spacing w:val="0"/>
                      <w:w w:val="100"/>
                      <w:position w:val="0"/>
                      <w:lang w:val="en-US" w:eastAsia="zh-CN" w:bidi="en-US"/>
                    </w:rPr>
                    <w:t>锰</w:t>
                  </w:r>
                  <w:r>
                    <w:rPr>
                      <w:rFonts w:hint="default" w:ascii="Times New Roman" w:hAnsi="Times New Roman" w:eastAsia="宋体" w:cs="Times New Roman"/>
                      <w:color w:val="000000"/>
                      <w:spacing w:val="0"/>
                      <w:w w:val="100"/>
                      <w:position w:val="0"/>
                      <w:lang w:val="zh-TW" w:eastAsia="zh-TW" w:bidi="en-US"/>
                    </w:rPr>
                    <w:t>酸盐指数</w:t>
                  </w:r>
                </w:p>
              </w:tc>
              <w:tc>
                <w:tcPr>
                  <w:tcW w:w="3422" w:type="pct"/>
                  <w:gridSpan w:val="3"/>
                  <w:vAlign w:val="center"/>
                </w:tcPr>
                <w:p w14:paraId="7C83C04B">
                  <w:pPr>
                    <w:pStyle w:val="76"/>
                    <w:keepNext w:val="0"/>
                    <w:keepLines w:val="0"/>
                    <w:widowControl w:val="0"/>
                    <w:shd w:val="clear" w:color="auto" w:fill="auto"/>
                    <w:bidi w:val="0"/>
                    <w:spacing w:before="0" w:after="0" w:line="240" w:lineRule="auto"/>
                    <w:ind w:leftChars="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2.4</w:t>
                  </w:r>
                </w:p>
              </w:tc>
              <w:tc>
                <w:tcPr>
                  <w:tcW w:w="483" w:type="pct"/>
                  <w:vAlign w:val="center"/>
                </w:tcPr>
                <w:p w14:paraId="4B55D22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6</w:t>
                  </w:r>
                </w:p>
              </w:tc>
              <w:tc>
                <w:tcPr>
                  <w:tcW w:w="367" w:type="pct"/>
                  <w:vAlign w:val="center"/>
                </w:tcPr>
                <w:p w14:paraId="608A8969">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369B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0A6DB7D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硝酸盐</w:t>
                  </w:r>
                </w:p>
              </w:tc>
              <w:tc>
                <w:tcPr>
                  <w:tcW w:w="3422" w:type="pct"/>
                  <w:gridSpan w:val="3"/>
                  <w:vAlign w:val="center"/>
                </w:tcPr>
                <w:p w14:paraId="1101B88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0.94</w:t>
                  </w:r>
                </w:p>
              </w:tc>
              <w:tc>
                <w:tcPr>
                  <w:tcW w:w="483" w:type="pct"/>
                  <w:vAlign w:val="center"/>
                </w:tcPr>
                <w:p w14:paraId="7A42E5C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20</w:t>
                  </w:r>
                </w:p>
              </w:tc>
              <w:tc>
                <w:tcPr>
                  <w:tcW w:w="367" w:type="pct"/>
                  <w:vAlign w:val="center"/>
                </w:tcPr>
                <w:p w14:paraId="502F1C3F">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4BCF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25B2D50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亚硝酸盐</w:t>
                  </w:r>
                </w:p>
              </w:tc>
              <w:tc>
                <w:tcPr>
                  <w:tcW w:w="3422" w:type="pct"/>
                  <w:gridSpan w:val="3"/>
                  <w:vAlign w:val="center"/>
                </w:tcPr>
                <w:p w14:paraId="7C11CB5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&lt;0.003</w:t>
                  </w:r>
                </w:p>
              </w:tc>
              <w:tc>
                <w:tcPr>
                  <w:tcW w:w="483" w:type="pct"/>
                  <w:vAlign w:val="center"/>
                </w:tcPr>
                <w:p w14:paraId="60F9A56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w:t>
                  </w:r>
                </w:p>
              </w:tc>
              <w:tc>
                <w:tcPr>
                  <w:tcW w:w="367" w:type="pct"/>
                  <w:vAlign w:val="center"/>
                </w:tcPr>
                <w:p w14:paraId="23EC9EE6">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76FE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3B212C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氨氮</w:t>
                  </w:r>
                </w:p>
              </w:tc>
              <w:tc>
                <w:tcPr>
                  <w:tcW w:w="3422" w:type="pct"/>
                  <w:gridSpan w:val="3"/>
                  <w:vAlign w:val="center"/>
                </w:tcPr>
                <w:p w14:paraId="7B28E66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0.037</w:t>
                  </w:r>
                </w:p>
              </w:tc>
              <w:tc>
                <w:tcPr>
                  <w:tcW w:w="483" w:type="pct"/>
                  <w:vAlign w:val="center"/>
                </w:tcPr>
                <w:p w14:paraId="24F5F7A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w:t>
                  </w:r>
                </w:p>
              </w:tc>
              <w:tc>
                <w:tcPr>
                  <w:tcW w:w="367" w:type="pct"/>
                  <w:vAlign w:val="center"/>
                </w:tcPr>
                <w:p w14:paraId="44657E0E">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691C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3C03E7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硫酸盐</w:t>
                  </w:r>
                </w:p>
              </w:tc>
              <w:tc>
                <w:tcPr>
                  <w:tcW w:w="3422" w:type="pct"/>
                  <w:gridSpan w:val="3"/>
                  <w:vAlign w:val="center"/>
                </w:tcPr>
                <w:p w14:paraId="1C8D5D7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zh-TW" w:eastAsia="zh-TW" w:bidi="en-US"/>
                    </w:rPr>
                    <w:t>&lt;8</w:t>
                  </w:r>
                </w:p>
              </w:tc>
              <w:tc>
                <w:tcPr>
                  <w:tcW w:w="483" w:type="pct"/>
                  <w:vAlign w:val="center"/>
                </w:tcPr>
                <w:p w14:paraId="52BFE57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250</w:t>
                  </w:r>
                </w:p>
              </w:tc>
              <w:tc>
                <w:tcPr>
                  <w:tcW w:w="367" w:type="pct"/>
                  <w:vAlign w:val="center"/>
                </w:tcPr>
                <w:p w14:paraId="4B715C42">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6AE7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557C827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氯化物</w:t>
                  </w:r>
                </w:p>
              </w:tc>
              <w:tc>
                <w:tcPr>
                  <w:tcW w:w="3422" w:type="pct"/>
                  <w:gridSpan w:val="3"/>
                  <w:vAlign w:val="center"/>
                </w:tcPr>
                <w:p w14:paraId="42A748C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3.0</w:t>
                  </w:r>
                </w:p>
              </w:tc>
              <w:tc>
                <w:tcPr>
                  <w:tcW w:w="483" w:type="pct"/>
                  <w:vAlign w:val="center"/>
                </w:tcPr>
                <w:p w14:paraId="0B7F711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250</w:t>
                  </w:r>
                </w:p>
              </w:tc>
              <w:tc>
                <w:tcPr>
                  <w:tcW w:w="367" w:type="pct"/>
                  <w:vAlign w:val="center"/>
                </w:tcPr>
                <w:p w14:paraId="0207CF94">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184B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58CD32D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六价铭</w:t>
                  </w:r>
                </w:p>
              </w:tc>
              <w:tc>
                <w:tcPr>
                  <w:tcW w:w="3422" w:type="pct"/>
                  <w:gridSpan w:val="3"/>
                  <w:vAlign w:val="center"/>
                </w:tcPr>
                <w:p w14:paraId="47ADB32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&lt;0.004</w:t>
                  </w:r>
                </w:p>
              </w:tc>
              <w:tc>
                <w:tcPr>
                  <w:tcW w:w="483" w:type="pct"/>
                  <w:vAlign w:val="center"/>
                </w:tcPr>
                <w:p w14:paraId="16DC24D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0.05</w:t>
                  </w:r>
                </w:p>
              </w:tc>
              <w:tc>
                <w:tcPr>
                  <w:tcW w:w="367" w:type="pct"/>
                  <w:vAlign w:val="center"/>
                </w:tcPr>
                <w:p w14:paraId="5F87AADF">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12A4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6C03F19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氟化物</w:t>
                  </w:r>
                </w:p>
              </w:tc>
              <w:tc>
                <w:tcPr>
                  <w:tcW w:w="3422" w:type="pct"/>
                  <w:gridSpan w:val="3"/>
                  <w:vAlign w:val="center"/>
                </w:tcPr>
                <w:p w14:paraId="553FA5A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0.32</w:t>
                  </w:r>
                </w:p>
              </w:tc>
              <w:tc>
                <w:tcPr>
                  <w:tcW w:w="483" w:type="pct"/>
                  <w:vAlign w:val="center"/>
                </w:tcPr>
                <w:p w14:paraId="6125027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w:t>
                  </w:r>
                </w:p>
              </w:tc>
              <w:tc>
                <w:tcPr>
                  <w:tcW w:w="367" w:type="pct"/>
                  <w:vAlign w:val="center"/>
                </w:tcPr>
                <w:p w14:paraId="2D5496D3">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6840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6B8D533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铜</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zh-CN" w:bidi="en-US"/>
                    </w:rPr>
                    <w:t>u</w:t>
                  </w:r>
                  <w:r>
                    <w:rPr>
                      <w:rFonts w:hint="default" w:ascii="Times New Roman" w:hAnsi="Times New Roman" w:eastAsia="宋体" w:cs="Times New Roman"/>
                      <w:color w:val="000000"/>
                      <w:spacing w:val="0"/>
                      <w:w w:val="100"/>
                      <w:position w:val="0"/>
                      <w:lang w:val="en-US" w:eastAsia="en-US" w:bidi="en-US"/>
                    </w:rPr>
                    <w:t>g/L</w:t>
                  </w:r>
                  <w:r>
                    <w:rPr>
                      <w:rFonts w:hint="default" w:ascii="Times New Roman" w:hAnsi="Times New Roman" w:eastAsia="宋体" w:cs="Times New Roman"/>
                      <w:color w:val="000000"/>
                      <w:spacing w:val="0"/>
                      <w:w w:val="100"/>
                      <w:position w:val="0"/>
                      <w:lang w:val="zh-TW" w:eastAsia="zh-CN" w:bidi="en-US"/>
                    </w:rPr>
                    <w:t>）</w:t>
                  </w:r>
                </w:p>
              </w:tc>
              <w:tc>
                <w:tcPr>
                  <w:tcW w:w="3422" w:type="pct"/>
                  <w:gridSpan w:val="3"/>
                  <w:vAlign w:val="center"/>
                </w:tcPr>
                <w:p w14:paraId="7D222F1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1.53</w:t>
                  </w:r>
                </w:p>
              </w:tc>
              <w:tc>
                <w:tcPr>
                  <w:tcW w:w="483" w:type="pct"/>
                  <w:vAlign w:val="center"/>
                </w:tcPr>
                <w:p w14:paraId="6874712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w:t>
                  </w:r>
                </w:p>
              </w:tc>
              <w:tc>
                <w:tcPr>
                  <w:tcW w:w="367" w:type="pct"/>
                  <w:vAlign w:val="center"/>
                </w:tcPr>
                <w:p w14:paraId="05F05CC2">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6913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6383DF5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锌</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zh-CN" w:bidi="en-US"/>
                    </w:rPr>
                    <w:t>u</w:t>
                  </w:r>
                  <w:r>
                    <w:rPr>
                      <w:rFonts w:hint="default" w:ascii="Times New Roman" w:hAnsi="Times New Roman" w:eastAsia="宋体" w:cs="Times New Roman"/>
                      <w:color w:val="000000"/>
                      <w:spacing w:val="0"/>
                      <w:w w:val="100"/>
                      <w:position w:val="0"/>
                      <w:lang w:val="en-US" w:eastAsia="en-US" w:bidi="en-US"/>
                    </w:rPr>
                    <w:t>g/L</w:t>
                  </w:r>
                  <w:r>
                    <w:rPr>
                      <w:rFonts w:hint="default" w:ascii="Times New Roman" w:hAnsi="Times New Roman" w:eastAsia="宋体" w:cs="Times New Roman"/>
                      <w:color w:val="000000"/>
                      <w:spacing w:val="0"/>
                      <w:w w:val="100"/>
                      <w:position w:val="0"/>
                      <w:lang w:val="zh-TW" w:eastAsia="zh-CN" w:bidi="en-US"/>
                    </w:rPr>
                    <w:t>）</w:t>
                  </w:r>
                </w:p>
              </w:tc>
              <w:tc>
                <w:tcPr>
                  <w:tcW w:w="3422" w:type="pct"/>
                  <w:gridSpan w:val="3"/>
                  <w:vAlign w:val="center"/>
                </w:tcPr>
                <w:p w14:paraId="046B41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15.9</w:t>
                  </w:r>
                </w:p>
              </w:tc>
              <w:tc>
                <w:tcPr>
                  <w:tcW w:w="483" w:type="pct"/>
                  <w:vAlign w:val="center"/>
                </w:tcPr>
                <w:p w14:paraId="05BAD44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w:t>
                  </w:r>
                </w:p>
              </w:tc>
              <w:tc>
                <w:tcPr>
                  <w:tcW w:w="367" w:type="pct"/>
                  <w:vAlign w:val="center"/>
                </w:tcPr>
                <w:p w14:paraId="21322226">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1F2A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669179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镉</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zh-CN" w:bidi="en-US"/>
                    </w:rPr>
                    <w:t>u</w:t>
                  </w:r>
                  <w:r>
                    <w:rPr>
                      <w:rFonts w:hint="default" w:ascii="Times New Roman" w:hAnsi="Times New Roman" w:eastAsia="宋体" w:cs="Times New Roman"/>
                      <w:color w:val="000000"/>
                      <w:spacing w:val="0"/>
                      <w:w w:val="100"/>
                      <w:position w:val="0"/>
                      <w:lang w:val="en-US" w:eastAsia="en-US" w:bidi="en-US"/>
                    </w:rPr>
                    <w:t>g/L</w:t>
                  </w:r>
                  <w:r>
                    <w:rPr>
                      <w:rFonts w:hint="default" w:ascii="Times New Roman" w:hAnsi="Times New Roman" w:eastAsia="宋体" w:cs="Times New Roman"/>
                      <w:color w:val="000000"/>
                      <w:spacing w:val="0"/>
                      <w:w w:val="100"/>
                      <w:position w:val="0"/>
                      <w:lang w:val="zh-TW" w:eastAsia="zh-CN" w:bidi="en-US"/>
                    </w:rPr>
                    <w:t>）</w:t>
                  </w:r>
                </w:p>
              </w:tc>
              <w:tc>
                <w:tcPr>
                  <w:tcW w:w="3422" w:type="pct"/>
                  <w:gridSpan w:val="3"/>
                  <w:vAlign w:val="center"/>
                </w:tcPr>
                <w:p w14:paraId="40C2268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0.16</w:t>
                  </w:r>
                </w:p>
              </w:tc>
              <w:tc>
                <w:tcPr>
                  <w:tcW w:w="483" w:type="pct"/>
                  <w:vAlign w:val="center"/>
                </w:tcPr>
                <w:p w14:paraId="209D5D3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0.005</w:t>
                  </w:r>
                </w:p>
              </w:tc>
              <w:tc>
                <w:tcPr>
                  <w:tcW w:w="367" w:type="pct"/>
                  <w:vAlign w:val="center"/>
                </w:tcPr>
                <w:p w14:paraId="71014520">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557A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2555D32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铅</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zh-CN" w:bidi="en-US"/>
                    </w:rPr>
                    <w:t>u</w:t>
                  </w:r>
                  <w:r>
                    <w:rPr>
                      <w:rFonts w:hint="default" w:ascii="Times New Roman" w:hAnsi="Times New Roman" w:eastAsia="宋体" w:cs="Times New Roman"/>
                      <w:color w:val="000000"/>
                      <w:spacing w:val="0"/>
                      <w:w w:val="100"/>
                      <w:position w:val="0"/>
                      <w:lang w:val="en-US" w:eastAsia="en-US" w:bidi="en-US"/>
                    </w:rPr>
                    <w:t>g/L</w:t>
                  </w:r>
                  <w:r>
                    <w:rPr>
                      <w:rFonts w:hint="default" w:ascii="Times New Roman" w:hAnsi="Times New Roman" w:eastAsia="宋体" w:cs="Times New Roman"/>
                      <w:color w:val="000000"/>
                      <w:spacing w:val="0"/>
                      <w:w w:val="100"/>
                      <w:position w:val="0"/>
                      <w:lang w:val="zh-TW" w:eastAsia="zh-CN" w:bidi="en-US"/>
                    </w:rPr>
                    <w:t>）</w:t>
                  </w:r>
                </w:p>
              </w:tc>
              <w:tc>
                <w:tcPr>
                  <w:tcW w:w="3422" w:type="pct"/>
                  <w:gridSpan w:val="3"/>
                  <w:vAlign w:val="center"/>
                </w:tcPr>
                <w:p w14:paraId="5D6D8D0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1.40</w:t>
                  </w:r>
                </w:p>
              </w:tc>
              <w:tc>
                <w:tcPr>
                  <w:tcW w:w="483" w:type="pct"/>
                  <w:vAlign w:val="center"/>
                </w:tcPr>
                <w:p w14:paraId="138762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0.05</w:t>
                  </w:r>
                </w:p>
              </w:tc>
              <w:tc>
                <w:tcPr>
                  <w:tcW w:w="367" w:type="pct"/>
                  <w:vAlign w:val="center"/>
                </w:tcPr>
                <w:p w14:paraId="284D41E4">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2569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216CEAA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铁</w:t>
                  </w:r>
                </w:p>
              </w:tc>
              <w:tc>
                <w:tcPr>
                  <w:tcW w:w="3422" w:type="pct"/>
                  <w:gridSpan w:val="3"/>
                  <w:vAlign w:val="center"/>
                </w:tcPr>
                <w:p w14:paraId="6EA5A46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0.24</w:t>
                  </w:r>
                </w:p>
              </w:tc>
              <w:tc>
                <w:tcPr>
                  <w:tcW w:w="483" w:type="pct"/>
                  <w:vAlign w:val="center"/>
                </w:tcPr>
                <w:p w14:paraId="0B01562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0.3</w:t>
                  </w:r>
                </w:p>
              </w:tc>
              <w:tc>
                <w:tcPr>
                  <w:tcW w:w="367" w:type="pct"/>
                  <w:vAlign w:val="center"/>
                </w:tcPr>
                <w:p w14:paraId="4B705F8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5890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18A7533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CN" w:bidi="en-US"/>
                    </w:rPr>
                  </w:pPr>
                  <w:r>
                    <w:rPr>
                      <w:rFonts w:hint="default" w:ascii="Times New Roman" w:hAnsi="Times New Roman" w:eastAsia="宋体" w:cs="Times New Roman"/>
                      <w:color w:val="000000"/>
                      <w:spacing w:val="0"/>
                      <w:w w:val="100"/>
                      <w:position w:val="0"/>
                      <w:lang w:val="en-US" w:eastAsia="zh-CN" w:bidi="en-US"/>
                    </w:rPr>
                    <w:t>锰</w:t>
                  </w:r>
                </w:p>
              </w:tc>
              <w:tc>
                <w:tcPr>
                  <w:tcW w:w="3422" w:type="pct"/>
                  <w:gridSpan w:val="3"/>
                  <w:vAlign w:val="center"/>
                </w:tcPr>
                <w:p w14:paraId="4463B00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0.14</w:t>
                  </w:r>
                </w:p>
              </w:tc>
              <w:tc>
                <w:tcPr>
                  <w:tcW w:w="483" w:type="pct"/>
                  <w:vAlign w:val="center"/>
                </w:tcPr>
                <w:p w14:paraId="27B7375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0.1</w:t>
                  </w:r>
                </w:p>
              </w:tc>
              <w:tc>
                <w:tcPr>
                  <w:tcW w:w="367" w:type="pct"/>
                  <w:vAlign w:val="center"/>
                </w:tcPr>
                <w:p w14:paraId="64A790C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超标</w:t>
                  </w:r>
                </w:p>
              </w:tc>
            </w:tr>
            <w:tr w14:paraId="044F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6" w:type="pct"/>
                  <w:vAlign w:val="center"/>
                </w:tcPr>
                <w:p w14:paraId="3D79592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砷</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zh-CN" w:bidi="en-US"/>
                    </w:rPr>
                    <w:t>u</w:t>
                  </w:r>
                  <w:r>
                    <w:rPr>
                      <w:rFonts w:hint="default" w:ascii="Times New Roman" w:hAnsi="Times New Roman" w:eastAsia="宋体" w:cs="Times New Roman"/>
                      <w:color w:val="000000"/>
                      <w:spacing w:val="0"/>
                      <w:w w:val="100"/>
                      <w:position w:val="0"/>
                      <w:lang w:val="en-US" w:eastAsia="en-US" w:bidi="en-US"/>
                    </w:rPr>
                    <w:t>g/L</w:t>
                  </w:r>
                  <w:r>
                    <w:rPr>
                      <w:rFonts w:hint="default" w:ascii="Times New Roman" w:hAnsi="Times New Roman" w:eastAsia="宋体" w:cs="Times New Roman"/>
                      <w:color w:val="000000"/>
                      <w:spacing w:val="0"/>
                      <w:w w:val="100"/>
                      <w:position w:val="0"/>
                      <w:lang w:val="zh-TW" w:eastAsia="zh-CN" w:bidi="en-US"/>
                    </w:rPr>
                    <w:t>）</w:t>
                  </w:r>
                </w:p>
              </w:tc>
              <w:tc>
                <w:tcPr>
                  <w:tcW w:w="3422" w:type="pct"/>
                  <w:gridSpan w:val="3"/>
                  <w:vAlign w:val="center"/>
                </w:tcPr>
                <w:p w14:paraId="01D7506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0.4</w:t>
                  </w:r>
                </w:p>
              </w:tc>
              <w:tc>
                <w:tcPr>
                  <w:tcW w:w="483" w:type="pct"/>
                  <w:vAlign w:val="center"/>
                </w:tcPr>
                <w:p w14:paraId="3618490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0.01</w:t>
                  </w:r>
                </w:p>
              </w:tc>
              <w:tc>
                <w:tcPr>
                  <w:tcW w:w="367" w:type="pct"/>
                  <w:vAlign w:val="center"/>
                </w:tcPr>
                <w:p w14:paraId="6B57AA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超标</w:t>
                  </w:r>
                </w:p>
              </w:tc>
            </w:tr>
            <w:tr w14:paraId="3E9E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726" w:type="pct"/>
                  <w:vAlign w:val="center"/>
                </w:tcPr>
                <w:p w14:paraId="006918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zh-TW" w:eastAsia="zh-TW" w:bidi="en-US"/>
                    </w:rPr>
                    <w:t>汞</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zh-CN" w:bidi="en-US"/>
                    </w:rPr>
                    <w:t>u</w:t>
                  </w:r>
                  <w:r>
                    <w:rPr>
                      <w:rFonts w:hint="default" w:ascii="Times New Roman" w:hAnsi="Times New Roman" w:eastAsia="宋体" w:cs="Times New Roman"/>
                      <w:color w:val="000000"/>
                      <w:spacing w:val="0"/>
                      <w:w w:val="100"/>
                      <w:position w:val="0"/>
                      <w:lang w:val="en-US" w:eastAsia="en-US" w:bidi="en-US"/>
                    </w:rPr>
                    <w:t>g/L</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w:t>
                  </w:r>
                </w:p>
              </w:tc>
              <w:tc>
                <w:tcPr>
                  <w:tcW w:w="3422" w:type="pct"/>
                  <w:gridSpan w:val="3"/>
                  <w:vAlign w:val="center"/>
                </w:tcPr>
                <w:p w14:paraId="4C0BEFF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en-US" w:bidi="en-US"/>
                    </w:rPr>
                    <w:t>&lt;0.04</w:t>
                  </w:r>
                </w:p>
              </w:tc>
              <w:tc>
                <w:tcPr>
                  <w:tcW w:w="483" w:type="pct"/>
                  <w:vAlign w:val="center"/>
                </w:tcPr>
                <w:p w14:paraId="47540D0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0.0001</w:t>
                  </w:r>
                </w:p>
              </w:tc>
              <w:tc>
                <w:tcPr>
                  <w:tcW w:w="367" w:type="pct"/>
                  <w:vAlign w:val="center"/>
                </w:tcPr>
                <w:p w14:paraId="259126B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bl>
          <w:p w14:paraId="4C42B069">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3-11 污染扩散井2#</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7"/>
              <w:tblW w:w="4999"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 w:type="dxa"/>
                <w:bottom w:w="0" w:type="dxa"/>
                <w:right w:w="10" w:type="dxa"/>
              </w:tblCellMar>
            </w:tblPr>
            <w:tblGrid>
              <w:gridCol w:w="2059"/>
              <w:gridCol w:w="1831"/>
              <w:gridCol w:w="1831"/>
              <w:gridCol w:w="1831"/>
              <w:gridCol w:w="902"/>
              <w:gridCol w:w="857"/>
            </w:tblGrid>
            <w:tr w14:paraId="0F9BBFF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60" w:hRule="atLeast"/>
              </w:trPr>
              <w:tc>
                <w:tcPr>
                  <w:tcW w:w="1105" w:type="pct"/>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50ACC36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p w14:paraId="0A77628A">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检测项目</w:t>
                  </w:r>
                </w:p>
                <w:p w14:paraId="710DBFA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点位/时间/</w:t>
                  </w:r>
                </w:p>
                <w:p w14:paraId="0F3147E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编号</w:t>
                  </w:r>
                </w:p>
              </w:tc>
              <w:tc>
                <w:tcPr>
                  <w:tcW w:w="2949" w:type="pct"/>
                  <w:gridSpan w:val="3"/>
                  <w:tcBorders>
                    <w:tl2br w:val="nil"/>
                    <w:tr2bl w:val="nil"/>
                  </w:tcBorders>
                  <w:shd w:val="clear" w:color="auto" w:fill="FFFFFF"/>
                  <w:vAlign w:val="center"/>
                </w:tcPr>
                <w:p w14:paraId="0C7962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污染扩散井2#</w:t>
                  </w:r>
                </w:p>
              </w:tc>
              <w:tc>
                <w:tcPr>
                  <w:tcW w:w="484" w:type="pct"/>
                  <w:vMerge w:val="restart"/>
                  <w:tcBorders>
                    <w:tl2br w:val="nil"/>
                    <w:tr2bl w:val="nil"/>
                  </w:tcBorders>
                  <w:shd w:val="clear" w:color="auto" w:fill="FFFFFF"/>
                  <w:vAlign w:val="center"/>
                </w:tcPr>
                <w:p w14:paraId="3525BB7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标准限值</w:t>
                  </w:r>
                </w:p>
              </w:tc>
              <w:tc>
                <w:tcPr>
                  <w:tcW w:w="460" w:type="pct"/>
                  <w:vMerge w:val="restart"/>
                  <w:tcBorders>
                    <w:tl2br w:val="nil"/>
                    <w:tr2bl w:val="nil"/>
                  </w:tcBorders>
                  <w:shd w:val="clear" w:color="auto" w:fill="FFFFFF"/>
                  <w:vAlign w:val="center"/>
                </w:tcPr>
                <w:p w14:paraId="734D713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达标情况</w:t>
                  </w:r>
                </w:p>
              </w:tc>
            </w:tr>
            <w:tr w14:paraId="2FA2505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vMerge w:val="continue"/>
                  <w:tcBorders>
                    <w:tl2br w:val="nil"/>
                    <w:tr2bl w:val="nil"/>
                  </w:tcBorders>
                  <w:shd w:val="clear" w:color="auto" w:fill="FFFFFF"/>
                  <w:vAlign w:val="center"/>
                </w:tcPr>
                <w:p w14:paraId="645BE66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2949" w:type="pct"/>
                  <w:gridSpan w:val="3"/>
                  <w:tcBorders>
                    <w:tl2br w:val="nil"/>
                    <w:tr2bl w:val="nil"/>
                  </w:tcBorders>
                  <w:shd w:val="clear" w:color="auto" w:fill="FFFFFF"/>
                  <w:vAlign w:val="center"/>
                </w:tcPr>
                <w:p w14:paraId="0ED9B6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2022. 11. </w:t>
                  </w:r>
                  <w:r>
                    <w:rPr>
                      <w:rFonts w:hint="default" w:ascii="Times New Roman" w:hAnsi="Times New Roman" w:eastAsia="宋体" w:cs="Times New Roman"/>
                      <w:color w:val="000000"/>
                      <w:spacing w:val="0"/>
                      <w:w w:val="100"/>
                      <w:position w:val="0"/>
                      <w:lang w:val="zh-TW" w:eastAsia="zh-TW" w:bidi="en-US"/>
                    </w:rPr>
                    <w:t>12</w:t>
                  </w:r>
                </w:p>
              </w:tc>
              <w:tc>
                <w:tcPr>
                  <w:tcW w:w="484" w:type="pct"/>
                  <w:vMerge w:val="continue"/>
                  <w:tcBorders>
                    <w:tl2br w:val="nil"/>
                    <w:tr2bl w:val="nil"/>
                  </w:tcBorders>
                  <w:shd w:val="clear" w:color="auto" w:fill="FFFFFF"/>
                  <w:vAlign w:val="center"/>
                </w:tcPr>
                <w:p w14:paraId="2662F74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460" w:type="pct"/>
                  <w:vMerge w:val="continue"/>
                  <w:tcBorders>
                    <w:tl2br w:val="nil"/>
                    <w:tr2bl w:val="nil"/>
                  </w:tcBorders>
                  <w:shd w:val="clear" w:color="auto" w:fill="FFFFFF"/>
                  <w:vAlign w:val="center"/>
                </w:tcPr>
                <w:p w14:paraId="6686A33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54D9308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vMerge w:val="continue"/>
                  <w:tcBorders>
                    <w:tl2br w:val="nil"/>
                    <w:tr2bl w:val="nil"/>
                  </w:tcBorders>
                  <w:shd w:val="clear" w:color="auto" w:fill="FFFFFF"/>
                  <w:vAlign w:val="center"/>
                </w:tcPr>
                <w:p w14:paraId="2CF5DC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983" w:type="pct"/>
                  <w:tcBorders>
                    <w:tl2br w:val="nil"/>
                    <w:tr2bl w:val="nil"/>
                  </w:tcBorders>
                  <w:shd w:val="clear" w:color="auto" w:fill="FFFFFF"/>
                  <w:vAlign w:val="center"/>
                </w:tcPr>
                <w:p w14:paraId="5241B99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09:13</w:t>
                  </w:r>
                </w:p>
              </w:tc>
              <w:tc>
                <w:tcPr>
                  <w:tcW w:w="983" w:type="pct"/>
                  <w:tcBorders>
                    <w:tl2br w:val="nil"/>
                    <w:tr2bl w:val="nil"/>
                  </w:tcBorders>
                  <w:shd w:val="clear" w:color="auto" w:fill="FFFFFF"/>
                  <w:vAlign w:val="center"/>
                </w:tcPr>
                <w:p w14:paraId="483AD51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12:52</w:t>
                  </w:r>
                </w:p>
              </w:tc>
              <w:tc>
                <w:tcPr>
                  <w:tcW w:w="983" w:type="pct"/>
                  <w:tcBorders>
                    <w:tl2br w:val="nil"/>
                    <w:tr2bl w:val="nil"/>
                  </w:tcBorders>
                  <w:shd w:val="clear" w:color="auto" w:fill="FFFFFF"/>
                  <w:vAlign w:val="center"/>
                </w:tcPr>
                <w:p w14:paraId="45EA834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16:11</w:t>
                  </w:r>
                </w:p>
              </w:tc>
              <w:tc>
                <w:tcPr>
                  <w:tcW w:w="484" w:type="pct"/>
                  <w:vMerge w:val="continue"/>
                  <w:tcBorders>
                    <w:tl2br w:val="nil"/>
                    <w:tr2bl w:val="nil"/>
                  </w:tcBorders>
                  <w:shd w:val="clear" w:color="auto" w:fill="FFFFFF"/>
                  <w:vAlign w:val="center"/>
                </w:tcPr>
                <w:p w14:paraId="551CB30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c>
                <w:tcPr>
                  <w:tcW w:w="460" w:type="pct"/>
                  <w:vMerge w:val="continue"/>
                  <w:tcBorders>
                    <w:tl2br w:val="nil"/>
                    <w:tr2bl w:val="nil"/>
                  </w:tcBorders>
                  <w:shd w:val="clear" w:color="auto" w:fill="FFFFFF"/>
                  <w:vAlign w:val="center"/>
                </w:tcPr>
                <w:p w14:paraId="5DA95E5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r>
            <w:tr w14:paraId="5EE8609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8" w:hRule="exact"/>
              </w:trPr>
              <w:tc>
                <w:tcPr>
                  <w:tcW w:w="1105" w:type="pct"/>
                  <w:vMerge w:val="continue"/>
                  <w:tcBorders>
                    <w:tl2br w:val="nil"/>
                    <w:tr2bl w:val="nil"/>
                  </w:tcBorders>
                  <w:shd w:val="clear" w:color="auto" w:fill="FFFFFF"/>
                  <w:vAlign w:val="center"/>
                </w:tcPr>
                <w:p w14:paraId="2F3426C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983" w:type="pct"/>
                  <w:tcBorders>
                    <w:tl2br w:val="nil"/>
                    <w:tr2bl w:val="nil"/>
                  </w:tcBorders>
                  <w:shd w:val="clear" w:color="auto" w:fill="FFFFFF"/>
                  <w:vAlign w:val="center"/>
                </w:tcPr>
                <w:p w14:paraId="4413384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11-04</w:t>
                  </w:r>
                </w:p>
              </w:tc>
              <w:tc>
                <w:tcPr>
                  <w:tcW w:w="983" w:type="pct"/>
                  <w:tcBorders>
                    <w:tl2br w:val="nil"/>
                    <w:tr2bl w:val="nil"/>
                  </w:tcBorders>
                  <w:shd w:val="clear" w:color="auto" w:fill="FFFFFF"/>
                  <w:vAlign w:val="center"/>
                </w:tcPr>
                <w:p w14:paraId="37222B7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11-05</w:t>
                  </w:r>
                </w:p>
              </w:tc>
              <w:tc>
                <w:tcPr>
                  <w:tcW w:w="983" w:type="pct"/>
                  <w:tcBorders>
                    <w:tl2br w:val="nil"/>
                    <w:tr2bl w:val="nil"/>
                  </w:tcBorders>
                  <w:shd w:val="clear" w:color="auto" w:fill="FFFFFF"/>
                  <w:vAlign w:val="center"/>
                </w:tcPr>
                <w:p w14:paraId="3D767AD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11-06</w:t>
                  </w:r>
                </w:p>
              </w:tc>
              <w:tc>
                <w:tcPr>
                  <w:tcW w:w="484" w:type="pct"/>
                  <w:vMerge w:val="continue"/>
                  <w:tcBorders>
                    <w:tl2br w:val="nil"/>
                    <w:tr2bl w:val="nil"/>
                  </w:tcBorders>
                  <w:shd w:val="clear" w:color="auto" w:fill="FFFFFF"/>
                  <w:vAlign w:val="center"/>
                </w:tcPr>
                <w:p w14:paraId="3545249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460" w:type="pct"/>
                  <w:vMerge w:val="continue"/>
                  <w:tcBorders>
                    <w:tl2br w:val="nil"/>
                    <w:tr2bl w:val="nil"/>
                  </w:tcBorders>
                  <w:shd w:val="clear" w:color="auto" w:fill="FFFFFF"/>
                  <w:vAlign w:val="center"/>
                </w:tcPr>
                <w:p w14:paraId="31AF03E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5C6A83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tcBorders>
                    <w:tl2br w:val="nil"/>
                    <w:tr2bl w:val="nil"/>
                  </w:tcBorders>
                  <w:shd w:val="clear" w:color="auto" w:fill="FFFFFF"/>
                  <w:vAlign w:val="center"/>
                </w:tcPr>
                <w:p w14:paraId="46E2730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pH </w:t>
                  </w:r>
                  <w:r>
                    <w:rPr>
                      <w:rFonts w:hint="default" w:ascii="Times New Roman" w:hAnsi="Times New Roman" w:eastAsia="宋体" w:cs="Times New Roman"/>
                      <w:color w:val="000000"/>
                      <w:spacing w:val="0"/>
                      <w:w w:val="100"/>
                      <w:position w:val="0"/>
                      <w:lang w:val="zh-TW" w:eastAsia="zh-TW" w:bidi="en-US"/>
                    </w:rPr>
                    <w:t>（无量纲）</w:t>
                  </w:r>
                </w:p>
              </w:tc>
              <w:tc>
                <w:tcPr>
                  <w:tcW w:w="983" w:type="pct"/>
                  <w:tcBorders>
                    <w:tl2br w:val="nil"/>
                    <w:tr2bl w:val="nil"/>
                  </w:tcBorders>
                  <w:shd w:val="clear" w:color="auto" w:fill="FFFFFF"/>
                  <w:vAlign w:val="center"/>
                </w:tcPr>
                <w:p w14:paraId="6FD81FC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7.0</w:t>
                  </w:r>
                </w:p>
              </w:tc>
              <w:tc>
                <w:tcPr>
                  <w:tcW w:w="983" w:type="pct"/>
                  <w:tcBorders>
                    <w:tl2br w:val="nil"/>
                    <w:tr2bl w:val="nil"/>
                  </w:tcBorders>
                  <w:shd w:val="clear" w:color="auto" w:fill="FFFFFF"/>
                  <w:vAlign w:val="center"/>
                </w:tcPr>
                <w:p w14:paraId="72DEFA2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7.2</w:t>
                  </w:r>
                </w:p>
              </w:tc>
              <w:tc>
                <w:tcPr>
                  <w:tcW w:w="983" w:type="pct"/>
                  <w:tcBorders>
                    <w:tl2br w:val="nil"/>
                    <w:tr2bl w:val="nil"/>
                  </w:tcBorders>
                  <w:shd w:val="clear" w:color="auto" w:fill="FFFFFF"/>
                  <w:vAlign w:val="center"/>
                </w:tcPr>
                <w:p w14:paraId="1D79F80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7.2</w:t>
                  </w:r>
                </w:p>
              </w:tc>
              <w:tc>
                <w:tcPr>
                  <w:tcW w:w="484" w:type="pct"/>
                  <w:tcBorders>
                    <w:tl2br w:val="nil"/>
                    <w:tr2bl w:val="nil"/>
                  </w:tcBorders>
                  <w:shd w:val="clear" w:color="auto" w:fill="FFFFFF"/>
                  <w:vAlign w:val="center"/>
                </w:tcPr>
                <w:p w14:paraId="34CAEA7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6-9</w:t>
                  </w:r>
                </w:p>
              </w:tc>
              <w:tc>
                <w:tcPr>
                  <w:tcW w:w="460" w:type="pct"/>
                  <w:tcBorders>
                    <w:tl2br w:val="nil"/>
                    <w:tr2bl w:val="nil"/>
                  </w:tcBorders>
                  <w:shd w:val="clear" w:color="auto" w:fill="FFFFFF"/>
                  <w:vAlign w:val="center"/>
                </w:tcPr>
                <w:p w14:paraId="20D53BC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0BB3339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4A641B8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挥发酚</w:t>
                  </w:r>
                </w:p>
              </w:tc>
              <w:tc>
                <w:tcPr>
                  <w:tcW w:w="983" w:type="pct"/>
                  <w:tcBorders>
                    <w:tl2br w:val="nil"/>
                    <w:tr2bl w:val="nil"/>
                  </w:tcBorders>
                  <w:shd w:val="clear" w:color="auto" w:fill="FFFFFF"/>
                  <w:vAlign w:val="center"/>
                </w:tcPr>
                <w:p w14:paraId="51F91F2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&lt;0.0003</w:t>
                  </w:r>
                </w:p>
              </w:tc>
              <w:tc>
                <w:tcPr>
                  <w:tcW w:w="983" w:type="pct"/>
                  <w:tcBorders>
                    <w:tl2br w:val="nil"/>
                    <w:tr2bl w:val="nil"/>
                  </w:tcBorders>
                  <w:shd w:val="clear" w:color="auto" w:fill="FFFFFF"/>
                  <w:vAlign w:val="center"/>
                </w:tcPr>
                <w:p w14:paraId="2D66197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&lt;0.0003</w:t>
                  </w:r>
                </w:p>
              </w:tc>
              <w:tc>
                <w:tcPr>
                  <w:tcW w:w="983" w:type="pct"/>
                  <w:tcBorders>
                    <w:tl2br w:val="nil"/>
                    <w:tr2bl w:val="nil"/>
                  </w:tcBorders>
                  <w:shd w:val="clear" w:color="auto" w:fill="FFFFFF"/>
                  <w:vAlign w:val="center"/>
                </w:tcPr>
                <w:p w14:paraId="1AAFCD6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0.0003</w:t>
                  </w:r>
                </w:p>
              </w:tc>
              <w:tc>
                <w:tcPr>
                  <w:tcW w:w="484" w:type="pct"/>
                  <w:tcBorders>
                    <w:tl2br w:val="nil"/>
                    <w:tr2bl w:val="nil"/>
                  </w:tcBorders>
                  <w:shd w:val="clear" w:color="auto" w:fill="FFFFFF"/>
                  <w:vAlign w:val="center"/>
                </w:tcPr>
                <w:p w14:paraId="4BAD64F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0.05</w:t>
                  </w:r>
                </w:p>
              </w:tc>
              <w:tc>
                <w:tcPr>
                  <w:tcW w:w="460" w:type="pct"/>
                  <w:tcBorders>
                    <w:tl2br w:val="nil"/>
                    <w:tr2bl w:val="nil"/>
                  </w:tcBorders>
                  <w:shd w:val="clear" w:color="auto" w:fill="FFFFFF"/>
                  <w:vAlign w:val="center"/>
                </w:tcPr>
                <w:p w14:paraId="014BEE7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70AD630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7" w:hRule="exact"/>
              </w:trPr>
              <w:tc>
                <w:tcPr>
                  <w:tcW w:w="1105" w:type="pct"/>
                  <w:tcBorders>
                    <w:tl2br w:val="nil"/>
                    <w:tr2bl w:val="nil"/>
                  </w:tcBorders>
                  <w:shd w:val="clear" w:color="auto" w:fill="FFFFFF"/>
                  <w:vAlign w:val="center"/>
                </w:tcPr>
                <w:p w14:paraId="7A00C02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氰</w:t>
                  </w:r>
                  <w:r>
                    <w:rPr>
                      <w:rFonts w:hint="default" w:ascii="Times New Roman" w:hAnsi="Times New Roman" w:eastAsia="宋体" w:cs="Times New Roman"/>
                      <w:color w:val="000000"/>
                      <w:spacing w:val="0"/>
                      <w:w w:val="100"/>
                      <w:position w:val="0"/>
                      <w:lang w:val="zh-TW" w:eastAsia="zh-TW" w:bidi="en-US"/>
                    </w:rPr>
                    <w:t>化物</w:t>
                  </w:r>
                </w:p>
              </w:tc>
              <w:tc>
                <w:tcPr>
                  <w:tcW w:w="983" w:type="pct"/>
                  <w:tcBorders>
                    <w:tl2br w:val="nil"/>
                    <w:tr2bl w:val="nil"/>
                  </w:tcBorders>
                  <w:shd w:val="clear" w:color="auto" w:fill="FFFFFF"/>
                  <w:vAlign w:val="center"/>
                </w:tcPr>
                <w:p w14:paraId="6F97D4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983" w:type="pct"/>
                  <w:tcBorders>
                    <w:tl2br w:val="nil"/>
                    <w:tr2bl w:val="nil"/>
                  </w:tcBorders>
                  <w:shd w:val="clear" w:color="auto" w:fill="FFFFFF"/>
                  <w:vAlign w:val="center"/>
                </w:tcPr>
                <w:p w14:paraId="41E39E4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983" w:type="pct"/>
                  <w:tcBorders>
                    <w:tl2br w:val="nil"/>
                    <w:tr2bl w:val="nil"/>
                  </w:tcBorders>
                  <w:shd w:val="clear" w:color="auto" w:fill="FFFFFF"/>
                  <w:vAlign w:val="center"/>
                </w:tcPr>
                <w:p w14:paraId="7AE5B84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0.004</w:t>
                  </w:r>
                </w:p>
              </w:tc>
              <w:tc>
                <w:tcPr>
                  <w:tcW w:w="484" w:type="pct"/>
                  <w:tcBorders>
                    <w:tl2br w:val="nil"/>
                    <w:tr2bl w:val="nil"/>
                  </w:tcBorders>
                  <w:shd w:val="clear" w:color="auto" w:fill="FFFFFF"/>
                  <w:vAlign w:val="center"/>
                </w:tcPr>
                <w:p w14:paraId="0599953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0.2</w:t>
                  </w:r>
                </w:p>
              </w:tc>
              <w:tc>
                <w:tcPr>
                  <w:tcW w:w="460" w:type="pct"/>
                  <w:tcBorders>
                    <w:tl2br w:val="nil"/>
                    <w:tr2bl w:val="nil"/>
                  </w:tcBorders>
                  <w:shd w:val="clear" w:color="auto" w:fill="FFFFFF"/>
                  <w:vAlign w:val="center"/>
                </w:tcPr>
                <w:p w14:paraId="17652E4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A2B091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035C010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粪大肠菌群</w:t>
                  </w:r>
                  <w:r>
                    <w:rPr>
                      <w:rFonts w:hint="default" w:ascii="Times New Roman" w:hAnsi="Times New Roman" w:eastAsia="宋体" w:cs="Times New Roman"/>
                      <w:color w:val="000000"/>
                      <w:spacing w:val="0"/>
                      <w:w w:val="100"/>
                      <w:position w:val="0"/>
                      <w:lang w:val="en-US" w:eastAsia="en-US" w:bidi="en-US"/>
                    </w:rPr>
                    <w:t>（MPN/L）</w:t>
                  </w:r>
                </w:p>
              </w:tc>
              <w:tc>
                <w:tcPr>
                  <w:tcW w:w="983" w:type="pct"/>
                  <w:tcBorders>
                    <w:tl2br w:val="nil"/>
                    <w:tr2bl w:val="nil"/>
                  </w:tcBorders>
                  <w:shd w:val="clear" w:color="auto" w:fill="FFFFFF"/>
                  <w:vAlign w:val="center"/>
                </w:tcPr>
                <w:p w14:paraId="5A51618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3.</w:t>
                  </w:r>
                  <w:r>
                    <w:rPr>
                      <w:rFonts w:hint="default" w:ascii="Times New Roman" w:hAnsi="Times New Roman" w:eastAsia="宋体" w:cs="Times New Roman"/>
                      <w:color w:val="000000"/>
                      <w:spacing w:val="0"/>
                      <w:w w:val="100"/>
                      <w:position w:val="0"/>
                      <w:lang w:val="en-US" w:eastAsia="zh-CN" w:bidi="en-US"/>
                    </w:rPr>
                    <w:t>1</w:t>
                  </w:r>
                  <w:r>
                    <w:rPr>
                      <w:rFonts w:hint="default" w:ascii="Times New Roman" w:hAnsi="Times New Roman" w:eastAsia="宋体" w:cs="Times New Roman"/>
                      <w:color w:val="000000"/>
                      <w:spacing w:val="0"/>
                      <w:w w:val="100"/>
                      <w:position w:val="0"/>
                      <w:lang w:val="en-US" w:eastAsia="en-US" w:bidi="en-US"/>
                    </w:rPr>
                    <w:t>02</w:t>
                  </w:r>
                </w:p>
              </w:tc>
              <w:tc>
                <w:tcPr>
                  <w:tcW w:w="983" w:type="pct"/>
                  <w:tcBorders>
                    <w:tl2br w:val="nil"/>
                    <w:tr2bl w:val="nil"/>
                  </w:tcBorders>
                  <w:shd w:val="clear" w:color="auto" w:fill="FFFFFF"/>
                  <w:vAlign w:val="center"/>
                </w:tcPr>
                <w:p w14:paraId="667CE54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4.0x102</w:t>
                  </w:r>
                </w:p>
              </w:tc>
              <w:tc>
                <w:tcPr>
                  <w:tcW w:w="983" w:type="pct"/>
                  <w:tcBorders>
                    <w:tl2br w:val="nil"/>
                    <w:tr2bl w:val="nil"/>
                  </w:tcBorders>
                  <w:shd w:val="clear" w:color="auto" w:fill="FFFFFF"/>
                  <w:vAlign w:val="center"/>
                </w:tcPr>
                <w:p w14:paraId="6AD8B01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3.3x1</w:t>
                  </w:r>
                  <w:r>
                    <w:rPr>
                      <w:rFonts w:hint="default" w:ascii="Times New Roman" w:hAnsi="Times New Roman" w:eastAsia="宋体" w:cs="Times New Roman"/>
                      <w:color w:val="000000"/>
                      <w:spacing w:val="0"/>
                      <w:w w:val="100"/>
                      <w:position w:val="0"/>
                      <w:lang w:val="zh-TW" w:eastAsia="zh-TW" w:bidi="en-US"/>
                    </w:rPr>
                    <w:t>02</w:t>
                  </w:r>
                </w:p>
              </w:tc>
              <w:tc>
                <w:tcPr>
                  <w:tcW w:w="484" w:type="pct"/>
                  <w:tcBorders>
                    <w:tl2br w:val="nil"/>
                    <w:tr2bl w:val="nil"/>
                  </w:tcBorders>
                  <w:shd w:val="clear" w:color="auto" w:fill="FFFFFF"/>
                  <w:vAlign w:val="center"/>
                </w:tcPr>
                <w:p w14:paraId="2C2D78D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10000</w:t>
                  </w:r>
                </w:p>
              </w:tc>
              <w:tc>
                <w:tcPr>
                  <w:tcW w:w="460" w:type="pct"/>
                  <w:tcBorders>
                    <w:tl2br w:val="nil"/>
                    <w:tr2bl w:val="nil"/>
                  </w:tcBorders>
                  <w:shd w:val="clear" w:color="auto" w:fill="FFFFFF"/>
                  <w:vAlign w:val="center"/>
                </w:tcPr>
                <w:p w14:paraId="573EEA6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ADAAE2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23DA62C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p w14:paraId="62A09B83">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检测项目</w:t>
                  </w:r>
                </w:p>
                <w:p w14:paraId="4EAAD36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点位/时间/</w:t>
                  </w:r>
                </w:p>
                <w:p w14:paraId="1D038C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编号</w:t>
                  </w:r>
                </w:p>
              </w:tc>
              <w:tc>
                <w:tcPr>
                  <w:tcW w:w="2949" w:type="pct"/>
                  <w:gridSpan w:val="3"/>
                  <w:tcBorders>
                    <w:tl2br w:val="nil"/>
                    <w:tr2bl w:val="nil"/>
                  </w:tcBorders>
                  <w:shd w:val="clear" w:color="auto" w:fill="FFFFFF"/>
                  <w:vAlign w:val="center"/>
                </w:tcPr>
                <w:p w14:paraId="08391FD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污染扩散井2#</w:t>
                  </w:r>
                </w:p>
              </w:tc>
              <w:tc>
                <w:tcPr>
                  <w:tcW w:w="484" w:type="pct"/>
                  <w:vMerge w:val="restart"/>
                  <w:tcBorders>
                    <w:tl2br w:val="nil"/>
                    <w:tr2bl w:val="nil"/>
                  </w:tcBorders>
                  <w:shd w:val="clear" w:color="auto" w:fill="FFFFFF"/>
                  <w:vAlign w:val="center"/>
                </w:tcPr>
                <w:p w14:paraId="0975A3B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标准限值</w:t>
                  </w:r>
                </w:p>
              </w:tc>
              <w:tc>
                <w:tcPr>
                  <w:tcW w:w="460" w:type="pct"/>
                  <w:vMerge w:val="restart"/>
                  <w:tcBorders>
                    <w:tl2br w:val="nil"/>
                    <w:tr2bl w:val="nil"/>
                  </w:tcBorders>
                  <w:shd w:val="clear" w:color="auto" w:fill="FFFFFF"/>
                  <w:vAlign w:val="center"/>
                </w:tcPr>
                <w:p w14:paraId="1894ADA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达标情况</w:t>
                  </w:r>
                </w:p>
              </w:tc>
            </w:tr>
            <w:tr w14:paraId="5AD2216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vMerge w:val="continue"/>
                  <w:tcBorders>
                    <w:tl2br w:val="nil"/>
                    <w:tr2bl w:val="nil"/>
                  </w:tcBorders>
                  <w:shd w:val="clear" w:color="auto" w:fill="FFFFFF"/>
                  <w:vAlign w:val="center"/>
                </w:tcPr>
                <w:p w14:paraId="60F85E6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2949" w:type="pct"/>
                  <w:gridSpan w:val="3"/>
                  <w:tcBorders>
                    <w:tl2br w:val="nil"/>
                    <w:tr2bl w:val="nil"/>
                  </w:tcBorders>
                  <w:shd w:val="clear" w:color="auto" w:fill="FFFFFF"/>
                  <w:vAlign w:val="center"/>
                </w:tcPr>
                <w:p w14:paraId="0BE1A89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2022. 11. </w:t>
                  </w:r>
                  <w:r>
                    <w:rPr>
                      <w:rFonts w:hint="default" w:ascii="Times New Roman" w:hAnsi="Times New Roman" w:eastAsia="宋体" w:cs="Times New Roman"/>
                      <w:color w:val="000000"/>
                      <w:spacing w:val="0"/>
                      <w:w w:val="100"/>
                      <w:position w:val="0"/>
                      <w:lang w:val="zh-TW" w:eastAsia="zh-TW" w:bidi="en-US"/>
                    </w:rPr>
                    <w:t>12</w:t>
                  </w:r>
                </w:p>
              </w:tc>
              <w:tc>
                <w:tcPr>
                  <w:tcW w:w="484" w:type="pct"/>
                  <w:vMerge w:val="continue"/>
                  <w:tcBorders>
                    <w:tl2br w:val="nil"/>
                    <w:tr2bl w:val="nil"/>
                  </w:tcBorders>
                  <w:shd w:val="clear" w:color="auto" w:fill="FFFFFF"/>
                  <w:vAlign w:val="center"/>
                </w:tcPr>
                <w:p w14:paraId="1C9B062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460" w:type="pct"/>
                  <w:vMerge w:val="continue"/>
                  <w:tcBorders>
                    <w:tl2br w:val="nil"/>
                    <w:tr2bl w:val="nil"/>
                  </w:tcBorders>
                  <w:shd w:val="clear" w:color="auto" w:fill="FFFFFF"/>
                  <w:vAlign w:val="center"/>
                </w:tcPr>
                <w:p w14:paraId="7D3B8D3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5D0046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vMerge w:val="continue"/>
                  <w:tcBorders>
                    <w:tl2br w:val="nil"/>
                    <w:tr2bl w:val="nil"/>
                  </w:tcBorders>
                  <w:shd w:val="clear" w:color="auto" w:fill="FFFFFF"/>
                  <w:vAlign w:val="center"/>
                </w:tcPr>
                <w:p w14:paraId="332263F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2949" w:type="pct"/>
                  <w:gridSpan w:val="3"/>
                  <w:tcBorders>
                    <w:tl2br w:val="nil"/>
                    <w:tr2bl w:val="nil"/>
                  </w:tcBorders>
                  <w:shd w:val="clear" w:color="auto" w:fill="FFFFFF"/>
                  <w:vAlign w:val="center"/>
                </w:tcPr>
                <w:p w14:paraId="74F5BBD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16:15 （混合样品）</w:t>
                  </w:r>
                </w:p>
              </w:tc>
              <w:tc>
                <w:tcPr>
                  <w:tcW w:w="484" w:type="pct"/>
                  <w:vMerge w:val="continue"/>
                  <w:tcBorders>
                    <w:tl2br w:val="nil"/>
                    <w:tr2bl w:val="nil"/>
                  </w:tcBorders>
                  <w:shd w:val="clear" w:color="auto" w:fill="FFFFFF"/>
                  <w:vAlign w:val="center"/>
                </w:tcPr>
                <w:p w14:paraId="014C82C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c>
                <w:tcPr>
                  <w:tcW w:w="460" w:type="pct"/>
                  <w:vMerge w:val="continue"/>
                  <w:tcBorders>
                    <w:tl2br w:val="nil"/>
                    <w:tr2bl w:val="nil"/>
                  </w:tcBorders>
                  <w:shd w:val="clear" w:color="auto" w:fill="FFFFFF"/>
                  <w:vAlign w:val="center"/>
                </w:tcPr>
                <w:p w14:paraId="2B55AD0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r>
            <w:tr w14:paraId="67BF645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9" w:hRule="exact"/>
              </w:trPr>
              <w:tc>
                <w:tcPr>
                  <w:tcW w:w="1105" w:type="pct"/>
                  <w:vMerge w:val="continue"/>
                  <w:tcBorders>
                    <w:tl2br w:val="nil"/>
                    <w:tr2bl w:val="nil"/>
                  </w:tcBorders>
                  <w:shd w:val="clear" w:color="auto" w:fill="FFFFFF"/>
                  <w:vAlign w:val="center"/>
                </w:tcPr>
                <w:p w14:paraId="0A66A02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2949" w:type="pct"/>
                  <w:gridSpan w:val="3"/>
                  <w:tcBorders>
                    <w:tl2br w:val="nil"/>
                    <w:tr2bl w:val="nil"/>
                  </w:tcBorders>
                  <w:shd w:val="clear" w:color="auto" w:fill="FFFFFF"/>
                  <w:vAlign w:val="center"/>
                </w:tcPr>
                <w:p w14:paraId="49015AC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DH20221102111-07</w:t>
                  </w:r>
                </w:p>
              </w:tc>
              <w:tc>
                <w:tcPr>
                  <w:tcW w:w="484" w:type="pct"/>
                  <w:vMerge w:val="continue"/>
                  <w:tcBorders>
                    <w:tl2br w:val="nil"/>
                    <w:tr2bl w:val="nil"/>
                  </w:tcBorders>
                  <w:shd w:val="clear" w:color="auto" w:fill="FFFFFF"/>
                  <w:vAlign w:val="center"/>
                </w:tcPr>
                <w:p w14:paraId="5785BD9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460" w:type="pct"/>
                  <w:vMerge w:val="continue"/>
                  <w:tcBorders>
                    <w:tl2br w:val="nil"/>
                    <w:tr2bl w:val="nil"/>
                  </w:tcBorders>
                  <w:shd w:val="clear" w:color="auto" w:fill="FFFFFF"/>
                  <w:vAlign w:val="center"/>
                </w:tcPr>
                <w:p w14:paraId="0905B4B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6E2D290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tcBorders>
                    <w:tl2br w:val="nil"/>
                    <w:tr2bl w:val="nil"/>
                  </w:tcBorders>
                  <w:shd w:val="clear" w:color="auto" w:fill="FFFFFF"/>
                  <w:vAlign w:val="center"/>
                </w:tcPr>
                <w:p w14:paraId="7D7B79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总硬度</w:t>
                  </w:r>
                </w:p>
              </w:tc>
              <w:tc>
                <w:tcPr>
                  <w:tcW w:w="2949" w:type="pct"/>
                  <w:gridSpan w:val="3"/>
                  <w:tcBorders>
                    <w:tl2br w:val="nil"/>
                    <w:tr2bl w:val="nil"/>
                  </w:tcBorders>
                  <w:shd w:val="clear" w:color="auto" w:fill="FFFFFF"/>
                  <w:vAlign w:val="center"/>
                </w:tcPr>
                <w:p w14:paraId="010211E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38.4</w:t>
                  </w:r>
                </w:p>
              </w:tc>
              <w:tc>
                <w:tcPr>
                  <w:tcW w:w="484" w:type="pct"/>
                  <w:tcBorders>
                    <w:tl2br w:val="nil"/>
                    <w:tr2bl w:val="nil"/>
                  </w:tcBorders>
                  <w:shd w:val="clear" w:color="auto" w:fill="FFFFFF"/>
                  <w:vAlign w:val="center"/>
                </w:tcPr>
                <w:p w14:paraId="65B390E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450</w:t>
                  </w:r>
                </w:p>
              </w:tc>
              <w:tc>
                <w:tcPr>
                  <w:tcW w:w="460" w:type="pct"/>
                  <w:tcBorders>
                    <w:tl2br w:val="nil"/>
                    <w:tr2bl w:val="nil"/>
                  </w:tcBorders>
                  <w:shd w:val="clear" w:color="auto" w:fill="FFFFFF"/>
                  <w:vAlign w:val="center"/>
                </w:tcPr>
                <w:p w14:paraId="2036C27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3F0556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60A6D06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溶解性总固体</w:t>
                  </w:r>
                </w:p>
              </w:tc>
              <w:tc>
                <w:tcPr>
                  <w:tcW w:w="2949" w:type="pct"/>
                  <w:gridSpan w:val="3"/>
                  <w:tcBorders>
                    <w:tl2br w:val="nil"/>
                    <w:tr2bl w:val="nil"/>
                  </w:tcBorders>
                  <w:shd w:val="clear" w:color="auto" w:fill="FFFFFF"/>
                  <w:vAlign w:val="center"/>
                </w:tcPr>
                <w:p w14:paraId="737103E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61</w:t>
                  </w:r>
                </w:p>
              </w:tc>
              <w:tc>
                <w:tcPr>
                  <w:tcW w:w="484" w:type="pct"/>
                  <w:tcBorders>
                    <w:tl2br w:val="nil"/>
                    <w:tr2bl w:val="nil"/>
                  </w:tcBorders>
                  <w:shd w:val="clear" w:color="auto" w:fill="FFFFFF"/>
                  <w:vAlign w:val="center"/>
                </w:tcPr>
                <w:p w14:paraId="5B7F77C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1000</w:t>
                  </w:r>
                </w:p>
              </w:tc>
              <w:tc>
                <w:tcPr>
                  <w:tcW w:w="460" w:type="pct"/>
                  <w:tcBorders>
                    <w:tl2br w:val="nil"/>
                    <w:tr2bl w:val="nil"/>
                  </w:tcBorders>
                  <w:shd w:val="clear" w:color="auto" w:fill="FFFFFF"/>
                  <w:vAlign w:val="center"/>
                </w:tcPr>
                <w:p w14:paraId="7C2A46D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w:t>
                  </w:r>
                </w:p>
              </w:tc>
            </w:tr>
            <w:tr w14:paraId="6BED2B7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1AC759D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高</w:t>
                  </w:r>
                  <w:r>
                    <w:rPr>
                      <w:rFonts w:hint="default" w:ascii="Times New Roman" w:hAnsi="Times New Roman" w:eastAsia="宋体" w:cs="Times New Roman"/>
                      <w:color w:val="000000"/>
                      <w:spacing w:val="0"/>
                      <w:w w:val="100"/>
                      <w:position w:val="0"/>
                      <w:lang w:val="en-US" w:eastAsia="zh-CN" w:bidi="en-US"/>
                    </w:rPr>
                    <w:t>锰</w:t>
                  </w:r>
                  <w:r>
                    <w:rPr>
                      <w:rFonts w:hint="default" w:ascii="Times New Roman" w:hAnsi="Times New Roman" w:eastAsia="宋体" w:cs="Times New Roman"/>
                      <w:color w:val="000000"/>
                      <w:spacing w:val="0"/>
                      <w:w w:val="100"/>
                      <w:position w:val="0"/>
                      <w:lang w:val="zh-TW" w:eastAsia="zh-TW" w:bidi="en-US"/>
                    </w:rPr>
                    <w:t>酸盐指数</w:t>
                  </w:r>
                </w:p>
              </w:tc>
              <w:tc>
                <w:tcPr>
                  <w:tcW w:w="2949" w:type="pct"/>
                  <w:gridSpan w:val="3"/>
                  <w:tcBorders>
                    <w:tl2br w:val="nil"/>
                    <w:tr2bl w:val="nil"/>
                  </w:tcBorders>
                  <w:shd w:val="clear" w:color="auto" w:fill="FFFFFF"/>
                  <w:vAlign w:val="center"/>
                </w:tcPr>
                <w:p w14:paraId="3C5087E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2.2</w:t>
                  </w:r>
                </w:p>
              </w:tc>
              <w:tc>
                <w:tcPr>
                  <w:tcW w:w="484" w:type="pct"/>
                  <w:tcBorders>
                    <w:tl2br w:val="nil"/>
                    <w:tr2bl w:val="nil"/>
                  </w:tcBorders>
                  <w:shd w:val="clear" w:color="auto" w:fill="FFFFFF"/>
                  <w:vAlign w:val="center"/>
                </w:tcPr>
                <w:p w14:paraId="20CA8D9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6</w:t>
                  </w:r>
                </w:p>
              </w:tc>
              <w:tc>
                <w:tcPr>
                  <w:tcW w:w="460" w:type="pct"/>
                  <w:tcBorders>
                    <w:tl2br w:val="nil"/>
                    <w:tr2bl w:val="nil"/>
                  </w:tcBorders>
                  <w:shd w:val="clear" w:color="auto" w:fill="FFFFFF"/>
                  <w:vAlign w:val="center"/>
                </w:tcPr>
                <w:p w14:paraId="7A32B4C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5E33343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7" w:hRule="exact"/>
              </w:trPr>
              <w:tc>
                <w:tcPr>
                  <w:tcW w:w="1105" w:type="pct"/>
                  <w:tcBorders>
                    <w:tl2br w:val="nil"/>
                    <w:tr2bl w:val="nil"/>
                  </w:tcBorders>
                  <w:shd w:val="clear" w:color="auto" w:fill="FFFFFF"/>
                  <w:vAlign w:val="center"/>
                </w:tcPr>
                <w:p w14:paraId="6C68BBB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硝酸盐</w:t>
                  </w:r>
                </w:p>
              </w:tc>
              <w:tc>
                <w:tcPr>
                  <w:tcW w:w="2949" w:type="pct"/>
                  <w:gridSpan w:val="3"/>
                  <w:tcBorders>
                    <w:tl2br w:val="nil"/>
                    <w:tr2bl w:val="nil"/>
                  </w:tcBorders>
                  <w:shd w:val="clear" w:color="auto" w:fill="FFFFFF"/>
                  <w:vAlign w:val="center"/>
                </w:tcPr>
                <w:p w14:paraId="02EACB6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1.56</w:t>
                  </w:r>
                </w:p>
              </w:tc>
              <w:tc>
                <w:tcPr>
                  <w:tcW w:w="484" w:type="pct"/>
                  <w:tcBorders>
                    <w:tl2br w:val="nil"/>
                    <w:tr2bl w:val="nil"/>
                  </w:tcBorders>
                  <w:shd w:val="clear" w:color="auto" w:fill="FFFFFF"/>
                  <w:vAlign w:val="center"/>
                </w:tcPr>
                <w:p w14:paraId="4D39687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20</w:t>
                  </w:r>
                </w:p>
              </w:tc>
              <w:tc>
                <w:tcPr>
                  <w:tcW w:w="460" w:type="pct"/>
                  <w:tcBorders>
                    <w:tl2br w:val="nil"/>
                    <w:tr2bl w:val="nil"/>
                  </w:tcBorders>
                  <w:shd w:val="clear" w:color="auto" w:fill="FFFFFF"/>
                  <w:vAlign w:val="center"/>
                </w:tcPr>
                <w:p w14:paraId="2A6ED30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5B6357B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0B629DA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亚硝酸盐</w:t>
                  </w:r>
                </w:p>
              </w:tc>
              <w:tc>
                <w:tcPr>
                  <w:tcW w:w="2949" w:type="pct"/>
                  <w:gridSpan w:val="3"/>
                  <w:tcBorders>
                    <w:tl2br w:val="nil"/>
                    <w:tr2bl w:val="nil"/>
                  </w:tcBorders>
                  <w:shd w:val="clear" w:color="auto" w:fill="FFFFFF"/>
                  <w:vAlign w:val="center"/>
                </w:tcPr>
                <w:p w14:paraId="3AD610C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&lt;0.003</w:t>
                  </w:r>
                </w:p>
              </w:tc>
              <w:tc>
                <w:tcPr>
                  <w:tcW w:w="484" w:type="pct"/>
                  <w:tcBorders>
                    <w:tl2br w:val="nil"/>
                    <w:tr2bl w:val="nil"/>
                  </w:tcBorders>
                  <w:shd w:val="clear" w:color="auto" w:fill="FFFFFF"/>
                  <w:vAlign w:val="center"/>
                </w:tcPr>
                <w:p w14:paraId="64F3F31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460" w:type="pct"/>
                  <w:tcBorders>
                    <w:tl2br w:val="nil"/>
                    <w:tr2bl w:val="nil"/>
                  </w:tcBorders>
                  <w:shd w:val="clear" w:color="auto" w:fill="FFFFFF"/>
                  <w:vAlign w:val="center"/>
                </w:tcPr>
                <w:p w14:paraId="1CC42C9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25AC4A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6B422A3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氨氮</w:t>
                  </w:r>
                </w:p>
              </w:tc>
              <w:tc>
                <w:tcPr>
                  <w:tcW w:w="2949" w:type="pct"/>
                  <w:gridSpan w:val="3"/>
                  <w:tcBorders>
                    <w:tl2br w:val="nil"/>
                    <w:tr2bl w:val="nil"/>
                  </w:tcBorders>
                  <w:shd w:val="clear" w:color="auto" w:fill="FFFFFF"/>
                  <w:vAlign w:val="center"/>
                </w:tcPr>
                <w:p w14:paraId="347560F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0.088</w:t>
                  </w:r>
                </w:p>
              </w:tc>
              <w:tc>
                <w:tcPr>
                  <w:tcW w:w="484" w:type="pct"/>
                  <w:tcBorders>
                    <w:tl2br w:val="nil"/>
                    <w:tr2bl w:val="nil"/>
                  </w:tcBorders>
                  <w:shd w:val="clear" w:color="auto" w:fill="FFFFFF"/>
                  <w:vAlign w:val="center"/>
                </w:tcPr>
                <w:p w14:paraId="3D5DA9D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460" w:type="pct"/>
                  <w:tcBorders>
                    <w:tl2br w:val="nil"/>
                    <w:tr2bl w:val="nil"/>
                  </w:tcBorders>
                  <w:shd w:val="clear" w:color="auto" w:fill="FFFFFF"/>
                  <w:vAlign w:val="center"/>
                </w:tcPr>
                <w:p w14:paraId="50065A2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C9B11C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7" w:hRule="exact"/>
              </w:trPr>
              <w:tc>
                <w:tcPr>
                  <w:tcW w:w="1105" w:type="pct"/>
                  <w:tcBorders>
                    <w:tl2br w:val="nil"/>
                    <w:tr2bl w:val="nil"/>
                  </w:tcBorders>
                  <w:shd w:val="clear" w:color="auto" w:fill="FFFFFF"/>
                  <w:vAlign w:val="center"/>
                </w:tcPr>
                <w:p w14:paraId="16316E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硫酸盐</w:t>
                  </w:r>
                </w:p>
              </w:tc>
              <w:tc>
                <w:tcPr>
                  <w:tcW w:w="2949" w:type="pct"/>
                  <w:gridSpan w:val="3"/>
                  <w:tcBorders>
                    <w:tl2br w:val="nil"/>
                    <w:tr2bl w:val="nil"/>
                  </w:tcBorders>
                  <w:shd w:val="clear" w:color="auto" w:fill="FFFFFF"/>
                  <w:vAlign w:val="center"/>
                </w:tcPr>
                <w:p w14:paraId="1EA6868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&lt;8</w:t>
                  </w:r>
                </w:p>
              </w:tc>
              <w:tc>
                <w:tcPr>
                  <w:tcW w:w="484" w:type="pct"/>
                  <w:tcBorders>
                    <w:tl2br w:val="nil"/>
                    <w:tr2bl w:val="nil"/>
                  </w:tcBorders>
                  <w:shd w:val="clear" w:color="auto" w:fill="FFFFFF"/>
                  <w:vAlign w:val="center"/>
                </w:tcPr>
                <w:p w14:paraId="1FBE394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250</w:t>
                  </w:r>
                </w:p>
              </w:tc>
              <w:tc>
                <w:tcPr>
                  <w:tcW w:w="460" w:type="pct"/>
                  <w:tcBorders>
                    <w:tl2br w:val="nil"/>
                    <w:tr2bl w:val="nil"/>
                  </w:tcBorders>
                  <w:shd w:val="clear" w:color="auto" w:fill="FFFFFF"/>
                  <w:vAlign w:val="center"/>
                </w:tcPr>
                <w:p w14:paraId="03A225B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w:t>
                  </w:r>
                </w:p>
              </w:tc>
            </w:tr>
            <w:tr w14:paraId="2F03312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3B1F41C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氯化物</w:t>
                  </w:r>
                </w:p>
              </w:tc>
              <w:tc>
                <w:tcPr>
                  <w:tcW w:w="2949" w:type="pct"/>
                  <w:gridSpan w:val="3"/>
                  <w:tcBorders>
                    <w:tl2br w:val="nil"/>
                    <w:tr2bl w:val="nil"/>
                  </w:tcBorders>
                  <w:shd w:val="clear" w:color="auto" w:fill="FFFFFF"/>
                  <w:vAlign w:val="center"/>
                </w:tcPr>
                <w:p w14:paraId="6F8CC73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3.5</w:t>
                  </w:r>
                </w:p>
              </w:tc>
              <w:tc>
                <w:tcPr>
                  <w:tcW w:w="484" w:type="pct"/>
                  <w:tcBorders>
                    <w:tl2br w:val="nil"/>
                    <w:tr2bl w:val="nil"/>
                  </w:tcBorders>
                  <w:shd w:val="clear" w:color="auto" w:fill="FFFFFF"/>
                  <w:vAlign w:val="center"/>
                </w:tcPr>
                <w:p w14:paraId="3587A54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250</w:t>
                  </w:r>
                </w:p>
              </w:tc>
              <w:tc>
                <w:tcPr>
                  <w:tcW w:w="460" w:type="pct"/>
                  <w:tcBorders>
                    <w:tl2br w:val="nil"/>
                    <w:tr2bl w:val="nil"/>
                  </w:tcBorders>
                  <w:shd w:val="clear" w:color="auto" w:fill="FFFFFF"/>
                  <w:vAlign w:val="center"/>
                </w:tcPr>
                <w:p w14:paraId="00E3058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40BDAF2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7" w:hRule="exact"/>
              </w:trPr>
              <w:tc>
                <w:tcPr>
                  <w:tcW w:w="1105" w:type="pct"/>
                  <w:tcBorders>
                    <w:tl2br w:val="nil"/>
                    <w:tr2bl w:val="nil"/>
                  </w:tcBorders>
                  <w:shd w:val="clear" w:color="auto" w:fill="FFFFFF"/>
                  <w:vAlign w:val="center"/>
                </w:tcPr>
                <w:p w14:paraId="39E89A1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六价铭</w:t>
                  </w:r>
                </w:p>
              </w:tc>
              <w:tc>
                <w:tcPr>
                  <w:tcW w:w="2949" w:type="pct"/>
                  <w:gridSpan w:val="3"/>
                  <w:tcBorders>
                    <w:tl2br w:val="nil"/>
                    <w:tr2bl w:val="nil"/>
                  </w:tcBorders>
                  <w:shd w:val="clear" w:color="auto" w:fill="FFFFFF"/>
                  <w:vAlign w:val="center"/>
                </w:tcPr>
                <w:p w14:paraId="3E30A1D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484" w:type="pct"/>
                  <w:tcBorders>
                    <w:tl2br w:val="nil"/>
                    <w:tr2bl w:val="nil"/>
                  </w:tcBorders>
                  <w:shd w:val="clear" w:color="auto" w:fill="FFFFFF"/>
                  <w:vAlign w:val="center"/>
                </w:tcPr>
                <w:p w14:paraId="2A0FAD9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0.05</w:t>
                  </w:r>
                </w:p>
              </w:tc>
              <w:tc>
                <w:tcPr>
                  <w:tcW w:w="460" w:type="pct"/>
                  <w:tcBorders>
                    <w:tl2br w:val="nil"/>
                    <w:tr2bl w:val="nil"/>
                  </w:tcBorders>
                  <w:shd w:val="clear" w:color="auto" w:fill="FFFFFF"/>
                  <w:vAlign w:val="center"/>
                </w:tcPr>
                <w:p w14:paraId="3C6EE84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4DCDCE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30FEC48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氟化物</w:t>
                  </w:r>
                </w:p>
              </w:tc>
              <w:tc>
                <w:tcPr>
                  <w:tcW w:w="2949" w:type="pct"/>
                  <w:gridSpan w:val="3"/>
                  <w:tcBorders>
                    <w:tl2br w:val="nil"/>
                    <w:tr2bl w:val="nil"/>
                  </w:tcBorders>
                  <w:shd w:val="clear" w:color="auto" w:fill="FFFFFF"/>
                  <w:vAlign w:val="center"/>
                </w:tcPr>
                <w:p w14:paraId="61B1298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0.51</w:t>
                  </w:r>
                </w:p>
              </w:tc>
              <w:tc>
                <w:tcPr>
                  <w:tcW w:w="484" w:type="pct"/>
                  <w:tcBorders>
                    <w:tl2br w:val="nil"/>
                    <w:tr2bl w:val="nil"/>
                  </w:tcBorders>
                  <w:shd w:val="clear" w:color="auto" w:fill="FFFFFF"/>
                  <w:vAlign w:val="center"/>
                </w:tcPr>
                <w:p w14:paraId="0BCAC2B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460" w:type="pct"/>
                  <w:tcBorders>
                    <w:tl2br w:val="nil"/>
                    <w:tr2bl w:val="nil"/>
                  </w:tcBorders>
                  <w:shd w:val="clear" w:color="auto" w:fill="FFFFFF"/>
                  <w:vAlign w:val="center"/>
                </w:tcPr>
                <w:p w14:paraId="2B1B711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4ED0DF2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62892C0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铜</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2949" w:type="pct"/>
                  <w:gridSpan w:val="3"/>
                  <w:tcBorders>
                    <w:tl2br w:val="nil"/>
                    <w:tr2bl w:val="nil"/>
                  </w:tcBorders>
                  <w:shd w:val="clear" w:color="auto" w:fill="FFFFFF"/>
                  <w:vAlign w:val="center"/>
                </w:tcPr>
                <w:p w14:paraId="2ABD8CF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1.32</w:t>
                  </w:r>
                </w:p>
              </w:tc>
              <w:tc>
                <w:tcPr>
                  <w:tcW w:w="484" w:type="pct"/>
                  <w:tcBorders>
                    <w:tl2br w:val="nil"/>
                    <w:tr2bl w:val="nil"/>
                  </w:tcBorders>
                  <w:shd w:val="clear" w:color="auto" w:fill="FFFFFF"/>
                  <w:vAlign w:val="center"/>
                </w:tcPr>
                <w:p w14:paraId="7052293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460" w:type="pct"/>
                  <w:tcBorders>
                    <w:tl2br w:val="nil"/>
                    <w:tr2bl w:val="nil"/>
                  </w:tcBorders>
                  <w:shd w:val="clear" w:color="auto" w:fill="FFFFFF"/>
                  <w:vAlign w:val="center"/>
                </w:tcPr>
                <w:p w14:paraId="35546BA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5A85C24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3B345D9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锌</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2949" w:type="pct"/>
                  <w:gridSpan w:val="3"/>
                  <w:tcBorders>
                    <w:tl2br w:val="nil"/>
                    <w:tr2bl w:val="nil"/>
                  </w:tcBorders>
                  <w:shd w:val="clear" w:color="auto" w:fill="FFFFFF"/>
                  <w:vAlign w:val="center"/>
                </w:tcPr>
                <w:p w14:paraId="7D9332A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6.29</w:t>
                  </w:r>
                </w:p>
              </w:tc>
              <w:tc>
                <w:tcPr>
                  <w:tcW w:w="484" w:type="pct"/>
                  <w:tcBorders>
                    <w:tl2br w:val="nil"/>
                    <w:tr2bl w:val="nil"/>
                  </w:tcBorders>
                  <w:shd w:val="clear" w:color="auto" w:fill="FFFFFF"/>
                  <w:vAlign w:val="center"/>
                </w:tcPr>
                <w:p w14:paraId="4825A55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460" w:type="pct"/>
                  <w:tcBorders>
                    <w:tl2br w:val="nil"/>
                    <w:tr2bl w:val="nil"/>
                  </w:tcBorders>
                  <w:shd w:val="clear" w:color="auto" w:fill="FFFFFF"/>
                  <w:vAlign w:val="center"/>
                </w:tcPr>
                <w:p w14:paraId="3AA18EA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0AB3600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42C8CD3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镉</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2949" w:type="pct"/>
                  <w:gridSpan w:val="3"/>
                  <w:tcBorders>
                    <w:tl2br w:val="nil"/>
                    <w:tr2bl w:val="nil"/>
                  </w:tcBorders>
                  <w:shd w:val="clear" w:color="auto" w:fill="FFFFFF"/>
                  <w:vAlign w:val="center"/>
                </w:tcPr>
                <w:p w14:paraId="2BD575B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0.06</w:t>
                  </w:r>
                </w:p>
              </w:tc>
              <w:tc>
                <w:tcPr>
                  <w:tcW w:w="484" w:type="pct"/>
                  <w:tcBorders>
                    <w:tl2br w:val="nil"/>
                    <w:tr2bl w:val="nil"/>
                  </w:tcBorders>
                  <w:shd w:val="clear" w:color="auto" w:fill="FFFFFF"/>
                  <w:vAlign w:val="center"/>
                </w:tcPr>
                <w:p w14:paraId="4ABA23D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0.005</w:t>
                  </w:r>
                </w:p>
              </w:tc>
              <w:tc>
                <w:tcPr>
                  <w:tcW w:w="460" w:type="pct"/>
                  <w:tcBorders>
                    <w:tl2br w:val="nil"/>
                    <w:tr2bl w:val="nil"/>
                  </w:tcBorders>
                  <w:shd w:val="clear" w:color="auto" w:fill="FFFFFF"/>
                  <w:vAlign w:val="center"/>
                </w:tcPr>
                <w:p w14:paraId="35F2F85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5FBEC1F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7" w:hRule="exact"/>
              </w:trPr>
              <w:tc>
                <w:tcPr>
                  <w:tcW w:w="1105" w:type="pct"/>
                  <w:tcBorders>
                    <w:tl2br w:val="nil"/>
                    <w:tr2bl w:val="nil"/>
                  </w:tcBorders>
                  <w:shd w:val="clear" w:color="auto" w:fill="FFFFFF"/>
                  <w:vAlign w:val="center"/>
                </w:tcPr>
                <w:p w14:paraId="2582C69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铅</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2949" w:type="pct"/>
                  <w:gridSpan w:val="3"/>
                  <w:tcBorders>
                    <w:tl2br w:val="nil"/>
                    <w:tr2bl w:val="nil"/>
                  </w:tcBorders>
                  <w:shd w:val="clear" w:color="auto" w:fill="FFFFFF"/>
                  <w:vAlign w:val="center"/>
                </w:tcPr>
                <w:p w14:paraId="60872C4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4.68</w:t>
                  </w:r>
                </w:p>
              </w:tc>
              <w:tc>
                <w:tcPr>
                  <w:tcW w:w="484" w:type="pct"/>
                  <w:tcBorders>
                    <w:tl2br w:val="nil"/>
                    <w:tr2bl w:val="nil"/>
                  </w:tcBorders>
                  <w:shd w:val="clear" w:color="auto" w:fill="FFFFFF"/>
                  <w:vAlign w:val="center"/>
                </w:tcPr>
                <w:p w14:paraId="556C580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0.05</w:t>
                  </w:r>
                </w:p>
              </w:tc>
              <w:tc>
                <w:tcPr>
                  <w:tcW w:w="460" w:type="pct"/>
                  <w:tcBorders>
                    <w:tl2br w:val="nil"/>
                    <w:tr2bl w:val="nil"/>
                  </w:tcBorders>
                  <w:shd w:val="clear" w:color="auto" w:fill="FFFFFF"/>
                  <w:vAlign w:val="center"/>
                </w:tcPr>
                <w:p w14:paraId="7BC31D6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6297686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1ACFF48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铁</w:t>
                  </w:r>
                </w:p>
              </w:tc>
              <w:tc>
                <w:tcPr>
                  <w:tcW w:w="2949" w:type="pct"/>
                  <w:gridSpan w:val="3"/>
                  <w:tcBorders>
                    <w:tl2br w:val="nil"/>
                    <w:tr2bl w:val="nil"/>
                  </w:tcBorders>
                  <w:shd w:val="clear" w:color="auto" w:fill="FFFFFF"/>
                  <w:vAlign w:val="center"/>
                </w:tcPr>
                <w:p w14:paraId="65AF161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0.45</w:t>
                  </w:r>
                </w:p>
              </w:tc>
              <w:tc>
                <w:tcPr>
                  <w:tcW w:w="484" w:type="pct"/>
                  <w:tcBorders>
                    <w:tl2br w:val="nil"/>
                    <w:tr2bl w:val="nil"/>
                  </w:tcBorders>
                  <w:shd w:val="clear" w:color="auto" w:fill="FFFFFF"/>
                  <w:vAlign w:val="center"/>
                </w:tcPr>
                <w:p w14:paraId="6F52B43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0.3</w:t>
                  </w:r>
                </w:p>
              </w:tc>
              <w:tc>
                <w:tcPr>
                  <w:tcW w:w="460" w:type="pct"/>
                  <w:tcBorders>
                    <w:tl2br w:val="nil"/>
                    <w:tr2bl w:val="nil"/>
                  </w:tcBorders>
                  <w:shd w:val="clear" w:color="auto" w:fill="FFFFFF"/>
                  <w:vAlign w:val="center"/>
                </w:tcPr>
                <w:p w14:paraId="5D481F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超标</w:t>
                  </w:r>
                </w:p>
              </w:tc>
            </w:tr>
            <w:tr w14:paraId="72EDB21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075B81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锰</w:t>
                  </w:r>
                </w:p>
              </w:tc>
              <w:tc>
                <w:tcPr>
                  <w:tcW w:w="2949" w:type="pct"/>
                  <w:gridSpan w:val="3"/>
                  <w:tcBorders>
                    <w:tl2br w:val="nil"/>
                    <w:tr2bl w:val="nil"/>
                  </w:tcBorders>
                  <w:shd w:val="clear" w:color="auto" w:fill="FFFFFF"/>
                  <w:vAlign w:val="center"/>
                </w:tcPr>
                <w:p w14:paraId="3FF0CF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0.16</w:t>
                  </w:r>
                </w:p>
              </w:tc>
              <w:tc>
                <w:tcPr>
                  <w:tcW w:w="484" w:type="pct"/>
                  <w:tcBorders>
                    <w:tl2br w:val="nil"/>
                    <w:tr2bl w:val="nil"/>
                  </w:tcBorders>
                  <w:shd w:val="clear" w:color="auto" w:fill="FFFFFF"/>
                  <w:vAlign w:val="center"/>
                </w:tcPr>
                <w:p w14:paraId="43911C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0.1</w:t>
                  </w:r>
                </w:p>
              </w:tc>
              <w:tc>
                <w:tcPr>
                  <w:tcW w:w="460" w:type="pct"/>
                  <w:tcBorders>
                    <w:tl2br w:val="nil"/>
                    <w:tr2bl w:val="nil"/>
                  </w:tcBorders>
                  <w:shd w:val="clear" w:color="auto" w:fill="FFFFFF"/>
                  <w:vAlign w:val="center"/>
                </w:tcPr>
                <w:p w14:paraId="3DCAA22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超标</w:t>
                  </w:r>
                </w:p>
              </w:tc>
            </w:tr>
            <w:tr w14:paraId="6E9C713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0" w:hRule="exact"/>
              </w:trPr>
              <w:tc>
                <w:tcPr>
                  <w:tcW w:w="1105" w:type="pct"/>
                  <w:tcBorders>
                    <w:tl2br w:val="nil"/>
                    <w:tr2bl w:val="nil"/>
                  </w:tcBorders>
                  <w:shd w:val="clear" w:color="auto" w:fill="FFFFFF"/>
                  <w:vAlign w:val="center"/>
                </w:tcPr>
                <w:p w14:paraId="7F0FD20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砷</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2949" w:type="pct"/>
                  <w:gridSpan w:val="3"/>
                  <w:tcBorders>
                    <w:tl2br w:val="nil"/>
                    <w:tr2bl w:val="nil"/>
                  </w:tcBorders>
                  <w:shd w:val="clear" w:color="auto" w:fill="FFFFFF"/>
                  <w:vAlign w:val="center"/>
                </w:tcPr>
                <w:p w14:paraId="2408E50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&lt;0.3</w:t>
                  </w:r>
                </w:p>
              </w:tc>
              <w:tc>
                <w:tcPr>
                  <w:tcW w:w="484" w:type="pct"/>
                  <w:tcBorders>
                    <w:tl2br w:val="nil"/>
                    <w:tr2bl w:val="nil"/>
                  </w:tcBorders>
                  <w:shd w:val="clear" w:color="auto" w:fill="FFFFFF"/>
                  <w:vAlign w:val="center"/>
                </w:tcPr>
                <w:p w14:paraId="32CAD4F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0.01</w:t>
                  </w:r>
                </w:p>
              </w:tc>
              <w:tc>
                <w:tcPr>
                  <w:tcW w:w="460" w:type="pct"/>
                  <w:tcBorders>
                    <w:tl2br w:val="nil"/>
                    <w:tr2bl w:val="nil"/>
                  </w:tcBorders>
                  <w:shd w:val="clear" w:color="auto" w:fill="FFFFFF"/>
                  <w:vAlign w:val="center"/>
                </w:tcPr>
                <w:p w14:paraId="04B7DC0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6E4FB82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tcBorders>
                    <w:tl2br w:val="nil"/>
                    <w:tr2bl w:val="nil"/>
                  </w:tcBorders>
                  <w:shd w:val="clear" w:color="auto" w:fill="FFFFFF"/>
                  <w:vAlign w:val="center"/>
                </w:tcPr>
                <w:p w14:paraId="5F088BD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汞</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2949" w:type="pct"/>
                  <w:gridSpan w:val="3"/>
                  <w:tcBorders>
                    <w:tl2br w:val="nil"/>
                    <w:tr2bl w:val="nil"/>
                  </w:tcBorders>
                  <w:shd w:val="clear" w:color="auto" w:fill="FFFFFF"/>
                  <w:vAlign w:val="center"/>
                </w:tcPr>
                <w:p w14:paraId="773A113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&lt;0.04</w:t>
                  </w:r>
                </w:p>
              </w:tc>
              <w:tc>
                <w:tcPr>
                  <w:tcW w:w="484" w:type="pct"/>
                  <w:tcBorders>
                    <w:tl2br w:val="nil"/>
                    <w:tr2bl w:val="nil"/>
                  </w:tcBorders>
                  <w:shd w:val="clear" w:color="auto" w:fill="FFFFFF"/>
                  <w:vAlign w:val="center"/>
                </w:tcPr>
                <w:p w14:paraId="416C0E0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0.0001</w:t>
                  </w:r>
                </w:p>
              </w:tc>
              <w:tc>
                <w:tcPr>
                  <w:tcW w:w="460" w:type="pct"/>
                  <w:tcBorders>
                    <w:tl2br w:val="nil"/>
                    <w:tr2bl w:val="nil"/>
                  </w:tcBorders>
                  <w:shd w:val="clear" w:color="auto" w:fill="FFFFFF"/>
                  <w:vAlign w:val="center"/>
                </w:tcPr>
                <w:p w14:paraId="51D0A78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1A73913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5" w:hRule="exact"/>
              </w:trPr>
              <w:tc>
                <w:tcPr>
                  <w:tcW w:w="1105" w:type="pct"/>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2B4531F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p w14:paraId="4D5642DF">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检测项目</w:t>
                  </w:r>
                </w:p>
                <w:p w14:paraId="394E28D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点位/时间/</w:t>
                  </w:r>
                </w:p>
                <w:p w14:paraId="2683702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编号</w:t>
                  </w:r>
                </w:p>
              </w:tc>
              <w:tc>
                <w:tcPr>
                  <w:tcW w:w="2949" w:type="pct"/>
                  <w:gridSpan w:val="3"/>
                  <w:tcBorders>
                    <w:tl2br w:val="nil"/>
                    <w:tr2bl w:val="nil"/>
                  </w:tcBorders>
                  <w:shd w:val="clear" w:color="auto" w:fill="FFFFFF"/>
                  <w:vAlign w:val="center"/>
                </w:tcPr>
                <w:p w14:paraId="72F0B23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污染扩散井2#</w:t>
                  </w:r>
                </w:p>
              </w:tc>
              <w:tc>
                <w:tcPr>
                  <w:tcW w:w="484" w:type="pct"/>
                  <w:vMerge w:val="restart"/>
                  <w:tcBorders>
                    <w:tl2br w:val="nil"/>
                    <w:tr2bl w:val="nil"/>
                  </w:tcBorders>
                  <w:shd w:val="clear" w:color="auto" w:fill="FFFFFF"/>
                  <w:vAlign w:val="center"/>
                </w:tcPr>
                <w:p w14:paraId="081555B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标准限值</w:t>
                  </w:r>
                </w:p>
              </w:tc>
              <w:tc>
                <w:tcPr>
                  <w:tcW w:w="460" w:type="pct"/>
                  <w:vMerge w:val="restart"/>
                  <w:tcBorders>
                    <w:tl2br w:val="nil"/>
                    <w:tr2bl w:val="nil"/>
                  </w:tcBorders>
                  <w:shd w:val="clear" w:color="auto" w:fill="FFFFFF"/>
                  <w:vAlign w:val="center"/>
                </w:tcPr>
                <w:p w14:paraId="0E24B04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达标情况</w:t>
                  </w:r>
                </w:p>
              </w:tc>
            </w:tr>
            <w:tr w14:paraId="3B3BB00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9" w:hRule="exact"/>
              </w:trPr>
              <w:tc>
                <w:tcPr>
                  <w:tcW w:w="1105" w:type="pct"/>
                  <w:vMerge w:val="continue"/>
                  <w:tcBorders>
                    <w:tl2br w:val="nil"/>
                    <w:tr2bl w:val="nil"/>
                  </w:tcBorders>
                  <w:shd w:val="clear" w:color="auto" w:fill="FFFFFF"/>
                  <w:vAlign w:val="center"/>
                </w:tcPr>
                <w:p w14:paraId="40572FE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2949" w:type="pct"/>
                  <w:gridSpan w:val="3"/>
                  <w:tcBorders>
                    <w:tl2br w:val="nil"/>
                    <w:tr2bl w:val="nil"/>
                  </w:tcBorders>
                  <w:shd w:val="clear" w:color="auto" w:fill="FFFFFF"/>
                  <w:vAlign w:val="center"/>
                </w:tcPr>
                <w:p w14:paraId="2FDB615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2022. 11.28</w:t>
                  </w:r>
                </w:p>
              </w:tc>
              <w:tc>
                <w:tcPr>
                  <w:tcW w:w="484" w:type="pct"/>
                  <w:vMerge w:val="continue"/>
                  <w:tcBorders>
                    <w:tl2br w:val="nil"/>
                    <w:tr2bl w:val="nil"/>
                  </w:tcBorders>
                  <w:shd w:val="clear" w:color="auto" w:fill="FFFFFF"/>
                  <w:vAlign w:val="center"/>
                </w:tcPr>
                <w:p w14:paraId="01333FE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460" w:type="pct"/>
                  <w:vMerge w:val="continue"/>
                  <w:tcBorders>
                    <w:tl2br w:val="nil"/>
                    <w:tr2bl w:val="nil"/>
                  </w:tcBorders>
                  <w:shd w:val="clear" w:color="auto" w:fill="FFFFFF"/>
                  <w:vAlign w:val="center"/>
                </w:tcPr>
                <w:p w14:paraId="114336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2D86013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9" w:hRule="exact"/>
              </w:trPr>
              <w:tc>
                <w:tcPr>
                  <w:tcW w:w="1105" w:type="pct"/>
                  <w:vMerge w:val="continue"/>
                  <w:tcBorders>
                    <w:tl2br w:val="nil"/>
                    <w:tr2bl w:val="nil"/>
                  </w:tcBorders>
                  <w:shd w:val="clear" w:color="auto" w:fill="FFFFFF"/>
                  <w:vAlign w:val="center"/>
                </w:tcPr>
                <w:p w14:paraId="5E19135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983" w:type="pct"/>
                  <w:tcBorders>
                    <w:tl2br w:val="nil"/>
                    <w:tr2bl w:val="nil"/>
                  </w:tcBorders>
                  <w:shd w:val="clear" w:color="auto" w:fill="FFFFFF"/>
                  <w:vAlign w:val="center"/>
                </w:tcPr>
                <w:p w14:paraId="15D7B6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09:37</w:t>
                  </w:r>
                </w:p>
              </w:tc>
              <w:tc>
                <w:tcPr>
                  <w:tcW w:w="983" w:type="pct"/>
                  <w:tcBorders>
                    <w:tl2br w:val="nil"/>
                    <w:tr2bl w:val="nil"/>
                  </w:tcBorders>
                  <w:shd w:val="clear" w:color="auto" w:fill="FFFFFF"/>
                  <w:vAlign w:val="center"/>
                </w:tcPr>
                <w:p w14:paraId="50888C2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13:42</w:t>
                  </w:r>
                </w:p>
              </w:tc>
              <w:tc>
                <w:tcPr>
                  <w:tcW w:w="983" w:type="pct"/>
                  <w:tcBorders>
                    <w:tl2br w:val="nil"/>
                    <w:tr2bl w:val="nil"/>
                  </w:tcBorders>
                  <w:shd w:val="clear" w:color="auto" w:fill="FFFFFF"/>
                  <w:vAlign w:val="center"/>
                </w:tcPr>
                <w:p w14:paraId="5083B9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16:51</w:t>
                  </w:r>
                </w:p>
              </w:tc>
              <w:tc>
                <w:tcPr>
                  <w:tcW w:w="484" w:type="pct"/>
                  <w:vMerge w:val="continue"/>
                  <w:tcBorders>
                    <w:tl2br w:val="nil"/>
                    <w:tr2bl w:val="nil"/>
                  </w:tcBorders>
                  <w:shd w:val="clear" w:color="auto" w:fill="FFFFFF"/>
                  <w:vAlign w:val="center"/>
                </w:tcPr>
                <w:p w14:paraId="1DBFEC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c>
                <w:tcPr>
                  <w:tcW w:w="460" w:type="pct"/>
                  <w:vMerge w:val="continue"/>
                  <w:tcBorders>
                    <w:tl2br w:val="nil"/>
                    <w:tr2bl w:val="nil"/>
                  </w:tcBorders>
                  <w:shd w:val="clear" w:color="auto" w:fill="FFFFFF"/>
                  <w:vAlign w:val="center"/>
                </w:tcPr>
                <w:p w14:paraId="135C3EC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r>
            <w:tr w14:paraId="745EE66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89" w:hRule="exact"/>
              </w:trPr>
              <w:tc>
                <w:tcPr>
                  <w:tcW w:w="1105" w:type="pct"/>
                  <w:vMerge w:val="continue"/>
                  <w:tcBorders>
                    <w:tl2br w:val="nil"/>
                    <w:tr2bl w:val="nil"/>
                  </w:tcBorders>
                  <w:shd w:val="clear" w:color="auto" w:fill="FFFFFF"/>
                  <w:vAlign w:val="center"/>
                </w:tcPr>
                <w:p w14:paraId="5C9150B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983" w:type="pct"/>
                  <w:tcBorders>
                    <w:tl2br w:val="nil"/>
                    <w:tr2bl w:val="nil"/>
                  </w:tcBorders>
                  <w:shd w:val="clear" w:color="auto" w:fill="FFFFFF"/>
                  <w:vAlign w:val="center"/>
                </w:tcPr>
                <w:p w14:paraId="3B9E23C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11-35</w:t>
                  </w:r>
                </w:p>
              </w:tc>
              <w:tc>
                <w:tcPr>
                  <w:tcW w:w="983" w:type="pct"/>
                  <w:tcBorders>
                    <w:tl2br w:val="nil"/>
                    <w:tr2bl w:val="nil"/>
                  </w:tcBorders>
                  <w:shd w:val="clear" w:color="auto" w:fill="FFFFFF"/>
                  <w:vAlign w:val="center"/>
                </w:tcPr>
                <w:p w14:paraId="7386FC8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DH20221102111-36</w:t>
                  </w:r>
                </w:p>
              </w:tc>
              <w:tc>
                <w:tcPr>
                  <w:tcW w:w="983" w:type="pct"/>
                  <w:tcBorders>
                    <w:tl2br w:val="nil"/>
                    <w:tr2bl w:val="nil"/>
                  </w:tcBorders>
                  <w:shd w:val="clear" w:color="auto" w:fill="FFFFFF"/>
                  <w:vAlign w:val="center"/>
                </w:tcPr>
                <w:p w14:paraId="4453ED1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DH20221102111-37</w:t>
                  </w:r>
                </w:p>
              </w:tc>
              <w:tc>
                <w:tcPr>
                  <w:tcW w:w="484" w:type="pct"/>
                  <w:vMerge w:val="continue"/>
                  <w:tcBorders>
                    <w:tl2br w:val="nil"/>
                    <w:tr2bl w:val="nil"/>
                  </w:tcBorders>
                  <w:shd w:val="clear" w:color="auto" w:fill="FFFFFF"/>
                  <w:vAlign w:val="center"/>
                </w:tcPr>
                <w:p w14:paraId="09A8F3C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460" w:type="pct"/>
                  <w:vMerge w:val="continue"/>
                  <w:tcBorders>
                    <w:tl2br w:val="nil"/>
                    <w:tr2bl w:val="nil"/>
                  </w:tcBorders>
                  <w:shd w:val="clear" w:color="auto" w:fill="FFFFFF"/>
                  <w:vAlign w:val="center"/>
                </w:tcPr>
                <w:p w14:paraId="5A79EED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1BCD42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94" w:hRule="exact"/>
              </w:trPr>
              <w:tc>
                <w:tcPr>
                  <w:tcW w:w="1105" w:type="pct"/>
                  <w:tcBorders>
                    <w:tl2br w:val="nil"/>
                    <w:tr2bl w:val="nil"/>
                  </w:tcBorders>
                  <w:shd w:val="clear" w:color="auto" w:fill="FFFFFF"/>
                  <w:vAlign w:val="center"/>
                </w:tcPr>
                <w:p w14:paraId="3785CCA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pH </w:t>
                  </w:r>
                  <w:r>
                    <w:rPr>
                      <w:rFonts w:hint="default" w:ascii="Times New Roman" w:hAnsi="Times New Roman" w:eastAsia="宋体" w:cs="Times New Roman"/>
                      <w:color w:val="000000"/>
                      <w:spacing w:val="0"/>
                      <w:w w:val="100"/>
                      <w:position w:val="0"/>
                      <w:lang w:val="zh-TW" w:eastAsia="zh-TW" w:bidi="en-US"/>
                    </w:rPr>
                    <w:t>（无量纲）</w:t>
                  </w:r>
                </w:p>
              </w:tc>
              <w:tc>
                <w:tcPr>
                  <w:tcW w:w="983" w:type="pct"/>
                  <w:tcBorders>
                    <w:tl2br w:val="nil"/>
                    <w:tr2bl w:val="nil"/>
                  </w:tcBorders>
                  <w:shd w:val="clear" w:color="auto" w:fill="FFFFFF"/>
                  <w:vAlign w:val="center"/>
                </w:tcPr>
                <w:p w14:paraId="7386BD3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7.2</w:t>
                  </w:r>
                </w:p>
              </w:tc>
              <w:tc>
                <w:tcPr>
                  <w:tcW w:w="983" w:type="pct"/>
                  <w:tcBorders>
                    <w:tl2br w:val="nil"/>
                    <w:tr2bl w:val="nil"/>
                  </w:tcBorders>
                  <w:shd w:val="clear" w:color="auto" w:fill="FFFFFF"/>
                  <w:vAlign w:val="center"/>
                </w:tcPr>
                <w:p w14:paraId="3CC0327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7.1</w:t>
                  </w:r>
                </w:p>
              </w:tc>
              <w:tc>
                <w:tcPr>
                  <w:tcW w:w="983" w:type="pct"/>
                  <w:tcBorders>
                    <w:tl2br w:val="nil"/>
                    <w:tr2bl w:val="nil"/>
                  </w:tcBorders>
                  <w:shd w:val="clear" w:color="auto" w:fill="FFFFFF"/>
                  <w:vAlign w:val="center"/>
                </w:tcPr>
                <w:p w14:paraId="679C51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7.1</w:t>
                  </w:r>
                </w:p>
              </w:tc>
              <w:tc>
                <w:tcPr>
                  <w:tcW w:w="484" w:type="pct"/>
                  <w:tcBorders>
                    <w:tl2br w:val="nil"/>
                    <w:tr2bl w:val="nil"/>
                  </w:tcBorders>
                  <w:shd w:val="clear" w:color="auto" w:fill="FFFFFF"/>
                  <w:vAlign w:val="center"/>
                </w:tcPr>
                <w:p w14:paraId="5621E88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6-9</w:t>
                  </w:r>
                </w:p>
              </w:tc>
              <w:tc>
                <w:tcPr>
                  <w:tcW w:w="460" w:type="pct"/>
                  <w:tcBorders>
                    <w:tl2br w:val="nil"/>
                    <w:tr2bl w:val="nil"/>
                  </w:tcBorders>
                  <w:shd w:val="clear" w:color="auto" w:fill="FFFFFF"/>
                  <w:vAlign w:val="center"/>
                </w:tcPr>
                <w:p w14:paraId="7697415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bl>
          <w:p w14:paraId="244C10E3">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3-12 污染扩散井2#</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7"/>
              <w:tblW w:w="9279" w:type="dxa"/>
              <w:jc w:val="center"/>
              <w:tblLayout w:type="autofit"/>
              <w:tblCellMar>
                <w:top w:w="0" w:type="dxa"/>
                <w:left w:w="10" w:type="dxa"/>
                <w:bottom w:w="0" w:type="dxa"/>
                <w:right w:w="10" w:type="dxa"/>
              </w:tblCellMar>
            </w:tblPr>
            <w:tblGrid>
              <w:gridCol w:w="2122"/>
              <w:gridCol w:w="1817"/>
              <w:gridCol w:w="1817"/>
              <w:gridCol w:w="1817"/>
              <w:gridCol w:w="872"/>
              <w:gridCol w:w="834"/>
            </w:tblGrid>
            <w:tr w14:paraId="5C26D564">
              <w:tblPrEx>
                <w:tblCellMar>
                  <w:top w:w="0" w:type="dxa"/>
                  <w:left w:w="10" w:type="dxa"/>
                  <w:bottom w:w="0" w:type="dxa"/>
                  <w:right w:w="10" w:type="dxa"/>
                </w:tblCellMar>
              </w:tblPrEx>
              <w:trPr>
                <w:trHeight w:val="340" w:hRule="exact"/>
                <w:jc w:val="center"/>
              </w:trPr>
              <w:tc>
                <w:tcPr>
                  <w:tcW w:w="0" w:type="auto"/>
                  <w:vMerge w:val="restart"/>
                  <w:tcBorders>
                    <w:top w:val="single" w:color="auto" w:sz="4" w:space="0"/>
                    <w:left w:val="single" w:color="auto" w:sz="4" w:space="0"/>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5D38FB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p w14:paraId="5DB2B18D">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检测项目</w:t>
                  </w:r>
                </w:p>
                <w:p w14:paraId="777C7D2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点位/时间/</w:t>
                  </w:r>
                </w:p>
                <w:p w14:paraId="618E38F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编号</w:t>
                  </w:r>
                </w:p>
              </w:tc>
              <w:tc>
                <w:tcPr>
                  <w:tcW w:w="0" w:type="auto"/>
                  <w:gridSpan w:val="3"/>
                  <w:tcBorders>
                    <w:top w:val="single" w:color="auto" w:sz="4" w:space="0"/>
                    <w:left w:val="single" w:color="auto" w:sz="4" w:space="0"/>
                    <w:right w:val="single" w:color="auto" w:sz="4" w:space="0"/>
                  </w:tcBorders>
                  <w:shd w:val="clear" w:color="auto" w:fill="FFFFFF"/>
                  <w:vAlign w:val="center"/>
                </w:tcPr>
                <w:p w14:paraId="0BFEB9B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污染监视井2#</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133E5D2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标准限值</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78E7254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达标情况</w:t>
                  </w:r>
                </w:p>
              </w:tc>
            </w:tr>
            <w:tr w14:paraId="0F9AFA9C">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7442A0B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gridSpan w:val="3"/>
                  <w:tcBorders>
                    <w:top w:val="single" w:color="auto" w:sz="4" w:space="0"/>
                    <w:left w:val="single" w:color="auto" w:sz="4" w:space="0"/>
                    <w:right w:val="single" w:color="auto" w:sz="4" w:space="0"/>
                  </w:tcBorders>
                  <w:shd w:val="clear" w:color="auto" w:fill="FFFFFF"/>
                  <w:vAlign w:val="center"/>
                </w:tcPr>
                <w:p w14:paraId="721B9BC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2022. 11. </w:t>
                  </w:r>
                  <w:r>
                    <w:rPr>
                      <w:rFonts w:hint="default" w:ascii="Times New Roman" w:hAnsi="Times New Roman" w:eastAsia="宋体" w:cs="Times New Roman"/>
                      <w:color w:val="000000"/>
                      <w:spacing w:val="0"/>
                      <w:w w:val="100"/>
                      <w:position w:val="0"/>
                      <w:lang w:val="zh-TW" w:eastAsia="zh-TW" w:bidi="en-US"/>
                    </w:rPr>
                    <w:t>12</w:t>
                  </w:r>
                </w:p>
              </w:tc>
              <w:tc>
                <w:tcPr>
                  <w:tcW w:w="0" w:type="auto"/>
                  <w:vMerge w:val="continue"/>
                  <w:tcBorders>
                    <w:left w:val="single" w:color="auto" w:sz="4" w:space="0"/>
                    <w:right w:val="single" w:color="auto" w:sz="4" w:space="0"/>
                  </w:tcBorders>
                  <w:shd w:val="clear" w:color="auto" w:fill="FFFFFF"/>
                  <w:vAlign w:val="center"/>
                </w:tcPr>
                <w:p w14:paraId="32FA46C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0" w:type="auto"/>
                  <w:vMerge w:val="continue"/>
                  <w:tcBorders>
                    <w:left w:val="single" w:color="auto" w:sz="4" w:space="0"/>
                    <w:right w:val="single" w:color="auto" w:sz="4" w:space="0"/>
                  </w:tcBorders>
                  <w:shd w:val="clear" w:color="auto" w:fill="FFFFFF"/>
                  <w:vAlign w:val="center"/>
                </w:tcPr>
                <w:p w14:paraId="7D52A7A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6BD506C5">
              <w:tblPrEx>
                <w:tblCellMar>
                  <w:top w:w="0" w:type="dxa"/>
                  <w:left w:w="10" w:type="dxa"/>
                  <w:bottom w:w="0" w:type="dxa"/>
                  <w:right w:w="10" w:type="dxa"/>
                </w:tblCellMar>
              </w:tblPrEx>
              <w:trPr>
                <w:trHeight w:val="327" w:hRule="exact"/>
                <w:jc w:val="center"/>
              </w:trPr>
              <w:tc>
                <w:tcPr>
                  <w:tcW w:w="0" w:type="auto"/>
                  <w:vMerge w:val="continue"/>
                  <w:tcBorders>
                    <w:left w:val="single" w:color="auto" w:sz="4" w:space="0"/>
                  </w:tcBorders>
                  <w:shd w:val="clear" w:color="auto" w:fill="FFFFFF"/>
                  <w:vAlign w:val="center"/>
                </w:tcPr>
                <w:p w14:paraId="086E0A5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tcBorders>
                    <w:top w:val="single" w:color="auto" w:sz="4" w:space="0"/>
                    <w:left w:val="single" w:color="auto" w:sz="4" w:space="0"/>
                  </w:tcBorders>
                  <w:shd w:val="clear" w:color="auto" w:fill="FFFFFF"/>
                  <w:vAlign w:val="center"/>
                </w:tcPr>
                <w:p w14:paraId="447583E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09:28</w:t>
                  </w:r>
                </w:p>
              </w:tc>
              <w:tc>
                <w:tcPr>
                  <w:tcW w:w="0" w:type="auto"/>
                  <w:tcBorders>
                    <w:top w:val="single" w:color="auto" w:sz="4" w:space="0"/>
                    <w:left w:val="single" w:color="auto" w:sz="4" w:space="0"/>
                  </w:tcBorders>
                  <w:shd w:val="clear" w:color="auto" w:fill="FFFFFF"/>
                  <w:vAlign w:val="center"/>
                </w:tcPr>
                <w:p w14:paraId="7FB63D7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13:07</w:t>
                  </w:r>
                </w:p>
              </w:tc>
              <w:tc>
                <w:tcPr>
                  <w:tcW w:w="0" w:type="auto"/>
                  <w:tcBorders>
                    <w:top w:val="single" w:color="auto" w:sz="4" w:space="0"/>
                    <w:left w:val="single" w:color="auto" w:sz="4" w:space="0"/>
                    <w:right w:val="single" w:color="auto" w:sz="4" w:space="0"/>
                  </w:tcBorders>
                  <w:shd w:val="clear" w:color="auto" w:fill="FFFFFF"/>
                  <w:vAlign w:val="center"/>
                </w:tcPr>
                <w:p w14:paraId="3061B90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16:29</w:t>
                  </w:r>
                </w:p>
              </w:tc>
              <w:tc>
                <w:tcPr>
                  <w:tcW w:w="0" w:type="auto"/>
                  <w:vMerge w:val="continue"/>
                  <w:tcBorders>
                    <w:left w:val="single" w:color="auto" w:sz="4" w:space="0"/>
                    <w:right w:val="single" w:color="auto" w:sz="4" w:space="0"/>
                  </w:tcBorders>
                  <w:shd w:val="clear" w:color="auto" w:fill="FFFFFF"/>
                  <w:vAlign w:val="center"/>
                </w:tcPr>
                <w:p w14:paraId="224A05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c>
                <w:tcPr>
                  <w:tcW w:w="0" w:type="auto"/>
                  <w:vMerge w:val="continue"/>
                  <w:tcBorders>
                    <w:left w:val="single" w:color="auto" w:sz="4" w:space="0"/>
                    <w:right w:val="single" w:color="auto" w:sz="4" w:space="0"/>
                  </w:tcBorders>
                  <w:shd w:val="clear" w:color="auto" w:fill="FFFFFF"/>
                  <w:vAlign w:val="center"/>
                </w:tcPr>
                <w:p w14:paraId="578263B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r>
            <w:tr w14:paraId="5543EC98">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44DD597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tcBorders>
                    <w:top w:val="single" w:color="auto" w:sz="4" w:space="0"/>
                    <w:left w:val="single" w:color="auto" w:sz="4" w:space="0"/>
                  </w:tcBorders>
                  <w:shd w:val="clear" w:color="auto" w:fill="FFFFFF"/>
                  <w:vAlign w:val="center"/>
                </w:tcPr>
                <w:p w14:paraId="3432AF7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11-08</w:t>
                  </w:r>
                </w:p>
              </w:tc>
              <w:tc>
                <w:tcPr>
                  <w:tcW w:w="0" w:type="auto"/>
                  <w:tcBorders>
                    <w:top w:val="single" w:color="auto" w:sz="4" w:space="0"/>
                    <w:left w:val="single" w:color="auto" w:sz="4" w:space="0"/>
                  </w:tcBorders>
                  <w:shd w:val="clear" w:color="auto" w:fill="FFFFFF"/>
                  <w:vAlign w:val="center"/>
                </w:tcPr>
                <w:p w14:paraId="4B2830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11-09</w:t>
                  </w:r>
                </w:p>
              </w:tc>
              <w:tc>
                <w:tcPr>
                  <w:tcW w:w="0" w:type="auto"/>
                  <w:tcBorders>
                    <w:top w:val="single" w:color="auto" w:sz="4" w:space="0"/>
                    <w:left w:val="single" w:color="auto" w:sz="4" w:space="0"/>
                    <w:right w:val="single" w:color="auto" w:sz="4" w:space="0"/>
                  </w:tcBorders>
                  <w:shd w:val="clear" w:color="auto" w:fill="FFFFFF"/>
                  <w:vAlign w:val="center"/>
                </w:tcPr>
                <w:p w14:paraId="62AF320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DH20221102111-10</w:t>
                  </w:r>
                </w:p>
              </w:tc>
              <w:tc>
                <w:tcPr>
                  <w:tcW w:w="0" w:type="auto"/>
                  <w:vMerge w:val="continue"/>
                  <w:tcBorders>
                    <w:left w:val="single" w:color="auto" w:sz="4" w:space="0"/>
                    <w:right w:val="single" w:color="auto" w:sz="4" w:space="0"/>
                  </w:tcBorders>
                  <w:shd w:val="clear" w:color="auto" w:fill="FFFFFF"/>
                  <w:vAlign w:val="center"/>
                </w:tcPr>
                <w:p w14:paraId="4011644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0" w:type="auto"/>
                  <w:vMerge w:val="continue"/>
                  <w:tcBorders>
                    <w:left w:val="single" w:color="auto" w:sz="4" w:space="0"/>
                    <w:right w:val="single" w:color="auto" w:sz="4" w:space="0"/>
                  </w:tcBorders>
                  <w:shd w:val="clear" w:color="auto" w:fill="FFFFFF"/>
                  <w:vAlign w:val="center"/>
                </w:tcPr>
                <w:p w14:paraId="685D101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698D31F8">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05FA7B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pH </w:t>
                  </w:r>
                  <w:r>
                    <w:rPr>
                      <w:rFonts w:hint="default" w:ascii="Times New Roman" w:hAnsi="Times New Roman" w:eastAsia="宋体" w:cs="Times New Roman"/>
                      <w:color w:val="000000"/>
                      <w:spacing w:val="0"/>
                      <w:w w:val="100"/>
                      <w:position w:val="0"/>
                      <w:lang w:val="zh-TW" w:eastAsia="zh-TW" w:bidi="en-US"/>
                    </w:rPr>
                    <w:t>（无量纲）</w:t>
                  </w:r>
                </w:p>
              </w:tc>
              <w:tc>
                <w:tcPr>
                  <w:tcW w:w="0" w:type="auto"/>
                  <w:tcBorders>
                    <w:top w:val="single" w:color="auto" w:sz="4" w:space="0"/>
                    <w:left w:val="single" w:color="auto" w:sz="4" w:space="0"/>
                  </w:tcBorders>
                  <w:shd w:val="clear" w:color="auto" w:fill="FFFFFF"/>
                  <w:vAlign w:val="center"/>
                </w:tcPr>
                <w:p w14:paraId="2281FF9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6.9</w:t>
                  </w:r>
                </w:p>
              </w:tc>
              <w:tc>
                <w:tcPr>
                  <w:tcW w:w="0" w:type="auto"/>
                  <w:tcBorders>
                    <w:top w:val="single" w:color="auto" w:sz="4" w:space="0"/>
                    <w:left w:val="single" w:color="auto" w:sz="4" w:space="0"/>
                  </w:tcBorders>
                  <w:shd w:val="clear" w:color="auto" w:fill="FFFFFF"/>
                  <w:vAlign w:val="center"/>
                </w:tcPr>
                <w:p w14:paraId="6C02854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7.2</w:t>
                  </w:r>
                </w:p>
              </w:tc>
              <w:tc>
                <w:tcPr>
                  <w:tcW w:w="0" w:type="auto"/>
                  <w:tcBorders>
                    <w:top w:val="single" w:color="auto" w:sz="4" w:space="0"/>
                    <w:left w:val="single" w:color="auto" w:sz="4" w:space="0"/>
                    <w:right w:val="single" w:color="auto" w:sz="4" w:space="0"/>
                  </w:tcBorders>
                  <w:shd w:val="clear" w:color="auto" w:fill="FFFFFF"/>
                  <w:vAlign w:val="center"/>
                </w:tcPr>
                <w:p w14:paraId="35363D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7.1</w:t>
                  </w:r>
                </w:p>
              </w:tc>
              <w:tc>
                <w:tcPr>
                  <w:tcW w:w="0" w:type="auto"/>
                  <w:tcBorders>
                    <w:top w:val="single" w:color="auto" w:sz="4" w:space="0"/>
                    <w:left w:val="single" w:color="auto" w:sz="4" w:space="0"/>
                    <w:right w:val="single" w:color="auto" w:sz="4" w:space="0"/>
                  </w:tcBorders>
                  <w:shd w:val="clear" w:color="auto" w:fill="FFFFFF"/>
                  <w:vAlign w:val="center"/>
                </w:tcPr>
                <w:p w14:paraId="5A414F4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6-9</w:t>
                  </w:r>
                </w:p>
              </w:tc>
              <w:tc>
                <w:tcPr>
                  <w:tcW w:w="0" w:type="auto"/>
                  <w:tcBorders>
                    <w:top w:val="single" w:color="auto" w:sz="4" w:space="0"/>
                    <w:left w:val="single" w:color="auto" w:sz="4" w:space="0"/>
                    <w:right w:val="single" w:color="auto" w:sz="4" w:space="0"/>
                  </w:tcBorders>
                  <w:shd w:val="clear" w:color="auto" w:fill="FFFFFF"/>
                  <w:vAlign w:val="center"/>
                </w:tcPr>
                <w:p w14:paraId="441957B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0AB6366D">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3A99BCA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挥发酚</w:t>
                  </w:r>
                </w:p>
              </w:tc>
              <w:tc>
                <w:tcPr>
                  <w:tcW w:w="0" w:type="auto"/>
                  <w:tcBorders>
                    <w:top w:val="single" w:color="auto" w:sz="4" w:space="0"/>
                    <w:left w:val="single" w:color="auto" w:sz="4" w:space="0"/>
                  </w:tcBorders>
                  <w:shd w:val="clear" w:color="auto" w:fill="FFFFFF"/>
                  <w:vAlign w:val="center"/>
                </w:tcPr>
                <w:p w14:paraId="47F5200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0.0003</w:t>
                  </w:r>
                </w:p>
              </w:tc>
              <w:tc>
                <w:tcPr>
                  <w:tcW w:w="0" w:type="auto"/>
                  <w:tcBorders>
                    <w:top w:val="single" w:color="auto" w:sz="4" w:space="0"/>
                    <w:left w:val="single" w:color="auto" w:sz="4" w:space="0"/>
                  </w:tcBorders>
                  <w:shd w:val="clear" w:color="auto" w:fill="FFFFFF"/>
                  <w:vAlign w:val="center"/>
                </w:tcPr>
                <w:p w14:paraId="32D64E7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&lt;0.0003</w:t>
                  </w:r>
                </w:p>
              </w:tc>
              <w:tc>
                <w:tcPr>
                  <w:tcW w:w="0" w:type="auto"/>
                  <w:tcBorders>
                    <w:top w:val="single" w:color="auto" w:sz="4" w:space="0"/>
                    <w:left w:val="single" w:color="auto" w:sz="4" w:space="0"/>
                    <w:right w:val="single" w:color="auto" w:sz="4" w:space="0"/>
                  </w:tcBorders>
                  <w:shd w:val="clear" w:color="auto" w:fill="FFFFFF"/>
                  <w:vAlign w:val="center"/>
                </w:tcPr>
                <w:p w14:paraId="4E9F79D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&lt;0.0003</w:t>
                  </w:r>
                </w:p>
              </w:tc>
              <w:tc>
                <w:tcPr>
                  <w:tcW w:w="0" w:type="auto"/>
                  <w:tcBorders>
                    <w:top w:val="single" w:color="auto" w:sz="4" w:space="0"/>
                    <w:left w:val="single" w:color="auto" w:sz="4" w:space="0"/>
                    <w:right w:val="single" w:color="auto" w:sz="4" w:space="0"/>
                  </w:tcBorders>
                  <w:shd w:val="clear" w:color="auto" w:fill="FFFFFF"/>
                  <w:vAlign w:val="center"/>
                </w:tcPr>
                <w:p w14:paraId="1C3D610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0.05</w:t>
                  </w:r>
                </w:p>
              </w:tc>
              <w:tc>
                <w:tcPr>
                  <w:tcW w:w="0" w:type="auto"/>
                  <w:tcBorders>
                    <w:top w:val="single" w:color="auto" w:sz="4" w:space="0"/>
                    <w:left w:val="single" w:color="auto" w:sz="4" w:space="0"/>
                    <w:right w:val="single" w:color="auto" w:sz="4" w:space="0"/>
                  </w:tcBorders>
                  <w:shd w:val="clear" w:color="auto" w:fill="FFFFFF"/>
                  <w:vAlign w:val="center"/>
                </w:tcPr>
                <w:p w14:paraId="16B12C0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10574D97">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395896D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氰</w:t>
                  </w:r>
                  <w:r>
                    <w:rPr>
                      <w:rFonts w:hint="default" w:ascii="Times New Roman" w:hAnsi="Times New Roman" w:eastAsia="宋体" w:cs="Times New Roman"/>
                      <w:color w:val="000000"/>
                      <w:spacing w:val="0"/>
                      <w:w w:val="100"/>
                      <w:position w:val="0"/>
                      <w:lang w:val="zh-TW" w:eastAsia="zh-TW" w:bidi="en-US"/>
                    </w:rPr>
                    <w:t>化物</w:t>
                  </w:r>
                </w:p>
              </w:tc>
              <w:tc>
                <w:tcPr>
                  <w:tcW w:w="0" w:type="auto"/>
                  <w:tcBorders>
                    <w:top w:val="single" w:color="auto" w:sz="4" w:space="0"/>
                    <w:left w:val="single" w:color="auto" w:sz="4" w:space="0"/>
                  </w:tcBorders>
                  <w:shd w:val="clear" w:color="auto" w:fill="FFFFFF"/>
                  <w:vAlign w:val="center"/>
                </w:tcPr>
                <w:p w14:paraId="10032CC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0" w:type="auto"/>
                  <w:tcBorders>
                    <w:top w:val="single" w:color="auto" w:sz="4" w:space="0"/>
                    <w:left w:val="single" w:color="auto" w:sz="4" w:space="0"/>
                  </w:tcBorders>
                  <w:shd w:val="clear" w:color="auto" w:fill="FFFFFF"/>
                  <w:vAlign w:val="center"/>
                </w:tcPr>
                <w:p w14:paraId="56CBA2B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0" w:type="auto"/>
                  <w:tcBorders>
                    <w:top w:val="single" w:color="auto" w:sz="4" w:space="0"/>
                    <w:left w:val="single" w:color="auto" w:sz="4" w:space="0"/>
                    <w:right w:val="single" w:color="auto" w:sz="4" w:space="0"/>
                  </w:tcBorders>
                  <w:shd w:val="clear" w:color="auto" w:fill="FFFFFF"/>
                  <w:vAlign w:val="center"/>
                </w:tcPr>
                <w:p w14:paraId="29E1EBA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0" w:type="auto"/>
                  <w:tcBorders>
                    <w:top w:val="single" w:color="auto" w:sz="4" w:space="0"/>
                    <w:left w:val="single" w:color="auto" w:sz="4" w:space="0"/>
                    <w:right w:val="single" w:color="auto" w:sz="4" w:space="0"/>
                  </w:tcBorders>
                  <w:shd w:val="clear" w:color="auto" w:fill="FFFFFF"/>
                  <w:vAlign w:val="center"/>
                </w:tcPr>
                <w:p w14:paraId="082FC62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0.2</w:t>
                  </w:r>
                </w:p>
              </w:tc>
              <w:tc>
                <w:tcPr>
                  <w:tcW w:w="0" w:type="auto"/>
                  <w:tcBorders>
                    <w:top w:val="single" w:color="auto" w:sz="4" w:space="0"/>
                    <w:left w:val="single" w:color="auto" w:sz="4" w:space="0"/>
                    <w:right w:val="single" w:color="auto" w:sz="4" w:space="0"/>
                  </w:tcBorders>
                  <w:shd w:val="clear" w:color="auto" w:fill="FFFFFF"/>
                  <w:vAlign w:val="center"/>
                </w:tcPr>
                <w:p w14:paraId="0A214DC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ADE086D">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6521392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粪大肠菌群</w:t>
                  </w:r>
                  <w:r>
                    <w:rPr>
                      <w:rFonts w:hint="default" w:ascii="Times New Roman" w:hAnsi="Times New Roman" w:eastAsia="宋体" w:cs="Times New Roman"/>
                      <w:color w:val="000000"/>
                      <w:spacing w:val="0"/>
                      <w:w w:val="100"/>
                      <w:position w:val="0"/>
                      <w:lang w:val="en-US" w:eastAsia="en-US" w:bidi="en-US"/>
                    </w:rPr>
                    <w:t>（MPN/L）</w:t>
                  </w:r>
                </w:p>
              </w:tc>
              <w:tc>
                <w:tcPr>
                  <w:tcW w:w="0" w:type="auto"/>
                  <w:tcBorders>
                    <w:top w:val="single" w:color="auto" w:sz="4" w:space="0"/>
                    <w:left w:val="single" w:color="auto" w:sz="4" w:space="0"/>
                  </w:tcBorders>
                  <w:shd w:val="clear" w:color="auto" w:fill="FFFFFF"/>
                  <w:vAlign w:val="center"/>
                </w:tcPr>
                <w:p w14:paraId="132377D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1.7x102</w:t>
                  </w:r>
                </w:p>
              </w:tc>
              <w:tc>
                <w:tcPr>
                  <w:tcW w:w="0" w:type="auto"/>
                  <w:tcBorders>
                    <w:top w:val="single" w:color="auto" w:sz="4" w:space="0"/>
                    <w:left w:val="single" w:color="auto" w:sz="4" w:space="0"/>
                  </w:tcBorders>
                  <w:shd w:val="clear" w:color="auto" w:fill="FFFFFF"/>
                  <w:vAlign w:val="center"/>
                </w:tcPr>
                <w:p w14:paraId="3748809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1.4x102</w:t>
                  </w:r>
                </w:p>
              </w:tc>
              <w:tc>
                <w:tcPr>
                  <w:tcW w:w="0" w:type="auto"/>
                  <w:tcBorders>
                    <w:top w:val="single" w:color="auto" w:sz="4" w:space="0"/>
                    <w:left w:val="single" w:color="auto" w:sz="4" w:space="0"/>
                    <w:right w:val="single" w:color="auto" w:sz="4" w:space="0"/>
                  </w:tcBorders>
                  <w:shd w:val="clear" w:color="auto" w:fill="FFFFFF"/>
                  <w:vAlign w:val="center"/>
                </w:tcPr>
                <w:p w14:paraId="6A057F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2.8x1</w:t>
                  </w:r>
                  <w:r>
                    <w:rPr>
                      <w:rFonts w:hint="default" w:ascii="Times New Roman" w:hAnsi="Times New Roman" w:eastAsia="宋体" w:cs="Times New Roman"/>
                      <w:color w:val="000000"/>
                      <w:spacing w:val="0"/>
                      <w:w w:val="100"/>
                      <w:position w:val="0"/>
                      <w:lang w:val="zh-TW" w:eastAsia="zh-TW" w:bidi="en-US"/>
                    </w:rPr>
                    <w:t>02</w:t>
                  </w:r>
                </w:p>
              </w:tc>
              <w:tc>
                <w:tcPr>
                  <w:tcW w:w="0" w:type="auto"/>
                  <w:tcBorders>
                    <w:top w:val="single" w:color="auto" w:sz="4" w:space="0"/>
                    <w:left w:val="single" w:color="auto" w:sz="4" w:space="0"/>
                    <w:right w:val="single" w:color="auto" w:sz="4" w:space="0"/>
                  </w:tcBorders>
                  <w:shd w:val="clear" w:color="auto" w:fill="FFFFFF"/>
                  <w:vAlign w:val="center"/>
                </w:tcPr>
                <w:p w14:paraId="42A961B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10000</w:t>
                  </w:r>
                </w:p>
              </w:tc>
              <w:tc>
                <w:tcPr>
                  <w:tcW w:w="0" w:type="auto"/>
                  <w:tcBorders>
                    <w:top w:val="single" w:color="auto" w:sz="4" w:space="0"/>
                    <w:left w:val="single" w:color="auto" w:sz="4" w:space="0"/>
                    <w:right w:val="single" w:color="auto" w:sz="4" w:space="0"/>
                  </w:tcBorders>
                  <w:shd w:val="clear" w:color="auto" w:fill="FFFFFF"/>
                  <w:vAlign w:val="center"/>
                </w:tcPr>
                <w:p w14:paraId="6186110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3F02BC95">
              <w:tblPrEx>
                <w:tblCellMar>
                  <w:top w:w="0" w:type="dxa"/>
                  <w:left w:w="10" w:type="dxa"/>
                  <w:bottom w:w="0" w:type="dxa"/>
                  <w:right w:w="10" w:type="dxa"/>
                </w:tblCellMar>
              </w:tblPrEx>
              <w:trPr>
                <w:trHeight w:val="331" w:hRule="exact"/>
                <w:jc w:val="center"/>
              </w:trPr>
              <w:tc>
                <w:tcPr>
                  <w:tcW w:w="0" w:type="auto"/>
                  <w:vMerge w:val="restart"/>
                  <w:tcBorders>
                    <w:top w:val="single" w:color="auto" w:sz="4" w:space="0"/>
                    <w:left w:val="single" w:color="auto" w:sz="4" w:space="0"/>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2C0763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p w14:paraId="37E7E90B">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检测项目</w:t>
                  </w:r>
                </w:p>
                <w:p w14:paraId="25F53FD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点位/时间/</w:t>
                  </w:r>
                </w:p>
                <w:p w14:paraId="223B8DD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编号</w:t>
                  </w:r>
                </w:p>
              </w:tc>
              <w:tc>
                <w:tcPr>
                  <w:tcW w:w="0" w:type="auto"/>
                  <w:gridSpan w:val="3"/>
                  <w:tcBorders>
                    <w:top w:val="single" w:color="auto" w:sz="4" w:space="0"/>
                    <w:left w:val="single" w:color="auto" w:sz="4" w:space="0"/>
                    <w:right w:val="single" w:color="auto" w:sz="4" w:space="0"/>
                  </w:tcBorders>
                  <w:shd w:val="clear" w:color="auto" w:fill="FFFFFF"/>
                  <w:vAlign w:val="center"/>
                </w:tcPr>
                <w:p w14:paraId="36D483C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污染监视井2#</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39029D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标准限值</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0C7A45C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达标情况</w:t>
                  </w:r>
                </w:p>
              </w:tc>
            </w:tr>
            <w:tr w14:paraId="65852721">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409C235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gridSpan w:val="3"/>
                  <w:tcBorders>
                    <w:top w:val="single" w:color="auto" w:sz="4" w:space="0"/>
                    <w:left w:val="single" w:color="auto" w:sz="4" w:space="0"/>
                    <w:right w:val="single" w:color="auto" w:sz="4" w:space="0"/>
                  </w:tcBorders>
                  <w:shd w:val="clear" w:color="auto" w:fill="FFFFFF"/>
                  <w:vAlign w:val="center"/>
                </w:tcPr>
                <w:p w14:paraId="1745C21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2022. 11. </w:t>
                  </w:r>
                  <w:r>
                    <w:rPr>
                      <w:rFonts w:hint="default" w:ascii="Times New Roman" w:hAnsi="Times New Roman" w:eastAsia="宋体" w:cs="Times New Roman"/>
                      <w:color w:val="000000"/>
                      <w:spacing w:val="0"/>
                      <w:w w:val="100"/>
                      <w:position w:val="0"/>
                      <w:lang w:val="zh-TW" w:eastAsia="zh-TW" w:bidi="en-US"/>
                    </w:rPr>
                    <w:t>12</w:t>
                  </w:r>
                </w:p>
              </w:tc>
              <w:tc>
                <w:tcPr>
                  <w:tcW w:w="0" w:type="auto"/>
                  <w:vMerge w:val="continue"/>
                  <w:tcBorders>
                    <w:left w:val="single" w:color="auto" w:sz="4" w:space="0"/>
                    <w:right w:val="single" w:color="auto" w:sz="4" w:space="0"/>
                  </w:tcBorders>
                  <w:shd w:val="clear" w:color="auto" w:fill="FFFFFF"/>
                  <w:vAlign w:val="center"/>
                </w:tcPr>
                <w:p w14:paraId="2E603F3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0" w:type="auto"/>
                  <w:vMerge w:val="continue"/>
                  <w:tcBorders>
                    <w:left w:val="single" w:color="auto" w:sz="4" w:space="0"/>
                    <w:right w:val="single" w:color="auto" w:sz="4" w:space="0"/>
                  </w:tcBorders>
                  <w:shd w:val="clear" w:color="auto" w:fill="FFFFFF"/>
                  <w:vAlign w:val="center"/>
                </w:tcPr>
                <w:p w14:paraId="1423A80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588FE3AE">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36F978E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gridSpan w:val="3"/>
                  <w:tcBorders>
                    <w:top w:val="single" w:color="auto" w:sz="4" w:space="0"/>
                    <w:left w:val="single" w:color="auto" w:sz="4" w:space="0"/>
                    <w:right w:val="single" w:color="auto" w:sz="4" w:space="0"/>
                  </w:tcBorders>
                  <w:shd w:val="clear" w:color="auto" w:fill="FFFFFF"/>
                  <w:vAlign w:val="center"/>
                </w:tcPr>
                <w:p w14:paraId="434FC8D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16:34 （混合样品）</w:t>
                  </w:r>
                </w:p>
              </w:tc>
              <w:tc>
                <w:tcPr>
                  <w:tcW w:w="0" w:type="auto"/>
                  <w:vMerge w:val="continue"/>
                  <w:tcBorders>
                    <w:left w:val="single" w:color="auto" w:sz="4" w:space="0"/>
                    <w:right w:val="single" w:color="auto" w:sz="4" w:space="0"/>
                  </w:tcBorders>
                  <w:shd w:val="clear" w:color="auto" w:fill="FFFFFF"/>
                  <w:vAlign w:val="center"/>
                </w:tcPr>
                <w:p w14:paraId="4D48454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c>
                <w:tcPr>
                  <w:tcW w:w="0" w:type="auto"/>
                  <w:vMerge w:val="continue"/>
                  <w:tcBorders>
                    <w:left w:val="single" w:color="auto" w:sz="4" w:space="0"/>
                    <w:right w:val="single" w:color="auto" w:sz="4" w:space="0"/>
                  </w:tcBorders>
                  <w:shd w:val="clear" w:color="auto" w:fill="FFFFFF"/>
                  <w:vAlign w:val="center"/>
                </w:tcPr>
                <w:p w14:paraId="0B1A850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r>
            <w:tr w14:paraId="07C0A263">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191BF91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gridSpan w:val="3"/>
                  <w:tcBorders>
                    <w:top w:val="single" w:color="auto" w:sz="4" w:space="0"/>
                    <w:left w:val="single" w:color="auto" w:sz="4" w:space="0"/>
                    <w:right w:val="single" w:color="auto" w:sz="4" w:space="0"/>
                  </w:tcBorders>
                  <w:shd w:val="clear" w:color="auto" w:fill="FFFFFF"/>
                  <w:vAlign w:val="center"/>
                </w:tcPr>
                <w:p w14:paraId="16CE938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DH20221102111-11</w:t>
                  </w:r>
                </w:p>
              </w:tc>
              <w:tc>
                <w:tcPr>
                  <w:tcW w:w="0" w:type="auto"/>
                  <w:vMerge w:val="continue"/>
                  <w:tcBorders>
                    <w:left w:val="single" w:color="auto" w:sz="4" w:space="0"/>
                    <w:right w:val="single" w:color="auto" w:sz="4" w:space="0"/>
                  </w:tcBorders>
                  <w:shd w:val="clear" w:color="auto" w:fill="FFFFFF"/>
                  <w:vAlign w:val="center"/>
                </w:tcPr>
                <w:p w14:paraId="43532B6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0" w:type="auto"/>
                  <w:vMerge w:val="continue"/>
                  <w:tcBorders>
                    <w:left w:val="single" w:color="auto" w:sz="4" w:space="0"/>
                    <w:right w:val="single" w:color="auto" w:sz="4" w:space="0"/>
                  </w:tcBorders>
                  <w:shd w:val="clear" w:color="auto" w:fill="FFFFFF"/>
                  <w:vAlign w:val="center"/>
                </w:tcPr>
                <w:p w14:paraId="3FE98BE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78E38062">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3D809EE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总硬度</w:t>
                  </w:r>
                </w:p>
              </w:tc>
              <w:tc>
                <w:tcPr>
                  <w:tcW w:w="0" w:type="auto"/>
                  <w:gridSpan w:val="3"/>
                  <w:tcBorders>
                    <w:top w:val="single" w:color="auto" w:sz="4" w:space="0"/>
                    <w:left w:val="single" w:color="auto" w:sz="4" w:space="0"/>
                    <w:right w:val="single" w:color="auto" w:sz="4" w:space="0"/>
                  </w:tcBorders>
                  <w:shd w:val="clear" w:color="auto" w:fill="FFFFFF"/>
                  <w:vAlign w:val="center"/>
                </w:tcPr>
                <w:p w14:paraId="5A78A1E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64.8</w:t>
                  </w:r>
                </w:p>
              </w:tc>
              <w:tc>
                <w:tcPr>
                  <w:tcW w:w="0" w:type="auto"/>
                  <w:tcBorders>
                    <w:top w:val="single" w:color="auto" w:sz="4" w:space="0"/>
                    <w:left w:val="single" w:color="auto" w:sz="4" w:space="0"/>
                    <w:right w:val="single" w:color="auto" w:sz="4" w:space="0"/>
                  </w:tcBorders>
                  <w:shd w:val="clear" w:color="auto" w:fill="FFFFFF"/>
                  <w:vAlign w:val="center"/>
                </w:tcPr>
                <w:p w14:paraId="7B6A52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450</w:t>
                  </w:r>
                </w:p>
              </w:tc>
              <w:tc>
                <w:tcPr>
                  <w:tcW w:w="0" w:type="auto"/>
                  <w:tcBorders>
                    <w:top w:val="single" w:color="auto" w:sz="4" w:space="0"/>
                    <w:left w:val="single" w:color="auto" w:sz="4" w:space="0"/>
                    <w:right w:val="single" w:color="auto" w:sz="4" w:space="0"/>
                  </w:tcBorders>
                  <w:shd w:val="clear" w:color="auto" w:fill="FFFFFF"/>
                  <w:vAlign w:val="center"/>
                </w:tcPr>
                <w:p w14:paraId="34461F4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r w14:paraId="40173282">
              <w:tblPrEx>
                <w:tblCellMar>
                  <w:top w:w="0" w:type="dxa"/>
                  <w:left w:w="10" w:type="dxa"/>
                  <w:bottom w:w="0" w:type="dxa"/>
                  <w:right w:w="10" w:type="dxa"/>
                </w:tblCellMar>
              </w:tblPrEx>
              <w:trPr>
                <w:trHeight w:val="318" w:hRule="exact"/>
                <w:jc w:val="center"/>
              </w:trPr>
              <w:tc>
                <w:tcPr>
                  <w:tcW w:w="0" w:type="auto"/>
                  <w:tcBorders>
                    <w:top w:val="single" w:color="auto" w:sz="4" w:space="0"/>
                    <w:left w:val="single" w:color="auto" w:sz="4" w:space="0"/>
                  </w:tcBorders>
                  <w:shd w:val="clear" w:color="auto" w:fill="FFFFFF"/>
                  <w:vAlign w:val="center"/>
                </w:tcPr>
                <w:p w14:paraId="48953A5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溶解性总固体</w:t>
                  </w:r>
                </w:p>
              </w:tc>
              <w:tc>
                <w:tcPr>
                  <w:tcW w:w="0" w:type="auto"/>
                  <w:gridSpan w:val="3"/>
                  <w:tcBorders>
                    <w:top w:val="single" w:color="auto" w:sz="4" w:space="0"/>
                    <w:left w:val="single" w:color="auto" w:sz="4" w:space="0"/>
                    <w:right w:val="single" w:color="auto" w:sz="4" w:space="0"/>
                  </w:tcBorders>
                  <w:shd w:val="clear" w:color="auto" w:fill="FFFFFF"/>
                  <w:vAlign w:val="center"/>
                </w:tcPr>
                <w:p w14:paraId="5E0C8E5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95</w:t>
                  </w:r>
                </w:p>
              </w:tc>
              <w:tc>
                <w:tcPr>
                  <w:tcW w:w="0" w:type="auto"/>
                  <w:tcBorders>
                    <w:top w:val="single" w:color="auto" w:sz="4" w:space="0"/>
                    <w:left w:val="single" w:color="auto" w:sz="4" w:space="0"/>
                    <w:right w:val="single" w:color="auto" w:sz="4" w:space="0"/>
                  </w:tcBorders>
                  <w:shd w:val="clear" w:color="auto" w:fill="FFFFFF"/>
                  <w:vAlign w:val="center"/>
                </w:tcPr>
                <w:p w14:paraId="59C9247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1000</w:t>
                  </w:r>
                </w:p>
              </w:tc>
              <w:tc>
                <w:tcPr>
                  <w:tcW w:w="0" w:type="auto"/>
                  <w:tcBorders>
                    <w:top w:val="single" w:color="auto" w:sz="4" w:space="0"/>
                    <w:left w:val="single" w:color="auto" w:sz="4" w:space="0"/>
                    <w:right w:val="single" w:color="auto" w:sz="4" w:space="0"/>
                  </w:tcBorders>
                  <w:shd w:val="clear" w:color="auto" w:fill="FFFFFF"/>
                  <w:vAlign w:val="center"/>
                </w:tcPr>
                <w:p w14:paraId="01FD320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w:t>
                  </w:r>
                </w:p>
              </w:tc>
            </w:tr>
            <w:tr w14:paraId="53B7E39A">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16A37A5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高</w:t>
                  </w:r>
                  <w:r>
                    <w:rPr>
                      <w:rFonts w:hint="default" w:ascii="Times New Roman" w:hAnsi="Times New Roman" w:eastAsia="宋体" w:cs="Times New Roman"/>
                      <w:color w:val="000000"/>
                      <w:spacing w:val="0"/>
                      <w:w w:val="100"/>
                      <w:position w:val="0"/>
                      <w:lang w:val="en-US" w:eastAsia="zh-CN" w:bidi="en-US"/>
                    </w:rPr>
                    <w:t>锰</w:t>
                  </w:r>
                  <w:r>
                    <w:rPr>
                      <w:rFonts w:hint="default" w:ascii="Times New Roman" w:hAnsi="Times New Roman" w:eastAsia="宋体" w:cs="Times New Roman"/>
                      <w:color w:val="000000"/>
                      <w:spacing w:val="0"/>
                      <w:w w:val="100"/>
                      <w:position w:val="0"/>
                      <w:lang w:val="zh-TW" w:eastAsia="zh-TW" w:bidi="en-US"/>
                    </w:rPr>
                    <w:t>酸盐指数</w:t>
                  </w:r>
                </w:p>
              </w:tc>
              <w:tc>
                <w:tcPr>
                  <w:tcW w:w="0" w:type="auto"/>
                  <w:gridSpan w:val="3"/>
                  <w:tcBorders>
                    <w:top w:val="single" w:color="auto" w:sz="4" w:space="0"/>
                    <w:left w:val="single" w:color="auto" w:sz="4" w:space="0"/>
                    <w:right w:val="single" w:color="auto" w:sz="4" w:space="0"/>
                  </w:tcBorders>
                  <w:shd w:val="clear" w:color="auto" w:fill="FFFFFF"/>
                  <w:vAlign w:val="center"/>
                </w:tcPr>
                <w:p w14:paraId="77D5AA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3.3</w:t>
                  </w:r>
                </w:p>
              </w:tc>
              <w:tc>
                <w:tcPr>
                  <w:tcW w:w="0" w:type="auto"/>
                  <w:tcBorders>
                    <w:top w:val="single" w:color="auto" w:sz="4" w:space="0"/>
                    <w:left w:val="single" w:color="auto" w:sz="4" w:space="0"/>
                    <w:right w:val="single" w:color="auto" w:sz="4" w:space="0"/>
                  </w:tcBorders>
                  <w:shd w:val="clear" w:color="auto" w:fill="FFFFFF"/>
                  <w:vAlign w:val="center"/>
                </w:tcPr>
                <w:p w14:paraId="172F3AB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6</w:t>
                  </w:r>
                </w:p>
              </w:tc>
              <w:tc>
                <w:tcPr>
                  <w:tcW w:w="0" w:type="auto"/>
                  <w:tcBorders>
                    <w:top w:val="single" w:color="auto" w:sz="4" w:space="0"/>
                    <w:left w:val="single" w:color="auto" w:sz="4" w:space="0"/>
                    <w:right w:val="single" w:color="auto" w:sz="4" w:space="0"/>
                  </w:tcBorders>
                  <w:shd w:val="clear" w:color="auto" w:fill="FFFFFF"/>
                  <w:vAlign w:val="center"/>
                </w:tcPr>
                <w:p w14:paraId="1961913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27D1CE97">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20610D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硝酸盐</w:t>
                  </w:r>
                </w:p>
              </w:tc>
              <w:tc>
                <w:tcPr>
                  <w:tcW w:w="0" w:type="auto"/>
                  <w:gridSpan w:val="3"/>
                  <w:tcBorders>
                    <w:top w:val="single" w:color="auto" w:sz="4" w:space="0"/>
                    <w:left w:val="single" w:color="auto" w:sz="4" w:space="0"/>
                    <w:right w:val="single" w:color="auto" w:sz="4" w:space="0"/>
                  </w:tcBorders>
                  <w:shd w:val="clear" w:color="auto" w:fill="FFFFFF"/>
                  <w:vAlign w:val="center"/>
                </w:tcPr>
                <w:p w14:paraId="4E33067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0.59</w:t>
                  </w:r>
                </w:p>
              </w:tc>
              <w:tc>
                <w:tcPr>
                  <w:tcW w:w="0" w:type="auto"/>
                  <w:tcBorders>
                    <w:top w:val="single" w:color="auto" w:sz="4" w:space="0"/>
                    <w:left w:val="single" w:color="auto" w:sz="4" w:space="0"/>
                    <w:right w:val="single" w:color="auto" w:sz="4" w:space="0"/>
                  </w:tcBorders>
                  <w:shd w:val="clear" w:color="auto" w:fill="FFFFFF"/>
                  <w:vAlign w:val="center"/>
                </w:tcPr>
                <w:p w14:paraId="7F985E2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20</w:t>
                  </w:r>
                </w:p>
              </w:tc>
              <w:tc>
                <w:tcPr>
                  <w:tcW w:w="0" w:type="auto"/>
                  <w:tcBorders>
                    <w:top w:val="single" w:color="auto" w:sz="4" w:space="0"/>
                    <w:left w:val="single" w:color="auto" w:sz="4" w:space="0"/>
                    <w:right w:val="single" w:color="auto" w:sz="4" w:space="0"/>
                  </w:tcBorders>
                  <w:shd w:val="clear" w:color="auto" w:fill="FFFFFF"/>
                  <w:vAlign w:val="center"/>
                </w:tcPr>
                <w:p w14:paraId="6CEED99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3B727389">
              <w:tblPrEx>
                <w:tblCellMar>
                  <w:top w:w="0" w:type="dxa"/>
                  <w:left w:w="10" w:type="dxa"/>
                  <w:bottom w:w="0" w:type="dxa"/>
                  <w:right w:w="10" w:type="dxa"/>
                </w:tblCellMar>
              </w:tblPrEx>
              <w:trPr>
                <w:trHeight w:val="318" w:hRule="exact"/>
                <w:jc w:val="center"/>
              </w:trPr>
              <w:tc>
                <w:tcPr>
                  <w:tcW w:w="0" w:type="auto"/>
                  <w:tcBorders>
                    <w:top w:val="single" w:color="auto" w:sz="4" w:space="0"/>
                    <w:left w:val="single" w:color="auto" w:sz="4" w:space="0"/>
                  </w:tcBorders>
                  <w:shd w:val="clear" w:color="auto" w:fill="FFFFFF"/>
                  <w:vAlign w:val="center"/>
                </w:tcPr>
                <w:p w14:paraId="3D43EB7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亚硝酸盐</w:t>
                  </w:r>
                </w:p>
              </w:tc>
              <w:tc>
                <w:tcPr>
                  <w:tcW w:w="0" w:type="auto"/>
                  <w:gridSpan w:val="3"/>
                  <w:tcBorders>
                    <w:top w:val="single" w:color="auto" w:sz="4" w:space="0"/>
                    <w:left w:val="single" w:color="auto" w:sz="4" w:space="0"/>
                    <w:right w:val="single" w:color="auto" w:sz="4" w:space="0"/>
                  </w:tcBorders>
                  <w:shd w:val="clear" w:color="auto" w:fill="FFFFFF"/>
                  <w:vAlign w:val="center"/>
                </w:tcPr>
                <w:p w14:paraId="66121B9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&lt;0.003</w:t>
                  </w:r>
                </w:p>
              </w:tc>
              <w:tc>
                <w:tcPr>
                  <w:tcW w:w="0" w:type="auto"/>
                  <w:tcBorders>
                    <w:top w:val="single" w:color="auto" w:sz="4" w:space="0"/>
                    <w:left w:val="single" w:color="auto" w:sz="4" w:space="0"/>
                    <w:right w:val="single" w:color="auto" w:sz="4" w:space="0"/>
                  </w:tcBorders>
                  <w:shd w:val="clear" w:color="auto" w:fill="FFFFFF"/>
                  <w:vAlign w:val="center"/>
                </w:tcPr>
                <w:p w14:paraId="540B65B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0" w:type="auto"/>
                  <w:tcBorders>
                    <w:top w:val="single" w:color="auto" w:sz="4" w:space="0"/>
                    <w:left w:val="single" w:color="auto" w:sz="4" w:space="0"/>
                    <w:right w:val="single" w:color="auto" w:sz="4" w:space="0"/>
                  </w:tcBorders>
                  <w:shd w:val="clear" w:color="auto" w:fill="FFFFFF"/>
                  <w:vAlign w:val="center"/>
                </w:tcPr>
                <w:p w14:paraId="7ABBD3C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66333C35">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64592FA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氨氮</w:t>
                  </w:r>
                </w:p>
              </w:tc>
              <w:tc>
                <w:tcPr>
                  <w:tcW w:w="0" w:type="auto"/>
                  <w:gridSpan w:val="3"/>
                  <w:tcBorders>
                    <w:top w:val="single" w:color="auto" w:sz="4" w:space="0"/>
                    <w:left w:val="single" w:color="auto" w:sz="4" w:space="0"/>
                    <w:right w:val="single" w:color="auto" w:sz="4" w:space="0"/>
                  </w:tcBorders>
                  <w:shd w:val="clear" w:color="auto" w:fill="FFFFFF"/>
                  <w:vAlign w:val="center"/>
                </w:tcPr>
                <w:p w14:paraId="54BB49C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0.117</w:t>
                  </w:r>
                </w:p>
              </w:tc>
              <w:tc>
                <w:tcPr>
                  <w:tcW w:w="0" w:type="auto"/>
                  <w:tcBorders>
                    <w:top w:val="single" w:color="auto" w:sz="4" w:space="0"/>
                    <w:left w:val="single" w:color="auto" w:sz="4" w:space="0"/>
                    <w:right w:val="single" w:color="auto" w:sz="4" w:space="0"/>
                  </w:tcBorders>
                  <w:shd w:val="clear" w:color="auto" w:fill="FFFFFF"/>
                  <w:vAlign w:val="center"/>
                </w:tcPr>
                <w:p w14:paraId="609A995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0" w:type="auto"/>
                  <w:tcBorders>
                    <w:top w:val="single" w:color="auto" w:sz="4" w:space="0"/>
                    <w:left w:val="single" w:color="auto" w:sz="4" w:space="0"/>
                    <w:right w:val="single" w:color="auto" w:sz="4" w:space="0"/>
                  </w:tcBorders>
                  <w:shd w:val="clear" w:color="auto" w:fill="FFFFFF"/>
                  <w:vAlign w:val="center"/>
                </w:tcPr>
                <w:p w14:paraId="2551A7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85C6B38">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1F27E64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硫酸盐</w:t>
                  </w:r>
                </w:p>
              </w:tc>
              <w:tc>
                <w:tcPr>
                  <w:tcW w:w="0" w:type="auto"/>
                  <w:gridSpan w:val="3"/>
                  <w:tcBorders>
                    <w:top w:val="single" w:color="auto" w:sz="4" w:space="0"/>
                    <w:left w:val="single" w:color="auto" w:sz="4" w:space="0"/>
                    <w:right w:val="single" w:color="auto" w:sz="4" w:space="0"/>
                  </w:tcBorders>
                  <w:shd w:val="clear" w:color="auto" w:fill="FFFFFF"/>
                  <w:vAlign w:val="center"/>
                </w:tcPr>
                <w:p w14:paraId="23E7C5E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&lt;8</w:t>
                  </w:r>
                </w:p>
              </w:tc>
              <w:tc>
                <w:tcPr>
                  <w:tcW w:w="0" w:type="auto"/>
                  <w:tcBorders>
                    <w:top w:val="single" w:color="auto" w:sz="4" w:space="0"/>
                    <w:left w:val="single" w:color="auto" w:sz="4" w:space="0"/>
                    <w:right w:val="single" w:color="auto" w:sz="4" w:space="0"/>
                  </w:tcBorders>
                  <w:shd w:val="clear" w:color="auto" w:fill="FFFFFF"/>
                  <w:vAlign w:val="center"/>
                </w:tcPr>
                <w:p w14:paraId="4E3222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250</w:t>
                  </w:r>
                </w:p>
              </w:tc>
              <w:tc>
                <w:tcPr>
                  <w:tcW w:w="0" w:type="auto"/>
                  <w:tcBorders>
                    <w:top w:val="single" w:color="auto" w:sz="4" w:space="0"/>
                    <w:left w:val="single" w:color="auto" w:sz="4" w:space="0"/>
                    <w:right w:val="single" w:color="auto" w:sz="4" w:space="0"/>
                  </w:tcBorders>
                  <w:shd w:val="clear" w:color="auto" w:fill="FFFFFF"/>
                  <w:vAlign w:val="center"/>
                </w:tcPr>
                <w:p w14:paraId="585F41A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w:t>
                  </w:r>
                </w:p>
              </w:tc>
            </w:tr>
            <w:tr w14:paraId="599B33A6">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7F612C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氯化物</w:t>
                  </w:r>
                </w:p>
              </w:tc>
              <w:tc>
                <w:tcPr>
                  <w:tcW w:w="0" w:type="auto"/>
                  <w:gridSpan w:val="3"/>
                  <w:tcBorders>
                    <w:top w:val="single" w:color="auto" w:sz="4" w:space="0"/>
                    <w:left w:val="single" w:color="auto" w:sz="4" w:space="0"/>
                    <w:right w:val="single" w:color="auto" w:sz="4" w:space="0"/>
                  </w:tcBorders>
                  <w:shd w:val="clear" w:color="auto" w:fill="FFFFFF"/>
                  <w:vAlign w:val="center"/>
                </w:tcPr>
                <w:p w14:paraId="79FBDEF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2.6</w:t>
                  </w:r>
                </w:p>
              </w:tc>
              <w:tc>
                <w:tcPr>
                  <w:tcW w:w="0" w:type="auto"/>
                  <w:tcBorders>
                    <w:top w:val="single" w:color="auto" w:sz="4" w:space="0"/>
                    <w:left w:val="single" w:color="auto" w:sz="4" w:space="0"/>
                    <w:right w:val="single" w:color="auto" w:sz="4" w:space="0"/>
                  </w:tcBorders>
                  <w:shd w:val="clear" w:color="auto" w:fill="FFFFFF"/>
                  <w:vAlign w:val="center"/>
                </w:tcPr>
                <w:p w14:paraId="08FA227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250</w:t>
                  </w:r>
                </w:p>
              </w:tc>
              <w:tc>
                <w:tcPr>
                  <w:tcW w:w="0" w:type="auto"/>
                  <w:tcBorders>
                    <w:top w:val="single" w:color="auto" w:sz="4" w:space="0"/>
                    <w:left w:val="single" w:color="auto" w:sz="4" w:space="0"/>
                    <w:right w:val="single" w:color="auto" w:sz="4" w:space="0"/>
                  </w:tcBorders>
                  <w:shd w:val="clear" w:color="auto" w:fill="FFFFFF"/>
                  <w:vAlign w:val="center"/>
                </w:tcPr>
                <w:p w14:paraId="324C7A8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3CC7D18F">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04A2FE6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六价铭</w:t>
                  </w:r>
                </w:p>
              </w:tc>
              <w:tc>
                <w:tcPr>
                  <w:tcW w:w="0" w:type="auto"/>
                  <w:gridSpan w:val="3"/>
                  <w:tcBorders>
                    <w:top w:val="single" w:color="auto" w:sz="4" w:space="0"/>
                    <w:left w:val="single" w:color="auto" w:sz="4" w:space="0"/>
                    <w:right w:val="single" w:color="auto" w:sz="4" w:space="0"/>
                  </w:tcBorders>
                  <w:shd w:val="clear" w:color="auto" w:fill="FFFFFF"/>
                  <w:vAlign w:val="center"/>
                </w:tcPr>
                <w:p w14:paraId="6189F39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&lt;0.004</w:t>
                  </w:r>
                </w:p>
              </w:tc>
              <w:tc>
                <w:tcPr>
                  <w:tcW w:w="0" w:type="auto"/>
                  <w:tcBorders>
                    <w:top w:val="single" w:color="auto" w:sz="4" w:space="0"/>
                    <w:left w:val="single" w:color="auto" w:sz="4" w:space="0"/>
                    <w:right w:val="single" w:color="auto" w:sz="4" w:space="0"/>
                  </w:tcBorders>
                  <w:shd w:val="clear" w:color="auto" w:fill="FFFFFF"/>
                  <w:vAlign w:val="center"/>
                </w:tcPr>
                <w:p w14:paraId="5A94751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0.05</w:t>
                  </w:r>
                </w:p>
              </w:tc>
              <w:tc>
                <w:tcPr>
                  <w:tcW w:w="0" w:type="auto"/>
                  <w:tcBorders>
                    <w:top w:val="single" w:color="auto" w:sz="4" w:space="0"/>
                    <w:left w:val="single" w:color="auto" w:sz="4" w:space="0"/>
                    <w:right w:val="single" w:color="auto" w:sz="4" w:space="0"/>
                  </w:tcBorders>
                  <w:shd w:val="clear" w:color="auto" w:fill="FFFFFF"/>
                  <w:vAlign w:val="center"/>
                </w:tcPr>
                <w:p w14:paraId="66E1B17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25689B28">
              <w:tblPrEx>
                <w:tblCellMar>
                  <w:top w:w="0" w:type="dxa"/>
                  <w:left w:w="10" w:type="dxa"/>
                  <w:bottom w:w="0" w:type="dxa"/>
                  <w:right w:w="10" w:type="dxa"/>
                </w:tblCellMar>
              </w:tblPrEx>
              <w:trPr>
                <w:trHeight w:val="327" w:hRule="exact"/>
                <w:jc w:val="center"/>
              </w:trPr>
              <w:tc>
                <w:tcPr>
                  <w:tcW w:w="0" w:type="auto"/>
                  <w:tcBorders>
                    <w:top w:val="single" w:color="auto" w:sz="4" w:space="0"/>
                    <w:left w:val="single" w:color="auto" w:sz="4" w:space="0"/>
                  </w:tcBorders>
                  <w:shd w:val="clear" w:color="auto" w:fill="FFFFFF"/>
                  <w:vAlign w:val="center"/>
                </w:tcPr>
                <w:p w14:paraId="6FDF06B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氟化物</w:t>
                  </w:r>
                </w:p>
              </w:tc>
              <w:tc>
                <w:tcPr>
                  <w:tcW w:w="0" w:type="auto"/>
                  <w:gridSpan w:val="3"/>
                  <w:tcBorders>
                    <w:top w:val="single" w:color="auto" w:sz="4" w:space="0"/>
                    <w:left w:val="single" w:color="auto" w:sz="4" w:space="0"/>
                    <w:right w:val="single" w:color="auto" w:sz="4" w:space="0"/>
                  </w:tcBorders>
                  <w:shd w:val="clear" w:color="auto" w:fill="FFFFFF"/>
                  <w:vAlign w:val="center"/>
                </w:tcPr>
                <w:p w14:paraId="4ABC5F8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0.86</w:t>
                  </w:r>
                </w:p>
              </w:tc>
              <w:tc>
                <w:tcPr>
                  <w:tcW w:w="0" w:type="auto"/>
                  <w:tcBorders>
                    <w:top w:val="single" w:color="auto" w:sz="4" w:space="0"/>
                    <w:left w:val="single" w:color="auto" w:sz="4" w:space="0"/>
                    <w:right w:val="single" w:color="auto" w:sz="4" w:space="0"/>
                  </w:tcBorders>
                  <w:shd w:val="clear" w:color="auto" w:fill="FFFFFF"/>
                  <w:vAlign w:val="center"/>
                </w:tcPr>
                <w:p w14:paraId="7F6BAC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0" w:type="auto"/>
                  <w:tcBorders>
                    <w:top w:val="single" w:color="auto" w:sz="4" w:space="0"/>
                    <w:left w:val="single" w:color="auto" w:sz="4" w:space="0"/>
                    <w:right w:val="single" w:color="auto" w:sz="4" w:space="0"/>
                  </w:tcBorders>
                  <w:shd w:val="clear" w:color="auto" w:fill="FFFFFF"/>
                  <w:vAlign w:val="center"/>
                </w:tcPr>
                <w:p w14:paraId="49F1C6F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41B85A53">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312F32E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铜</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0" w:type="auto"/>
                  <w:gridSpan w:val="3"/>
                  <w:tcBorders>
                    <w:top w:val="single" w:color="auto" w:sz="4" w:space="0"/>
                    <w:left w:val="single" w:color="auto" w:sz="4" w:space="0"/>
                    <w:right w:val="single" w:color="auto" w:sz="4" w:space="0"/>
                  </w:tcBorders>
                  <w:shd w:val="clear" w:color="auto" w:fill="FFFFFF"/>
                  <w:vAlign w:val="center"/>
                </w:tcPr>
                <w:p w14:paraId="3E5A5DA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6.84</w:t>
                  </w:r>
                </w:p>
              </w:tc>
              <w:tc>
                <w:tcPr>
                  <w:tcW w:w="0" w:type="auto"/>
                  <w:tcBorders>
                    <w:top w:val="single" w:color="auto" w:sz="4" w:space="0"/>
                    <w:left w:val="single" w:color="auto" w:sz="4" w:space="0"/>
                    <w:right w:val="single" w:color="auto" w:sz="4" w:space="0"/>
                  </w:tcBorders>
                  <w:shd w:val="clear" w:color="auto" w:fill="FFFFFF"/>
                  <w:vAlign w:val="center"/>
                </w:tcPr>
                <w:p w14:paraId="5B303E1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0" w:type="auto"/>
                  <w:tcBorders>
                    <w:top w:val="single" w:color="auto" w:sz="4" w:space="0"/>
                    <w:left w:val="single" w:color="auto" w:sz="4" w:space="0"/>
                    <w:right w:val="single" w:color="auto" w:sz="4" w:space="0"/>
                  </w:tcBorders>
                  <w:shd w:val="clear" w:color="auto" w:fill="FFFFFF"/>
                  <w:vAlign w:val="center"/>
                </w:tcPr>
                <w:p w14:paraId="23516CE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5BC34D0E">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0EB1BC7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锌</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0" w:type="auto"/>
                  <w:gridSpan w:val="3"/>
                  <w:tcBorders>
                    <w:top w:val="single" w:color="auto" w:sz="4" w:space="0"/>
                    <w:left w:val="single" w:color="auto" w:sz="4" w:space="0"/>
                    <w:right w:val="single" w:color="auto" w:sz="4" w:space="0"/>
                  </w:tcBorders>
                  <w:shd w:val="clear" w:color="auto" w:fill="FFFFFF"/>
                  <w:vAlign w:val="center"/>
                </w:tcPr>
                <w:p w14:paraId="3ACD54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67.1</w:t>
                  </w:r>
                </w:p>
              </w:tc>
              <w:tc>
                <w:tcPr>
                  <w:tcW w:w="0" w:type="auto"/>
                  <w:tcBorders>
                    <w:top w:val="single" w:color="auto" w:sz="4" w:space="0"/>
                    <w:left w:val="single" w:color="auto" w:sz="4" w:space="0"/>
                    <w:right w:val="single" w:color="auto" w:sz="4" w:space="0"/>
                  </w:tcBorders>
                  <w:shd w:val="clear" w:color="auto" w:fill="FFFFFF"/>
                  <w:vAlign w:val="center"/>
                </w:tcPr>
                <w:p w14:paraId="2FBB1BA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1.0</w:t>
                  </w:r>
                </w:p>
              </w:tc>
              <w:tc>
                <w:tcPr>
                  <w:tcW w:w="0" w:type="auto"/>
                  <w:tcBorders>
                    <w:top w:val="single" w:color="auto" w:sz="4" w:space="0"/>
                    <w:left w:val="single" w:color="auto" w:sz="4" w:space="0"/>
                    <w:right w:val="single" w:color="auto" w:sz="4" w:space="0"/>
                  </w:tcBorders>
                  <w:shd w:val="clear" w:color="auto" w:fill="FFFFFF"/>
                  <w:vAlign w:val="center"/>
                </w:tcPr>
                <w:p w14:paraId="69F5426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5509B9E7">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5F5AE32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镉</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0" w:type="auto"/>
                  <w:gridSpan w:val="3"/>
                  <w:tcBorders>
                    <w:top w:val="single" w:color="auto" w:sz="4" w:space="0"/>
                    <w:left w:val="single" w:color="auto" w:sz="4" w:space="0"/>
                    <w:right w:val="single" w:color="auto" w:sz="4" w:space="0"/>
                  </w:tcBorders>
                  <w:shd w:val="clear" w:color="auto" w:fill="FFFFFF"/>
                  <w:vAlign w:val="center"/>
                </w:tcPr>
                <w:p w14:paraId="5C78FF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0.11</w:t>
                  </w:r>
                </w:p>
              </w:tc>
              <w:tc>
                <w:tcPr>
                  <w:tcW w:w="0" w:type="auto"/>
                  <w:tcBorders>
                    <w:top w:val="single" w:color="auto" w:sz="4" w:space="0"/>
                    <w:left w:val="single" w:color="auto" w:sz="4" w:space="0"/>
                    <w:right w:val="single" w:color="auto" w:sz="4" w:space="0"/>
                  </w:tcBorders>
                  <w:shd w:val="clear" w:color="auto" w:fill="FFFFFF"/>
                  <w:vAlign w:val="center"/>
                </w:tcPr>
                <w:p w14:paraId="75B64D2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0.005</w:t>
                  </w:r>
                </w:p>
              </w:tc>
              <w:tc>
                <w:tcPr>
                  <w:tcW w:w="0" w:type="auto"/>
                  <w:tcBorders>
                    <w:top w:val="single" w:color="auto" w:sz="4" w:space="0"/>
                    <w:left w:val="single" w:color="auto" w:sz="4" w:space="0"/>
                    <w:right w:val="single" w:color="auto" w:sz="4" w:space="0"/>
                  </w:tcBorders>
                  <w:shd w:val="clear" w:color="auto" w:fill="FFFFFF"/>
                  <w:vAlign w:val="center"/>
                </w:tcPr>
                <w:p w14:paraId="6DA0B9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2CE95796">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5780C1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铅</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0" w:type="auto"/>
                  <w:gridSpan w:val="3"/>
                  <w:tcBorders>
                    <w:top w:val="single" w:color="auto" w:sz="4" w:space="0"/>
                    <w:left w:val="single" w:color="auto" w:sz="4" w:space="0"/>
                    <w:right w:val="single" w:color="auto" w:sz="4" w:space="0"/>
                  </w:tcBorders>
                  <w:shd w:val="clear" w:color="auto" w:fill="FFFFFF"/>
                  <w:vAlign w:val="center"/>
                </w:tcPr>
                <w:p w14:paraId="3C099B6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1.49</w:t>
                  </w:r>
                </w:p>
              </w:tc>
              <w:tc>
                <w:tcPr>
                  <w:tcW w:w="0" w:type="auto"/>
                  <w:tcBorders>
                    <w:top w:val="single" w:color="auto" w:sz="4" w:space="0"/>
                    <w:left w:val="single" w:color="auto" w:sz="4" w:space="0"/>
                    <w:right w:val="single" w:color="auto" w:sz="4" w:space="0"/>
                  </w:tcBorders>
                  <w:shd w:val="clear" w:color="auto" w:fill="FFFFFF"/>
                  <w:vAlign w:val="center"/>
                </w:tcPr>
                <w:p w14:paraId="04B6679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0.05</w:t>
                  </w:r>
                </w:p>
              </w:tc>
              <w:tc>
                <w:tcPr>
                  <w:tcW w:w="0" w:type="auto"/>
                  <w:tcBorders>
                    <w:top w:val="single" w:color="auto" w:sz="4" w:space="0"/>
                    <w:left w:val="single" w:color="auto" w:sz="4" w:space="0"/>
                    <w:right w:val="single" w:color="auto" w:sz="4" w:space="0"/>
                  </w:tcBorders>
                  <w:shd w:val="clear" w:color="auto" w:fill="FFFFFF"/>
                  <w:vAlign w:val="center"/>
                </w:tcPr>
                <w:p w14:paraId="0E2C4EB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051350E6">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39C9D29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铁</w:t>
                  </w:r>
                </w:p>
              </w:tc>
              <w:tc>
                <w:tcPr>
                  <w:tcW w:w="0" w:type="auto"/>
                  <w:gridSpan w:val="3"/>
                  <w:tcBorders>
                    <w:top w:val="single" w:color="auto" w:sz="4" w:space="0"/>
                    <w:left w:val="single" w:color="auto" w:sz="4" w:space="0"/>
                    <w:right w:val="single" w:color="auto" w:sz="4" w:space="0"/>
                  </w:tcBorders>
                  <w:shd w:val="clear" w:color="auto" w:fill="FFFFFF"/>
                  <w:vAlign w:val="center"/>
                </w:tcPr>
                <w:p w14:paraId="25866F4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0.66</w:t>
                  </w:r>
                </w:p>
              </w:tc>
              <w:tc>
                <w:tcPr>
                  <w:tcW w:w="0" w:type="auto"/>
                  <w:tcBorders>
                    <w:top w:val="single" w:color="auto" w:sz="4" w:space="0"/>
                    <w:left w:val="single" w:color="auto" w:sz="4" w:space="0"/>
                    <w:right w:val="single" w:color="auto" w:sz="4" w:space="0"/>
                  </w:tcBorders>
                  <w:shd w:val="clear" w:color="auto" w:fill="FFFFFF"/>
                  <w:vAlign w:val="center"/>
                </w:tcPr>
                <w:p w14:paraId="512A0E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0.3</w:t>
                  </w:r>
                </w:p>
              </w:tc>
              <w:tc>
                <w:tcPr>
                  <w:tcW w:w="0" w:type="auto"/>
                  <w:tcBorders>
                    <w:top w:val="single" w:color="auto" w:sz="4" w:space="0"/>
                    <w:left w:val="single" w:color="auto" w:sz="4" w:space="0"/>
                    <w:right w:val="single" w:color="auto" w:sz="4" w:space="0"/>
                  </w:tcBorders>
                  <w:shd w:val="clear" w:color="auto" w:fill="FFFFFF"/>
                  <w:vAlign w:val="center"/>
                </w:tcPr>
                <w:p w14:paraId="07DB2A9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5CEE0B12">
              <w:tblPrEx>
                <w:tblCellMar>
                  <w:top w:w="0" w:type="dxa"/>
                  <w:left w:w="10" w:type="dxa"/>
                  <w:bottom w:w="0" w:type="dxa"/>
                  <w:right w:w="10" w:type="dxa"/>
                </w:tblCellMar>
              </w:tblPrEx>
              <w:trPr>
                <w:trHeight w:val="318" w:hRule="exact"/>
                <w:jc w:val="center"/>
              </w:trPr>
              <w:tc>
                <w:tcPr>
                  <w:tcW w:w="0" w:type="auto"/>
                  <w:tcBorders>
                    <w:top w:val="single" w:color="auto" w:sz="4" w:space="0"/>
                    <w:left w:val="single" w:color="auto" w:sz="4" w:space="0"/>
                  </w:tcBorders>
                  <w:shd w:val="clear" w:color="auto" w:fill="FFFFFF"/>
                  <w:vAlign w:val="center"/>
                </w:tcPr>
                <w:p w14:paraId="6D71974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锰</w:t>
                  </w:r>
                </w:p>
              </w:tc>
              <w:tc>
                <w:tcPr>
                  <w:tcW w:w="0" w:type="auto"/>
                  <w:gridSpan w:val="3"/>
                  <w:tcBorders>
                    <w:top w:val="single" w:color="auto" w:sz="4" w:space="0"/>
                    <w:left w:val="single" w:color="auto" w:sz="4" w:space="0"/>
                    <w:right w:val="single" w:color="auto" w:sz="4" w:space="0"/>
                  </w:tcBorders>
                  <w:shd w:val="clear" w:color="auto" w:fill="FFFFFF"/>
                  <w:vAlign w:val="center"/>
                </w:tcPr>
                <w:p w14:paraId="6800795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0.65</w:t>
                  </w:r>
                </w:p>
              </w:tc>
              <w:tc>
                <w:tcPr>
                  <w:tcW w:w="0" w:type="auto"/>
                  <w:tcBorders>
                    <w:top w:val="single" w:color="auto" w:sz="4" w:space="0"/>
                    <w:left w:val="single" w:color="auto" w:sz="4" w:space="0"/>
                    <w:right w:val="single" w:color="auto" w:sz="4" w:space="0"/>
                  </w:tcBorders>
                  <w:shd w:val="clear" w:color="auto" w:fill="FFFFFF"/>
                  <w:vAlign w:val="center"/>
                </w:tcPr>
                <w:p w14:paraId="70DBEB9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0.1</w:t>
                  </w:r>
                </w:p>
              </w:tc>
              <w:tc>
                <w:tcPr>
                  <w:tcW w:w="0" w:type="auto"/>
                  <w:tcBorders>
                    <w:top w:val="single" w:color="auto" w:sz="4" w:space="0"/>
                    <w:left w:val="single" w:color="auto" w:sz="4" w:space="0"/>
                    <w:right w:val="single" w:color="auto" w:sz="4" w:space="0"/>
                  </w:tcBorders>
                  <w:shd w:val="clear" w:color="auto" w:fill="FFFFFF"/>
                  <w:vAlign w:val="center"/>
                </w:tcPr>
                <w:p w14:paraId="79FC691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1C776D7C">
              <w:tblPrEx>
                <w:tblCellMar>
                  <w:top w:w="0" w:type="dxa"/>
                  <w:left w:w="10" w:type="dxa"/>
                  <w:bottom w:w="0" w:type="dxa"/>
                  <w:right w:w="10" w:type="dxa"/>
                </w:tblCellMar>
              </w:tblPrEx>
              <w:trPr>
                <w:trHeight w:val="322" w:hRule="exact"/>
                <w:jc w:val="center"/>
              </w:trPr>
              <w:tc>
                <w:tcPr>
                  <w:tcW w:w="0" w:type="auto"/>
                  <w:tcBorders>
                    <w:top w:val="single" w:color="auto" w:sz="4" w:space="0"/>
                    <w:left w:val="single" w:color="auto" w:sz="4" w:space="0"/>
                  </w:tcBorders>
                  <w:shd w:val="clear" w:color="auto" w:fill="FFFFFF"/>
                  <w:vAlign w:val="center"/>
                </w:tcPr>
                <w:p w14:paraId="20EDD5F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砷</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0" w:type="auto"/>
                  <w:gridSpan w:val="3"/>
                  <w:tcBorders>
                    <w:top w:val="single" w:color="auto" w:sz="4" w:space="0"/>
                    <w:left w:val="single" w:color="auto" w:sz="4" w:space="0"/>
                    <w:right w:val="single" w:color="auto" w:sz="4" w:space="0"/>
                  </w:tcBorders>
                  <w:shd w:val="clear" w:color="auto" w:fill="FFFFFF"/>
                  <w:vAlign w:val="center"/>
                </w:tcPr>
                <w:p w14:paraId="502E892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&lt;0.3</w:t>
                  </w:r>
                </w:p>
              </w:tc>
              <w:tc>
                <w:tcPr>
                  <w:tcW w:w="0" w:type="auto"/>
                  <w:tcBorders>
                    <w:top w:val="single" w:color="auto" w:sz="4" w:space="0"/>
                    <w:left w:val="single" w:color="auto" w:sz="4" w:space="0"/>
                    <w:right w:val="single" w:color="auto" w:sz="4" w:space="0"/>
                  </w:tcBorders>
                  <w:shd w:val="clear" w:color="auto" w:fill="FFFFFF"/>
                  <w:vAlign w:val="center"/>
                </w:tcPr>
                <w:p w14:paraId="109422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0.01</w:t>
                  </w:r>
                </w:p>
              </w:tc>
              <w:tc>
                <w:tcPr>
                  <w:tcW w:w="0" w:type="auto"/>
                  <w:tcBorders>
                    <w:top w:val="single" w:color="auto" w:sz="4" w:space="0"/>
                    <w:left w:val="single" w:color="auto" w:sz="4" w:space="0"/>
                    <w:right w:val="single" w:color="auto" w:sz="4" w:space="0"/>
                  </w:tcBorders>
                  <w:shd w:val="clear" w:color="auto" w:fill="FFFFFF"/>
                  <w:vAlign w:val="center"/>
                </w:tcPr>
                <w:p w14:paraId="4B5DD3A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109E75F6">
              <w:tblPrEx>
                <w:tblCellMar>
                  <w:top w:w="0" w:type="dxa"/>
                  <w:left w:w="10" w:type="dxa"/>
                  <w:bottom w:w="0" w:type="dxa"/>
                  <w:right w:w="10" w:type="dxa"/>
                </w:tblCellMar>
              </w:tblPrEx>
              <w:trPr>
                <w:trHeight w:val="334" w:hRule="exact"/>
                <w:jc w:val="center"/>
              </w:trPr>
              <w:tc>
                <w:tcPr>
                  <w:tcW w:w="0" w:type="auto"/>
                  <w:tcBorders>
                    <w:top w:val="single" w:color="auto" w:sz="4" w:space="0"/>
                    <w:left w:val="single" w:color="auto" w:sz="4" w:space="0"/>
                  </w:tcBorders>
                  <w:shd w:val="clear" w:color="auto" w:fill="FFFFFF"/>
                  <w:vAlign w:val="center"/>
                </w:tcPr>
                <w:p w14:paraId="2212210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汞</w:t>
                  </w:r>
                  <w:r>
                    <w:rPr>
                      <w:rFonts w:hint="default" w:ascii="Times New Roman" w:hAnsi="Times New Roman" w:eastAsia="宋体" w:cs="Times New Roman"/>
                      <w:color w:val="000000"/>
                      <w:spacing w:val="0"/>
                      <w:w w:val="100"/>
                      <w:position w:val="0"/>
                      <w:lang w:val="zh-TW" w:eastAsia="zh-CN" w:bidi="en-US"/>
                    </w:rPr>
                    <w:t>（</w:t>
                  </w:r>
                  <w:r>
                    <w:rPr>
                      <w:rFonts w:hint="default" w:ascii="Times New Roman" w:hAnsi="Times New Roman" w:eastAsia="宋体" w:cs="Times New Roman"/>
                      <w:color w:val="000000"/>
                      <w:spacing w:val="0"/>
                      <w:w w:val="100"/>
                      <w:position w:val="0"/>
                      <w:lang w:val="en-US" w:eastAsia="en-US" w:bidi="en-US"/>
                    </w:rPr>
                    <w:t>ug/L</w:t>
                  </w:r>
                  <w:r>
                    <w:rPr>
                      <w:rFonts w:hint="default" w:ascii="Times New Roman" w:hAnsi="Times New Roman" w:eastAsia="宋体" w:cs="Times New Roman"/>
                      <w:color w:val="000000"/>
                      <w:spacing w:val="0"/>
                      <w:w w:val="100"/>
                      <w:position w:val="0"/>
                      <w:lang w:val="zh-TW" w:eastAsia="zh-CN" w:bidi="en-US"/>
                    </w:rPr>
                    <w:t>）</w:t>
                  </w:r>
                </w:p>
              </w:tc>
              <w:tc>
                <w:tcPr>
                  <w:tcW w:w="0" w:type="auto"/>
                  <w:gridSpan w:val="3"/>
                  <w:tcBorders>
                    <w:top w:val="single" w:color="auto" w:sz="4" w:space="0"/>
                    <w:left w:val="single" w:color="auto" w:sz="4" w:space="0"/>
                    <w:right w:val="single" w:color="auto" w:sz="4" w:space="0"/>
                  </w:tcBorders>
                  <w:shd w:val="clear" w:color="auto" w:fill="FFFFFF"/>
                  <w:vAlign w:val="center"/>
                </w:tcPr>
                <w:p w14:paraId="7AC27E6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&lt;0.04</w:t>
                  </w:r>
                </w:p>
              </w:tc>
              <w:tc>
                <w:tcPr>
                  <w:tcW w:w="0" w:type="auto"/>
                  <w:tcBorders>
                    <w:top w:val="single" w:color="auto" w:sz="4" w:space="0"/>
                    <w:left w:val="single" w:color="auto" w:sz="4" w:space="0"/>
                    <w:right w:val="single" w:color="auto" w:sz="4" w:space="0"/>
                  </w:tcBorders>
                  <w:shd w:val="clear" w:color="auto" w:fill="FFFFFF"/>
                  <w:vAlign w:val="center"/>
                </w:tcPr>
                <w:p w14:paraId="03903EA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0.0001</w:t>
                  </w:r>
                </w:p>
              </w:tc>
              <w:tc>
                <w:tcPr>
                  <w:tcW w:w="0" w:type="auto"/>
                  <w:tcBorders>
                    <w:top w:val="single" w:color="auto" w:sz="4" w:space="0"/>
                    <w:left w:val="single" w:color="auto" w:sz="4" w:space="0"/>
                    <w:right w:val="single" w:color="auto" w:sz="4" w:space="0"/>
                  </w:tcBorders>
                  <w:shd w:val="clear" w:color="auto" w:fill="FFFFFF"/>
                  <w:vAlign w:val="center"/>
                </w:tcPr>
                <w:p w14:paraId="672BFE0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r>
                    <w:rPr>
                      <w:rFonts w:hint="default" w:ascii="Times New Roman" w:hAnsi="Times New Roman" w:eastAsia="宋体" w:cs="Times New Roman"/>
                      <w:color w:val="000000"/>
                      <w:spacing w:val="0"/>
                      <w:w w:val="100"/>
                      <w:position w:val="0"/>
                      <w:lang w:val="en-US" w:eastAsia="zh-CN" w:bidi="en-US"/>
                    </w:rPr>
                    <w:t>达标</w:t>
                  </w:r>
                </w:p>
              </w:tc>
            </w:tr>
            <w:tr w14:paraId="5CA97177">
              <w:tblPrEx>
                <w:tblCellMar>
                  <w:top w:w="0" w:type="dxa"/>
                  <w:left w:w="10" w:type="dxa"/>
                  <w:bottom w:w="0" w:type="dxa"/>
                  <w:right w:w="10" w:type="dxa"/>
                </w:tblCellMar>
              </w:tblPrEx>
              <w:trPr>
                <w:trHeight w:val="327" w:hRule="exact"/>
                <w:jc w:val="center"/>
              </w:trPr>
              <w:tc>
                <w:tcPr>
                  <w:tcW w:w="0" w:type="auto"/>
                  <w:vMerge w:val="restart"/>
                  <w:tcBorders>
                    <w:top w:val="single" w:color="auto" w:sz="4" w:space="0"/>
                    <w:left w:val="single" w:color="auto" w:sz="4" w:space="0"/>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682370E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p w14:paraId="3F419101">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检测项目</w:t>
                  </w:r>
                </w:p>
                <w:p w14:paraId="70FAD67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点位/时间/</w:t>
                  </w:r>
                </w:p>
                <w:p w14:paraId="54203B0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编号</w:t>
                  </w:r>
                </w:p>
              </w:tc>
              <w:tc>
                <w:tcPr>
                  <w:tcW w:w="0" w:type="auto"/>
                  <w:gridSpan w:val="3"/>
                  <w:tcBorders>
                    <w:top w:val="single" w:color="auto" w:sz="4" w:space="0"/>
                    <w:left w:val="single" w:color="auto" w:sz="4" w:space="0"/>
                    <w:right w:val="single" w:color="auto" w:sz="4" w:space="0"/>
                  </w:tcBorders>
                  <w:shd w:val="clear" w:color="auto" w:fill="FFFFFF"/>
                  <w:vAlign w:val="center"/>
                </w:tcPr>
                <w:p w14:paraId="2870394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污染监视井2#</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04899FF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标准限值</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167FB0D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r>
                    <w:rPr>
                      <w:rFonts w:hint="default" w:ascii="Times New Roman" w:hAnsi="Times New Roman" w:eastAsia="宋体" w:cs="Times New Roman"/>
                      <w:color w:val="000000"/>
                      <w:spacing w:val="0"/>
                      <w:w w:val="100"/>
                      <w:position w:val="0"/>
                      <w:lang w:val="en-US" w:eastAsia="zh-CN" w:bidi="en-US"/>
                    </w:rPr>
                    <w:t>达标情况</w:t>
                  </w:r>
                </w:p>
              </w:tc>
            </w:tr>
            <w:tr w14:paraId="78399702">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2E570B0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gridSpan w:val="3"/>
                  <w:tcBorders>
                    <w:top w:val="single" w:color="auto" w:sz="4" w:space="0"/>
                    <w:left w:val="single" w:color="auto" w:sz="4" w:space="0"/>
                    <w:right w:val="single" w:color="auto" w:sz="4" w:space="0"/>
                  </w:tcBorders>
                  <w:shd w:val="clear" w:color="auto" w:fill="FFFFFF"/>
                  <w:vAlign w:val="center"/>
                </w:tcPr>
                <w:p w14:paraId="09DCC0C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2022. 11.28</w:t>
                  </w:r>
                </w:p>
              </w:tc>
              <w:tc>
                <w:tcPr>
                  <w:tcW w:w="0" w:type="auto"/>
                  <w:vMerge w:val="continue"/>
                  <w:tcBorders>
                    <w:left w:val="single" w:color="auto" w:sz="4" w:space="0"/>
                    <w:right w:val="single" w:color="auto" w:sz="4" w:space="0"/>
                  </w:tcBorders>
                  <w:shd w:val="clear" w:color="auto" w:fill="FFFFFF"/>
                  <w:vAlign w:val="center"/>
                </w:tcPr>
                <w:p w14:paraId="543A69B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0" w:type="auto"/>
                  <w:vMerge w:val="continue"/>
                  <w:tcBorders>
                    <w:left w:val="single" w:color="auto" w:sz="4" w:space="0"/>
                    <w:right w:val="single" w:color="auto" w:sz="4" w:space="0"/>
                  </w:tcBorders>
                  <w:shd w:val="clear" w:color="auto" w:fill="FFFFFF"/>
                  <w:vAlign w:val="center"/>
                </w:tcPr>
                <w:p w14:paraId="775E59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318F94BD">
              <w:tblPrEx>
                <w:tblCellMar>
                  <w:top w:w="0" w:type="dxa"/>
                  <w:left w:w="10" w:type="dxa"/>
                  <w:bottom w:w="0" w:type="dxa"/>
                  <w:right w:w="10" w:type="dxa"/>
                </w:tblCellMar>
              </w:tblPrEx>
              <w:trPr>
                <w:trHeight w:val="334" w:hRule="exact"/>
                <w:jc w:val="center"/>
              </w:trPr>
              <w:tc>
                <w:tcPr>
                  <w:tcW w:w="0" w:type="auto"/>
                  <w:vMerge w:val="continue"/>
                  <w:tcBorders>
                    <w:left w:val="single" w:color="auto" w:sz="4" w:space="0"/>
                  </w:tcBorders>
                  <w:shd w:val="clear" w:color="auto" w:fill="FFFFFF"/>
                  <w:vAlign w:val="center"/>
                </w:tcPr>
                <w:p w14:paraId="36F0785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tcBorders>
                    <w:top w:val="single" w:color="auto" w:sz="4" w:space="0"/>
                    <w:left w:val="single" w:color="auto" w:sz="4" w:space="0"/>
                  </w:tcBorders>
                  <w:shd w:val="clear" w:color="auto" w:fill="FFFFFF"/>
                  <w:vAlign w:val="center"/>
                </w:tcPr>
                <w:p w14:paraId="0A1D35B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09:49</w:t>
                  </w:r>
                </w:p>
              </w:tc>
              <w:tc>
                <w:tcPr>
                  <w:tcW w:w="0" w:type="auto"/>
                  <w:tcBorders>
                    <w:top w:val="single" w:color="auto" w:sz="4" w:space="0"/>
                    <w:left w:val="single" w:color="auto" w:sz="4" w:space="0"/>
                  </w:tcBorders>
                  <w:shd w:val="clear" w:color="auto" w:fill="FFFFFF"/>
                  <w:vAlign w:val="center"/>
                </w:tcPr>
                <w:p w14:paraId="7C00275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13:55</w:t>
                  </w:r>
                </w:p>
              </w:tc>
              <w:tc>
                <w:tcPr>
                  <w:tcW w:w="0" w:type="auto"/>
                  <w:tcBorders>
                    <w:top w:val="single" w:color="auto" w:sz="4" w:space="0"/>
                    <w:left w:val="single" w:color="auto" w:sz="4" w:space="0"/>
                    <w:right w:val="single" w:color="auto" w:sz="4" w:space="0"/>
                  </w:tcBorders>
                  <w:shd w:val="clear" w:color="auto" w:fill="FFFFFF"/>
                  <w:vAlign w:val="center"/>
                </w:tcPr>
                <w:p w14:paraId="0678630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zh-TW" w:eastAsia="zh-TW" w:bidi="en-US"/>
                    </w:rPr>
                    <w:t>17:04</w:t>
                  </w:r>
                </w:p>
              </w:tc>
              <w:tc>
                <w:tcPr>
                  <w:tcW w:w="0" w:type="auto"/>
                  <w:vMerge w:val="continue"/>
                  <w:tcBorders>
                    <w:left w:val="single" w:color="auto" w:sz="4" w:space="0"/>
                    <w:right w:val="single" w:color="auto" w:sz="4" w:space="0"/>
                  </w:tcBorders>
                  <w:shd w:val="clear" w:color="auto" w:fill="FFFFFF"/>
                  <w:vAlign w:val="center"/>
                </w:tcPr>
                <w:p w14:paraId="66AF3FC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c>
                <w:tcPr>
                  <w:tcW w:w="0" w:type="auto"/>
                  <w:vMerge w:val="continue"/>
                  <w:tcBorders>
                    <w:left w:val="single" w:color="auto" w:sz="4" w:space="0"/>
                    <w:right w:val="single" w:color="auto" w:sz="4" w:space="0"/>
                  </w:tcBorders>
                  <w:shd w:val="clear" w:color="auto" w:fill="FFFFFF"/>
                  <w:vAlign w:val="center"/>
                </w:tcPr>
                <w:p w14:paraId="36E3C3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zh-TW" w:eastAsia="zh-TW" w:bidi="en-US"/>
                    </w:rPr>
                  </w:pPr>
                </w:p>
              </w:tc>
            </w:tr>
            <w:tr w14:paraId="2102B02E">
              <w:tblPrEx>
                <w:tblCellMar>
                  <w:top w:w="0" w:type="dxa"/>
                  <w:left w:w="10" w:type="dxa"/>
                  <w:bottom w:w="0" w:type="dxa"/>
                  <w:right w:w="10" w:type="dxa"/>
                </w:tblCellMar>
              </w:tblPrEx>
              <w:trPr>
                <w:trHeight w:val="331" w:hRule="exact"/>
                <w:jc w:val="center"/>
              </w:trPr>
              <w:tc>
                <w:tcPr>
                  <w:tcW w:w="0" w:type="auto"/>
                  <w:vMerge w:val="continue"/>
                  <w:tcBorders>
                    <w:left w:val="single" w:color="auto" w:sz="4" w:space="0"/>
                  </w:tcBorders>
                  <w:shd w:val="clear" w:color="auto" w:fill="FFFFFF"/>
                  <w:vAlign w:val="center"/>
                </w:tcPr>
                <w:p w14:paraId="1CDB7FB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p>
              </w:tc>
              <w:tc>
                <w:tcPr>
                  <w:tcW w:w="0" w:type="auto"/>
                  <w:tcBorders>
                    <w:top w:val="single" w:color="auto" w:sz="4" w:space="0"/>
                    <w:left w:val="single" w:color="auto" w:sz="4" w:space="0"/>
                  </w:tcBorders>
                  <w:shd w:val="clear" w:color="auto" w:fill="FFFFFF"/>
                  <w:vAlign w:val="center"/>
                </w:tcPr>
                <w:p w14:paraId="21DC4FA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w:t>
                  </w:r>
                  <w:r>
                    <w:rPr>
                      <w:rFonts w:hint="default" w:ascii="Times New Roman" w:hAnsi="Times New Roman" w:eastAsia="宋体" w:cs="Times New Roman"/>
                      <w:color w:val="000000"/>
                      <w:spacing w:val="0"/>
                      <w:w w:val="100"/>
                      <w:position w:val="0"/>
                      <w:lang w:val="zh-TW" w:eastAsia="zh-TW" w:bidi="en-US"/>
                    </w:rPr>
                    <w:t>1021</w:t>
                  </w:r>
                  <w:r>
                    <w:rPr>
                      <w:rFonts w:hint="default" w:ascii="Times New Roman" w:hAnsi="Times New Roman" w:eastAsia="宋体" w:cs="Times New Roman"/>
                      <w:color w:val="000000"/>
                      <w:spacing w:val="0"/>
                      <w:w w:val="100"/>
                      <w:position w:val="0"/>
                      <w:lang w:val="en-US" w:eastAsia="en-US" w:bidi="en-US"/>
                    </w:rPr>
                    <w:t>11-38</w:t>
                  </w:r>
                </w:p>
              </w:tc>
              <w:tc>
                <w:tcPr>
                  <w:tcW w:w="0" w:type="auto"/>
                  <w:tcBorders>
                    <w:top w:val="single" w:color="auto" w:sz="4" w:space="0"/>
                    <w:left w:val="single" w:color="auto" w:sz="4" w:space="0"/>
                  </w:tcBorders>
                  <w:shd w:val="clear" w:color="auto" w:fill="FFFFFF"/>
                  <w:vAlign w:val="center"/>
                </w:tcPr>
                <w:p w14:paraId="0C8A873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DH20221102111-39</w:t>
                  </w:r>
                </w:p>
              </w:tc>
              <w:tc>
                <w:tcPr>
                  <w:tcW w:w="0" w:type="auto"/>
                  <w:tcBorders>
                    <w:top w:val="single" w:color="auto" w:sz="4" w:space="0"/>
                    <w:left w:val="single" w:color="auto" w:sz="4" w:space="0"/>
                    <w:right w:val="single" w:color="auto" w:sz="4" w:space="0"/>
                  </w:tcBorders>
                  <w:shd w:val="clear" w:color="auto" w:fill="FFFFFF"/>
                  <w:vAlign w:val="center"/>
                </w:tcPr>
                <w:p w14:paraId="6C232D4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DH20221102111-40</w:t>
                  </w:r>
                </w:p>
              </w:tc>
              <w:tc>
                <w:tcPr>
                  <w:tcW w:w="0" w:type="auto"/>
                  <w:vMerge w:val="continue"/>
                  <w:tcBorders>
                    <w:left w:val="single" w:color="auto" w:sz="4" w:space="0"/>
                    <w:right w:val="single" w:color="auto" w:sz="4" w:space="0"/>
                  </w:tcBorders>
                  <w:shd w:val="clear" w:color="auto" w:fill="FFFFFF"/>
                  <w:vAlign w:val="center"/>
                </w:tcPr>
                <w:p w14:paraId="551417B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c>
                <w:tcPr>
                  <w:tcW w:w="0" w:type="auto"/>
                  <w:vMerge w:val="continue"/>
                  <w:tcBorders>
                    <w:left w:val="single" w:color="auto" w:sz="4" w:space="0"/>
                    <w:right w:val="single" w:color="auto" w:sz="4" w:space="0"/>
                  </w:tcBorders>
                  <w:shd w:val="clear" w:color="auto" w:fill="FFFFFF"/>
                  <w:vAlign w:val="center"/>
                </w:tcPr>
                <w:p w14:paraId="0F19787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en-US" w:bidi="en-US"/>
                    </w:rPr>
                  </w:pPr>
                </w:p>
              </w:tc>
            </w:tr>
            <w:tr w14:paraId="607E8E65">
              <w:tblPrEx>
                <w:tblCellMar>
                  <w:top w:w="0" w:type="dxa"/>
                  <w:left w:w="10" w:type="dxa"/>
                  <w:bottom w:w="0" w:type="dxa"/>
                  <w:right w:w="10" w:type="dxa"/>
                </w:tblCellMar>
              </w:tblPrEx>
              <w:trPr>
                <w:trHeight w:val="500" w:hRule="exact"/>
                <w:jc w:val="center"/>
              </w:trPr>
              <w:tc>
                <w:tcPr>
                  <w:tcW w:w="0" w:type="auto"/>
                  <w:tcBorders>
                    <w:top w:val="single" w:color="auto" w:sz="4" w:space="0"/>
                    <w:left w:val="single" w:color="auto" w:sz="4" w:space="0"/>
                    <w:bottom w:val="single" w:color="auto" w:sz="4" w:space="0"/>
                  </w:tcBorders>
                  <w:shd w:val="clear" w:color="auto" w:fill="FFFFFF"/>
                  <w:vAlign w:val="center"/>
                </w:tcPr>
                <w:p w14:paraId="2EE710F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 xml:space="preserve">pH </w:t>
                  </w:r>
                  <w:r>
                    <w:rPr>
                      <w:rFonts w:hint="default" w:ascii="Times New Roman" w:hAnsi="Times New Roman" w:eastAsia="宋体" w:cs="Times New Roman"/>
                      <w:color w:val="000000"/>
                      <w:spacing w:val="0"/>
                      <w:w w:val="100"/>
                      <w:position w:val="0"/>
                      <w:lang w:val="zh-TW" w:eastAsia="zh-TW" w:bidi="en-US"/>
                    </w:rPr>
                    <w:t>（无量纲）</w:t>
                  </w:r>
                </w:p>
              </w:tc>
              <w:tc>
                <w:tcPr>
                  <w:tcW w:w="0" w:type="auto"/>
                  <w:tcBorders>
                    <w:top w:val="single" w:color="auto" w:sz="4" w:space="0"/>
                    <w:left w:val="single" w:color="auto" w:sz="4" w:space="0"/>
                    <w:bottom w:val="single" w:color="auto" w:sz="4" w:space="0"/>
                  </w:tcBorders>
                  <w:shd w:val="clear" w:color="auto" w:fill="FFFFFF"/>
                  <w:vAlign w:val="center"/>
                </w:tcPr>
                <w:p w14:paraId="6D230B4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7.3</w:t>
                  </w:r>
                </w:p>
              </w:tc>
              <w:tc>
                <w:tcPr>
                  <w:tcW w:w="0" w:type="auto"/>
                  <w:tcBorders>
                    <w:top w:val="single" w:color="auto" w:sz="4" w:space="0"/>
                    <w:left w:val="single" w:color="auto" w:sz="4" w:space="0"/>
                    <w:bottom w:val="single" w:color="auto" w:sz="4" w:space="0"/>
                  </w:tcBorders>
                  <w:shd w:val="clear" w:color="auto" w:fill="FFFFFF"/>
                  <w:vAlign w:val="center"/>
                </w:tcPr>
                <w:p w14:paraId="6F422D9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7.0</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7A786F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en-US" w:bidi="en-US"/>
                    </w:rPr>
                    <w:t>7.1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0A496C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6-9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EE3A26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lang w:val="en-US" w:eastAsia="zh-CN" w:bidi="en-US"/>
                    </w:rPr>
                  </w:pPr>
                  <w:r>
                    <w:rPr>
                      <w:rFonts w:hint="default" w:ascii="Times New Roman" w:hAnsi="Times New Roman" w:eastAsia="宋体" w:cs="Times New Roman"/>
                      <w:color w:val="000000"/>
                      <w:spacing w:val="0"/>
                      <w:w w:val="100"/>
                      <w:position w:val="0"/>
                      <w:lang w:val="en-US" w:eastAsia="zh-CN" w:bidi="en-US"/>
                    </w:rPr>
                    <w:t>达标</w:t>
                  </w:r>
                </w:p>
              </w:tc>
            </w:tr>
          </w:tbl>
          <w:p w14:paraId="03DE6957">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3-13 本底井</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7"/>
              <w:tblW w:w="911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 w:type="dxa"/>
                <w:bottom w:w="0" w:type="dxa"/>
                <w:right w:w="10" w:type="dxa"/>
              </w:tblCellMar>
            </w:tblPr>
            <w:tblGrid>
              <w:gridCol w:w="2145"/>
              <w:gridCol w:w="1747"/>
              <w:gridCol w:w="1747"/>
              <w:gridCol w:w="1747"/>
              <w:gridCol w:w="866"/>
              <w:gridCol w:w="866"/>
            </w:tblGrid>
            <w:tr w14:paraId="0D0F2B1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746C943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388A4251">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22B05E5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29152F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2826757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本底井</w:t>
                  </w:r>
                </w:p>
              </w:tc>
              <w:tc>
                <w:tcPr>
                  <w:tcW w:w="0" w:type="auto"/>
                  <w:vMerge w:val="restart"/>
                  <w:tcBorders>
                    <w:tl2br w:val="nil"/>
                    <w:tr2bl w:val="nil"/>
                  </w:tcBorders>
                  <w:shd w:val="clear" w:color="auto" w:fill="FFFFFF"/>
                  <w:vAlign w:val="center"/>
                </w:tcPr>
                <w:p w14:paraId="0DEC1F2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标准限值</w:t>
                  </w:r>
                </w:p>
              </w:tc>
              <w:tc>
                <w:tcPr>
                  <w:tcW w:w="0" w:type="auto"/>
                  <w:vMerge w:val="restart"/>
                  <w:tcBorders>
                    <w:tl2br w:val="nil"/>
                    <w:tr2bl w:val="nil"/>
                  </w:tcBorders>
                  <w:shd w:val="clear" w:color="auto" w:fill="FFFFFF"/>
                  <w:vAlign w:val="center"/>
                </w:tcPr>
                <w:p w14:paraId="1E8A368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达标情况</w:t>
                  </w:r>
                </w:p>
              </w:tc>
            </w:tr>
            <w:tr w14:paraId="054F1DB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continue"/>
                  <w:tcBorders>
                    <w:tl2br w:val="nil"/>
                    <w:tr2bl w:val="nil"/>
                  </w:tcBorders>
                  <w:shd w:val="clear" w:color="auto" w:fill="FFFFFF"/>
                  <w:vAlign w:val="center"/>
                </w:tcPr>
                <w:p w14:paraId="2A2AE12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gridSpan w:val="3"/>
                  <w:tcBorders>
                    <w:tl2br w:val="nil"/>
                    <w:tr2bl w:val="nil"/>
                  </w:tcBorders>
                  <w:shd w:val="clear" w:color="auto" w:fill="FFFFFF"/>
                  <w:vAlign w:val="center"/>
                </w:tcPr>
                <w:p w14:paraId="4E49BBD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 xml:space="preserve">2022. 11. </w:t>
                  </w:r>
                  <w:r>
                    <w:rPr>
                      <w:rFonts w:hint="default" w:ascii="Times New Roman" w:hAnsi="Times New Roman" w:eastAsia="宋体" w:cs="Times New Roman"/>
                      <w:color w:val="000000"/>
                      <w:spacing w:val="0"/>
                      <w:w w:val="100"/>
                      <w:position w:val="0"/>
                      <w:sz w:val="21"/>
                      <w:szCs w:val="21"/>
                      <w:lang w:val="zh-TW" w:eastAsia="zh-TW" w:bidi="en-US"/>
                    </w:rPr>
                    <w:t>12</w:t>
                  </w:r>
                </w:p>
              </w:tc>
              <w:tc>
                <w:tcPr>
                  <w:tcW w:w="0" w:type="auto"/>
                  <w:vMerge w:val="continue"/>
                  <w:tcBorders>
                    <w:tl2br w:val="nil"/>
                    <w:tr2bl w:val="nil"/>
                  </w:tcBorders>
                  <w:shd w:val="clear" w:color="auto" w:fill="FFFFFF"/>
                  <w:vAlign w:val="center"/>
                </w:tcPr>
                <w:p w14:paraId="16DFDE7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1C9A073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7C3019A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continue"/>
                  <w:tcBorders>
                    <w:tl2br w:val="nil"/>
                    <w:tr2bl w:val="nil"/>
                  </w:tcBorders>
                  <w:shd w:val="clear" w:color="auto" w:fill="FFFFFF"/>
                  <w:vAlign w:val="center"/>
                </w:tcPr>
                <w:p w14:paraId="3B82EDE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tcBorders>
                    <w:tl2br w:val="nil"/>
                    <w:tr2bl w:val="nil"/>
                  </w:tcBorders>
                  <w:shd w:val="clear" w:color="auto" w:fill="FFFFFF"/>
                  <w:vAlign w:val="center"/>
                </w:tcPr>
                <w:p w14:paraId="542FB1A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09:45</w:t>
                  </w:r>
                </w:p>
              </w:tc>
              <w:tc>
                <w:tcPr>
                  <w:tcW w:w="0" w:type="auto"/>
                  <w:tcBorders>
                    <w:tl2br w:val="nil"/>
                    <w:tr2bl w:val="nil"/>
                  </w:tcBorders>
                  <w:shd w:val="clear" w:color="auto" w:fill="FFFFFF"/>
                  <w:vAlign w:val="center"/>
                </w:tcPr>
                <w:p w14:paraId="78E6F4D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13:24</w:t>
                  </w:r>
                </w:p>
              </w:tc>
              <w:tc>
                <w:tcPr>
                  <w:tcW w:w="0" w:type="auto"/>
                  <w:tcBorders>
                    <w:tl2br w:val="nil"/>
                    <w:tr2bl w:val="nil"/>
                  </w:tcBorders>
                  <w:shd w:val="clear" w:color="auto" w:fill="FFFFFF"/>
                  <w:vAlign w:val="center"/>
                </w:tcPr>
                <w:p w14:paraId="745BB45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16:51</w:t>
                  </w:r>
                </w:p>
              </w:tc>
              <w:tc>
                <w:tcPr>
                  <w:tcW w:w="0" w:type="auto"/>
                  <w:vMerge w:val="continue"/>
                  <w:tcBorders>
                    <w:tl2br w:val="nil"/>
                    <w:tr2bl w:val="nil"/>
                  </w:tcBorders>
                  <w:shd w:val="clear" w:color="auto" w:fill="FFFFFF"/>
                  <w:vAlign w:val="center"/>
                </w:tcPr>
                <w:p w14:paraId="0F40707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0" w:type="auto"/>
                  <w:vMerge w:val="continue"/>
                  <w:tcBorders>
                    <w:tl2br w:val="nil"/>
                    <w:tr2bl w:val="nil"/>
                  </w:tcBorders>
                  <w:shd w:val="clear" w:color="auto" w:fill="FFFFFF"/>
                  <w:vAlign w:val="center"/>
                </w:tcPr>
                <w:p w14:paraId="0F3DB4F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1C28761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continue"/>
                  <w:tcBorders>
                    <w:tl2br w:val="nil"/>
                    <w:tr2bl w:val="nil"/>
                  </w:tcBorders>
                  <w:shd w:val="clear" w:color="auto" w:fill="FFFFFF"/>
                  <w:vAlign w:val="center"/>
                </w:tcPr>
                <w:p w14:paraId="53E2F9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tcBorders>
                    <w:tl2br w:val="nil"/>
                    <w:tr2bl w:val="nil"/>
                  </w:tcBorders>
                  <w:shd w:val="clear" w:color="auto" w:fill="FFFFFF"/>
                  <w:vAlign w:val="center"/>
                </w:tcPr>
                <w:p w14:paraId="4A26B1A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DH20221102111-12</w:t>
                  </w:r>
                </w:p>
              </w:tc>
              <w:tc>
                <w:tcPr>
                  <w:tcW w:w="0" w:type="auto"/>
                  <w:tcBorders>
                    <w:tl2br w:val="nil"/>
                    <w:tr2bl w:val="nil"/>
                  </w:tcBorders>
                  <w:shd w:val="clear" w:color="auto" w:fill="FFFFFF"/>
                  <w:vAlign w:val="center"/>
                </w:tcPr>
                <w:p w14:paraId="2E41A05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DH20221102111-13</w:t>
                  </w:r>
                </w:p>
              </w:tc>
              <w:tc>
                <w:tcPr>
                  <w:tcW w:w="0" w:type="auto"/>
                  <w:tcBorders>
                    <w:tl2br w:val="nil"/>
                    <w:tr2bl w:val="nil"/>
                  </w:tcBorders>
                  <w:shd w:val="clear" w:color="auto" w:fill="FFFFFF"/>
                  <w:vAlign w:val="center"/>
                </w:tcPr>
                <w:p w14:paraId="420FF1B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DH20221102111-14</w:t>
                  </w:r>
                </w:p>
              </w:tc>
              <w:tc>
                <w:tcPr>
                  <w:tcW w:w="0" w:type="auto"/>
                  <w:vMerge w:val="continue"/>
                  <w:tcBorders>
                    <w:tl2br w:val="nil"/>
                    <w:tr2bl w:val="nil"/>
                  </w:tcBorders>
                  <w:shd w:val="clear" w:color="auto" w:fill="FFFFFF"/>
                  <w:vAlign w:val="center"/>
                </w:tcPr>
                <w:p w14:paraId="7E7421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4DFE9D5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7132FF7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7E29DD4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 xml:space="preserve">pH </w:t>
                  </w:r>
                  <w:r>
                    <w:rPr>
                      <w:rFonts w:hint="default" w:ascii="Times New Roman" w:hAnsi="Times New Roman" w:eastAsia="宋体" w:cs="Times New Roman"/>
                      <w:color w:val="000000"/>
                      <w:spacing w:val="0"/>
                      <w:w w:val="100"/>
                      <w:position w:val="0"/>
                      <w:sz w:val="21"/>
                      <w:szCs w:val="21"/>
                      <w:lang w:val="zh-TW" w:eastAsia="zh-TW" w:bidi="en-US"/>
                    </w:rPr>
                    <w:t>（无量纲）</w:t>
                  </w:r>
                </w:p>
              </w:tc>
              <w:tc>
                <w:tcPr>
                  <w:tcW w:w="0" w:type="auto"/>
                  <w:tcBorders>
                    <w:tl2br w:val="nil"/>
                    <w:tr2bl w:val="nil"/>
                  </w:tcBorders>
                  <w:shd w:val="clear" w:color="auto" w:fill="FFFFFF"/>
                  <w:vAlign w:val="center"/>
                </w:tcPr>
                <w:p w14:paraId="5CE0293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6.8</w:t>
                  </w:r>
                </w:p>
              </w:tc>
              <w:tc>
                <w:tcPr>
                  <w:tcW w:w="0" w:type="auto"/>
                  <w:tcBorders>
                    <w:tl2br w:val="nil"/>
                    <w:tr2bl w:val="nil"/>
                  </w:tcBorders>
                  <w:shd w:val="clear" w:color="auto" w:fill="FFFFFF"/>
                  <w:vAlign w:val="center"/>
                </w:tcPr>
                <w:p w14:paraId="46DA16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6.9</w:t>
                  </w:r>
                </w:p>
              </w:tc>
              <w:tc>
                <w:tcPr>
                  <w:tcW w:w="0" w:type="auto"/>
                  <w:tcBorders>
                    <w:tl2br w:val="nil"/>
                    <w:tr2bl w:val="nil"/>
                  </w:tcBorders>
                  <w:shd w:val="clear" w:color="auto" w:fill="FFFFFF"/>
                  <w:vAlign w:val="center"/>
                </w:tcPr>
                <w:p w14:paraId="3706F51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6.9</w:t>
                  </w:r>
                </w:p>
              </w:tc>
              <w:tc>
                <w:tcPr>
                  <w:tcW w:w="0" w:type="auto"/>
                  <w:tcBorders>
                    <w:tl2br w:val="nil"/>
                    <w:tr2bl w:val="nil"/>
                  </w:tcBorders>
                  <w:shd w:val="clear" w:color="auto" w:fill="FFFFFF"/>
                  <w:vAlign w:val="center"/>
                </w:tcPr>
                <w:p w14:paraId="0F6BFB7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6-9</w:t>
                  </w:r>
                </w:p>
              </w:tc>
              <w:tc>
                <w:tcPr>
                  <w:tcW w:w="0" w:type="auto"/>
                  <w:tcBorders>
                    <w:tl2br w:val="nil"/>
                    <w:tr2bl w:val="nil"/>
                  </w:tcBorders>
                  <w:shd w:val="clear" w:color="auto" w:fill="FFFFFF"/>
                  <w:vAlign w:val="center"/>
                </w:tcPr>
                <w:p w14:paraId="622B0BF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18BEC48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0FC440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挥发酚</w:t>
                  </w:r>
                </w:p>
              </w:tc>
              <w:tc>
                <w:tcPr>
                  <w:tcW w:w="0" w:type="auto"/>
                  <w:tcBorders>
                    <w:tl2br w:val="nil"/>
                    <w:tr2bl w:val="nil"/>
                  </w:tcBorders>
                  <w:shd w:val="clear" w:color="auto" w:fill="FFFFFF"/>
                  <w:vAlign w:val="center"/>
                </w:tcPr>
                <w:p w14:paraId="4FA1E4E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1EEB958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400713A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0.0003</w:t>
                  </w:r>
                </w:p>
              </w:tc>
              <w:tc>
                <w:tcPr>
                  <w:tcW w:w="0" w:type="auto"/>
                  <w:tcBorders>
                    <w:tl2br w:val="nil"/>
                    <w:tr2bl w:val="nil"/>
                  </w:tcBorders>
                  <w:shd w:val="clear" w:color="auto" w:fill="FFFFFF"/>
                  <w:vAlign w:val="center"/>
                </w:tcPr>
                <w:p w14:paraId="4EE3F78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7EA4F01A">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45443BB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1C70ED5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氰</w:t>
                  </w:r>
                  <w:r>
                    <w:rPr>
                      <w:rFonts w:hint="default" w:ascii="Times New Roman" w:hAnsi="Times New Roman" w:eastAsia="宋体" w:cs="Times New Roman"/>
                      <w:color w:val="000000"/>
                      <w:spacing w:val="0"/>
                      <w:w w:val="100"/>
                      <w:position w:val="0"/>
                      <w:sz w:val="21"/>
                      <w:szCs w:val="21"/>
                      <w:lang w:val="zh-TW" w:eastAsia="zh-TW" w:bidi="en-US"/>
                    </w:rPr>
                    <w:t>化物</w:t>
                  </w:r>
                </w:p>
              </w:tc>
              <w:tc>
                <w:tcPr>
                  <w:tcW w:w="0" w:type="auto"/>
                  <w:tcBorders>
                    <w:tl2br w:val="nil"/>
                    <w:tr2bl w:val="nil"/>
                  </w:tcBorders>
                  <w:shd w:val="clear" w:color="auto" w:fill="FFFFFF"/>
                  <w:vAlign w:val="center"/>
                </w:tcPr>
                <w:p w14:paraId="2C9B77A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524D37D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12BCB20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6FE879E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0.2</w:t>
                  </w:r>
                </w:p>
              </w:tc>
              <w:tc>
                <w:tcPr>
                  <w:tcW w:w="0" w:type="auto"/>
                  <w:tcBorders>
                    <w:tl2br w:val="nil"/>
                    <w:tr2bl w:val="nil"/>
                  </w:tcBorders>
                  <w:shd w:val="clear" w:color="auto" w:fill="FFFFFF"/>
                  <w:vAlign w:val="center"/>
                </w:tcPr>
                <w:p w14:paraId="0166C5F5">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9F19DA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52B6589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粪大肠菌群</w:t>
                  </w:r>
                  <w:r>
                    <w:rPr>
                      <w:rFonts w:hint="default" w:ascii="Times New Roman" w:hAnsi="Times New Roman" w:eastAsia="宋体" w:cs="Times New Roman"/>
                      <w:color w:val="000000"/>
                      <w:spacing w:val="0"/>
                      <w:w w:val="100"/>
                      <w:position w:val="0"/>
                      <w:sz w:val="21"/>
                      <w:szCs w:val="21"/>
                      <w:lang w:val="en-US" w:eastAsia="en-US" w:bidi="en-US"/>
                    </w:rPr>
                    <w:t>（MPN/L）</w:t>
                  </w:r>
                </w:p>
              </w:tc>
              <w:tc>
                <w:tcPr>
                  <w:tcW w:w="0" w:type="auto"/>
                  <w:tcBorders>
                    <w:tl2br w:val="nil"/>
                    <w:tr2bl w:val="nil"/>
                  </w:tcBorders>
                  <w:shd w:val="clear" w:color="auto" w:fill="FFFFFF"/>
                  <w:vAlign w:val="center"/>
                </w:tcPr>
                <w:p w14:paraId="00CDED0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&lt;20</w:t>
                  </w:r>
                </w:p>
              </w:tc>
              <w:tc>
                <w:tcPr>
                  <w:tcW w:w="0" w:type="auto"/>
                  <w:tcBorders>
                    <w:tl2br w:val="nil"/>
                    <w:tr2bl w:val="nil"/>
                  </w:tcBorders>
                  <w:shd w:val="clear" w:color="auto" w:fill="FFFFFF"/>
                  <w:vAlign w:val="center"/>
                </w:tcPr>
                <w:p w14:paraId="7D9ACDF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&lt;20</w:t>
                  </w:r>
                </w:p>
              </w:tc>
              <w:tc>
                <w:tcPr>
                  <w:tcW w:w="0" w:type="auto"/>
                  <w:tcBorders>
                    <w:tl2br w:val="nil"/>
                    <w:tr2bl w:val="nil"/>
                  </w:tcBorders>
                  <w:shd w:val="clear" w:color="auto" w:fill="FFFFFF"/>
                  <w:vAlign w:val="center"/>
                </w:tcPr>
                <w:p w14:paraId="2D3FBA7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&lt;20</w:t>
                  </w:r>
                </w:p>
              </w:tc>
              <w:tc>
                <w:tcPr>
                  <w:tcW w:w="0" w:type="auto"/>
                  <w:tcBorders>
                    <w:tl2br w:val="nil"/>
                    <w:tr2bl w:val="nil"/>
                  </w:tcBorders>
                  <w:shd w:val="clear" w:color="auto" w:fill="FFFFFF"/>
                  <w:vAlign w:val="center"/>
                </w:tcPr>
                <w:p w14:paraId="1BB193A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10000</w:t>
                  </w:r>
                </w:p>
              </w:tc>
              <w:tc>
                <w:tcPr>
                  <w:tcW w:w="0" w:type="auto"/>
                  <w:tcBorders>
                    <w:tl2br w:val="nil"/>
                    <w:tr2bl w:val="nil"/>
                  </w:tcBorders>
                  <w:shd w:val="clear" w:color="auto" w:fill="FFFFFF"/>
                  <w:vAlign w:val="center"/>
                </w:tcPr>
                <w:p w14:paraId="3C61D5A1">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7823FA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1D33544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772FD0BB">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5004C88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62670B9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2197F45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本底井</w:t>
                  </w:r>
                </w:p>
              </w:tc>
              <w:tc>
                <w:tcPr>
                  <w:tcW w:w="0" w:type="auto"/>
                  <w:vMerge w:val="restart"/>
                  <w:tcBorders>
                    <w:tl2br w:val="nil"/>
                    <w:tr2bl w:val="nil"/>
                  </w:tcBorders>
                  <w:shd w:val="clear" w:color="auto" w:fill="FFFFFF"/>
                  <w:vAlign w:val="center"/>
                </w:tcPr>
                <w:p w14:paraId="742B5CE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标准限值</w:t>
                  </w:r>
                </w:p>
              </w:tc>
              <w:tc>
                <w:tcPr>
                  <w:tcW w:w="0" w:type="auto"/>
                  <w:vMerge w:val="restart"/>
                  <w:tcBorders>
                    <w:tl2br w:val="nil"/>
                    <w:tr2bl w:val="nil"/>
                  </w:tcBorders>
                  <w:shd w:val="clear" w:color="auto" w:fill="FFFFFF"/>
                  <w:vAlign w:val="center"/>
                </w:tcPr>
                <w:p w14:paraId="46B031A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达标情况</w:t>
                  </w:r>
                </w:p>
              </w:tc>
            </w:tr>
            <w:tr w14:paraId="5E7FE6B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continue"/>
                  <w:tcBorders>
                    <w:tl2br w:val="nil"/>
                    <w:tr2bl w:val="nil"/>
                  </w:tcBorders>
                  <w:shd w:val="clear" w:color="auto" w:fill="FFFFFF"/>
                  <w:vAlign w:val="center"/>
                </w:tcPr>
                <w:p w14:paraId="5B77A42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gridSpan w:val="3"/>
                  <w:tcBorders>
                    <w:tl2br w:val="nil"/>
                    <w:tr2bl w:val="nil"/>
                  </w:tcBorders>
                  <w:shd w:val="clear" w:color="auto" w:fill="FFFFFF"/>
                  <w:vAlign w:val="center"/>
                </w:tcPr>
                <w:p w14:paraId="2E4038F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 xml:space="preserve">2022. 11. </w:t>
                  </w:r>
                  <w:r>
                    <w:rPr>
                      <w:rFonts w:hint="default" w:ascii="Times New Roman" w:hAnsi="Times New Roman" w:eastAsia="宋体" w:cs="Times New Roman"/>
                      <w:color w:val="000000"/>
                      <w:spacing w:val="0"/>
                      <w:w w:val="100"/>
                      <w:position w:val="0"/>
                      <w:sz w:val="21"/>
                      <w:szCs w:val="21"/>
                      <w:lang w:val="zh-TW" w:eastAsia="zh-TW" w:bidi="en-US"/>
                    </w:rPr>
                    <w:t>12</w:t>
                  </w:r>
                </w:p>
              </w:tc>
              <w:tc>
                <w:tcPr>
                  <w:tcW w:w="0" w:type="auto"/>
                  <w:vMerge w:val="continue"/>
                  <w:tcBorders>
                    <w:tl2br w:val="nil"/>
                    <w:tr2bl w:val="nil"/>
                  </w:tcBorders>
                  <w:shd w:val="clear" w:color="auto" w:fill="FFFFFF"/>
                  <w:vAlign w:val="center"/>
                </w:tcPr>
                <w:p w14:paraId="0A79CE6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01DA4D3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1222AA7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continue"/>
                  <w:tcBorders>
                    <w:tl2br w:val="nil"/>
                    <w:tr2bl w:val="nil"/>
                  </w:tcBorders>
                  <w:shd w:val="clear" w:color="auto" w:fill="FFFFFF"/>
                  <w:vAlign w:val="center"/>
                </w:tcPr>
                <w:p w14:paraId="3853A85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gridSpan w:val="3"/>
                  <w:tcBorders>
                    <w:tl2br w:val="nil"/>
                    <w:tr2bl w:val="nil"/>
                  </w:tcBorders>
                  <w:shd w:val="clear" w:color="auto" w:fill="FFFFFF"/>
                  <w:vAlign w:val="center"/>
                </w:tcPr>
                <w:p w14:paraId="6EC3182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16:55 （混合样品）</w:t>
                  </w:r>
                </w:p>
              </w:tc>
              <w:tc>
                <w:tcPr>
                  <w:tcW w:w="0" w:type="auto"/>
                  <w:vMerge w:val="continue"/>
                  <w:tcBorders>
                    <w:tl2br w:val="nil"/>
                    <w:tr2bl w:val="nil"/>
                  </w:tcBorders>
                  <w:shd w:val="clear" w:color="auto" w:fill="FFFFFF"/>
                  <w:vAlign w:val="center"/>
                </w:tcPr>
                <w:p w14:paraId="4E08BE4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0" w:type="auto"/>
                  <w:vMerge w:val="continue"/>
                  <w:tcBorders>
                    <w:tl2br w:val="nil"/>
                    <w:tr2bl w:val="nil"/>
                  </w:tcBorders>
                  <w:shd w:val="clear" w:color="auto" w:fill="FFFFFF"/>
                  <w:vAlign w:val="center"/>
                </w:tcPr>
                <w:p w14:paraId="31F5C72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5DD3EC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vMerge w:val="continue"/>
                  <w:tcBorders>
                    <w:tl2br w:val="nil"/>
                    <w:tr2bl w:val="nil"/>
                  </w:tcBorders>
                  <w:shd w:val="clear" w:color="auto" w:fill="FFFFFF"/>
                  <w:vAlign w:val="center"/>
                </w:tcPr>
                <w:p w14:paraId="01C4B6A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gridSpan w:val="3"/>
                  <w:tcBorders>
                    <w:tl2br w:val="nil"/>
                    <w:tr2bl w:val="nil"/>
                  </w:tcBorders>
                  <w:shd w:val="clear" w:color="auto" w:fill="FFFFFF"/>
                  <w:vAlign w:val="center"/>
                </w:tcPr>
                <w:p w14:paraId="75EDACA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DH20221102111-15</w:t>
                  </w:r>
                </w:p>
              </w:tc>
              <w:tc>
                <w:tcPr>
                  <w:tcW w:w="0" w:type="auto"/>
                  <w:vMerge w:val="continue"/>
                  <w:tcBorders>
                    <w:tl2br w:val="nil"/>
                    <w:tr2bl w:val="nil"/>
                  </w:tcBorders>
                  <w:shd w:val="clear" w:color="auto" w:fill="FFFFFF"/>
                  <w:vAlign w:val="center"/>
                </w:tcPr>
                <w:p w14:paraId="411D4C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1D3D33A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5491539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5838AA6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总硬度</w:t>
                  </w:r>
                </w:p>
              </w:tc>
              <w:tc>
                <w:tcPr>
                  <w:tcW w:w="0" w:type="auto"/>
                  <w:gridSpan w:val="3"/>
                  <w:tcBorders>
                    <w:tl2br w:val="nil"/>
                    <w:tr2bl w:val="nil"/>
                  </w:tcBorders>
                  <w:shd w:val="clear" w:color="auto" w:fill="FFFFFF"/>
                  <w:vAlign w:val="center"/>
                </w:tcPr>
                <w:p w14:paraId="61566EF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57.3</w:t>
                  </w:r>
                </w:p>
              </w:tc>
              <w:tc>
                <w:tcPr>
                  <w:tcW w:w="0" w:type="auto"/>
                  <w:tcBorders>
                    <w:tl2br w:val="nil"/>
                    <w:tr2bl w:val="nil"/>
                  </w:tcBorders>
                  <w:shd w:val="clear" w:color="auto" w:fill="FFFFFF"/>
                  <w:vAlign w:val="center"/>
                </w:tcPr>
                <w:p w14:paraId="25E1A48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450</w:t>
                  </w:r>
                </w:p>
              </w:tc>
              <w:tc>
                <w:tcPr>
                  <w:tcW w:w="0" w:type="auto"/>
                  <w:tcBorders>
                    <w:tl2br w:val="nil"/>
                    <w:tr2bl w:val="nil"/>
                  </w:tcBorders>
                  <w:shd w:val="clear" w:color="auto" w:fill="FFFFFF"/>
                  <w:vAlign w:val="center"/>
                </w:tcPr>
                <w:p w14:paraId="752C6B3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4F97474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411DF1A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溶解性总固体</w:t>
                  </w:r>
                </w:p>
              </w:tc>
              <w:tc>
                <w:tcPr>
                  <w:tcW w:w="0" w:type="auto"/>
                  <w:gridSpan w:val="3"/>
                  <w:tcBorders>
                    <w:tl2br w:val="nil"/>
                    <w:tr2bl w:val="nil"/>
                  </w:tcBorders>
                  <w:shd w:val="clear" w:color="auto" w:fill="FFFFFF"/>
                  <w:vAlign w:val="center"/>
                </w:tcPr>
                <w:p w14:paraId="2FC7F4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98</w:t>
                  </w:r>
                </w:p>
              </w:tc>
              <w:tc>
                <w:tcPr>
                  <w:tcW w:w="0" w:type="auto"/>
                  <w:tcBorders>
                    <w:tl2br w:val="nil"/>
                    <w:tr2bl w:val="nil"/>
                  </w:tcBorders>
                  <w:shd w:val="clear" w:color="auto" w:fill="FFFFFF"/>
                  <w:vAlign w:val="center"/>
                </w:tcPr>
                <w:p w14:paraId="29C73C2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1000</w:t>
                  </w:r>
                </w:p>
              </w:tc>
              <w:tc>
                <w:tcPr>
                  <w:tcW w:w="0" w:type="auto"/>
                  <w:tcBorders>
                    <w:tl2br w:val="nil"/>
                    <w:tr2bl w:val="nil"/>
                  </w:tcBorders>
                  <w:shd w:val="clear" w:color="auto" w:fill="FFFFFF"/>
                  <w:vAlign w:val="center"/>
                </w:tcPr>
                <w:p w14:paraId="57770162">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D07DBA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1C3FBD6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高</w:t>
                  </w:r>
                  <w:r>
                    <w:rPr>
                      <w:rFonts w:hint="default" w:ascii="Times New Roman" w:hAnsi="Times New Roman" w:eastAsia="宋体" w:cs="Times New Roman"/>
                      <w:color w:val="000000"/>
                      <w:spacing w:val="0"/>
                      <w:w w:val="100"/>
                      <w:position w:val="0"/>
                      <w:sz w:val="21"/>
                      <w:szCs w:val="21"/>
                      <w:lang w:val="en-US" w:eastAsia="zh-CN" w:bidi="en-US"/>
                    </w:rPr>
                    <w:t>锰</w:t>
                  </w:r>
                  <w:r>
                    <w:rPr>
                      <w:rFonts w:hint="default" w:ascii="Times New Roman" w:hAnsi="Times New Roman" w:eastAsia="宋体" w:cs="Times New Roman"/>
                      <w:color w:val="000000"/>
                      <w:spacing w:val="0"/>
                      <w:w w:val="100"/>
                      <w:position w:val="0"/>
                      <w:sz w:val="21"/>
                      <w:szCs w:val="21"/>
                      <w:lang w:val="zh-TW" w:eastAsia="zh-TW" w:bidi="en-US"/>
                    </w:rPr>
                    <w:t>酸盐指数</w:t>
                  </w:r>
                </w:p>
              </w:tc>
              <w:tc>
                <w:tcPr>
                  <w:tcW w:w="0" w:type="auto"/>
                  <w:gridSpan w:val="3"/>
                  <w:tcBorders>
                    <w:tl2br w:val="nil"/>
                    <w:tr2bl w:val="nil"/>
                  </w:tcBorders>
                  <w:shd w:val="clear" w:color="auto" w:fill="FFFFFF"/>
                  <w:vAlign w:val="center"/>
                </w:tcPr>
                <w:p w14:paraId="23DBBF1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1.6</w:t>
                  </w:r>
                </w:p>
              </w:tc>
              <w:tc>
                <w:tcPr>
                  <w:tcW w:w="0" w:type="auto"/>
                  <w:tcBorders>
                    <w:tl2br w:val="nil"/>
                    <w:tr2bl w:val="nil"/>
                  </w:tcBorders>
                  <w:shd w:val="clear" w:color="auto" w:fill="FFFFFF"/>
                  <w:vAlign w:val="center"/>
                </w:tcPr>
                <w:p w14:paraId="0593BC0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6</w:t>
                  </w:r>
                </w:p>
              </w:tc>
              <w:tc>
                <w:tcPr>
                  <w:tcW w:w="0" w:type="auto"/>
                  <w:tcBorders>
                    <w:tl2br w:val="nil"/>
                    <w:tr2bl w:val="nil"/>
                  </w:tcBorders>
                  <w:shd w:val="clear" w:color="auto" w:fill="FFFFFF"/>
                  <w:vAlign w:val="center"/>
                </w:tcPr>
                <w:p w14:paraId="51FB3341">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87313D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7720E0A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硝酸盐</w:t>
                  </w:r>
                </w:p>
              </w:tc>
              <w:tc>
                <w:tcPr>
                  <w:tcW w:w="0" w:type="auto"/>
                  <w:gridSpan w:val="3"/>
                  <w:tcBorders>
                    <w:tl2br w:val="nil"/>
                    <w:tr2bl w:val="nil"/>
                  </w:tcBorders>
                  <w:shd w:val="clear" w:color="auto" w:fill="FFFFFF"/>
                  <w:vAlign w:val="center"/>
                </w:tcPr>
                <w:p w14:paraId="759CB45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0.32</w:t>
                  </w:r>
                </w:p>
              </w:tc>
              <w:tc>
                <w:tcPr>
                  <w:tcW w:w="0" w:type="auto"/>
                  <w:tcBorders>
                    <w:tl2br w:val="nil"/>
                    <w:tr2bl w:val="nil"/>
                  </w:tcBorders>
                  <w:shd w:val="clear" w:color="auto" w:fill="FFFFFF"/>
                  <w:vAlign w:val="center"/>
                </w:tcPr>
                <w:p w14:paraId="4404178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20</w:t>
                  </w:r>
                </w:p>
              </w:tc>
              <w:tc>
                <w:tcPr>
                  <w:tcW w:w="0" w:type="auto"/>
                  <w:tcBorders>
                    <w:tl2br w:val="nil"/>
                    <w:tr2bl w:val="nil"/>
                  </w:tcBorders>
                  <w:shd w:val="clear" w:color="auto" w:fill="FFFFFF"/>
                  <w:vAlign w:val="center"/>
                </w:tcPr>
                <w:p w14:paraId="7FD17C60">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27E4E4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3B038EF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亚硝酸盐</w:t>
                  </w:r>
                </w:p>
              </w:tc>
              <w:tc>
                <w:tcPr>
                  <w:tcW w:w="0" w:type="auto"/>
                  <w:gridSpan w:val="3"/>
                  <w:tcBorders>
                    <w:tl2br w:val="nil"/>
                    <w:tr2bl w:val="nil"/>
                  </w:tcBorders>
                  <w:shd w:val="clear" w:color="auto" w:fill="FFFFFF"/>
                  <w:vAlign w:val="center"/>
                </w:tcPr>
                <w:p w14:paraId="6D351FA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&lt;0.003</w:t>
                  </w:r>
                </w:p>
              </w:tc>
              <w:tc>
                <w:tcPr>
                  <w:tcW w:w="0" w:type="auto"/>
                  <w:tcBorders>
                    <w:tl2br w:val="nil"/>
                    <w:tr2bl w:val="nil"/>
                  </w:tcBorders>
                  <w:shd w:val="clear" w:color="auto" w:fill="FFFFFF"/>
                  <w:vAlign w:val="center"/>
                </w:tcPr>
                <w:p w14:paraId="3283C46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5331CF2E">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74B5650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4654E2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氨氮</w:t>
                  </w:r>
                </w:p>
              </w:tc>
              <w:tc>
                <w:tcPr>
                  <w:tcW w:w="0" w:type="auto"/>
                  <w:gridSpan w:val="3"/>
                  <w:tcBorders>
                    <w:tl2br w:val="nil"/>
                    <w:tr2bl w:val="nil"/>
                  </w:tcBorders>
                  <w:shd w:val="clear" w:color="auto" w:fill="FFFFFF"/>
                  <w:vAlign w:val="center"/>
                </w:tcPr>
                <w:p w14:paraId="480A7D6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0.123</w:t>
                  </w:r>
                </w:p>
              </w:tc>
              <w:tc>
                <w:tcPr>
                  <w:tcW w:w="0" w:type="auto"/>
                  <w:tcBorders>
                    <w:tl2br w:val="nil"/>
                    <w:tr2bl w:val="nil"/>
                  </w:tcBorders>
                  <w:shd w:val="clear" w:color="auto" w:fill="FFFFFF"/>
                  <w:vAlign w:val="center"/>
                </w:tcPr>
                <w:p w14:paraId="595977B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7667CA0C">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8BE4B1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64906A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硫酸盐</w:t>
                  </w:r>
                </w:p>
              </w:tc>
              <w:tc>
                <w:tcPr>
                  <w:tcW w:w="0" w:type="auto"/>
                  <w:gridSpan w:val="3"/>
                  <w:tcBorders>
                    <w:tl2br w:val="nil"/>
                    <w:tr2bl w:val="nil"/>
                  </w:tcBorders>
                  <w:shd w:val="clear" w:color="auto" w:fill="FFFFFF"/>
                  <w:vAlign w:val="center"/>
                </w:tcPr>
                <w:p w14:paraId="77E3961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&lt;8</w:t>
                  </w:r>
                </w:p>
              </w:tc>
              <w:tc>
                <w:tcPr>
                  <w:tcW w:w="0" w:type="auto"/>
                  <w:tcBorders>
                    <w:tl2br w:val="nil"/>
                    <w:tr2bl w:val="nil"/>
                  </w:tcBorders>
                  <w:shd w:val="clear" w:color="auto" w:fill="FFFFFF"/>
                  <w:vAlign w:val="center"/>
                </w:tcPr>
                <w:p w14:paraId="5907027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250</w:t>
                  </w:r>
                </w:p>
              </w:tc>
              <w:tc>
                <w:tcPr>
                  <w:tcW w:w="0" w:type="auto"/>
                  <w:tcBorders>
                    <w:tl2br w:val="nil"/>
                    <w:tr2bl w:val="nil"/>
                  </w:tcBorders>
                  <w:shd w:val="clear" w:color="auto" w:fill="FFFFFF"/>
                  <w:vAlign w:val="center"/>
                </w:tcPr>
                <w:p w14:paraId="36F31C3B">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982753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437DEC4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氯化物</w:t>
                  </w:r>
                </w:p>
              </w:tc>
              <w:tc>
                <w:tcPr>
                  <w:tcW w:w="0" w:type="auto"/>
                  <w:gridSpan w:val="3"/>
                  <w:tcBorders>
                    <w:tl2br w:val="nil"/>
                    <w:tr2bl w:val="nil"/>
                  </w:tcBorders>
                  <w:shd w:val="clear" w:color="auto" w:fill="FFFFFF"/>
                  <w:vAlign w:val="center"/>
                </w:tcPr>
                <w:p w14:paraId="59B3662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4.0</w:t>
                  </w:r>
                </w:p>
              </w:tc>
              <w:tc>
                <w:tcPr>
                  <w:tcW w:w="0" w:type="auto"/>
                  <w:tcBorders>
                    <w:tl2br w:val="nil"/>
                    <w:tr2bl w:val="nil"/>
                  </w:tcBorders>
                  <w:shd w:val="clear" w:color="auto" w:fill="FFFFFF"/>
                  <w:vAlign w:val="center"/>
                </w:tcPr>
                <w:p w14:paraId="1B4521D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250</w:t>
                  </w:r>
                </w:p>
              </w:tc>
              <w:tc>
                <w:tcPr>
                  <w:tcW w:w="0" w:type="auto"/>
                  <w:tcBorders>
                    <w:tl2br w:val="nil"/>
                    <w:tr2bl w:val="nil"/>
                  </w:tcBorders>
                  <w:shd w:val="clear" w:color="auto" w:fill="FFFFFF"/>
                  <w:vAlign w:val="center"/>
                </w:tcPr>
                <w:p w14:paraId="22C4C752">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70E3F5F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0CE57AA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六价铭</w:t>
                  </w:r>
                </w:p>
              </w:tc>
              <w:tc>
                <w:tcPr>
                  <w:tcW w:w="0" w:type="auto"/>
                  <w:gridSpan w:val="3"/>
                  <w:tcBorders>
                    <w:tl2br w:val="nil"/>
                    <w:tr2bl w:val="nil"/>
                  </w:tcBorders>
                  <w:shd w:val="clear" w:color="auto" w:fill="FFFFFF"/>
                  <w:vAlign w:val="center"/>
                </w:tcPr>
                <w:p w14:paraId="1FC3825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7B1C27A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33E4E85E">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4813650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3EFA944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氟化物</w:t>
                  </w:r>
                </w:p>
              </w:tc>
              <w:tc>
                <w:tcPr>
                  <w:tcW w:w="0" w:type="auto"/>
                  <w:gridSpan w:val="3"/>
                  <w:tcBorders>
                    <w:tl2br w:val="nil"/>
                    <w:tr2bl w:val="nil"/>
                  </w:tcBorders>
                  <w:shd w:val="clear" w:color="auto" w:fill="FFFFFF"/>
                  <w:vAlign w:val="center"/>
                </w:tcPr>
                <w:p w14:paraId="2DAA590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0.39</w:t>
                  </w:r>
                </w:p>
              </w:tc>
              <w:tc>
                <w:tcPr>
                  <w:tcW w:w="0" w:type="auto"/>
                  <w:tcBorders>
                    <w:tl2br w:val="nil"/>
                    <w:tr2bl w:val="nil"/>
                  </w:tcBorders>
                  <w:shd w:val="clear" w:color="auto" w:fill="FFFFFF"/>
                  <w:vAlign w:val="center"/>
                </w:tcPr>
                <w:p w14:paraId="6EB9136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27527AD7">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F1CBD3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0ED8E4A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铜</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3AD6108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3.99</w:t>
                  </w:r>
                </w:p>
              </w:tc>
              <w:tc>
                <w:tcPr>
                  <w:tcW w:w="0" w:type="auto"/>
                  <w:tcBorders>
                    <w:tl2br w:val="nil"/>
                    <w:tr2bl w:val="nil"/>
                  </w:tcBorders>
                  <w:shd w:val="clear" w:color="auto" w:fill="FFFFFF"/>
                  <w:vAlign w:val="center"/>
                </w:tcPr>
                <w:p w14:paraId="6F773F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43BFA0FD">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88E477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6B12CD8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锌</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435F958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5.52</w:t>
                  </w:r>
                </w:p>
              </w:tc>
              <w:tc>
                <w:tcPr>
                  <w:tcW w:w="0" w:type="auto"/>
                  <w:tcBorders>
                    <w:tl2br w:val="nil"/>
                    <w:tr2bl w:val="nil"/>
                  </w:tcBorders>
                  <w:shd w:val="clear" w:color="auto" w:fill="FFFFFF"/>
                  <w:vAlign w:val="center"/>
                </w:tcPr>
                <w:p w14:paraId="7444F05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00FF2DD3">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7C9FE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77B8000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镉</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7D089DF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&lt;0.05</w:t>
                  </w:r>
                </w:p>
              </w:tc>
              <w:tc>
                <w:tcPr>
                  <w:tcW w:w="0" w:type="auto"/>
                  <w:tcBorders>
                    <w:tl2br w:val="nil"/>
                    <w:tr2bl w:val="nil"/>
                  </w:tcBorders>
                  <w:shd w:val="clear" w:color="auto" w:fill="FFFFFF"/>
                  <w:vAlign w:val="center"/>
                </w:tcPr>
                <w:p w14:paraId="0C20740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0.005</w:t>
                  </w:r>
                </w:p>
              </w:tc>
              <w:tc>
                <w:tcPr>
                  <w:tcW w:w="0" w:type="auto"/>
                  <w:tcBorders>
                    <w:tl2br w:val="nil"/>
                    <w:tr2bl w:val="nil"/>
                  </w:tcBorders>
                  <w:shd w:val="clear" w:color="auto" w:fill="FFFFFF"/>
                  <w:vAlign w:val="center"/>
                </w:tcPr>
                <w:p w14:paraId="1F9D3E21">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D27B16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6CFDB5E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铅</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13C4406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1.96</w:t>
                  </w:r>
                </w:p>
              </w:tc>
              <w:tc>
                <w:tcPr>
                  <w:tcW w:w="0" w:type="auto"/>
                  <w:tcBorders>
                    <w:tl2br w:val="nil"/>
                    <w:tr2bl w:val="nil"/>
                  </w:tcBorders>
                  <w:shd w:val="clear" w:color="auto" w:fill="FFFFFF"/>
                  <w:vAlign w:val="center"/>
                </w:tcPr>
                <w:p w14:paraId="5FF473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6324F55D">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7A8A6F8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525B4BE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铁</w:t>
                  </w:r>
                </w:p>
              </w:tc>
              <w:tc>
                <w:tcPr>
                  <w:tcW w:w="0" w:type="auto"/>
                  <w:gridSpan w:val="3"/>
                  <w:tcBorders>
                    <w:tl2br w:val="nil"/>
                    <w:tr2bl w:val="nil"/>
                  </w:tcBorders>
                  <w:shd w:val="clear" w:color="auto" w:fill="FFFFFF"/>
                  <w:vAlign w:val="center"/>
                </w:tcPr>
                <w:p w14:paraId="6A22825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0.49</w:t>
                  </w:r>
                </w:p>
              </w:tc>
              <w:tc>
                <w:tcPr>
                  <w:tcW w:w="0" w:type="auto"/>
                  <w:tcBorders>
                    <w:tl2br w:val="nil"/>
                    <w:tr2bl w:val="nil"/>
                  </w:tcBorders>
                  <w:shd w:val="clear" w:color="auto" w:fill="FFFFFF"/>
                  <w:vAlign w:val="center"/>
                </w:tcPr>
                <w:p w14:paraId="7562413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0.3</w:t>
                  </w:r>
                </w:p>
              </w:tc>
              <w:tc>
                <w:tcPr>
                  <w:tcW w:w="0" w:type="auto"/>
                  <w:tcBorders>
                    <w:tl2br w:val="nil"/>
                    <w:tr2bl w:val="nil"/>
                  </w:tcBorders>
                  <w:shd w:val="clear" w:color="auto" w:fill="FFFFFF"/>
                  <w:vAlign w:val="center"/>
                </w:tcPr>
                <w:p w14:paraId="557D3E9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超标</w:t>
                  </w:r>
                </w:p>
              </w:tc>
            </w:tr>
            <w:tr w14:paraId="2D2015F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581352F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锰</w:t>
                  </w:r>
                </w:p>
              </w:tc>
              <w:tc>
                <w:tcPr>
                  <w:tcW w:w="0" w:type="auto"/>
                  <w:gridSpan w:val="3"/>
                  <w:tcBorders>
                    <w:tl2br w:val="nil"/>
                    <w:tr2bl w:val="nil"/>
                  </w:tcBorders>
                  <w:shd w:val="clear" w:color="auto" w:fill="FFFFFF"/>
                  <w:vAlign w:val="center"/>
                </w:tcPr>
                <w:p w14:paraId="5E71B0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0.20</w:t>
                  </w:r>
                </w:p>
              </w:tc>
              <w:tc>
                <w:tcPr>
                  <w:tcW w:w="0" w:type="auto"/>
                  <w:tcBorders>
                    <w:tl2br w:val="nil"/>
                    <w:tr2bl w:val="nil"/>
                  </w:tcBorders>
                  <w:shd w:val="clear" w:color="auto" w:fill="FFFFFF"/>
                  <w:vAlign w:val="center"/>
                </w:tcPr>
                <w:p w14:paraId="1E50506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0.1</w:t>
                  </w:r>
                </w:p>
              </w:tc>
              <w:tc>
                <w:tcPr>
                  <w:tcW w:w="0" w:type="auto"/>
                  <w:tcBorders>
                    <w:tl2br w:val="nil"/>
                    <w:tr2bl w:val="nil"/>
                  </w:tcBorders>
                  <w:shd w:val="clear" w:color="auto" w:fill="FFFFFF"/>
                  <w:vAlign w:val="center"/>
                </w:tcPr>
                <w:p w14:paraId="298A46A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超标</w:t>
                  </w:r>
                </w:p>
              </w:tc>
            </w:tr>
            <w:tr w14:paraId="0BC8E61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15" w:hRule="exact"/>
                <w:jc w:val="center"/>
              </w:trPr>
              <w:tc>
                <w:tcPr>
                  <w:tcW w:w="0" w:type="auto"/>
                  <w:tcBorders>
                    <w:tl2br w:val="nil"/>
                    <w:tr2bl w:val="nil"/>
                  </w:tcBorders>
                  <w:shd w:val="clear" w:color="auto" w:fill="FFFFFF"/>
                  <w:vAlign w:val="center"/>
                </w:tcPr>
                <w:p w14:paraId="3B0A2EF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砷</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1E98764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0.5</w:t>
                  </w:r>
                </w:p>
              </w:tc>
              <w:tc>
                <w:tcPr>
                  <w:tcW w:w="0" w:type="auto"/>
                  <w:tcBorders>
                    <w:tl2br w:val="nil"/>
                    <w:tr2bl w:val="nil"/>
                  </w:tcBorders>
                  <w:shd w:val="clear" w:color="auto" w:fill="FFFFFF"/>
                  <w:vAlign w:val="center"/>
                </w:tcPr>
                <w:p w14:paraId="24F2CC2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0.01</w:t>
                  </w:r>
                </w:p>
              </w:tc>
              <w:tc>
                <w:tcPr>
                  <w:tcW w:w="0" w:type="auto"/>
                  <w:tcBorders>
                    <w:tl2br w:val="nil"/>
                    <w:tr2bl w:val="nil"/>
                  </w:tcBorders>
                  <w:shd w:val="clear" w:color="auto" w:fill="FFFFFF"/>
                  <w:vAlign w:val="center"/>
                </w:tcPr>
                <w:p w14:paraId="01A88EBB">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12D234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35" w:hRule="exact"/>
                <w:jc w:val="center"/>
              </w:trPr>
              <w:tc>
                <w:tcPr>
                  <w:tcW w:w="0" w:type="auto"/>
                  <w:tcBorders>
                    <w:tl2br w:val="nil"/>
                    <w:tr2bl w:val="nil"/>
                  </w:tcBorders>
                  <w:shd w:val="clear" w:color="auto" w:fill="FFFFFF"/>
                  <w:vAlign w:val="center"/>
                </w:tcPr>
                <w:p w14:paraId="62021D1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zh-TW" w:eastAsia="zh-TW" w:bidi="en-US"/>
                    </w:rPr>
                    <w:t>汞</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3F8FC57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en-US" w:bidi="en-US"/>
                    </w:rPr>
                    <w:t>&lt;0.04</w:t>
                  </w:r>
                </w:p>
              </w:tc>
              <w:tc>
                <w:tcPr>
                  <w:tcW w:w="0" w:type="auto"/>
                  <w:tcBorders>
                    <w:tl2br w:val="nil"/>
                    <w:tr2bl w:val="nil"/>
                  </w:tcBorders>
                  <w:shd w:val="clear" w:color="auto" w:fill="FFFFFF"/>
                  <w:vAlign w:val="center"/>
                </w:tcPr>
                <w:p w14:paraId="3D25CF3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0.0001</w:t>
                  </w:r>
                </w:p>
              </w:tc>
              <w:tc>
                <w:tcPr>
                  <w:tcW w:w="0" w:type="auto"/>
                  <w:tcBorders>
                    <w:tl2br w:val="nil"/>
                    <w:tr2bl w:val="nil"/>
                  </w:tcBorders>
                  <w:shd w:val="clear" w:color="auto" w:fill="FFFFFF"/>
                  <w:vAlign w:val="center"/>
                </w:tcPr>
                <w:p w14:paraId="4369D3C5">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bl>
          <w:p w14:paraId="05180885">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3-14 污染扩散井</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7"/>
              <w:tblW w:w="923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 w:type="dxa"/>
                <w:bottom w:w="0" w:type="dxa"/>
                <w:right w:w="10" w:type="dxa"/>
              </w:tblCellMar>
            </w:tblPr>
            <w:tblGrid>
              <w:gridCol w:w="2174"/>
              <w:gridCol w:w="1769"/>
              <w:gridCol w:w="1769"/>
              <w:gridCol w:w="1769"/>
              <w:gridCol w:w="878"/>
              <w:gridCol w:w="878"/>
            </w:tblGrid>
            <w:tr w14:paraId="79D068C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71"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73F4F32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51D24761">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37102CD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5815E96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19E66FD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污染扩散井</w:t>
                  </w:r>
                </w:p>
              </w:tc>
              <w:tc>
                <w:tcPr>
                  <w:tcW w:w="0" w:type="auto"/>
                  <w:vMerge w:val="restart"/>
                  <w:tcBorders>
                    <w:tl2br w:val="nil"/>
                    <w:tr2bl w:val="nil"/>
                  </w:tcBorders>
                  <w:shd w:val="clear" w:color="auto" w:fill="FFFFFF"/>
                  <w:vAlign w:val="center"/>
                </w:tcPr>
                <w:p w14:paraId="7EAB94E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标准限值</w:t>
                  </w:r>
                </w:p>
              </w:tc>
              <w:tc>
                <w:tcPr>
                  <w:tcW w:w="0" w:type="auto"/>
                  <w:vMerge w:val="restart"/>
                  <w:tcBorders>
                    <w:tl2br w:val="nil"/>
                    <w:tr2bl w:val="nil"/>
                  </w:tcBorders>
                  <w:shd w:val="clear" w:color="auto" w:fill="FFFFFF"/>
                  <w:vAlign w:val="center"/>
                </w:tcPr>
                <w:p w14:paraId="7DE00DD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达标情况</w:t>
                  </w:r>
                </w:p>
              </w:tc>
            </w:tr>
            <w:tr w14:paraId="7DCBAE8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21BD97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gridSpan w:val="3"/>
                  <w:tcBorders>
                    <w:tl2br w:val="nil"/>
                    <w:tr2bl w:val="nil"/>
                  </w:tcBorders>
                  <w:shd w:val="clear" w:color="auto" w:fill="FFFFFF"/>
                  <w:vAlign w:val="center"/>
                </w:tcPr>
                <w:p w14:paraId="7158414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 xml:space="preserve">2022. 11. </w:t>
                  </w:r>
                  <w:r>
                    <w:rPr>
                      <w:rFonts w:hint="default" w:ascii="Times New Roman" w:hAnsi="Times New Roman" w:eastAsia="宋体" w:cs="Times New Roman"/>
                      <w:color w:val="000000"/>
                      <w:spacing w:val="0"/>
                      <w:w w:val="100"/>
                      <w:position w:val="0"/>
                      <w:sz w:val="21"/>
                      <w:szCs w:val="21"/>
                      <w:lang w:val="zh-TW" w:eastAsia="zh-TW" w:bidi="en-US"/>
                    </w:rPr>
                    <w:t>12</w:t>
                  </w:r>
                </w:p>
              </w:tc>
              <w:tc>
                <w:tcPr>
                  <w:tcW w:w="0" w:type="auto"/>
                  <w:vMerge w:val="continue"/>
                  <w:tcBorders>
                    <w:tl2br w:val="nil"/>
                    <w:tr2bl w:val="nil"/>
                  </w:tcBorders>
                  <w:shd w:val="clear" w:color="auto" w:fill="FFFFFF"/>
                  <w:vAlign w:val="center"/>
                </w:tcPr>
                <w:p w14:paraId="303FE0B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59B2ABA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3BB5916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1B8E17D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tcBorders>
                    <w:tl2br w:val="nil"/>
                    <w:tr2bl w:val="nil"/>
                  </w:tcBorders>
                  <w:shd w:val="clear" w:color="auto" w:fill="FFFFFF"/>
                  <w:vAlign w:val="center"/>
                </w:tcPr>
                <w:p w14:paraId="6D7E7E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10:01</w:t>
                  </w:r>
                </w:p>
              </w:tc>
              <w:tc>
                <w:tcPr>
                  <w:tcW w:w="0" w:type="auto"/>
                  <w:tcBorders>
                    <w:tl2br w:val="nil"/>
                    <w:tr2bl w:val="nil"/>
                  </w:tcBorders>
                  <w:shd w:val="clear" w:color="auto" w:fill="FFFFFF"/>
                  <w:vAlign w:val="center"/>
                </w:tcPr>
                <w:p w14:paraId="2E4D80D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13:38</w:t>
                  </w:r>
                </w:p>
              </w:tc>
              <w:tc>
                <w:tcPr>
                  <w:tcW w:w="0" w:type="auto"/>
                  <w:tcBorders>
                    <w:tl2br w:val="nil"/>
                    <w:tr2bl w:val="nil"/>
                  </w:tcBorders>
                  <w:shd w:val="clear" w:color="auto" w:fill="FFFFFF"/>
                  <w:vAlign w:val="center"/>
                </w:tcPr>
                <w:p w14:paraId="1C03D4D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17:12</w:t>
                  </w:r>
                </w:p>
              </w:tc>
              <w:tc>
                <w:tcPr>
                  <w:tcW w:w="0" w:type="auto"/>
                  <w:vMerge w:val="continue"/>
                  <w:tcBorders>
                    <w:tl2br w:val="nil"/>
                    <w:tr2bl w:val="nil"/>
                  </w:tcBorders>
                  <w:shd w:val="clear" w:color="auto" w:fill="FFFFFF"/>
                  <w:vAlign w:val="center"/>
                </w:tcPr>
                <w:p w14:paraId="59F8F53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0" w:type="auto"/>
                  <w:vMerge w:val="continue"/>
                  <w:tcBorders>
                    <w:tl2br w:val="nil"/>
                    <w:tr2bl w:val="nil"/>
                  </w:tcBorders>
                  <w:shd w:val="clear" w:color="auto" w:fill="FFFFFF"/>
                  <w:vAlign w:val="center"/>
                </w:tcPr>
                <w:p w14:paraId="78DD859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27D41A2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268FC4F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tcBorders>
                    <w:tl2br w:val="nil"/>
                    <w:tr2bl w:val="nil"/>
                  </w:tcBorders>
                  <w:shd w:val="clear" w:color="auto" w:fill="FFFFFF"/>
                  <w:vAlign w:val="center"/>
                </w:tcPr>
                <w:p w14:paraId="6FA955F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DH20221102111-16</w:t>
                  </w:r>
                </w:p>
              </w:tc>
              <w:tc>
                <w:tcPr>
                  <w:tcW w:w="0" w:type="auto"/>
                  <w:tcBorders>
                    <w:tl2br w:val="nil"/>
                    <w:tr2bl w:val="nil"/>
                  </w:tcBorders>
                  <w:shd w:val="clear" w:color="auto" w:fill="FFFFFF"/>
                  <w:vAlign w:val="center"/>
                </w:tcPr>
                <w:p w14:paraId="7E70536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w:t>
                  </w:r>
                  <w:r>
                    <w:rPr>
                      <w:rFonts w:hint="default" w:ascii="Times New Roman" w:hAnsi="Times New Roman" w:eastAsia="宋体" w:cs="Times New Roman"/>
                      <w:color w:val="000000"/>
                      <w:spacing w:val="0"/>
                      <w:w w:val="100"/>
                      <w:position w:val="0"/>
                      <w:sz w:val="21"/>
                      <w:szCs w:val="21"/>
                      <w:lang w:val="en-US" w:eastAsia="en-US" w:bidi="en-US"/>
                    </w:rPr>
                    <w:t>11-17</w:t>
                  </w:r>
                </w:p>
              </w:tc>
              <w:tc>
                <w:tcPr>
                  <w:tcW w:w="0" w:type="auto"/>
                  <w:tcBorders>
                    <w:tl2br w:val="nil"/>
                    <w:tr2bl w:val="nil"/>
                  </w:tcBorders>
                  <w:shd w:val="clear" w:color="auto" w:fill="FFFFFF"/>
                  <w:vAlign w:val="center"/>
                </w:tcPr>
                <w:p w14:paraId="2EDBDC6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DH20221102111-18</w:t>
                  </w:r>
                </w:p>
              </w:tc>
              <w:tc>
                <w:tcPr>
                  <w:tcW w:w="0" w:type="auto"/>
                  <w:vMerge w:val="continue"/>
                  <w:tcBorders>
                    <w:tl2br w:val="nil"/>
                    <w:tr2bl w:val="nil"/>
                  </w:tcBorders>
                  <w:shd w:val="clear" w:color="auto" w:fill="FFFFFF"/>
                  <w:vAlign w:val="center"/>
                </w:tcPr>
                <w:p w14:paraId="06BEDA6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520650F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0D218B6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4FDBA92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 xml:space="preserve">pH </w:t>
                  </w:r>
                  <w:r>
                    <w:rPr>
                      <w:rFonts w:hint="default" w:ascii="Times New Roman" w:hAnsi="Times New Roman" w:eastAsia="宋体" w:cs="Times New Roman"/>
                      <w:color w:val="000000"/>
                      <w:spacing w:val="0"/>
                      <w:w w:val="100"/>
                      <w:position w:val="0"/>
                      <w:sz w:val="21"/>
                      <w:szCs w:val="21"/>
                      <w:lang w:val="zh-TW" w:eastAsia="zh-TW" w:bidi="en-US"/>
                    </w:rPr>
                    <w:t>（无量纲）</w:t>
                  </w:r>
                </w:p>
              </w:tc>
              <w:tc>
                <w:tcPr>
                  <w:tcW w:w="0" w:type="auto"/>
                  <w:tcBorders>
                    <w:tl2br w:val="nil"/>
                    <w:tr2bl w:val="nil"/>
                  </w:tcBorders>
                  <w:shd w:val="clear" w:color="auto" w:fill="FFFFFF"/>
                  <w:vAlign w:val="center"/>
                </w:tcPr>
                <w:p w14:paraId="45A4C81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7.3</w:t>
                  </w:r>
                </w:p>
              </w:tc>
              <w:tc>
                <w:tcPr>
                  <w:tcW w:w="0" w:type="auto"/>
                  <w:tcBorders>
                    <w:tl2br w:val="nil"/>
                    <w:tr2bl w:val="nil"/>
                  </w:tcBorders>
                  <w:shd w:val="clear" w:color="auto" w:fill="FFFFFF"/>
                  <w:vAlign w:val="center"/>
                </w:tcPr>
                <w:p w14:paraId="051A28C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7.0</w:t>
                  </w:r>
                </w:p>
              </w:tc>
              <w:tc>
                <w:tcPr>
                  <w:tcW w:w="0" w:type="auto"/>
                  <w:tcBorders>
                    <w:tl2br w:val="nil"/>
                    <w:tr2bl w:val="nil"/>
                  </w:tcBorders>
                  <w:shd w:val="clear" w:color="auto" w:fill="FFFFFF"/>
                  <w:vAlign w:val="center"/>
                </w:tcPr>
                <w:p w14:paraId="425B598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7.1</w:t>
                  </w:r>
                </w:p>
              </w:tc>
              <w:tc>
                <w:tcPr>
                  <w:tcW w:w="0" w:type="auto"/>
                  <w:tcBorders>
                    <w:tl2br w:val="nil"/>
                    <w:tr2bl w:val="nil"/>
                  </w:tcBorders>
                  <w:shd w:val="clear" w:color="auto" w:fill="FFFFFF"/>
                  <w:vAlign w:val="center"/>
                </w:tcPr>
                <w:p w14:paraId="73E5365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6-9</w:t>
                  </w:r>
                </w:p>
              </w:tc>
              <w:tc>
                <w:tcPr>
                  <w:tcW w:w="0" w:type="auto"/>
                  <w:tcBorders>
                    <w:tl2br w:val="nil"/>
                    <w:tr2bl w:val="nil"/>
                  </w:tcBorders>
                  <w:shd w:val="clear" w:color="auto" w:fill="FFFFFF"/>
                  <w:vAlign w:val="center"/>
                </w:tcPr>
                <w:p w14:paraId="4AAEFD3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A4478E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64A4837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挥发酚</w:t>
                  </w:r>
                </w:p>
              </w:tc>
              <w:tc>
                <w:tcPr>
                  <w:tcW w:w="0" w:type="auto"/>
                  <w:tcBorders>
                    <w:tl2br w:val="nil"/>
                    <w:tr2bl w:val="nil"/>
                  </w:tcBorders>
                  <w:shd w:val="clear" w:color="auto" w:fill="FFFFFF"/>
                  <w:vAlign w:val="center"/>
                </w:tcPr>
                <w:p w14:paraId="14C7DDE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2458DC4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4C3E2BD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0.0003</w:t>
                  </w:r>
                </w:p>
              </w:tc>
              <w:tc>
                <w:tcPr>
                  <w:tcW w:w="0" w:type="auto"/>
                  <w:tcBorders>
                    <w:tl2br w:val="nil"/>
                    <w:tr2bl w:val="nil"/>
                  </w:tcBorders>
                  <w:shd w:val="clear" w:color="auto" w:fill="FFFFFF"/>
                  <w:vAlign w:val="center"/>
                </w:tcPr>
                <w:p w14:paraId="08C532F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231E6DD1">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6CCCD4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259DD96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氰</w:t>
                  </w:r>
                  <w:r>
                    <w:rPr>
                      <w:rFonts w:hint="default" w:ascii="Times New Roman" w:hAnsi="Times New Roman" w:eastAsia="宋体" w:cs="Times New Roman"/>
                      <w:color w:val="000000"/>
                      <w:spacing w:val="0"/>
                      <w:w w:val="100"/>
                      <w:position w:val="0"/>
                      <w:sz w:val="21"/>
                      <w:szCs w:val="21"/>
                      <w:lang w:val="zh-TW" w:eastAsia="zh-TW" w:bidi="en-US"/>
                    </w:rPr>
                    <w:t>化物</w:t>
                  </w:r>
                </w:p>
              </w:tc>
              <w:tc>
                <w:tcPr>
                  <w:tcW w:w="0" w:type="auto"/>
                  <w:tcBorders>
                    <w:tl2br w:val="nil"/>
                    <w:tr2bl w:val="nil"/>
                  </w:tcBorders>
                  <w:shd w:val="clear" w:color="auto" w:fill="FFFFFF"/>
                  <w:vAlign w:val="center"/>
                </w:tcPr>
                <w:p w14:paraId="4E80885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400B3A2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6EF9268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583BE0E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0.2</w:t>
                  </w:r>
                </w:p>
              </w:tc>
              <w:tc>
                <w:tcPr>
                  <w:tcW w:w="0" w:type="auto"/>
                  <w:tcBorders>
                    <w:tl2br w:val="nil"/>
                    <w:tr2bl w:val="nil"/>
                  </w:tcBorders>
                  <w:shd w:val="clear" w:color="auto" w:fill="FFFFFF"/>
                  <w:vAlign w:val="center"/>
                </w:tcPr>
                <w:p w14:paraId="29D8B91D">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069FBE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2CD95F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粪大肠菌群</w:t>
                  </w:r>
                  <w:r>
                    <w:rPr>
                      <w:rFonts w:hint="default" w:ascii="Times New Roman" w:hAnsi="Times New Roman" w:eastAsia="宋体" w:cs="Times New Roman"/>
                      <w:color w:val="000000"/>
                      <w:spacing w:val="0"/>
                      <w:w w:val="100"/>
                      <w:position w:val="0"/>
                      <w:sz w:val="21"/>
                      <w:szCs w:val="21"/>
                      <w:lang w:val="en-US" w:eastAsia="en-US" w:bidi="en-US"/>
                    </w:rPr>
                    <w:t>（MPN/L）</w:t>
                  </w:r>
                </w:p>
              </w:tc>
              <w:tc>
                <w:tcPr>
                  <w:tcW w:w="0" w:type="auto"/>
                  <w:tcBorders>
                    <w:tl2br w:val="nil"/>
                    <w:tr2bl w:val="nil"/>
                  </w:tcBorders>
                  <w:shd w:val="clear" w:color="auto" w:fill="FFFFFF"/>
                  <w:vAlign w:val="center"/>
                </w:tcPr>
                <w:p w14:paraId="4F5EB8B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1.3X10</w:t>
                  </w:r>
                  <w:r>
                    <w:rPr>
                      <w:rFonts w:hint="default" w:ascii="Times New Roman" w:hAnsi="Times New Roman" w:eastAsia="宋体" w:cs="Times New Roman"/>
                      <w:color w:val="000000"/>
                      <w:spacing w:val="0"/>
                      <w:w w:val="100"/>
                      <w:position w:val="0"/>
                      <w:sz w:val="21"/>
                      <w:szCs w:val="21"/>
                      <w:vertAlign w:val="superscript"/>
                      <w:lang w:val="en-US" w:eastAsia="en-US" w:bidi="en-US"/>
                    </w:rPr>
                    <w:t>2</w:t>
                  </w:r>
                </w:p>
              </w:tc>
              <w:tc>
                <w:tcPr>
                  <w:tcW w:w="0" w:type="auto"/>
                  <w:tcBorders>
                    <w:tl2br w:val="nil"/>
                    <w:tr2bl w:val="nil"/>
                  </w:tcBorders>
                  <w:shd w:val="clear" w:color="auto" w:fill="FFFFFF"/>
                  <w:vAlign w:val="center"/>
                </w:tcPr>
                <w:p w14:paraId="56838DA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2.0x1</w:t>
                  </w:r>
                  <w:r>
                    <w:rPr>
                      <w:rFonts w:hint="default" w:ascii="Times New Roman" w:hAnsi="Times New Roman" w:eastAsia="宋体" w:cs="Times New Roman"/>
                      <w:color w:val="000000"/>
                      <w:spacing w:val="0"/>
                      <w:w w:val="100"/>
                      <w:position w:val="0"/>
                      <w:sz w:val="21"/>
                      <w:szCs w:val="21"/>
                      <w:lang w:val="zh-TW" w:eastAsia="zh-TW" w:bidi="en-US"/>
                    </w:rPr>
                    <w:t>0</w:t>
                  </w:r>
                  <w:r>
                    <w:rPr>
                      <w:rFonts w:hint="default" w:ascii="Times New Roman" w:hAnsi="Times New Roman" w:eastAsia="宋体" w:cs="Times New Roman"/>
                      <w:color w:val="000000"/>
                      <w:spacing w:val="0"/>
                      <w:w w:val="100"/>
                      <w:position w:val="0"/>
                      <w:sz w:val="21"/>
                      <w:szCs w:val="21"/>
                      <w:vertAlign w:val="superscript"/>
                      <w:lang w:val="zh-TW" w:eastAsia="zh-TW" w:bidi="en-US"/>
                    </w:rPr>
                    <w:t>2</w:t>
                  </w:r>
                </w:p>
              </w:tc>
              <w:tc>
                <w:tcPr>
                  <w:tcW w:w="0" w:type="auto"/>
                  <w:tcBorders>
                    <w:tl2br w:val="nil"/>
                    <w:tr2bl w:val="nil"/>
                  </w:tcBorders>
                  <w:shd w:val="clear" w:color="auto" w:fill="FFFFFF"/>
                  <w:vAlign w:val="center"/>
                </w:tcPr>
                <w:p w14:paraId="12736C7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3.1 x10</w:t>
                  </w:r>
                  <w:r>
                    <w:rPr>
                      <w:rFonts w:hint="default" w:ascii="Times New Roman" w:hAnsi="Times New Roman" w:eastAsia="宋体" w:cs="Times New Roman"/>
                      <w:color w:val="000000"/>
                      <w:spacing w:val="0"/>
                      <w:w w:val="100"/>
                      <w:position w:val="0"/>
                      <w:sz w:val="21"/>
                      <w:szCs w:val="21"/>
                      <w:vertAlign w:val="superscript"/>
                      <w:lang w:val="en-US" w:eastAsia="en-US" w:bidi="en-US"/>
                    </w:rPr>
                    <w:t>2</w:t>
                  </w:r>
                </w:p>
              </w:tc>
              <w:tc>
                <w:tcPr>
                  <w:tcW w:w="0" w:type="auto"/>
                  <w:tcBorders>
                    <w:tl2br w:val="nil"/>
                    <w:tr2bl w:val="nil"/>
                  </w:tcBorders>
                  <w:shd w:val="clear" w:color="auto" w:fill="FFFFFF"/>
                  <w:vAlign w:val="center"/>
                </w:tcPr>
                <w:p w14:paraId="0DBECA2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10000</w:t>
                  </w:r>
                </w:p>
              </w:tc>
              <w:tc>
                <w:tcPr>
                  <w:tcW w:w="0" w:type="auto"/>
                  <w:tcBorders>
                    <w:tl2br w:val="nil"/>
                    <w:tr2bl w:val="nil"/>
                  </w:tcBorders>
                  <w:shd w:val="clear" w:color="auto" w:fill="FFFFFF"/>
                  <w:vAlign w:val="center"/>
                </w:tcPr>
                <w:p w14:paraId="460A134E">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D5049C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7CC9BB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2D5B1618">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274021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275593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6EDF094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污染扩散井</w:t>
                  </w:r>
                </w:p>
              </w:tc>
              <w:tc>
                <w:tcPr>
                  <w:tcW w:w="0" w:type="auto"/>
                  <w:vMerge w:val="restart"/>
                  <w:tcBorders>
                    <w:tl2br w:val="nil"/>
                    <w:tr2bl w:val="nil"/>
                  </w:tcBorders>
                  <w:shd w:val="clear" w:color="auto" w:fill="FFFFFF"/>
                  <w:vAlign w:val="center"/>
                </w:tcPr>
                <w:p w14:paraId="493AA07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标准限值</w:t>
                  </w:r>
                </w:p>
              </w:tc>
              <w:tc>
                <w:tcPr>
                  <w:tcW w:w="0" w:type="auto"/>
                  <w:vMerge w:val="restart"/>
                  <w:tcBorders>
                    <w:tl2br w:val="nil"/>
                    <w:tr2bl w:val="nil"/>
                  </w:tcBorders>
                  <w:shd w:val="clear" w:color="auto" w:fill="FFFFFF"/>
                  <w:vAlign w:val="center"/>
                </w:tcPr>
                <w:p w14:paraId="33D234F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达标情况</w:t>
                  </w:r>
                </w:p>
              </w:tc>
            </w:tr>
            <w:tr w14:paraId="6634746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3E1340C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gridSpan w:val="3"/>
                  <w:tcBorders>
                    <w:tl2br w:val="nil"/>
                    <w:tr2bl w:val="nil"/>
                  </w:tcBorders>
                  <w:shd w:val="clear" w:color="auto" w:fill="FFFFFF"/>
                  <w:vAlign w:val="center"/>
                </w:tcPr>
                <w:p w14:paraId="09860F5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 xml:space="preserve">2022. 11. </w:t>
                  </w:r>
                  <w:r>
                    <w:rPr>
                      <w:rFonts w:hint="default" w:ascii="Times New Roman" w:hAnsi="Times New Roman" w:eastAsia="宋体" w:cs="Times New Roman"/>
                      <w:color w:val="000000"/>
                      <w:spacing w:val="0"/>
                      <w:w w:val="100"/>
                      <w:position w:val="0"/>
                      <w:sz w:val="21"/>
                      <w:szCs w:val="21"/>
                      <w:lang w:val="zh-TW" w:eastAsia="zh-TW" w:bidi="en-US"/>
                    </w:rPr>
                    <w:t>12</w:t>
                  </w:r>
                </w:p>
              </w:tc>
              <w:tc>
                <w:tcPr>
                  <w:tcW w:w="0" w:type="auto"/>
                  <w:vMerge w:val="continue"/>
                  <w:tcBorders>
                    <w:tl2br w:val="nil"/>
                    <w:tr2bl w:val="nil"/>
                  </w:tcBorders>
                  <w:shd w:val="clear" w:color="auto" w:fill="FFFFFF"/>
                  <w:vAlign w:val="center"/>
                </w:tcPr>
                <w:p w14:paraId="62DFB28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5C744C9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2DE4462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6B0F4AD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gridSpan w:val="3"/>
                  <w:tcBorders>
                    <w:tl2br w:val="nil"/>
                    <w:tr2bl w:val="nil"/>
                  </w:tcBorders>
                  <w:shd w:val="clear" w:color="auto" w:fill="FFFFFF"/>
                  <w:vAlign w:val="center"/>
                </w:tcPr>
                <w:p w14:paraId="3006712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17:16 （混合样品）</w:t>
                  </w:r>
                </w:p>
              </w:tc>
              <w:tc>
                <w:tcPr>
                  <w:tcW w:w="0" w:type="auto"/>
                  <w:vMerge w:val="continue"/>
                  <w:tcBorders>
                    <w:tl2br w:val="nil"/>
                    <w:tr2bl w:val="nil"/>
                  </w:tcBorders>
                  <w:shd w:val="clear" w:color="auto" w:fill="FFFFFF"/>
                  <w:vAlign w:val="center"/>
                </w:tcPr>
                <w:p w14:paraId="428BA41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0" w:type="auto"/>
                  <w:vMerge w:val="continue"/>
                  <w:tcBorders>
                    <w:tl2br w:val="nil"/>
                    <w:tr2bl w:val="nil"/>
                  </w:tcBorders>
                  <w:shd w:val="clear" w:color="auto" w:fill="FFFFFF"/>
                  <w:vAlign w:val="center"/>
                </w:tcPr>
                <w:p w14:paraId="1BA99BE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14FDBC7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592A0D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gridSpan w:val="3"/>
                  <w:tcBorders>
                    <w:tl2br w:val="nil"/>
                    <w:tr2bl w:val="nil"/>
                  </w:tcBorders>
                  <w:shd w:val="clear" w:color="auto" w:fill="FFFFFF"/>
                  <w:vAlign w:val="center"/>
                </w:tcPr>
                <w:p w14:paraId="3DD1C53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DH20221102111-19</w:t>
                  </w:r>
                </w:p>
              </w:tc>
              <w:tc>
                <w:tcPr>
                  <w:tcW w:w="0" w:type="auto"/>
                  <w:vMerge w:val="continue"/>
                  <w:tcBorders>
                    <w:tl2br w:val="nil"/>
                    <w:tr2bl w:val="nil"/>
                  </w:tcBorders>
                  <w:shd w:val="clear" w:color="auto" w:fill="FFFFFF"/>
                  <w:vAlign w:val="center"/>
                </w:tcPr>
                <w:p w14:paraId="5E38659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3C945AC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4E7D727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7CFFF61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总硬度</w:t>
                  </w:r>
                </w:p>
              </w:tc>
              <w:tc>
                <w:tcPr>
                  <w:tcW w:w="0" w:type="auto"/>
                  <w:gridSpan w:val="3"/>
                  <w:tcBorders>
                    <w:tl2br w:val="nil"/>
                    <w:tr2bl w:val="nil"/>
                  </w:tcBorders>
                  <w:shd w:val="clear" w:color="auto" w:fill="FFFFFF"/>
                  <w:vAlign w:val="center"/>
                </w:tcPr>
                <w:p w14:paraId="7145515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71.4</w:t>
                  </w:r>
                </w:p>
              </w:tc>
              <w:tc>
                <w:tcPr>
                  <w:tcW w:w="0" w:type="auto"/>
                  <w:tcBorders>
                    <w:tl2br w:val="nil"/>
                    <w:tr2bl w:val="nil"/>
                  </w:tcBorders>
                  <w:shd w:val="clear" w:color="auto" w:fill="FFFFFF"/>
                  <w:vAlign w:val="center"/>
                </w:tcPr>
                <w:p w14:paraId="0538AC8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450</w:t>
                  </w:r>
                </w:p>
              </w:tc>
              <w:tc>
                <w:tcPr>
                  <w:tcW w:w="0" w:type="auto"/>
                  <w:tcBorders>
                    <w:tl2br w:val="nil"/>
                    <w:tr2bl w:val="nil"/>
                  </w:tcBorders>
                  <w:shd w:val="clear" w:color="auto" w:fill="FFFFFF"/>
                  <w:vAlign w:val="center"/>
                </w:tcPr>
                <w:p w14:paraId="15C5FD2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34D3B56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338B746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溶解性总固体</w:t>
                  </w:r>
                </w:p>
              </w:tc>
              <w:tc>
                <w:tcPr>
                  <w:tcW w:w="0" w:type="auto"/>
                  <w:gridSpan w:val="3"/>
                  <w:tcBorders>
                    <w:tl2br w:val="nil"/>
                    <w:tr2bl w:val="nil"/>
                  </w:tcBorders>
                  <w:shd w:val="clear" w:color="auto" w:fill="FFFFFF"/>
                  <w:vAlign w:val="center"/>
                </w:tcPr>
                <w:p w14:paraId="10E2DAE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101</w:t>
                  </w:r>
                </w:p>
              </w:tc>
              <w:tc>
                <w:tcPr>
                  <w:tcW w:w="0" w:type="auto"/>
                  <w:tcBorders>
                    <w:tl2br w:val="nil"/>
                    <w:tr2bl w:val="nil"/>
                  </w:tcBorders>
                  <w:shd w:val="clear" w:color="auto" w:fill="FFFFFF"/>
                  <w:vAlign w:val="center"/>
                </w:tcPr>
                <w:p w14:paraId="5F0953C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1000</w:t>
                  </w:r>
                </w:p>
              </w:tc>
              <w:tc>
                <w:tcPr>
                  <w:tcW w:w="0" w:type="auto"/>
                  <w:tcBorders>
                    <w:tl2br w:val="nil"/>
                    <w:tr2bl w:val="nil"/>
                  </w:tcBorders>
                  <w:shd w:val="clear" w:color="auto" w:fill="FFFFFF"/>
                  <w:vAlign w:val="center"/>
                </w:tcPr>
                <w:p w14:paraId="4325A0D8">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1F1190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37D25C6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高</w:t>
                  </w:r>
                  <w:r>
                    <w:rPr>
                      <w:rFonts w:hint="default" w:ascii="Times New Roman" w:hAnsi="Times New Roman" w:eastAsia="宋体" w:cs="Times New Roman"/>
                      <w:color w:val="000000"/>
                      <w:spacing w:val="0"/>
                      <w:w w:val="100"/>
                      <w:position w:val="0"/>
                      <w:sz w:val="21"/>
                      <w:szCs w:val="21"/>
                      <w:lang w:val="en-US" w:eastAsia="zh-CN" w:bidi="en-US"/>
                    </w:rPr>
                    <w:t>锰</w:t>
                  </w:r>
                  <w:r>
                    <w:rPr>
                      <w:rFonts w:hint="default" w:ascii="Times New Roman" w:hAnsi="Times New Roman" w:eastAsia="宋体" w:cs="Times New Roman"/>
                      <w:color w:val="000000"/>
                      <w:spacing w:val="0"/>
                      <w:w w:val="100"/>
                      <w:position w:val="0"/>
                      <w:sz w:val="21"/>
                      <w:szCs w:val="21"/>
                      <w:lang w:val="zh-TW" w:eastAsia="zh-TW" w:bidi="en-US"/>
                    </w:rPr>
                    <w:t>酸盐指数</w:t>
                  </w:r>
                </w:p>
              </w:tc>
              <w:tc>
                <w:tcPr>
                  <w:tcW w:w="0" w:type="auto"/>
                  <w:gridSpan w:val="3"/>
                  <w:tcBorders>
                    <w:tl2br w:val="nil"/>
                    <w:tr2bl w:val="nil"/>
                  </w:tcBorders>
                  <w:shd w:val="clear" w:color="auto" w:fill="FFFFFF"/>
                  <w:vAlign w:val="center"/>
                </w:tcPr>
                <w:p w14:paraId="1D36116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3.9</w:t>
                  </w:r>
                </w:p>
              </w:tc>
              <w:tc>
                <w:tcPr>
                  <w:tcW w:w="0" w:type="auto"/>
                  <w:tcBorders>
                    <w:tl2br w:val="nil"/>
                    <w:tr2bl w:val="nil"/>
                  </w:tcBorders>
                  <w:shd w:val="clear" w:color="auto" w:fill="FFFFFF"/>
                  <w:vAlign w:val="center"/>
                </w:tcPr>
                <w:p w14:paraId="4F45A14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6</w:t>
                  </w:r>
                </w:p>
              </w:tc>
              <w:tc>
                <w:tcPr>
                  <w:tcW w:w="0" w:type="auto"/>
                  <w:tcBorders>
                    <w:tl2br w:val="nil"/>
                    <w:tr2bl w:val="nil"/>
                  </w:tcBorders>
                  <w:shd w:val="clear" w:color="auto" w:fill="FFFFFF"/>
                  <w:vAlign w:val="center"/>
                </w:tcPr>
                <w:p w14:paraId="3CE0E6FC">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1F53D6D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7E5EAB3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硝酸盐</w:t>
                  </w:r>
                </w:p>
              </w:tc>
              <w:tc>
                <w:tcPr>
                  <w:tcW w:w="0" w:type="auto"/>
                  <w:gridSpan w:val="3"/>
                  <w:tcBorders>
                    <w:tl2br w:val="nil"/>
                    <w:tr2bl w:val="nil"/>
                  </w:tcBorders>
                  <w:shd w:val="clear" w:color="auto" w:fill="FFFFFF"/>
                  <w:vAlign w:val="center"/>
                </w:tcPr>
                <w:p w14:paraId="041CCD1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3.28</w:t>
                  </w:r>
                </w:p>
              </w:tc>
              <w:tc>
                <w:tcPr>
                  <w:tcW w:w="0" w:type="auto"/>
                  <w:tcBorders>
                    <w:tl2br w:val="nil"/>
                    <w:tr2bl w:val="nil"/>
                  </w:tcBorders>
                  <w:shd w:val="clear" w:color="auto" w:fill="FFFFFF"/>
                  <w:vAlign w:val="center"/>
                </w:tcPr>
                <w:p w14:paraId="1BF550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20</w:t>
                  </w:r>
                </w:p>
              </w:tc>
              <w:tc>
                <w:tcPr>
                  <w:tcW w:w="0" w:type="auto"/>
                  <w:tcBorders>
                    <w:tl2br w:val="nil"/>
                    <w:tr2bl w:val="nil"/>
                  </w:tcBorders>
                  <w:shd w:val="clear" w:color="auto" w:fill="FFFFFF"/>
                  <w:vAlign w:val="center"/>
                </w:tcPr>
                <w:p w14:paraId="05A82A65">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794231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31578DC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亚硝酸盐</w:t>
                  </w:r>
                </w:p>
              </w:tc>
              <w:tc>
                <w:tcPr>
                  <w:tcW w:w="0" w:type="auto"/>
                  <w:gridSpan w:val="3"/>
                  <w:tcBorders>
                    <w:tl2br w:val="nil"/>
                    <w:tr2bl w:val="nil"/>
                  </w:tcBorders>
                  <w:shd w:val="clear" w:color="auto" w:fill="FFFFFF"/>
                  <w:vAlign w:val="center"/>
                </w:tcPr>
                <w:p w14:paraId="1A7234D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&lt;0.003</w:t>
                  </w:r>
                </w:p>
              </w:tc>
              <w:tc>
                <w:tcPr>
                  <w:tcW w:w="0" w:type="auto"/>
                  <w:tcBorders>
                    <w:tl2br w:val="nil"/>
                    <w:tr2bl w:val="nil"/>
                  </w:tcBorders>
                  <w:shd w:val="clear" w:color="auto" w:fill="FFFFFF"/>
                  <w:vAlign w:val="center"/>
                </w:tcPr>
                <w:p w14:paraId="24604EB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1D70734C">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46DA4AF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08C640E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氨氮</w:t>
                  </w:r>
                </w:p>
              </w:tc>
              <w:tc>
                <w:tcPr>
                  <w:tcW w:w="0" w:type="auto"/>
                  <w:gridSpan w:val="3"/>
                  <w:tcBorders>
                    <w:tl2br w:val="nil"/>
                    <w:tr2bl w:val="nil"/>
                  </w:tcBorders>
                  <w:shd w:val="clear" w:color="auto" w:fill="FFFFFF"/>
                  <w:vAlign w:val="center"/>
                </w:tcPr>
                <w:p w14:paraId="543AA0A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0.242</w:t>
                  </w:r>
                </w:p>
              </w:tc>
              <w:tc>
                <w:tcPr>
                  <w:tcW w:w="0" w:type="auto"/>
                  <w:tcBorders>
                    <w:tl2br w:val="nil"/>
                    <w:tr2bl w:val="nil"/>
                  </w:tcBorders>
                  <w:shd w:val="clear" w:color="auto" w:fill="FFFFFF"/>
                  <w:vAlign w:val="center"/>
                </w:tcPr>
                <w:p w14:paraId="4CED21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142298E7">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B2DFCA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5A32CB2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硫酸盐</w:t>
                  </w:r>
                </w:p>
              </w:tc>
              <w:tc>
                <w:tcPr>
                  <w:tcW w:w="0" w:type="auto"/>
                  <w:gridSpan w:val="3"/>
                  <w:tcBorders>
                    <w:tl2br w:val="nil"/>
                    <w:tr2bl w:val="nil"/>
                  </w:tcBorders>
                  <w:shd w:val="clear" w:color="auto" w:fill="FFFFFF"/>
                  <w:vAlign w:val="center"/>
                </w:tcPr>
                <w:p w14:paraId="7AD5628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&lt;8</w:t>
                  </w:r>
                </w:p>
              </w:tc>
              <w:tc>
                <w:tcPr>
                  <w:tcW w:w="0" w:type="auto"/>
                  <w:tcBorders>
                    <w:tl2br w:val="nil"/>
                    <w:tr2bl w:val="nil"/>
                  </w:tcBorders>
                  <w:shd w:val="clear" w:color="auto" w:fill="FFFFFF"/>
                  <w:vAlign w:val="center"/>
                </w:tcPr>
                <w:p w14:paraId="58B0B18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250</w:t>
                  </w:r>
                </w:p>
              </w:tc>
              <w:tc>
                <w:tcPr>
                  <w:tcW w:w="0" w:type="auto"/>
                  <w:tcBorders>
                    <w:tl2br w:val="nil"/>
                    <w:tr2bl w:val="nil"/>
                  </w:tcBorders>
                  <w:shd w:val="clear" w:color="auto" w:fill="FFFFFF"/>
                  <w:vAlign w:val="center"/>
                </w:tcPr>
                <w:p w14:paraId="6E9416F9">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F7BF06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42E799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氯化物</w:t>
                  </w:r>
                </w:p>
              </w:tc>
              <w:tc>
                <w:tcPr>
                  <w:tcW w:w="0" w:type="auto"/>
                  <w:gridSpan w:val="3"/>
                  <w:tcBorders>
                    <w:tl2br w:val="nil"/>
                    <w:tr2bl w:val="nil"/>
                  </w:tcBorders>
                  <w:shd w:val="clear" w:color="auto" w:fill="FFFFFF"/>
                  <w:vAlign w:val="center"/>
                </w:tcPr>
                <w:p w14:paraId="16BEC17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4.8</w:t>
                  </w:r>
                </w:p>
              </w:tc>
              <w:tc>
                <w:tcPr>
                  <w:tcW w:w="0" w:type="auto"/>
                  <w:tcBorders>
                    <w:tl2br w:val="nil"/>
                    <w:tr2bl w:val="nil"/>
                  </w:tcBorders>
                  <w:shd w:val="clear" w:color="auto" w:fill="FFFFFF"/>
                  <w:vAlign w:val="center"/>
                </w:tcPr>
                <w:p w14:paraId="270BA21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250</w:t>
                  </w:r>
                </w:p>
              </w:tc>
              <w:tc>
                <w:tcPr>
                  <w:tcW w:w="0" w:type="auto"/>
                  <w:tcBorders>
                    <w:tl2br w:val="nil"/>
                    <w:tr2bl w:val="nil"/>
                  </w:tcBorders>
                  <w:shd w:val="clear" w:color="auto" w:fill="FFFFFF"/>
                  <w:vAlign w:val="center"/>
                </w:tcPr>
                <w:p w14:paraId="15296976">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0C0397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737A9F6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六价铭</w:t>
                  </w:r>
                </w:p>
              </w:tc>
              <w:tc>
                <w:tcPr>
                  <w:tcW w:w="0" w:type="auto"/>
                  <w:gridSpan w:val="3"/>
                  <w:tcBorders>
                    <w:tl2br w:val="nil"/>
                    <w:tr2bl w:val="nil"/>
                  </w:tcBorders>
                  <w:shd w:val="clear" w:color="auto" w:fill="FFFFFF"/>
                  <w:vAlign w:val="center"/>
                </w:tcPr>
                <w:p w14:paraId="6C1C8F1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0E67F7D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1B6494A6">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393CDF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5CF7E99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氟化物</w:t>
                  </w:r>
                </w:p>
              </w:tc>
              <w:tc>
                <w:tcPr>
                  <w:tcW w:w="0" w:type="auto"/>
                  <w:gridSpan w:val="3"/>
                  <w:tcBorders>
                    <w:tl2br w:val="nil"/>
                    <w:tr2bl w:val="nil"/>
                  </w:tcBorders>
                  <w:shd w:val="clear" w:color="auto" w:fill="FFFFFF"/>
                  <w:vAlign w:val="center"/>
                </w:tcPr>
                <w:p w14:paraId="6980A6E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0.49</w:t>
                  </w:r>
                </w:p>
              </w:tc>
              <w:tc>
                <w:tcPr>
                  <w:tcW w:w="0" w:type="auto"/>
                  <w:tcBorders>
                    <w:tl2br w:val="nil"/>
                    <w:tr2bl w:val="nil"/>
                  </w:tcBorders>
                  <w:shd w:val="clear" w:color="auto" w:fill="FFFFFF"/>
                  <w:vAlign w:val="center"/>
                </w:tcPr>
                <w:p w14:paraId="3BD1125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46BD69C6">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0D7888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7D40265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铜</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6437002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3.17</w:t>
                  </w:r>
                </w:p>
              </w:tc>
              <w:tc>
                <w:tcPr>
                  <w:tcW w:w="0" w:type="auto"/>
                  <w:tcBorders>
                    <w:tl2br w:val="nil"/>
                    <w:tr2bl w:val="nil"/>
                  </w:tcBorders>
                  <w:shd w:val="clear" w:color="auto" w:fill="FFFFFF"/>
                  <w:vAlign w:val="center"/>
                </w:tcPr>
                <w:p w14:paraId="08CFB9A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1A9A79AE">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0F8D26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4565D08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锌</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21D8A02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17.2</w:t>
                  </w:r>
                </w:p>
              </w:tc>
              <w:tc>
                <w:tcPr>
                  <w:tcW w:w="0" w:type="auto"/>
                  <w:tcBorders>
                    <w:tl2br w:val="nil"/>
                    <w:tr2bl w:val="nil"/>
                  </w:tcBorders>
                  <w:shd w:val="clear" w:color="auto" w:fill="FFFFFF"/>
                  <w:vAlign w:val="center"/>
                </w:tcPr>
                <w:p w14:paraId="331452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2123B15F">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5AEA275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51514EB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镉</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0ABAF46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0.12</w:t>
                  </w:r>
                </w:p>
              </w:tc>
              <w:tc>
                <w:tcPr>
                  <w:tcW w:w="0" w:type="auto"/>
                  <w:tcBorders>
                    <w:tl2br w:val="nil"/>
                    <w:tr2bl w:val="nil"/>
                  </w:tcBorders>
                  <w:shd w:val="clear" w:color="auto" w:fill="FFFFFF"/>
                  <w:vAlign w:val="center"/>
                </w:tcPr>
                <w:p w14:paraId="7615892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0.005</w:t>
                  </w:r>
                </w:p>
              </w:tc>
              <w:tc>
                <w:tcPr>
                  <w:tcW w:w="0" w:type="auto"/>
                  <w:tcBorders>
                    <w:tl2br w:val="nil"/>
                    <w:tr2bl w:val="nil"/>
                  </w:tcBorders>
                  <w:shd w:val="clear" w:color="auto" w:fill="FFFFFF"/>
                  <w:vAlign w:val="center"/>
                </w:tcPr>
                <w:p w14:paraId="4253D341">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1C54AE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3695A7F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铅</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3A7F310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8.02</w:t>
                  </w:r>
                </w:p>
              </w:tc>
              <w:tc>
                <w:tcPr>
                  <w:tcW w:w="0" w:type="auto"/>
                  <w:tcBorders>
                    <w:tl2br w:val="nil"/>
                    <w:tr2bl w:val="nil"/>
                  </w:tcBorders>
                  <w:shd w:val="clear" w:color="auto" w:fill="FFFFFF"/>
                  <w:vAlign w:val="center"/>
                </w:tcPr>
                <w:p w14:paraId="5807289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7BDD647C">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C64825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30C6B21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铁</w:t>
                  </w:r>
                </w:p>
              </w:tc>
              <w:tc>
                <w:tcPr>
                  <w:tcW w:w="0" w:type="auto"/>
                  <w:gridSpan w:val="3"/>
                  <w:tcBorders>
                    <w:tl2br w:val="nil"/>
                    <w:tr2bl w:val="nil"/>
                  </w:tcBorders>
                  <w:shd w:val="clear" w:color="auto" w:fill="FFFFFF"/>
                  <w:vAlign w:val="center"/>
                </w:tcPr>
                <w:p w14:paraId="6119EC1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1.06</w:t>
                  </w:r>
                </w:p>
              </w:tc>
              <w:tc>
                <w:tcPr>
                  <w:tcW w:w="0" w:type="auto"/>
                  <w:tcBorders>
                    <w:tl2br w:val="nil"/>
                    <w:tr2bl w:val="nil"/>
                  </w:tcBorders>
                  <w:shd w:val="clear" w:color="auto" w:fill="FFFFFF"/>
                  <w:vAlign w:val="center"/>
                </w:tcPr>
                <w:p w14:paraId="4F38C80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0.3</w:t>
                  </w:r>
                </w:p>
              </w:tc>
              <w:tc>
                <w:tcPr>
                  <w:tcW w:w="0" w:type="auto"/>
                  <w:tcBorders>
                    <w:tl2br w:val="nil"/>
                    <w:tr2bl w:val="nil"/>
                  </w:tcBorders>
                  <w:shd w:val="clear" w:color="auto" w:fill="FFFFFF"/>
                  <w:vAlign w:val="center"/>
                </w:tcPr>
                <w:p w14:paraId="053E6F8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超标</w:t>
                  </w:r>
                </w:p>
              </w:tc>
            </w:tr>
            <w:tr w14:paraId="7B63B5A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69A315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锰</w:t>
                  </w:r>
                </w:p>
              </w:tc>
              <w:tc>
                <w:tcPr>
                  <w:tcW w:w="0" w:type="auto"/>
                  <w:gridSpan w:val="3"/>
                  <w:tcBorders>
                    <w:tl2br w:val="nil"/>
                    <w:tr2bl w:val="nil"/>
                  </w:tcBorders>
                  <w:shd w:val="clear" w:color="auto" w:fill="FFFFFF"/>
                  <w:vAlign w:val="center"/>
                </w:tcPr>
                <w:p w14:paraId="40A2A2F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1.30</w:t>
                  </w:r>
                </w:p>
              </w:tc>
              <w:tc>
                <w:tcPr>
                  <w:tcW w:w="0" w:type="auto"/>
                  <w:tcBorders>
                    <w:tl2br w:val="nil"/>
                    <w:tr2bl w:val="nil"/>
                  </w:tcBorders>
                  <w:shd w:val="clear" w:color="auto" w:fill="FFFFFF"/>
                  <w:vAlign w:val="center"/>
                </w:tcPr>
                <w:p w14:paraId="19C63BA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0.1</w:t>
                  </w:r>
                </w:p>
              </w:tc>
              <w:tc>
                <w:tcPr>
                  <w:tcW w:w="0" w:type="auto"/>
                  <w:tcBorders>
                    <w:tl2br w:val="nil"/>
                    <w:tr2bl w:val="nil"/>
                  </w:tcBorders>
                  <w:shd w:val="clear" w:color="auto" w:fill="FFFFFF"/>
                  <w:vAlign w:val="center"/>
                </w:tcPr>
                <w:p w14:paraId="6A461B2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超标</w:t>
                  </w:r>
                </w:p>
              </w:tc>
            </w:tr>
            <w:tr w14:paraId="2DC424F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128389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砷</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11E2813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&lt;0.3</w:t>
                  </w:r>
                </w:p>
              </w:tc>
              <w:tc>
                <w:tcPr>
                  <w:tcW w:w="0" w:type="auto"/>
                  <w:tcBorders>
                    <w:tl2br w:val="nil"/>
                    <w:tr2bl w:val="nil"/>
                  </w:tcBorders>
                  <w:shd w:val="clear" w:color="auto" w:fill="FFFFFF"/>
                  <w:vAlign w:val="center"/>
                </w:tcPr>
                <w:p w14:paraId="401687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0.01</w:t>
                  </w:r>
                </w:p>
              </w:tc>
              <w:tc>
                <w:tcPr>
                  <w:tcW w:w="0" w:type="auto"/>
                  <w:tcBorders>
                    <w:tl2br w:val="nil"/>
                    <w:tr2bl w:val="nil"/>
                  </w:tcBorders>
                  <w:shd w:val="clear" w:color="auto" w:fill="FFFFFF"/>
                  <w:vAlign w:val="center"/>
                </w:tcPr>
                <w:p w14:paraId="06F4898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6114A07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tcBorders>
                    <w:tl2br w:val="nil"/>
                    <w:tr2bl w:val="nil"/>
                  </w:tcBorders>
                  <w:shd w:val="clear" w:color="auto" w:fill="FFFFFF"/>
                  <w:vAlign w:val="center"/>
                </w:tcPr>
                <w:p w14:paraId="745E4AF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汞</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6275753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&lt;0.04</w:t>
                  </w:r>
                </w:p>
              </w:tc>
              <w:tc>
                <w:tcPr>
                  <w:tcW w:w="0" w:type="auto"/>
                  <w:tcBorders>
                    <w:tl2br w:val="nil"/>
                    <w:tr2bl w:val="nil"/>
                  </w:tcBorders>
                  <w:shd w:val="clear" w:color="auto" w:fill="FFFFFF"/>
                  <w:vAlign w:val="center"/>
                </w:tcPr>
                <w:p w14:paraId="0E2C454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0.0001</w:t>
                  </w:r>
                </w:p>
              </w:tc>
              <w:tc>
                <w:tcPr>
                  <w:tcW w:w="0" w:type="auto"/>
                  <w:tcBorders>
                    <w:tl2br w:val="nil"/>
                    <w:tr2bl w:val="nil"/>
                  </w:tcBorders>
                  <w:shd w:val="clear" w:color="auto" w:fill="FFFFFF"/>
                  <w:vAlign w:val="center"/>
                </w:tcPr>
                <w:p w14:paraId="088B6C7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9B390F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12D851B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451B7D15">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75ADA02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6F3EC3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66CBF2C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污染扩散井</w:t>
                  </w:r>
                </w:p>
              </w:tc>
              <w:tc>
                <w:tcPr>
                  <w:tcW w:w="0" w:type="auto"/>
                  <w:vMerge w:val="restart"/>
                  <w:tcBorders>
                    <w:tl2br w:val="nil"/>
                    <w:tr2bl w:val="nil"/>
                  </w:tcBorders>
                  <w:shd w:val="clear" w:color="auto" w:fill="FFFFFF"/>
                  <w:vAlign w:val="center"/>
                </w:tcPr>
                <w:p w14:paraId="5A00A4D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标准限值</w:t>
                  </w:r>
                </w:p>
              </w:tc>
              <w:tc>
                <w:tcPr>
                  <w:tcW w:w="0" w:type="auto"/>
                  <w:vMerge w:val="restart"/>
                  <w:tcBorders>
                    <w:tl2br w:val="nil"/>
                    <w:tr2bl w:val="nil"/>
                  </w:tcBorders>
                  <w:shd w:val="clear" w:color="auto" w:fill="FFFFFF"/>
                  <w:vAlign w:val="center"/>
                </w:tcPr>
                <w:p w14:paraId="4E62BEA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en-US" w:eastAsia="zh-CN" w:bidi="en-US"/>
                    </w:rPr>
                    <w:t>达标情况</w:t>
                  </w:r>
                </w:p>
              </w:tc>
            </w:tr>
            <w:tr w14:paraId="706D2EE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4BD4901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gridSpan w:val="3"/>
                  <w:tcBorders>
                    <w:tl2br w:val="nil"/>
                    <w:tr2bl w:val="nil"/>
                  </w:tcBorders>
                  <w:shd w:val="clear" w:color="auto" w:fill="FFFFFF"/>
                  <w:vAlign w:val="center"/>
                </w:tcPr>
                <w:p w14:paraId="152076E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2022. 11.28</w:t>
                  </w:r>
                </w:p>
              </w:tc>
              <w:tc>
                <w:tcPr>
                  <w:tcW w:w="0" w:type="auto"/>
                  <w:vMerge w:val="continue"/>
                  <w:tcBorders>
                    <w:tl2br w:val="nil"/>
                    <w:tr2bl w:val="nil"/>
                  </w:tcBorders>
                  <w:shd w:val="clear" w:color="auto" w:fill="FFFFFF"/>
                  <w:vAlign w:val="center"/>
                </w:tcPr>
                <w:p w14:paraId="2AAF933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4B0A40F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4CCAAE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50DBA82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tcBorders>
                    <w:tl2br w:val="nil"/>
                    <w:tr2bl w:val="nil"/>
                  </w:tcBorders>
                  <w:shd w:val="clear" w:color="auto" w:fill="FFFFFF"/>
                  <w:vAlign w:val="center"/>
                </w:tcPr>
                <w:p w14:paraId="49A450B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10:02</w:t>
                  </w:r>
                </w:p>
              </w:tc>
              <w:tc>
                <w:tcPr>
                  <w:tcW w:w="0" w:type="auto"/>
                  <w:tcBorders>
                    <w:tl2br w:val="nil"/>
                    <w:tr2bl w:val="nil"/>
                  </w:tcBorders>
                  <w:shd w:val="clear" w:color="auto" w:fill="FFFFFF"/>
                  <w:vAlign w:val="center"/>
                </w:tcPr>
                <w:p w14:paraId="6389CC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14:08</w:t>
                  </w:r>
                </w:p>
              </w:tc>
              <w:tc>
                <w:tcPr>
                  <w:tcW w:w="0" w:type="auto"/>
                  <w:tcBorders>
                    <w:tl2br w:val="nil"/>
                    <w:tr2bl w:val="nil"/>
                  </w:tcBorders>
                  <w:shd w:val="clear" w:color="auto" w:fill="FFFFFF"/>
                  <w:vAlign w:val="center"/>
                </w:tcPr>
                <w:p w14:paraId="07F8776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17:16</w:t>
                  </w:r>
                </w:p>
              </w:tc>
              <w:tc>
                <w:tcPr>
                  <w:tcW w:w="0" w:type="auto"/>
                  <w:vMerge w:val="continue"/>
                  <w:tcBorders>
                    <w:tl2br w:val="nil"/>
                    <w:tr2bl w:val="nil"/>
                  </w:tcBorders>
                  <w:shd w:val="clear" w:color="auto" w:fill="FFFFFF"/>
                  <w:vAlign w:val="center"/>
                </w:tcPr>
                <w:p w14:paraId="2977CE0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c>
                <w:tcPr>
                  <w:tcW w:w="0" w:type="auto"/>
                  <w:vMerge w:val="continue"/>
                  <w:tcBorders>
                    <w:tl2br w:val="nil"/>
                    <w:tr2bl w:val="nil"/>
                  </w:tcBorders>
                  <w:shd w:val="clear" w:color="auto" w:fill="FFFFFF"/>
                  <w:vAlign w:val="center"/>
                </w:tcPr>
                <w:p w14:paraId="036287E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p>
              </w:tc>
            </w:tr>
            <w:tr w14:paraId="15B4B34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1" w:hRule="exact"/>
                <w:jc w:val="center"/>
              </w:trPr>
              <w:tc>
                <w:tcPr>
                  <w:tcW w:w="0" w:type="auto"/>
                  <w:vMerge w:val="continue"/>
                  <w:tcBorders>
                    <w:tl2br w:val="nil"/>
                    <w:tr2bl w:val="nil"/>
                  </w:tcBorders>
                  <w:shd w:val="clear" w:color="auto" w:fill="FFFFFF"/>
                  <w:vAlign w:val="center"/>
                </w:tcPr>
                <w:p w14:paraId="255493B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c>
                <w:tcPr>
                  <w:tcW w:w="0" w:type="auto"/>
                  <w:tcBorders>
                    <w:tl2br w:val="nil"/>
                    <w:tr2bl w:val="nil"/>
                  </w:tcBorders>
                  <w:shd w:val="clear" w:color="auto" w:fill="FFFFFF"/>
                  <w:vAlign w:val="center"/>
                </w:tcPr>
                <w:p w14:paraId="606BC0D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10211</w:t>
                  </w:r>
                  <w:r>
                    <w:rPr>
                      <w:rFonts w:hint="default" w:ascii="Times New Roman" w:hAnsi="Times New Roman" w:eastAsia="宋体" w:cs="Times New Roman"/>
                      <w:color w:val="000000"/>
                      <w:spacing w:val="0"/>
                      <w:w w:val="100"/>
                      <w:position w:val="0"/>
                      <w:sz w:val="21"/>
                      <w:szCs w:val="21"/>
                      <w:lang w:val="en-US" w:eastAsia="en-US" w:bidi="en-US"/>
                    </w:rPr>
                    <w:t>1-41</w:t>
                  </w:r>
                </w:p>
              </w:tc>
              <w:tc>
                <w:tcPr>
                  <w:tcW w:w="0" w:type="auto"/>
                  <w:tcBorders>
                    <w:tl2br w:val="nil"/>
                    <w:tr2bl w:val="nil"/>
                  </w:tcBorders>
                  <w:shd w:val="clear" w:color="auto" w:fill="FFFFFF"/>
                  <w:vAlign w:val="center"/>
                </w:tcPr>
                <w:p w14:paraId="568F84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w:t>
                  </w:r>
                  <w:r>
                    <w:rPr>
                      <w:rFonts w:hint="default" w:ascii="Times New Roman" w:hAnsi="Times New Roman" w:eastAsia="宋体" w:cs="Times New Roman"/>
                      <w:color w:val="000000"/>
                      <w:spacing w:val="0"/>
                      <w:w w:val="100"/>
                      <w:position w:val="0"/>
                      <w:sz w:val="21"/>
                      <w:szCs w:val="21"/>
                      <w:lang w:val="zh-TW" w:eastAsia="zh-TW" w:bidi="en-US"/>
                    </w:rPr>
                    <w:t>1021</w:t>
                  </w:r>
                  <w:r>
                    <w:rPr>
                      <w:rFonts w:hint="default" w:ascii="Times New Roman" w:hAnsi="Times New Roman" w:eastAsia="宋体" w:cs="Times New Roman"/>
                      <w:color w:val="000000"/>
                      <w:spacing w:val="0"/>
                      <w:w w:val="100"/>
                      <w:position w:val="0"/>
                      <w:sz w:val="21"/>
                      <w:szCs w:val="21"/>
                      <w:lang w:val="en-US" w:eastAsia="en-US" w:bidi="en-US"/>
                    </w:rPr>
                    <w:t>11-42</w:t>
                  </w:r>
                </w:p>
              </w:tc>
              <w:tc>
                <w:tcPr>
                  <w:tcW w:w="0" w:type="auto"/>
                  <w:tcBorders>
                    <w:tl2br w:val="nil"/>
                    <w:tr2bl w:val="nil"/>
                  </w:tcBorders>
                  <w:shd w:val="clear" w:color="auto" w:fill="FFFFFF"/>
                  <w:vAlign w:val="center"/>
                </w:tcPr>
                <w:p w14:paraId="5F910F3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DH20221102111-43</w:t>
                  </w:r>
                </w:p>
              </w:tc>
              <w:tc>
                <w:tcPr>
                  <w:tcW w:w="0" w:type="auto"/>
                  <w:vMerge w:val="continue"/>
                  <w:tcBorders>
                    <w:tl2br w:val="nil"/>
                    <w:tr2bl w:val="nil"/>
                  </w:tcBorders>
                  <w:shd w:val="clear" w:color="auto" w:fill="FFFFFF"/>
                  <w:vAlign w:val="center"/>
                </w:tcPr>
                <w:p w14:paraId="1A24AAC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580B2EC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en-US" w:bidi="en-US"/>
                    </w:rPr>
                  </w:pPr>
                </w:p>
              </w:tc>
            </w:tr>
            <w:tr w14:paraId="7190726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414" w:hRule="exact"/>
                <w:jc w:val="center"/>
              </w:trPr>
              <w:tc>
                <w:tcPr>
                  <w:tcW w:w="0" w:type="auto"/>
                  <w:tcBorders>
                    <w:tl2br w:val="nil"/>
                    <w:tr2bl w:val="nil"/>
                  </w:tcBorders>
                  <w:shd w:val="clear" w:color="auto" w:fill="FFFFFF"/>
                  <w:vAlign w:val="center"/>
                </w:tcPr>
                <w:p w14:paraId="164C240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 xml:space="preserve">pH </w:t>
                  </w:r>
                  <w:r>
                    <w:rPr>
                      <w:rFonts w:hint="default" w:ascii="Times New Roman" w:hAnsi="Times New Roman" w:eastAsia="宋体" w:cs="Times New Roman"/>
                      <w:color w:val="000000"/>
                      <w:spacing w:val="0"/>
                      <w:w w:val="100"/>
                      <w:position w:val="0"/>
                      <w:sz w:val="21"/>
                      <w:szCs w:val="21"/>
                      <w:lang w:val="zh-TW" w:eastAsia="zh-TW" w:bidi="en-US"/>
                    </w:rPr>
                    <w:t>（无量纲）</w:t>
                  </w:r>
                </w:p>
              </w:tc>
              <w:tc>
                <w:tcPr>
                  <w:tcW w:w="0" w:type="auto"/>
                  <w:tcBorders>
                    <w:tl2br w:val="nil"/>
                    <w:tr2bl w:val="nil"/>
                  </w:tcBorders>
                  <w:shd w:val="clear" w:color="auto" w:fill="FFFFFF"/>
                  <w:vAlign w:val="center"/>
                </w:tcPr>
                <w:p w14:paraId="64FB7EC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6.9</w:t>
                  </w:r>
                </w:p>
              </w:tc>
              <w:tc>
                <w:tcPr>
                  <w:tcW w:w="0" w:type="auto"/>
                  <w:tcBorders>
                    <w:tl2br w:val="nil"/>
                    <w:tr2bl w:val="nil"/>
                  </w:tcBorders>
                  <w:shd w:val="clear" w:color="auto" w:fill="FFFFFF"/>
                  <w:vAlign w:val="center"/>
                </w:tcPr>
                <w:p w14:paraId="7336DE8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7.1</w:t>
                  </w:r>
                </w:p>
              </w:tc>
              <w:tc>
                <w:tcPr>
                  <w:tcW w:w="0" w:type="auto"/>
                  <w:tcBorders>
                    <w:tl2br w:val="nil"/>
                    <w:tr2bl w:val="nil"/>
                  </w:tcBorders>
                  <w:shd w:val="clear" w:color="auto" w:fill="FFFFFF"/>
                  <w:vAlign w:val="center"/>
                </w:tcPr>
                <w:p w14:paraId="5E1DAF4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en-US" w:bidi="en-US"/>
                    </w:rPr>
                    <w:t>7.1</w:t>
                  </w:r>
                </w:p>
              </w:tc>
              <w:tc>
                <w:tcPr>
                  <w:tcW w:w="0" w:type="auto"/>
                  <w:tcBorders>
                    <w:tl2br w:val="nil"/>
                    <w:tr2bl w:val="nil"/>
                  </w:tcBorders>
                  <w:shd w:val="clear" w:color="auto" w:fill="FFFFFF"/>
                  <w:vAlign w:val="center"/>
                </w:tcPr>
                <w:p w14:paraId="390496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6-9</w:t>
                  </w:r>
                </w:p>
              </w:tc>
              <w:tc>
                <w:tcPr>
                  <w:tcW w:w="0" w:type="auto"/>
                  <w:tcBorders>
                    <w:tl2br w:val="nil"/>
                    <w:tr2bl w:val="nil"/>
                  </w:tcBorders>
                  <w:shd w:val="clear" w:color="auto" w:fill="FFFFFF"/>
                  <w:vAlign w:val="center"/>
                </w:tcPr>
                <w:p w14:paraId="4D035F1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bl>
          <w:p w14:paraId="525DEF21">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2"/>
                <w:lang w:val="en-US" w:eastAsia="zh-CN"/>
              </w:rPr>
            </w:pPr>
            <w:r>
              <w:rPr>
                <w:rFonts w:hint="default" w:ascii="Times New Roman" w:hAnsi="Times New Roman" w:cs="Times New Roman"/>
                <w:b/>
                <w:color w:val="auto"/>
                <w:szCs w:val="22"/>
              </w:rPr>
              <w:t>表</w:t>
            </w:r>
            <w:r>
              <w:rPr>
                <w:rFonts w:hint="default" w:ascii="Times New Roman" w:hAnsi="Times New Roman" w:cs="Times New Roman"/>
                <w:b/>
                <w:color w:val="auto"/>
                <w:szCs w:val="22"/>
                <w:lang w:val="en-US" w:eastAsia="zh-CN"/>
              </w:rPr>
              <w:t>3-15 污染监视井</w:t>
            </w:r>
            <w:r>
              <w:rPr>
                <w:rFonts w:hint="default" w:ascii="Times New Roman" w:hAnsi="Times New Roman" w:cs="Times New Roman"/>
                <w:b/>
                <w:color w:val="auto"/>
                <w:szCs w:val="22"/>
              </w:rPr>
              <w:t>检测结果表</w:t>
            </w:r>
            <w:r>
              <w:rPr>
                <w:rFonts w:hint="default" w:ascii="Times New Roman" w:hAnsi="Times New Roman" w:cs="Times New Roman"/>
                <w:b/>
                <w:color w:val="auto"/>
                <w:szCs w:val="22"/>
                <w:lang w:val="en-US" w:eastAsia="zh-CN"/>
              </w:rPr>
              <w:t xml:space="preserve">   </w:t>
            </w:r>
            <w:r>
              <w:rPr>
                <w:rFonts w:hint="default" w:ascii="Times New Roman" w:hAnsi="Times New Roman" w:cs="Times New Roman"/>
                <w:b/>
                <w:color w:val="auto"/>
                <w:szCs w:val="22"/>
              </w:rPr>
              <w:t>单位：</w:t>
            </w:r>
            <w:r>
              <w:rPr>
                <w:rFonts w:hint="default" w:ascii="Times New Roman" w:hAnsi="Times New Roman" w:cs="Times New Roman"/>
                <w:b/>
                <w:color w:val="auto"/>
                <w:szCs w:val="22"/>
                <w:lang w:val="en-US" w:eastAsia="en-US"/>
              </w:rPr>
              <w:t>mg/L</w:t>
            </w:r>
          </w:p>
          <w:tbl>
            <w:tblPr>
              <w:tblStyle w:val="27"/>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 w:type="dxa"/>
                <w:bottom w:w="0" w:type="dxa"/>
                <w:right w:w="10" w:type="dxa"/>
              </w:tblCellMar>
            </w:tblPr>
            <w:tblGrid>
              <w:gridCol w:w="2132"/>
              <w:gridCol w:w="1735"/>
              <w:gridCol w:w="1735"/>
              <w:gridCol w:w="1735"/>
              <w:gridCol w:w="860"/>
              <w:gridCol w:w="860"/>
            </w:tblGrid>
            <w:tr w14:paraId="25300AB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76"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0E16055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15E1F63F">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223B8B8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214A008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11AB560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污染监视井</w:t>
                  </w:r>
                </w:p>
              </w:tc>
              <w:tc>
                <w:tcPr>
                  <w:tcW w:w="0" w:type="auto"/>
                  <w:vMerge w:val="restart"/>
                  <w:tcBorders>
                    <w:tl2br w:val="nil"/>
                    <w:tr2bl w:val="nil"/>
                  </w:tcBorders>
                  <w:shd w:val="clear" w:color="auto" w:fill="FFFFFF"/>
                  <w:vAlign w:val="center"/>
                </w:tcPr>
                <w:p w14:paraId="242C4C1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zh-TW"/>
                    </w:rPr>
                  </w:pPr>
                  <w:r>
                    <w:rPr>
                      <w:rFonts w:hint="default" w:ascii="Times New Roman" w:hAnsi="Times New Roman" w:cs="Times New Roman"/>
                      <w:color w:val="000000"/>
                      <w:spacing w:val="0"/>
                      <w:w w:val="100"/>
                      <w:position w:val="0"/>
                      <w:sz w:val="21"/>
                      <w:szCs w:val="21"/>
                      <w:lang w:val="en-US" w:eastAsia="zh-CN" w:bidi="zh-TW"/>
                    </w:rPr>
                    <w:t>标准限值</w:t>
                  </w:r>
                </w:p>
              </w:tc>
              <w:tc>
                <w:tcPr>
                  <w:tcW w:w="0" w:type="auto"/>
                  <w:vMerge w:val="restart"/>
                  <w:tcBorders>
                    <w:tl2br w:val="nil"/>
                    <w:tr2bl w:val="nil"/>
                  </w:tcBorders>
                  <w:shd w:val="clear" w:color="auto" w:fill="FFFFFF"/>
                  <w:vAlign w:val="center"/>
                </w:tcPr>
                <w:p w14:paraId="1BC9123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zh-TW"/>
                    </w:rPr>
                  </w:pPr>
                  <w:r>
                    <w:rPr>
                      <w:rFonts w:hint="default" w:ascii="Times New Roman" w:hAnsi="Times New Roman" w:cs="Times New Roman"/>
                      <w:color w:val="000000"/>
                      <w:spacing w:val="0"/>
                      <w:w w:val="100"/>
                      <w:position w:val="0"/>
                      <w:sz w:val="21"/>
                      <w:szCs w:val="21"/>
                      <w:lang w:val="en-US" w:eastAsia="zh-CN" w:bidi="zh-TW"/>
                    </w:rPr>
                    <w:t>达标情况</w:t>
                  </w:r>
                </w:p>
              </w:tc>
            </w:tr>
            <w:tr w14:paraId="724F5A4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continue"/>
                  <w:tcBorders>
                    <w:tl2br w:val="nil"/>
                    <w:tr2bl w:val="nil"/>
                  </w:tcBorders>
                  <w:shd w:val="clear" w:color="auto" w:fill="FFFFFF"/>
                  <w:vAlign w:val="center"/>
                </w:tcPr>
                <w:p w14:paraId="28A85BD1">
                  <w:pPr>
                    <w:jc w:val="center"/>
                    <w:rPr>
                      <w:rFonts w:hint="default" w:ascii="Times New Roman" w:hAnsi="Times New Roman" w:cs="Times New Roman"/>
                      <w:sz w:val="21"/>
                      <w:szCs w:val="21"/>
                    </w:rPr>
                  </w:pPr>
                </w:p>
              </w:tc>
              <w:tc>
                <w:tcPr>
                  <w:tcW w:w="0" w:type="auto"/>
                  <w:gridSpan w:val="3"/>
                  <w:tcBorders>
                    <w:tl2br w:val="nil"/>
                    <w:tr2bl w:val="nil"/>
                  </w:tcBorders>
                  <w:shd w:val="clear" w:color="auto" w:fill="FFFFFF"/>
                  <w:vAlign w:val="center"/>
                </w:tcPr>
                <w:p w14:paraId="039C762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 xml:space="preserve">2022. 11. </w:t>
                  </w:r>
                  <w:r>
                    <w:rPr>
                      <w:rFonts w:hint="default" w:ascii="Times New Roman" w:hAnsi="Times New Roman" w:cs="Times New Roman"/>
                      <w:color w:val="000000"/>
                      <w:spacing w:val="0"/>
                      <w:w w:val="100"/>
                      <w:position w:val="0"/>
                      <w:sz w:val="21"/>
                      <w:szCs w:val="21"/>
                      <w:lang w:val="zh-TW" w:eastAsia="zh-TW" w:bidi="zh-TW"/>
                    </w:rPr>
                    <w:t>12</w:t>
                  </w:r>
                </w:p>
              </w:tc>
              <w:tc>
                <w:tcPr>
                  <w:tcW w:w="0" w:type="auto"/>
                  <w:vMerge w:val="continue"/>
                  <w:tcBorders>
                    <w:tl2br w:val="nil"/>
                    <w:tr2bl w:val="nil"/>
                  </w:tcBorders>
                  <w:shd w:val="clear" w:color="auto" w:fill="FFFFFF"/>
                  <w:vAlign w:val="center"/>
                </w:tcPr>
                <w:p w14:paraId="762CA10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194789E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r>
            <w:tr w14:paraId="762842D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continue"/>
                  <w:tcBorders>
                    <w:tl2br w:val="nil"/>
                    <w:tr2bl w:val="nil"/>
                  </w:tcBorders>
                  <w:shd w:val="clear" w:color="auto" w:fill="FFFFFF"/>
                  <w:vAlign w:val="center"/>
                </w:tcPr>
                <w:p w14:paraId="00D37A64">
                  <w:pPr>
                    <w:jc w:val="center"/>
                    <w:rPr>
                      <w:rFonts w:hint="default" w:ascii="Times New Roman" w:hAnsi="Times New Roman" w:cs="Times New Roman"/>
                      <w:sz w:val="21"/>
                      <w:szCs w:val="21"/>
                    </w:rPr>
                  </w:pPr>
                </w:p>
              </w:tc>
              <w:tc>
                <w:tcPr>
                  <w:tcW w:w="0" w:type="auto"/>
                  <w:tcBorders>
                    <w:tl2br w:val="nil"/>
                    <w:tr2bl w:val="nil"/>
                  </w:tcBorders>
                  <w:shd w:val="clear" w:color="auto" w:fill="FFFFFF"/>
                  <w:vAlign w:val="center"/>
                </w:tcPr>
                <w:p w14:paraId="59C987F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10:17</w:t>
                  </w:r>
                </w:p>
              </w:tc>
              <w:tc>
                <w:tcPr>
                  <w:tcW w:w="0" w:type="auto"/>
                  <w:tcBorders>
                    <w:tl2br w:val="nil"/>
                    <w:tr2bl w:val="nil"/>
                  </w:tcBorders>
                  <w:shd w:val="clear" w:color="auto" w:fill="FFFFFF"/>
                  <w:vAlign w:val="center"/>
                </w:tcPr>
                <w:p w14:paraId="177151F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13:53</w:t>
                  </w:r>
                </w:p>
              </w:tc>
              <w:tc>
                <w:tcPr>
                  <w:tcW w:w="0" w:type="auto"/>
                  <w:tcBorders>
                    <w:tl2br w:val="nil"/>
                    <w:tr2bl w:val="nil"/>
                  </w:tcBorders>
                  <w:shd w:val="clear" w:color="auto" w:fill="FFFFFF"/>
                  <w:vAlign w:val="center"/>
                </w:tcPr>
                <w:p w14:paraId="54C3EE7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17:32</w:t>
                  </w:r>
                </w:p>
              </w:tc>
              <w:tc>
                <w:tcPr>
                  <w:tcW w:w="0" w:type="auto"/>
                  <w:vMerge w:val="continue"/>
                  <w:tcBorders>
                    <w:tl2br w:val="nil"/>
                    <w:tr2bl w:val="nil"/>
                  </w:tcBorders>
                  <w:shd w:val="clear" w:color="auto" w:fill="FFFFFF"/>
                  <w:vAlign w:val="center"/>
                </w:tcPr>
                <w:p w14:paraId="56DBC99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zh-TW" w:eastAsia="zh-TW" w:bidi="zh-TW"/>
                    </w:rPr>
                  </w:pPr>
                </w:p>
              </w:tc>
              <w:tc>
                <w:tcPr>
                  <w:tcW w:w="0" w:type="auto"/>
                  <w:vMerge w:val="continue"/>
                  <w:tcBorders>
                    <w:tl2br w:val="nil"/>
                    <w:tr2bl w:val="nil"/>
                  </w:tcBorders>
                  <w:shd w:val="clear" w:color="auto" w:fill="FFFFFF"/>
                  <w:vAlign w:val="center"/>
                </w:tcPr>
                <w:p w14:paraId="6A7C75F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zh-TW" w:eastAsia="zh-TW" w:bidi="zh-TW"/>
                    </w:rPr>
                  </w:pPr>
                </w:p>
              </w:tc>
            </w:tr>
            <w:tr w14:paraId="6C3F5D4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continue"/>
                  <w:tcBorders>
                    <w:tl2br w:val="nil"/>
                    <w:tr2bl w:val="nil"/>
                  </w:tcBorders>
                  <w:shd w:val="clear" w:color="auto" w:fill="FFFFFF"/>
                  <w:vAlign w:val="center"/>
                </w:tcPr>
                <w:p w14:paraId="0641F1E2">
                  <w:pPr>
                    <w:jc w:val="center"/>
                    <w:rPr>
                      <w:rFonts w:hint="default" w:ascii="Times New Roman" w:hAnsi="Times New Roman" w:cs="Times New Roman"/>
                      <w:sz w:val="21"/>
                      <w:szCs w:val="21"/>
                    </w:rPr>
                  </w:pPr>
                </w:p>
              </w:tc>
              <w:tc>
                <w:tcPr>
                  <w:tcW w:w="0" w:type="auto"/>
                  <w:tcBorders>
                    <w:tl2br w:val="nil"/>
                    <w:tr2bl w:val="nil"/>
                  </w:tcBorders>
                  <w:shd w:val="clear" w:color="auto" w:fill="FFFFFF"/>
                  <w:vAlign w:val="center"/>
                </w:tcPr>
                <w:p w14:paraId="1AEE452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DH20221102111-20</w:t>
                  </w:r>
                </w:p>
              </w:tc>
              <w:tc>
                <w:tcPr>
                  <w:tcW w:w="0" w:type="auto"/>
                  <w:tcBorders>
                    <w:tl2br w:val="nil"/>
                    <w:tr2bl w:val="nil"/>
                  </w:tcBorders>
                  <w:shd w:val="clear" w:color="auto" w:fill="FFFFFF"/>
                  <w:vAlign w:val="center"/>
                </w:tcPr>
                <w:p w14:paraId="4639E2E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DH20221102111-21</w:t>
                  </w:r>
                </w:p>
              </w:tc>
              <w:tc>
                <w:tcPr>
                  <w:tcW w:w="0" w:type="auto"/>
                  <w:tcBorders>
                    <w:tl2br w:val="nil"/>
                    <w:tr2bl w:val="nil"/>
                  </w:tcBorders>
                  <w:shd w:val="clear" w:color="auto" w:fill="FFFFFF"/>
                  <w:vAlign w:val="center"/>
                </w:tcPr>
                <w:p w14:paraId="553984A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w:t>
                  </w:r>
                  <w:r>
                    <w:rPr>
                      <w:rFonts w:hint="default" w:ascii="Times New Roman" w:hAnsi="Times New Roman" w:cs="Times New Roman"/>
                      <w:color w:val="000000"/>
                      <w:spacing w:val="0"/>
                      <w:w w:val="100"/>
                      <w:position w:val="0"/>
                      <w:sz w:val="21"/>
                      <w:szCs w:val="21"/>
                      <w:lang w:val="zh-TW" w:eastAsia="zh-TW" w:bidi="zh-TW"/>
                    </w:rPr>
                    <w:t>1021</w:t>
                  </w:r>
                  <w:r>
                    <w:rPr>
                      <w:rFonts w:hint="default" w:ascii="Times New Roman" w:hAnsi="Times New Roman" w:cs="Times New Roman"/>
                      <w:color w:val="000000"/>
                      <w:spacing w:val="0"/>
                      <w:w w:val="100"/>
                      <w:position w:val="0"/>
                      <w:sz w:val="21"/>
                      <w:szCs w:val="21"/>
                      <w:lang w:val="en-US" w:eastAsia="en-US" w:bidi="en-US"/>
                    </w:rPr>
                    <w:t>11-22</w:t>
                  </w:r>
                </w:p>
              </w:tc>
              <w:tc>
                <w:tcPr>
                  <w:tcW w:w="0" w:type="auto"/>
                  <w:vMerge w:val="continue"/>
                  <w:tcBorders>
                    <w:tl2br w:val="nil"/>
                    <w:tr2bl w:val="nil"/>
                  </w:tcBorders>
                  <w:shd w:val="clear" w:color="auto" w:fill="FFFFFF"/>
                  <w:vAlign w:val="center"/>
                </w:tcPr>
                <w:p w14:paraId="288831C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280C30F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r>
            <w:tr w14:paraId="00807A2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tcBorders>
                    <w:tl2br w:val="nil"/>
                    <w:tr2bl w:val="nil"/>
                  </w:tcBorders>
                  <w:shd w:val="clear" w:color="auto" w:fill="FFFFFF"/>
                  <w:vAlign w:val="center"/>
                </w:tcPr>
                <w:p w14:paraId="37B6E1B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en-US" w:eastAsia="en-US" w:bidi="en-US"/>
                    </w:rPr>
                    <w:t xml:space="preserve">pH </w:t>
                  </w:r>
                  <w:r>
                    <w:rPr>
                      <w:rFonts w:hint="default" w:ascii="Times New Roman" w:hAnsi="Times New Roman" w:eastAsia="宋体" w:cs="Times New Roman"/>
                      <w:color w:val="000000"/>
                      <w:spacing w:val="0"/>
                      <w:w w:val="100"/>
                      <w:position w:val="0"/>
                      <w:sz w:val="21"/>
                      <w:szCs w:val="21"/>
                      <w:lang w:val="zh-TW" w:eastAsia="zh-TW" w:bidi="en-US"/>
                    </w:rPr>
                    <w:t>（无量纲）</w:t>
                  </w:r>
                </w:p>
              </w:tc>
              <w:tc>
                <w:tcPr>
                  <w:tcW w:w="0" w:type="auto"/>
                  <w:tcBorders>
                    <w:tl2br w:val="nil"/>
                    <w:tr2bl w:val="nil"/>
                  </w:tcBorders>
                  <w:shd w:val="clear" w:color="auto" w:fill="FFFFFF"/>
                  <w:vAlign w:val="center"/>
                </w:tcPr>
                <w:p w14:paraId="50D8716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7.2</w:t>
                  </w:r>
                </w:p>
              </w:tc>
              <w:tc>
                <w:tcPr>
                  <w:tcW w:w="0" w:type="auto"/>
                  <w:tcBorders>
                    <w:tl2br w:val="nil"/>
                    <w:tr2bl w:val="nil"/>
                  </w:tcBorders>
                  <w:shd w:val="clear" w:color="auto" w:fill="FFFFFF"/>
                  <w:vAlign w:val="center"/>
                </w:tcPr>
                <w:p w14:paraId="6EA6037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7.1</w:t>
                  </w:r>
                </w:p>
              </w:tc>
              <w:tc>
                <w:tcPr>
                  <w:tcW w:w="0" w:type="auto"/>
                  <w:tcBorders>
                    <w:tl2br w:val="nil"/>
                    <w:tr2bl w:val="nil"/>
                  </w:tcBorders>
                  <w:shd w:val="clear" w:color="auto" w:fill="FFFFFF"/>
                  <w:vAlign w:val="center"/>
                </w:tcPr>
                <w:p w14:paraId="2842800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7.1</w:t>
                  </w:r>
                </w:p>
              </w:tc>
              <w:tc>
                <w:tcPr>
                  <w:tcW w:w="0" w:type="auto"/>
                  <w:tcBorders>
                    <w:tl2br w:val="nil"/>
                    <w:tr2bl w:val="nil"/>
                  </w:tcBorders>
                  <w:shd w:val="clear" w:color="auto" w:fill="FFFFFF"/>
                  <w:vAlign w:val="center"/>
                </w:tcPr>
                <w:p w14:paraId="681B535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6-9</w:t>
                  </w:r>
                </w:p>
              </w:tc>
              <w:tc>
                <w:tcPr>
                  <w:tcW w:w="0" w:type="auto"/>
                  <w:tcBorders>
                    <w:tl2br w:val="nil"/>
                    <w:tr2bl w:val="nil"/>
                  </w:tcBorders>
                  <w:shd w:val="clear" w:color="auto" w:fill="FFFFFF"/>
                  <w:vAlign w:val="center"/>
                </w:tcPr>
                <w:p w14:paraId="796B714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0B087A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2720FB8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挥发酚</w:t>
                  </w:r>
                </w:p>
              </w:tc>
              <w:tc>
                <w:tcPr>
                  <w:tcW w:w="0" w:type="auto"/>
                  <w:tcBorders>
                    <w:tl2br w:val="nil"/>
                    <w:tr2bl w:val="nil"/>
                  </w:tcBorders>
                  <w:shd w:val="clear" w:color="auto" w:fill="FFFFFF"/>
                  <w:vAlign w:val="center"/>
                </w:tcPr>
                <w:p w14:paraId="115B4B3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6251236A">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25B334EB">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&lt;0.0003</w:t>
                  </w:r>
                </w:p>
              </w:tc>
              <w:tc>
                <w:tcPr>
                  <w:tcW w:w="0" w:type="auto"/>
                  <w:tcBorders>
                    <w:tl2br w:val="nil"/>
                    <w:tr2bl w:val="nil"/>
                  </w:tcBorders>
                  <w:shd w:val="clear" w:color="auto" w:fill="FFFFFF"/>
                  <w:vAlign w:val="center"/>
                </w:tcPr>
                <w:p w14:paraId="7F5E9FB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7E248785">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0E61EBA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59" w:hRule="exact"/>
                <w:jc w:val="center"/>
              </w:trPr>
              <w:tc>
                <w:tcPr>
                  <w:tcW w:w="0" w:type="auto"/>
                  <w:tcBorders>
                    <w:tl2br w:val="nil"/>
                    <w:tr2bl w:val="nil"/>
                  </w:tcBorders>
                  <w:shd w:val="clear" w:color="auto" w:fill="FFFFFF"/>
                  <w:vAlign w:val="center"/>
                </w:tcPr>
                <w:p w14:paraId="6D02ABD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en-US" w:eastAsia="zh-CN" w:bidi="en-US"/>
                    </w:rPr>
                    <w:t>氰</w:t>
                  </w:r>
                  <w:r>
                    <w:rPr>
                      <w:rFonts w:hint="default" w:ascii="Times New Roman" w:hAnsi="Times New Roman" w:eastAsia="宋体" w:cs="Times New Roman"/>
                      <w:color w:val="000000"/>
                      <w:spacing w:val="0"/>
                      <w:w w:val="100"/>
                      <w:position w:val="0"/>
                      <w:sz w:val="21"/>
                      <w:szCs w:val="21"/>
                      <w:lang w:val="zh-TW" w:eastAsia="zh-TW" w:bidi="en-US"/>
                    </w:rPr>
                    <w:t>化物</w:t>
                  </w:r>
                </w:p>
              </w:tc>
              <w:tc>
                <w:tcPr>
                  <w:tcW w:w="0" w:type="auto"/>
                  <w:tcBorders>
                    <w:tl2br w:val="nil"/>
                    <w:tr2bl w:val="nil"/>
                  </w:tcBorders>
                  <w:shd w:val="clear" w:color="auto" w:fill="FFFFFF"/>
                  <w:vAlign w:val="center"/>
                </w:tcPr>
                <w:p w14:paraId="61FB627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0.004</w:t>
                  </w:r>
                </w:p>
              </w:tc>
              <w:tc>
                <w:tcPr>
                  <w:tcW w:w="0" w:type="auto"/>
                  <w:tcBorders>
                    <w:tl2br w:val="nil"/>
                    <w:tr2bl w:val="nil"/>
                  </w:tcBorders>
                  <w:shd w:val="clear" w:color="auto" w:fill="FFFFFF"/>
                  <w:vAlign w:val="center"/>
                </w:tcPr>
                <w:p w14:paraId="4FC59B4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40A4682B">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412F0E4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0.2</w:t>
                  </w:r>
                </w:p>
              </w:tc>
              <w:tc>
                <w:tcPr>
                  <w:tcW w:w="0" w:type="auto"/>
                  <w:tcBorders>
                    <w:tl2br w:val="nil"/>
                    <w:tr2bl w:val="nil"/>
                  </w:tcBorders>
                  <w:shd w:val="clear" w:color="auto" w:fill="FFFFFF"/>
                  <w:vAlign w:val="center"/>
                </w:tcPr>
                <w:p w14:paraId="56C8CDB4">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269B677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tcBorders>
                    <w:tl2br w:val="nil"/>
                    <w:tr2bl w:val="nil"/>
                  </w:tcBorders>
                  <w:shd w:val="clear" w:color="auto" w:fill="FFFFFF"/>
                  <w:vAlign w:val="center"/>
                </w:tcPr>
                <w:p w14:paraId="586F1E3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粪大肠菌群</w:t>
                  </w:r>
                  <w:r>
                    <w:rPr>
                      <w:rFonts w:hint="default" w:ascii="Times New Roman" w:hAnsi="Times New Roman" w:eastAsia="宋体" w:cs="Times New Roman"/>
                      <w:color w:val="000000"/>
                      <w:spacing w:val="0"/>
                      <w:w w:val="100"/>
                      <w:position w:val="0"/>
                      <w:sz w:val="21"/>
                      <w:szCs w:val="21"/>
                      <w:lang w:val="en-US" w:eastAsia="en-US" w:bidi="en-US"/>
                    </w:rPr>
                    <w:t>（MPN/L）</w:t>
                  </w:r>
                </w:p>
              </w:tc>
              <w:tc>
                <w:tcPr>
                  <w:tcW w:w="0" w:type="auto"/>
                  <w:tcBorders>
                    <w:tl2br w:val="nil"/>
                    <w:tr2bl w:val="nil"/>
                  </w:tcBorders>
                  <w:shd w:val="clear" w:color="auto" w:fill="FFFFFF"/>
                  <w:vAlign w:val="center"/>
                </w:tcPr>
                <w:p w14:paraId="15224CD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2.6x1</w:t>
                  </w:r>
                  <w:r>
                    <w:rPr>
                      <w:rFonts w:hint="default" w:ascii="Times New Roman" w:hAnsi="Times New Roman" w:eastAsia="Times New Roman" w:cs="Times New Roman"/>
                      <w:color w:val="000000"/>
                      <w:spacing w:val="0"/>
                      <w:w w:val="100"/>
                      <w:position w:val="0"/>
                      <w:sz w:val="21"/>
                      <w:szCs w:val="21"/>
                      <w:lang w:val="zh-TW" w:eastAsia="zh-TW" w:bidi="zh-TW"/>
                    </w:rPr>
                    <w:t>0</w:t>
                  </w:r>
                  <w:r>
                    <w:rPr>
                      <w:rFonts w:hint="default" w:ascii="Times New Roman" w:hAnsi="Times New Roman" w:eastAsia="Times New Roman" w:cs="Times New Roman"/>
                      <w:color w:val="000000"/>
                      <w:spacing w:val="0"/>
                      <w:w w:val="100"/>
                      <w:position w:val="0"/>
                      <w:sz w:val="21"/>
                      <w:szCs w:val="21"/>
                      <w:vertAlign w:val="superscript"/>
                      <w:lang w:val="zh-TW" w:eastAsia="zh-TW" w:bidi="zh-TW"/>
                    </w:rPr>
                    <w:t>2</w:t>
                  </w:r>
                </w:p>
              </w:tc>
              <w:tc>
                <w:tcPr>
                  <w:tcW w:w="0" w:type="auto"/>
                  <w:tcBorders>
                    <w:tl2br w:val="nil"/>
                    <w:tr2bl w:val="nil"/>
                  </w:tcBorders>
                  <w:shd w:val="clear" w:color="auto" w:fill="FFFFFF"/>
                  <w:vAlign w:val="center"/>
                </w:tcPr>
                <w:p w14:paraId="0C8D1ED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5.8x102</w:t>
                  </w:r>
                </w:p>
              </w:tc>
              <w:tc>
                <w:tcPr>
                  <w:tcW w:w="0" w:type="auto"/>
                  <w:tcBorders>
                    <w:tl2br w:val="nil"/>
                    <w:tr2bl w:val="nil"/>
                  </w:tcBorders>
                  <w:shd w:val="clear" w:color="auto" w:fill="FFFFFF"/>
                  <w:vAlign w:val="center"/>
                </w:tcPr>
                <w:p w14:paraId="59FCB48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zh-TW" w:eastAsia="zh-TW" w:bidi="zh-TW"/>
                    </w:rPr>
                    <w:t>3</w:t>
                  </w:r>
                  <w:r>
                    <w:rPr>
                      <w:rFonts w:hint="default" w:ascii="Times New Roman" w:hAnsi="Times New Roman" w:cs="Times New Roman"/>
                      <w:color w:val="000000"/>
                      <w:spacing w:val="0"/>
                      <w:w w:val="100"/>
                      <w:position w:val="0"/>
                      <w:sz w:val="21"/>
                      <w:szCs w:val="21"/>
                      <w:lang w:val="en-US" w:eastAsia="zh-CN" w:bidi="zh-TW"/>
                    </w:rPr>
                    <w:t>.3</w:t>
                  </w:r>
                  <w:r>
                    <w:rPr>
                      <w:rFonts w:hint="default" w:ascii="Times New Roman" w:hAnsi="Times New Roman" w:eastAsia="Times New Roman" w:cs="Times New Roman"/>
                      <w:color w:val="000000"/>
                      <w:spacing w:val="0"/>
                      <w:w w:val="100"/>
                      <w:position w:val="0"/>
                      <w:sz w:val="21"/>
                      <w:szCs w:val="21"/>
                      <w:lang w:val="en-US" w:eastAsia="en-US" w:bidi="en-US"/>
                    </w:rPr>
                    <w:t>x102</w:t>
                  </w:r>
                </w:p>
              </w:tc>
              <w:tc>
                <w:tcPr>
                  <w:tcW w:w="0" w:type="auto"/>
                  <w:tcBorders>
                    <w:tl2br w:val="nil"/>
                    <w:tr2bl w:val="nil"/>
                  </w:tcBorders>
                  <w:shd w:val="clear" w:color="auto" w:fill="FFFFFF"/>
                  <w:vAlign w:val="center"/>
                </w:tcPr>
                <w:p w14:paraId="2A43BEF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zh-TW" w:eastAsia="zh-TW" w:bidi="zh-TW"/>
                    </w:rPr>
                  </w:pPr>
                  <w:r>
                    <w:rPr>
                      <w:rFonts w:hint="default" w:ascii="Times New Roman" w:hAnsi="Times New Roman" w:eastAsia="宋体" w:cs="Times New Roman"/>
                      <w:color w:val="000000"/>
                      <w:spacing w:val="0"/>
                      <w:w w:val="100"/>
                      <w:position w:val="0"/>
                      <w:sz w:val="21"/>
                      <w:szCs w:val="21"/>
                      <w:lang w:val="en-US" w:eastAsia="zh-CN" w:bidi="en-US"/>
                    </w:rPr>
                    <w:t>10000</w:t>
                  </w:r>
                </w:p>
              </w:tc>
              <w:tc>
                <w:tcPr>
                  <w:tcW w:w="0" w:type="auto"/>
                  <w:tcBorders>
                    <w:tl2br w:val="nil"/>
                    <w:tr2bl w:val="nil"/>
                  </w:tcBorders>
                  <w:shd w:val="clear" w:color="auto" w:fill="FFFFFF"/>
                  <w:vAlign w:val="center"/>
                </w:tcPr>
                <w:p w14:paraId="31E59C62">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zh-TW" w:eastAsia="zh-TW" w:bidi="zh-TW"/>
                    </w:rPr>
                  </w:pPr>
                  <w:r>
                    <w:rPr>
                      <w:rFonts w:hint="default" w:ascii="Times New Roman" w:hAnsi="Times New Roman" w:eastAsia="宋体" w:cs="Times New Roman"/>
                      <w:color w:val="000000"/>
                      <w:spacing w:val="0"/>
                      <w:w w:val="100"/>
                      <w:position w:val="0"/>
                      <w:sz w:val="21"/>
                      <w:szCs w:val="21"/>
                      <w:lang w:val="en-US" w:eastAsia="zh-CN" w:bidi="en-US"/>
                    </w:rPr>
                    <w:t>达标</w:t>
                  </w:r>
                </w:p>
              </w:tc>
            </w:tr>
            <w:tr w14:paraId="4346253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3FE51D4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2A2693C4">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3C07D48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4AC94C1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08EDFE7B">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污染监视井</w:t>
                  </w:r>
                </w:p>
              </w:tc>
              <w:tc>
                <w:tcPr>
                  <w:tcW w:w="0" w:type="auto"/>
                  <w:vMerge w:val="restart"/>
                  <w:tcBorders>
                    <w:tl2br w:val="nil"/>
                    <w:tr2bl w:val="nil"/>
                  </w:tcBorders>
                  <w:shd w:val="clear" w:color="auto" w:fill="FFFFFF"/>
                  <w:vAlign w:val="center"/>
                </w:tcPr>
                <w:p w14:paraId="21B7B0A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color w:val="000000"/>
                      <w:spacing w:val="0"/>
                      <w:w w:val="100"/>
                      <w:position w:val="0"/>
                      <w:sz w:val="21"/>
                      <w:szCs w:val="21"/>
                      <w:lang w:val="zh-TW" w:eastAsia="zh-TW" w:bidi="zh-TW"/>
                    </w:rPr>
                  </w:pPr>
                  <w:r>
                    <w:rPr>
                      <w:rFonts w:hint="default" w:ascii="Times New Roman" w:hAnsi="Times New Roman" w:cs="Times New Roman"/>
                      <w:color w:val="000000"/>
                      <w:spacing w:val="0"/>
                      <w:w w:val="100"/>
                      <w:position w:val="0"/>
                      <w:sz w:val="21"/>
                      <w:szCs w:val="21"/>
                      <w:lang w:val="en-US" w:eastAsia="zh-CN" w:bidi="zh-TW"/>
                    </w:rPr>
                    <w:t>标准限值</w:t>
                  </w:r>
                </w:p>
              </w:tc>
              <w:tc>
                <w:tcPr>
                  <w:tcW w:w="0" w:type="auto"/>
                  <w:vMerge w:val="restart"/>
                  <w:tcBorders>
                    <w:tl2br w:val="nil"/>
                    <w:tr2bl w:val="nil"/>
                  </w:tcBorders>
                  <w:shd w:val="clear" w:color="auto" w:fill="FFFFFF"/>
                  <w:vAlign w:val="center"/>
                </w:tcPr>
                <w:p w14:paraId="473F6ED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color w:val="000000"/>
                      <w:spacing w:val="0"/>
                      <w:w w:val="100"/>
                      <w:position w:val="0"/>
                      <w:sz w:val="21"/>
                      <w:szCs w:val="21"/>
                      <w:lang w:val="zh-TW" w:eastAsia="zh-TW" w:bidi="zh-TW"/>
                    </w:rPr>
                  </w:pPr>
                  <w:r>
                    <w:rPr>
                      <w:rFonts w:hint="default" w:ascii="Times New Roman" w:hAnsi="Times New Roman" w:cs="Times New Roman"/>
                      <w:color w:val="000000"/>
                      <w:spacing w:val="0"/>
                      <w:w w:val="100"/>
                      <w:position w:val="0"/>
                      <w:sz w:val="21"/>
                      <w:szCs w:val="21"/>
                      <w:lang w:val="en-US" w:eastAsia="zh-CN" w:bidi="zh-TW"/>
                    </w:rPr>
                    <w:t>达标情况</w:t>
                  </w:r>
                </w:p>
              </w:tc>
            </w:tr>
            <w:tr w14:paraId="78278D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vMerge w:val="continue"/>
                  <w:tcBorders>
                    <w:tl2br w:val="nil"/>
                    <w:tr2bl w:val="nil"/>
                  </w:tcBorders>
                  <w:shd w:val="clear" w:color="auto" w:fill="FFFFFF"/>
                  <w:vAlign w:val="center"/>
                </w:tcPr>
                <w:p w14:paraId="32BA7CB1">
                  <w:pPr>
                    <w:jc w:val="center"/>
                    <w:rPr>
                      <w:rFonts w:hint="default" w:ascii="Times New Roman" w:hAnsi="Times New Roman" w:cs="Times New Roman"/>
                      <w:sz w:val="21"/>
                      <w:szCs w:val="21"/>
                    </w:rPr>
                  </w:pPr>
                </w:p>
              </w:tc>
              <w:tc>
                <w:tcPr>
                  <w:tcW w:w="0" w:type="auto"/>
                  <w:gridSpan w:val="3"/>
                  <w:tcBorders>
                    <w:tl2br w:val="nil"/>
                    <w:tr2bl w:val="nil"/>
                  </w:tcBorders>
                  <w:shd w:val="clear" w:color="auto" w:fill="FFFFFF"/>
                  <w:vAlign w:val="center"/>
                </w:tcPr>
                <w:p w14:paraId="25EF236D">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 xml:space="preserve">2022. 11. </w:t>
                  </w:r>
                  <w:r>
                    <w:rPr>
                      <w:rFonts w:hint="default" w:ascii="Times New Roman" w:hAnsi="Times New Roman" w:cs="Times New Roman"/>
                      <w:color w:val="000000"/>
                      <w:spacing w:val="0"/>
                      <w:w w:val="100"/>
                      <w:position w:val="0"/>
                      <w:sz w:val="21"/>
                      <w:szCs w:val="21"/>
                      <w:lang w:val="zh-TW" w:eastAsia="zh-TW" w:bidi="zh-TW"/>
                    </w:rPr>
                    <w:t>12</w:t>
                  </w:r>
                </w:p>
              </w:tc>
              <w:tc>
                <w:tcPr>
                  <w:tcW w:w="0" w:type="auto"/>
                  <w:vMerge w:val="continue"/>
                  <w:tcBorders>
                    <w:tl2br w:val="nil"/>
                    <w:tr2bl w:val="nil"/>
                  </w:tcBorders>
                  <w:shd w:val="clear" w:color="auto" w:fill="FFFFFF"/>
                  <w:vAlign w:val="center"/>
                </w:tcPr>
                <w:p w14:paraId="540F9E3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0B9746C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r>
            <w:tr w14:paraId="3FBCB95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continue"/>
                  <w:tcBorders>
                    <w:tl2br w:val="nil"/>
                    <w:tr2bl w:val="nil"/>
                  </w:tcBorders>
                  <w:shd w:val="clear" w:color="auto" w:fill="FFFFFF"/>
                  <w:vAlign w:val="center"/>
                </w:tcPr>
                <w:p w14:paraId="6A35A95C">
                  <w:pPr>
                    <w:jc w:val="center"/>
                    <w:rPr>
                      <w:rFonts w:hint="default" w:ascii="Times New Roman" w:hAnsi="Times New Roman" w:cs="Times New Roman"/>
                      <w:sz w:val="21"/>
                      <w:szCs w:val="21"/>
                    </w:rPr>
                  </w:pPr>
                </w:p>
              </w:tc>
              <w:tc>
                <w:tcPr>
                  <w:tcW w:w="0" w:type="auto"/>
                  <w:gridSpan w:val="3"/>
                  <w:tcBorders>
                    <w:tl2br w:val="nil"/>
                    <w:tr2bl w:val="nil"/>
                  </w:tcBorders>
                  <w:shd w:val="clear" w:color="auto" w:fill="FFFFFF"/>
                  <w:vAlign w:val="center"/>
                </w:tcPr>
                <w:p w14:paraId="52BB004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17:37 （混合样品）</w:t>
                  </w:r>
                </w:p>
              </w:tc>
              <w:tc>
                <w:tcPr>
                  <w:tcW w:w="0" w:type="auto"/>
                  <w:vMerge w:val="continue"/>
                  <w:tcBorders>
                    <w:tl2br w:val="nil"/>
                    <w:tr2bl w:val="nil"/>
                  </w:tcBorders>
                  <w:shd w:val="clear" w:color="auto" w:fill="FFFFFF"/>
                  <w:vAlign w:val="center"/>
                </w:tcPr>
                <w:p w14:paraId="6D3CBE26">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zh-TW" w:eastAsia="zh-TW" w:bidi="zh-TW"/>
                    </w:rPr>
                  </w:pPr>
                </w:p>
              </w:tc>
              <w:tc>
                <w:tcPr>
                  <w:tcW w:w="0" w:type="auto"/>
                  <w:vMerge w:val="continue"/>
                  <w:tcBorders>
                    <w:tl2br w:val="nil"/>
                    <w:tr2bl w:val="nil"/>
                  </w:tcBorders>
                  <w:shd w:val="clear" w:color="auto" w:fill="FFFFFF"/>
                  <w:vAlign w:val="center"/>
                </w:tcPr>
                <w:p w14:paraId="5E79043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zh-TW" w:eastAsia="zh-TW" w:bidi="zh-TW"/>
                    </w:rPr>
                  </w:pPr>
                </w:p>
              </w:tc>
            </w:tr>
            <w:tr w14:paraId="5441F3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9" w:hRule="exact"/>
                <w:jc w:val="center"/>
              </w:trPr>
              <w:tc>
                <w:tcPr>
                  <w:tcW w:w="0" w:type="auto"/>
                  <w:vMerge w:val="continue"/>
                  <w:tcBorders>
                    <w:tl2br w:val="nil"/>
                    <w:tr2bl w:val="nil"/>
                  </w:tcBorders>
                  <w:shd w:val="clear" w:color="auto" w:fill="FFFFFF"/>
                  <w:vAlign w:val="center"/>
                </w:tcPr>
                <w:p w14:paraId="7220CAC4">
                  <w:pPr>
                    <w:jc w:val="center"/>
                    <w:rPr>
                      <w:rFonts w:hint="default" w:ascii="Times New Roman" w:hAnsi="Times New Roman" w:cs="Times New Roman"/>
                      <w:sz w:val="21"/>
                      <w:szCs w:val="21"/>
                    </w:rPr>
                  </w:pPr>
                </w:p>
              </w:tc>
              <w:tc>
                <w:tcPr>
                  <w:tcW w:w="0" w:type="auto"/>
                  <w:gridSpan w:val="3"/>
                  <w:tcBorders>
                    <w:tl2br w:val="nil"/>
                    <w:tr2bl w:val="nil"/>
                  </w:tcBorders>
                  <w:shd w:val="clear" w:color="auto" w:fill="FFFFFF"/>
                  <w:vAlign w:val="center"/>
                </w:tcPr>
                <w:p w14:paraId="675CE26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w:t>
                  </w:r>
                  <w:r>
                    <w:rPr>
                      <w:rFonts w:hint="default" w:ascii="Times New Roman" w:hAnsi="Times New Roman" w:cs="Times New Roman"/>
                      <w:color w:val="000000"/>
                      <w:spacing w:val="0"/>
                      <w:w w:val="100"/>
                      <w:position w:val="0"/>
                      <w:sz w:val="21"/>
                      <w:szCs w:val="21"/>
                      <w:lang w:val="zh-TW" w:eastAsia="zh-TW" w:bidi="zh-TW"/>
                    </w:rPr>
                    <w:t>1021</w:t>
                  </w:r>
                  <w:r>
                    <w:rPr>
                      <w:rFonts w:hint="default" w:ascii="Times New Roman" w:hAnsi="Times New Roman" w:cs="Times New Roman"/>
                      <w:color w:val="000000"/>
                      <w:spacing w:val="0"/>
                      <w:w w:val="100"/>
                      <w:position w:val="0"/>
                      <w:sz w:val="21"/>
                      <w:szCs w:val="21"/>
                      <w:lang w:val="en-US" w:eastAsia="en-US" w:bidi="en-US"/>
                    </w:rPr>
                    <w:t>11-23</w:t>
                  </w:r>
                </w:p>
              </w:tc>
              <w:tc>
                <w:tcPr>
                  <w:tcW w:w="0" w:type="auto"/>
                  <w:vMerge w:val="continue"/>
                  <w:tcBorders>
                    <w:tl2br w:val="nil"/>
                    <w:tr2bl w:val="nil"/>
                  </w:tcBorders>
                  <w:shd w:val="clear" w:color="auto" w:fill="FFFFFF"/>
                  <w:vAlign w:val="center"/>
                </w:tcPr>
                <w:p w14:paraId="1E4DD2A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5B13CA7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r>
            <w:tr w14:paraId="039B847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tcBorders>
                    <w:tl2br w:val="nil"/>
                    <w:tr2bl w:val="nil"/>
                  </w:tcBorders>
                  <w:shd w:val="clear" w:color="auto" w:fill="FFFFFF"/>
                  <w:vAlign w:val="center"/>
                </w:tcPr>
                <w:p w14:paraId="66B356A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总硬度</w:t>
                  </w:r>
                </w:p>
              </w:tc>
              <w:tc>
                <w:tcPr>
                  <w:tcW w:w="0" w:type="auto"/>
                  <w:gridSpan w:val="3"/>
                  <w:tcBorders>
                    <w:tl2br w:val="nil"/>
                    <w:tr2bl w:val="nil"/>
                  </w:tcBorders>
                  <w:shd w:val="clear" w:color="auto" w:fill="FFFFFF"/>
                  <w:vAlign w:val="center"/>
                </w:tcPr>
                <w:p w14:paraId="3D5E133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43.9</w:t>
                  </w:r>
                </w:p>
              </w:tc>
              <w:tc>
                <w:tcPr>
                  <w:tcW w:w="0" w:type="auto"/>
                  <w:tcBorders>
                    <w:tl2br w:val="nil"/>
                    <w:tr2bl w:val="nil"/>
                  </w:tcBorders>
                  <w:shd w:val="clear" w:color="auto" w:fill="FFFFFF"/>
                  <w:vAlign w:val="center"/>
                </w:tcPr>
                <w:p w14:paraId="5E2F413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450</w:t>
                  </w:r>
                </w:p>
              </w:tc>
              <w:tc>
                <w:tcPr>
                  <w:tcW w:w="0" w:type="auto"/>
                  <w:tcBorders>
                    <w:tl2br w:val="nil"/>
                    <w:tr2bl w:val="nil"/>
                  </w:tcBorders>
                  <w:shd w:val="clear" w:color="auto" w:fill="FFFFFF"/>
                  <w:vAlign w:val="center"/>
                </w:tcPr>
                <w:p w14:paraId="1D40DCE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达标</w:t>
                  </w:r>
                </w:p>
              </w:tc>
            </w:tr>
            <w:tr w14:paraId="4C07C34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5AD34E0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溶解性总固体</w:t>
                  </w:r>
                </w:p>
              </w:tc>
              <w:tc>
                <w:tcPr>
                  <w:tcW w:w="0" w:type="auto"/>
                  <w:gridSpan w:val="3"/>
                  <w:tcBorders>
                    <w:tl2br w:val="nil"/>
                    <w:tr2bl w:val="nil"/>
                  </w:tcBorders>
                  <w:shd w:val="clear" w:color="auto" w:fill="FFFFFF"/>
                  <w:vAlign w:val="center"/>
                </w:tcPr>
                <w:p w14:paraId="2FC09DAA">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zh-TW" w:eastAsia="zh-TW" w:bidi="zh-TW"/>
                    </w:rPr>
                    <w:t>71</w:t>
                  </w:r>
                </w:p>
              </w:tc>
              <w:tc>
                <w:tcPr>
                  <w:tcW w:w="0" w:type="auto"/>
                  <w:tcBorders>
                    <w:tl2br w:val="nil"/>
                    <w:tr2bl w:val="nil"/>
                  </w:tcBorders>
                  <w:shd w:val="clear" w:color="auto" w:fill="FFFFFF"/>
                  <w:vAlign w:val="center"/>
                </w:tcPr>
                <w:p w14:paraId="60C07A5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zh-TW" w:eastAsia="zh-TW" w:bidi="zh-TW"/>
                    </w:rPr>
                  </w:pPr>
                  <w:r>
                    <w:rPr>
                      <w:rFonts w:hint="default" w:ascii="Times New Roman" w:hAnsi="Times New Roman" w:eastAsia="宋体" w:cs="Times New Roman"/>
                      <w:color w:val="000000"/>
                      <w:spacing w:val="0"/>
                      <w:w w:val="100"/>
                      <w:position w:val="0"/>
                      <w:sz w:val="21"/>
                      <w:szCs w:val="21"/>
                      <w:lang w:val="en-US" w:eastAsia="zh-CN" w:bidi="en-US"/>
                    </w:rPr>
                    <w:t>1000</w:t>
                  </w:r>
                </w:p>
              </w:tc>
              <w:tc>
                <w:tcPr>
                  <w:tcW w:w="0" w:type="auto"/>
                  <w:tcBorders>
                    <w:tl2br w:val="nil"/>
                    <w:tr2bl w:val="nil"/>
                  </w:tcBorders>
                  <w:shd w:val="clear" w:color="auto" w:fill="FFFFFF"/>
                  <w:vAlign w:val="center"/>
                </w:tcPr>
                <w:p w14:paraId="3CC064CB">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zh-TW" w:eastAsia="zh-TW" w:bidi="zh-TW"/>
                    </w:rPr>
                  </w:pPr>
                  <w:r>
                    <w:rPr>
                      <w:rFonts w:hint="default" w:ascii="Times New Roman" w:hAnsi="Times New Roman" w:cs="Times New Roman"/>
                      <w:color w:val="000000"/>
                      <w:spacing w:val="0"/>
                      <w:w w:val="100"/>
                      <w:position w:val="0"/>
                      <w:sz w:val="21"/>
                      <w:szCs w:val="21"/>
                      <w:lang w:val="en-US" w:eastAsia="zh-CN" w:bidi="en-US"/>
                    </w:rPr>
                    <w:t>达标</w:t>
                  </w:r>
                </w:p>
              </w:tc>
            </w:tr>
            <w:tr w14:paraId="63C8A15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6FE76DC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高</w:t>
                  </w:r>
                  <w:r>
                    <w:rPr>
                      <w:rFonts w:hint="default" w:ascii="Times New Roman" w:hAnsi="Times New Roman" w:eastAsia="宋体" w:cs="Times New Roman"/>
                      <w:color w:val="000000"/>
                      <w:spacing w:val="0"/>
                      <w:w w:val="100"/>
                      <w:position w:val="0"/>
                      <w:sz w:val="21"/>
                      <w:szCs w:val="21"/>
                      <w:lang w:val="en-US" w:eastAsia="zh-CN" w:bidi="en-US"/>
                    </w:rPr>
                    <w:t>锰</w:t>
                  </w:r>
                  <w:r>
                    <w:rPr>
                      <w:rFonts w:hint="default" w:ascii="Times New Roman" w:hAnsi="Times New Roman" w:eastAsia="宋体" w:cs="Times New Roman"/>
                      <w:color w:val="000000"/>
                      <w:spacing w:val="0"/>
                      <w:w w:val="100"/>
                      <w:position w:val="0"/>
                      <w:sz w:val="21"/>
                      <w:szCs w:val="21"/>
                      <w:lang w:val="zh-TW" w:eastAsia="zh-TW" w:bidi="en-US"/>
                    </w:rPr>
                    <w:t>酸盐指数</w:t>
                  </w:r>
                </w:p>
              </w:tc>
              <w:tc>
                <w:tcPr>
                  <w:tcW w:w="0" w:type="auto"/>
                  <w:gridSpan w:val="3"/>
                  <w:tcBorders>
                    <w:tl2br w:val="nil"/>
                    <w:tr2bl w:val="nil"/>
                  </w:tcBorders>
                  <w:shd w:val="clear" w:color="auto" w:fill="FFFFFF"/>
                  <w:vAlign w:val="center"/>
                </w:tcPr>
                <w:p w14:paraId="23150E2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1.9</w:t>
                  </w:r>
                </w:p>
              </w:tc>
              <w:tc>
                <w:tcPr>
                  <w:tcW w:w="0" w:type="auto"/>
                  <w:tcBorders>
                    <w:tl2br w:val="nil"/>
                    <w:tr2bl w:val="nil"/>
                  </w:tcBorders>
                  <w:shd w:val="clear" w:color="auto" w:fill="FFFFFF"/>
                  <w:vAlign w:val="center"/>
                </w:tcPr>
                <w:p w14:paraId="7C98628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6</w:t>
                  </w:r>
                </w:p>
              </w:tc>
              <w:tc>
                <w:tcPr>
                  <w:tcW w:w="0" w:type="auto"/>
                  <w:tcBorders>
                    <w:tl2br w:val="nil"/>
                    <w:tr2bl w:val="nil"/>
                  </w:tcBorders>
                  <w:shd w:val="clear" w:color="auto" w:fill="FFFFFF"/>
                  <w:vAlign w:val="center"/>
                </w:tcPr>
                <w:p w14:paraId="0FD21FF1">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420FCD1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59" w:hRule="exact"/>
                <w:jc w:val="center"/>
              </w:trPr>
              <w:tc>
                <w:tcPr>
                  <w:tcW w:w="0" w:type="auto"/>
                  <w:tcBorders>
                    <w:tl2br w:val="nil"/>
                    <w:tr2bl w:val="nil"/>
                  </w:tcBorders>
                  <w:shd w:val="clear" w:color="auto" w:fill="FFFFFF"/>
                  <w:vAlign w:val="center"/>
                </w:tcPr>
                <w:p w14:paraId="6C26348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硝酸盐</w:t>
                  </w:r>
                </w:p>
              </w:tc>
              <w:tc>
                <w:tcPr>
                  <w:tcW w:w="0" w:type="auto"/>
                  <w:gridSpan w:val="3"/>
                  <w:tcBorders>
                    <w:tl2br w:val="nil"/>
                    <w:tr2bl w:val="nil"/>
                  </w:tcBorders>
                  <w:shd w:val="clear" w:color="auto" w:fill="FFFFFF"/>
                  <w:vAlign w:val="center"/>
                </w:tcPr>
                <w:p w14:paraId="4C0D3EF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0.96</w:t>
                  </w:r>
                </w:p>
              </w:tc>
              <w:tc>
                <w:tcPr>
                  <w:tcW w:w="0" w:type="auto"/>
                  <w:tcBorders>
                    <w:tl2br w:val="nil"/>
                    <w:tr2bl w:val="nil"/>
                  </w:tcBorders>
                  <w:shd w:val="clear" w:color="auto" w:fill="FFFFFF"/>
                  <w:vAlign w:val="center"/>
                </w:tcPr>
                <w:p w14:paraId="7F69C3C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20</w:t>
                  </w:r>
                </w:p>
              </w:tc>
              <w:tc>
                <w:tcPr>
                  <w:tcW w:w="0" w:type="auto"/>
                  <w:tcBorders>
                    <w:tl2br w:val="nil"/>
                    <w:tr2bl w:val="nil"/>
                  </w:tcBorders>
                  <w:shd w:val="clear" w:color="auto" w:fill="FFFFFF"/>
                  <w:vAlign w:val="center"/>
                </w:tcPr>
                <w:p w14:paraId="2609232A">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70667B8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2F3EF27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亚硝酸盐</w:t>
                  </w:r>
                </w:p>
              </w:tc>
              <w:tc>
                <w:tcPr>
                  <w:tcW w:w="0" w:type="auto"/>
                  <w:gridSpan w:val="3"/>
                  <w:tcBorders>
                    <w:tl2br w:val="nil"/>
                    <w:tr2bl w:val="nil"/>
                  </w:tcBorders>
                  <w:shd w:val="clear" w:color="auto" w:fill="FFFFFF"/>
                  <w:vAlign w:val="center"/>
                </w:tcPr>
                <w:p w14:paraId="1FD1C64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&lt;0.003</w:t>
                  </w:r>
                </w:p>
              </w:tc>
              <w:tc>
                <w:tcPr>
                  <w:tcW w:w="0" w:type="auto"/>
                  <w:tcBorders>
                    <w:tl2br w:val="nil"/>
                    <w:tr2bl w:val="nil"/>
                  </w:tcBorders>
                  <w:shd w:val="clear" w:color="auto" w:fill="FFFFFF"/>
                  <w:vAlign w:val="center"/>
                </w:tcPr>
                <w:p w14:paraId="6E5195C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472F8C55">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18C420A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7B9FD71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氨氮</w:t>
                  </w:r>
                </w:p>
              </w:tc>
              <w:tc>
                <w:tcPr>
                  <w:tcW w:w="0" w:type="auto"/>
                  <w:gridSpan w:val="3"/>
                  <w:tcBorders>
                    <w:tl2br w:val="nil"/>
                    <w:tr2bl w:val="nil"/>
                  </w:tcBorders>
                  <w:shd w:val="clear" w:color="auto" w:fill="FFFFFF"/>
                  <w:vAlign w:val="center"/>
                </w:tcPr>
                <w:p w14:paraId="494C5E6A">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0.091</w:t>
                  </w:r>
                </w:p>
              </w:tc>
              <w:tc>
                <w:tcPr>
                  <w:tcW w:w="0" w:type="auto"/>
                  <w:tcBorders>
                    <w:tl2br w:val="nil"/>
                    <w:tr2bl w:val="nil"/>
                  </w:tcBorders>
                  <w:shd w:val="clear" w:color="auto" w:fill="FFFFFF"/>
                  <w:vAlign w:val="center"/>
                </w:tcPr>
                <w:p w14:paraId="282DA93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7C79A3C7">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44A463B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5A83C4B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硫酸盐</w:t>
                  </w:r>
                </w:p>
              </w:tc>
              <w:tc>
                <w:tcPr>
                  <w:tcW w:w="0" w:type="auto"/>
                  <w:gridSpan w:val="3"/>
                  <w:tcBorders>
                    <w:tl2br w:val="nil"/>
                    <w:tr2bl w:val="nil"/>
                  </w:tcBorders>
                  <w:shd w:val="clear" w:color="auto" w:fill="FFFFFF"/>
                  <w:vAlign w:val="center"/>
                </w:tcPr>
                <w:p w14:paraId="74D7988D">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zh-TW" w:eastAsia="zh-TW" w:bidi="zh-TW"/>
                    </w:rPr>
                    <w:t>&lt;8</w:t>
                  </w:r>
                </w:p>
              </w:tc>
              <w:tc>
                <w:tcPr>
                  <w:tcW w:w="0" w:type="auto"/>
                  <w:tcBorders>
                    <w:tl2br w:val="nil"/>
                    <w:tr2bl w:val="nil"/>
                  </w:tcBorders>
                  <w:shd w:val="clear" w:color="auto" w:fill="FFFFFF"/>
                  <w:vAlign w:val="center"/>
                </w:tcPr>
                <w:p w14:paraId="3626192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zh-TW" w:eastAsia="zh-TW" w:bidi="zh-TW"/>
                    </w:rPr>
                  </w:pPr>
                  <w:r>
                    <w:rPr>
                      <w:rFonts w:hint="default" w:ascii="Times New Roman" w:hAnsi="Times New Roman" w:eastAsia="宋体" w:cs="Times New Roman"/>
                      <w:color w:val="000000"/>
                      <w:spacing w:val="0"/>
                      <w:w w:val="100"/>
                      <w:position w:val="0"/>
                      <w:sz w:val="21"/>
                      <w:szCs w:val="21"/>
                      <w:lang w:val="en-US" w:eastAsia="zh-CN" w:bidi="en-US"/>
                    </w:rPr>
                    <w:t>250</w:t>
                  </w:r>
                </w:p>
              </w:tc>
              <w:tc>
                <w:tcPr>
                  <w:tcW w:w="0" w:type="auto"/>
                  <w:tcBorders>
                    <w:tl2br w:val="nil"/>
                    <w:tr2bl w:val="nil"/>
                  </w:tcBorders>
                  <w:shd w:val="clear" w:color="auto" w:fill="FFFFFF"/>
                  <w:vAlign w:val="center"/>
                </w:tcPr>
                <w:p w14:paraId="02146341">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zh-TW" w:eastAsia="zh-TW" w:bidi="zh-TW"/>
                    </w:rPr>
                  </w:pPr>
                  <w:r>
                    <w:rPr>
                      <w:rFonts w:hint="default" w:ascii="Times New Roman" w:hAnsi="Times New Roman" w:cs="Times New Roman"/>
                      <w:color w:val="000000"/>
                      <w:spacing w:val="0"/>
                      <w:w w:val="100"/>
                      <w:position w:val="0"/>
                      <w:sz w:val="21"/>
                      <w:szCs w:val="21"/>
                      <w:lang w:val="en-US" w:eastAsia="zh-CN" w:bidi="en-US"/>
                    </w:rPr>
                    <w:t>达标</w:t>
                  </w:r>
                </w:p>
              </w:tc>
            </w:tr>
            <w:tr w14:paraId="696C175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59" w:hRule="exact"/>
                <w:jc w:val="center"/>
              </w:trPr>
              <w:tc>
                <w:tcPr>
                  <w:tcW w:w="0" w:type="auto"/>
                  <w:tcBorders>
                    <w:tl2br w:val="nil"/>
                    <w:tr2bl w:val="nil"/>
                  </w:tcBorders>
                  <w:shd w:val="clear" w:color="auto" w:fill="FFFFFF"/>
                  <w:vAlign w:val="center"/>
                </w:tcPr>
                <w:p w14:paraId="012A6A3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氯化物</w:t>
                  </w:r>
                </w:p>
              </w:tc>
              <w:tc>
                <w:tcPr>
                  <w:tcW w:w="0" w:type="auto"/>
                  <w:gridSpan w:val="3"/>
                  <w:tcBorders>
                    <w:tl2br w:val="nil"/>
                    <w:tr2bl w:val="nil"/>
                  </w:tcBorders>
                  <w:shd w:val="clear" w:color="auto" w:fill="FFFFFF"/>
                  <w:vAlign w:val="center"/>
                </w:tcPr>
                <w:p w14:paraId="28E24BA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3.6</w:t>
                  </w:r>
                </w:p>
              </w:tc>
              <w:tc>
                <w:tcPr>
                  <w:tcW w:w="0" w:type="auto"/>
                  <w:tcBorders>
                    <w:tl2br w:val="nil"/>
                    <w:tr2bl w:val="nil"/>
                  </w:tcBorders>
                  <w:shd w:val="clear" w:color="auto" w:fill="FFFFFF"/>
                  <w:vAlign w:val="center"/>
                </w:tcPr>
                <w:p w14:paraId="543454D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250</w:t>
                  </w:r>
                </w:p>
              </w:tc>
              <w:tc>
                <w:tcPr>
                  <w:tcW w:w="0" w:type="auto"/>
                  <w:tcBorders>
                    <w:tl2br w:val="nil"/>
                    <w:tr2bl w:val="nil"/>
                  </w:tcBorders>
                  <w:shd w:val="clear" w:color="auto" w:fill="FFFFFF"/>
                  <w:vAlign w:val="center"/>
                </w:tcPr>
                <w:p w14:paraId="14F1E72D">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446534F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03157D2A">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六价铭</w:t>
                  </w:r>
                </w:p>
              </w:tc>
              <w:tc>
                <w:tcPr>
                  <w:tcW w:w="0" w:type="auto"/>
                  <w:gridSpan w:val="3"/>
                  <w:tcBorders>
                    <w:tl2br w:val="nil"/>
                    <w:tr2bl w:val="nil"/>
                  </w:tcBorders>
                  <w:shd w:val="clear" w:color="auto" w:fill="FFFFFF"/>
                  <w:vAlign w:val="center"/>
                </w:tcPr>
                <w:p w14:paraId="2A18525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&lt;0.004</w:t>
                  </w:r>
                </w:p>
              </w:tc>
              <w:tc>
                <w:tcPr>
                  <w:tcW w:w="0" w:type="auto"/>
                  <w:tcBorders>
                    <w:tl2br w:val="nil"/>
                    <w:tr2bl w:val="nil"/>
                  </w:tcBorders>
                  <w:shd w:val="clear" w:color="auto" w:fill="FFFFFF"/>
                  <w:vAlign w:val="center"/>
                </w:tcPr>
                <w:p w14:paraId="650A0DB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0FCFF63C">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65968A3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67E5278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氟化物</w:t>
                  </w:r>
                </w:p>
              </w:tc>
              <w:tc>
                <w:tcPr>
                  <w:tcW w:w="0" w:type="auto"/>
                  <w:gridSpan w:val="3"/>
                  <w:tcBorders>
                    <w:tl2br w:val="nil"/>
                    <w:tr2bl w:val="nil"/>
                  </w:tcBorders>
                  <w:shd w:val="clear" w:color="auto" w:fill="FFFFFF"/>
                  <w:vAlign w:val="center"/>
                </w:tcPr>
                <w:p w14:paraId="491C110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0.53</w:t>
                  </w:r>
                </w:p>
              </w:tc>
              <w:tc>
                <w:tcPr>
                  <w:tcW w:w="0" w:type="auto"/>
                  <w:tcBorders>
                    <w:tl2br w:val="nil"/>
                    <w:tr2bl w:val="nil"/>
                  </w:tcBorders>
                  <w:shd w:val="clear" w:color="auto" w:fill="FFFFFF"/>
                  <w:vAlign w:val="center"/>
                </w:tcPr>
                <w:p w14:paraId="5E81F9C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34088811">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30BAB1A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59" w:hRule="exact"/>
                <w:jc w:val="center"/>
              </w:trPr>
              <w:tc>
                <w:tcPr>
                  <w:tcW w:w="0" w:type="auto"/>
                  <w:tcBorders>
                    <w:tl2br w:val="nil"/>
                    <w:tr2bl w:val="nil"/>
                  </w:tcBorders>
                  <w:shd w:val="clear" w:color="auto" w:fill="FFFFFF"/>
                  <w:vAlign w:val="center"/>
                </w:tcPr>
                <w:p w14:paraId="77D92F7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铜</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631847B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&lt;0.08</w:t>
                  </w:r>
                </w:p>
              </w:tc>
              <w:tc>
                <w:tcPr>
                  <w:tcW w:w="0" w:type="auto"/>
                  <w:tcBorders>
                    <w:tl2br w:val="nil"/>
                    <w:tr2bl w:val="nil"/>
                  </w:tcBorders>
                  <w:shd w:val="clear" w:color="auto" w:fill="FFFFFF"/>
                  <w:vAlign w:val="center"/>
                </w:tcPr>
                <w:p w14:paraId="6A58340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1D5EC506">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64CE8C0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59" w:hRule="exact"/>
                <w:jc w:val="center"/>
              </w:trPr>
              <w:tc>
                <w:tcPr>
                  <w:tcW w:w="0" w:type="auto"/>
                  <w:tcBorders>
                    <w:tl2br w:val="nil"/>
                    <w:tr2bl w:val="nil"/>
                  </w:tcBorders>
                  <w:shd w:val="clear" w:color="auto" w:fill="FFFFFF"/>
                  <w:vAlign w:val="center"/>
                </w:tcPr>
                <w:p w14:paraId="012C7AC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锌</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6C07FD6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5.79</w:t>
                  </w:r>
                </w:p>
              </w:tc>
              <w:tc>
                <w:tcPr>
                  <w:tcW w:w="0" w:type="auto"/>
                  <w:tcBorders>
                    <w:tl2br w:val="nil"/>
                    <w:tr2bl w:val="nil"/>
                  </w:tcBorders>
                  <w:shd w:val="clear" w:color="auto" w:fill="FFFFFF"/>
                  <w:vAlign w:val="center"/>
                </w:tcPr>
                <w:p w14:paraId="4EF6730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1.0</w:t>
                  </w:r>
                </w:p>
              </w:tc>
              <w:tc>
                <w:tcPr>
                  <w:tcW w:w="0" w:type="auto"/>
                  <w:tcBorders>
                    <w:tl2br w:val="nil"/>
                    <w:tr2bl w:val="nil"/>
                  </w:tcBorders>
                  <w:shd w:val="clear" w:color="auto" w:fill="FFFFFF"/>
                  <w:vAlign w:val="center"/>
                </w:tcPr>
                <w:p w14:paraId="049F9D47">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750FDAA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0D4A4B6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镉</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241BC89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0.05</w:t>
                  </w:r>
                </w:p>
              </w:tc>
              <w:tc>
                <w:tcPr>
                  <w:tcW w:w="0" w:type="auto"/>
                  <w:tcBorders>
                    <w:tl2br w:val="nil"/>
                    <w:tr2bl w:val="nil"/>
                  </w:tcBorders>
                  <w:shd w:val="clear" w:color="auto" w:fill="FFFFFF"/>
                  <w:vAlign w:val="center"/>
                </w:tcPr>
                <w:p w14:paraId="1C02D41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0.005</w:t>
                  </w:r>
                </w:p>
              </w:tc>
              <w:tc>
                <w:tcPr>
                  <w:tcW w:w="0" w:type="auto"/>
                  <w:tcBorders>
                    <w:tl2br w:val="nil"/>
                    <w:tr2bl w:val="nil"/>
                  </w:tcBorders>
                  <w:shd w:val="clear" w:color="auto" w:fill="FFFFFF"/>
                  <w:vAlign w:val="center"/>
                </w:tcPr>
                <w:p w14:paraId="07A81892">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4B3CB17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7E72A36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铅</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3D6D964D">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&lt;0.09</w:t>
                  </w:r>
                </w:p>
              </w:tc>
              <w:tc>
                <w:tcPr>
                  <w:tcW w:w="0" w:type="auto"/>
                  <w:tcBorders>
                    <w:tl2br w:val="nil"/>
                    <w:tr2bl w:val="nil"/>
                  </w:tcBorders>
                  <w:shd w:val="clear" w:color="auto" w:fill="FFFFFF"/>
                  <w:vAlign w:val="center"/>
                </w:tcPr>
                <w:p w14:paraId="38F15B2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0.05</w:t>
                  </w:r>
                </w:p>
              </w:tc>
              <w:tc>
                <w:tcPr>
                  <w:tcW w:w="0" w:type="auto"/>
                  <w:tcBorders>
                    <w:tl2br w:val="nil"/>
                    <w:tr2bl w:val="nil"/>
                  </w:tcBorders>
                  <w:shd w:val="clear" w:color="auto" w:fill="FFFFFF"/>
                  <w:vAlign w:val="center"/>
                </w:tcPr>
                <w:p w14:paraId="22F3DD1E">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35435AF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4A9EACE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铁</w:t>
                  </w:r>
                </w:p>
              </w:tc>
              <w:tc>
                <w:tcPr>
                  <w:tcW w:w="0" w:type="auto"/>
                  <w:gridSpan w:val="3"/>
                  <w:tcBorders>
                    <w:tl2br w:val="nil"/>
                    <w:tr2bl w:val="nil"/>
                  </w:tcBorders>
                  <w:shd w:val="clear" w:color="auto" w:fill="FFFFFF"/>
                  <w:vAlign w:val="center"/>
                </w:tcPr>
                <w:p w14:paraId="7F914CF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0.18</w:t>
                  </w:r>
                </w:p>
              </w:tc>
              <w:tc>
                <w:tcPr>
                  <w:tcW w:w="0" w:type="auto"/>
                  <w:tcBorders>
                    <w:tl2br w:val="nil"/>
                    <w:tr2bl w:val="nil"/>
                  </w:tcBorders>
                  <w:shd w:val="clear" w:color="auto" w:fill="FFFFFF"/>
                  <w:vAlign w:val="center"/>
                </w:tcPr>
                <w:p w14:paraId="7337469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0.3</w:t>
                  </w:r>
                </w:p>
              </w:tc>
              <w:tc>
                <w:tcPr>
                  <w:tcW w:w="0" w:type="auto"/>
                  <w:tcBorders>
                    <w:tl2br w:val="nil"/>
                    <w:tr2bl w:val="nil"/>
                  </w:tcBorders>
                  <w:shd w:val="clear" w:color="auto" w:fill="FFFFFF"/>
                  <w:vAlign w:val="center"/>
                </w:tcPr>
                <w:p w14:paraId="62F7D76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52B7FC6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59" w:hRule="exact"/>
                <w:jc w:val="center"/>
              </w:trPr>
              <w:tc>
                <w:tcPr>
                  <w:tcW w:w="0" w:type="auto"/>
                  <w:tcBorders>
                    <w:tl2br w:val="nil"/>
                    <w:tr2bl w:val="nil"/>
                  </w:tcBorders>
                  <w:shd w:val="clear" w:color="auto" w:fill="FFFFFF"/>
                  <w:vAlign w:val="center"/>
                </w:tcPr>
                <w:p w14:paraId="53A139D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en-US" w:eastAsia="zh-CN" w:bidi="en-US"/>
                    </w:rPr>
                    <w:t>锰</w:t>
                  </w:r>
                </w:p>
              </w:tc>
              <w:tc>
                <w:tcPr>
                  <w:tcW w:w="0" w:type="auto"/>
                  <w:gridSpan w:val="3"/>
                  <w:tcBorders>
                    <w:tl2br w:val="nil"/>
                    <w:tr2bl w:val="nil"/>
                  </w:tcBorders>
                  <w:shd w:val="clear" w:color="auto" w:fill="FFFFFF"/>
                  <w:vAlign w:val="center"/>
                </w:tcPr>
                <w:p w14:paraId="6B7D173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0.19</w:t>
                  </w:r>
                </w:p>
              </w:tc>
              <w:tc>
                <w:tcPr>
                  <w:tcW w:w="0" w:type="auto"/>
                  <w:tcBorders>
                    <w:tl2br w:val="nil"/>
                    <w:tr2bl w:val="nil"/>
                  </w:tcBorders>
                  <w:shd w:val="clear" w:color="auto" w:fill="FFFFFF"/>
                  <w:vAlign w:val="center"/>
                </w:tcPr>
                <w:p w14:paraId="772530E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0.1</w:t>
                  </w:r>
                </w:p>
              </w:tc>
              <w:tc>
                <w:tcPr>
                  <w:tcW w:w="0" w:type="auto"/>
                  <w:tcBorders>
                    <w:tl2br w:val="nil"/>
                    <w:tr2bl w:val="nil"/>
                  </w:tcBorders>
                  <w:shd w:val="clear" w:color="auto" w:fill="FFFFFF"/>
                  <w:vAlign w:val="center"/>
                </w:tcPr>
                <w:p w14:paraId="5F51FD0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超标</w:t>
                  </w:r>
                </w:p>
              </w:tc>
            </w:tr>
            <w:tr w14:paraId="3F436C4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2" w:hRule="exact"/>
                <w:jc w:val="center"/>
              </w:trPr>
              <w:tc>
                <w:tcPr>
                  <w:tcW w:w="0" w:type="auto"/>
                  <w:tcBorders>
                    <w:tl2br w:val="nil"/>
                    <w:tr2bl w:val="nil"/>
                  </w:tcBorders>
                  <w:shd w:val="clear" w:color="auto" w:fill="FFFFFF"/>
                  <w:vAlign w:val="center"/>
                </w:tcPr>
                <w:p w14:paraId="32F85C2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en-US" w:eastAsia="zh-CN" w:bidi="en-US"/>
                    </w:rPr>
                    <w:t>砷</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1270F91B">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&lt;0.3</w:t>
                  </w:r>
                </w:p>
              </w:tc>
              <w:tc>
                <w:tcPr>
                  <w:tcW w:w="0" w:type="auto"/>
                  <w:tcBorders>
                    <w:tl2br w:val="nil"/>
                    <w:tr2bl w:val="nil"/>
                  </w:tcBorders>
                  <w:shd w:val="clear" w:color="auto" w:fill="FFFFFF"/>
                  <w:vAlign w:val="center"/>
                </w:tcPr>
                <w:p w14:paraId="7AF42DC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0.01</w:t>
                  </w:r>
                </w:p>
              </w:tc>
              <w:tc>
                <w:tcPr>
                  <w:tcW w:w="0" w:type="auto"/>
                  <w:tcBorders>
                    <w:tl2br w:val="nil"/>
                    <w:tr2bl w:val="nil"/>
                  </w:tcBorders>
                  <w:shd w:val="clear" w:color="auto" w:fill="FFFFFF"/>
                  <w:vAlign w:val="center"/>
                </w:tcPr>
                <w:p w14:paraId="118C9785">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52DF4B0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9" w:hRule="exact"/>
                <w:jc w:val="center"/>
              </w:trPr>
              <w:tc>
                <w:tcPr>
                  <w:tcW w:w="0" w:type="auto"/>
                  <w:tcBorders>
                    <w:tl2br w:val="nil"/>
                    <w:tr2bl w:val="nil"/>
                  </w:tcBorders>
                  <w:shd w:val="clear" w:color="auto" w:fill="FFFFFF"/>
                  <w:vAlign w:val="center"/>
                </w:tcPr>
                <w:p w14:paraId="05FAED9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spacing w:val="0"/>
                      <w:w w:val="100"/>
                      <w:position w:val="0"/>
                      <w:sz w:val="21"/>
                      <w:szCs w:val="21"/>
                      <w:lang w:val="zh-TW" w:eastAsia="zh-TW" w:bidi="en-US"/>
                    </w:rPr>
                    <w:t>汞</w:t>
                  </w:r>
                  <w:r>
                    <w:rPr>
                      <w:rFonts w:hint="default" w:ascii="Times New Roman" w:hAnsi="Times New Roman" w:eastAsia="宋体" w:cs="Times New Roman"/>
                      <w:color w:val="000000"/>
                      <w:spacing w:val="0"/>
                      <w:w w:val="100"/>
                      <w:position w:val="0"/>
                      <w:sz w:val="21"/>
                      <w:szCs w:val="21"/>
                      <w:lang w:val="zh-TW" w:eastAsia="zh-CN" w:bidi="en-US"/>
                    </w:rPr>
                    <w:t>（</w:t>
                  </w:r>
                  <w:r>
                    <w:rPr>
                      <w:rFonts w:hint="default" w:ascii="Times New Roman" w:hAnsi="Times New Roman" w:eastAsia="宋体" w:cs="Times New Roman"/>
                      <w:color w:val="000000"/>
                      <w:spacing w:val="0"/>
                      <w:w w:val="100"/>
                      <w:position w:val="0"/>
                      <w:sz w:val="21"/>
                      <w:szCs w:val="21"/>
                      <w:lang w:val="en-US" w:eastAsia="en-US" w:bidi="en-US"/>
                    </w:rPr>
                    <w:t>ug/L</w:t>
                  </w:r>
                  <w:r>
                    <w:rPr>
                      <w:rFonts w:hint="default" w:ascii="Times New Roman" w:hAnsi="Times New Roman" w:eastAsia="宋体" w:cs="Times New Roman"/>
                      <w:color w:val="000000"/>
                      <w:spacing w:val="0"/>
                      <w:w w:val="100"/>
                      <w:position w:val="0"/>
                      <w:sz w:val="21"/>
                      <w:szCs w:val="21"/>
                      <w:lang w:val="zh-TW" w:eastAsia="zh-CN" w:bidi="en-US"/>
                    </w:rPr>
                    <w:t>）</w:t>
                  </w:r>
                </w:p>
              </w:tc>
              <w:tc>
                <w:tcPr>
                  <w:tcW w:w="0" w:type="auto"/>
                  <w:gridSpan w:val="3"/>
                  <w:tcBorders>
                    <w:tl2br w:val="nil"/>
                    <w:tr2bl w:val="nil"/>
                  </w:tcBorders>
                  <w:shd w:val="clear" w:color="auto" w:fill="FFFFFF"/>
                  <w:vAlign w:val="center"/>
                </w:tcPr>
                <w:p w14:paraId="3B1F46DD">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&lt;0.04</w:t>
                  </w:r>
                </w:p>
              </w:tc>
              <w:tc>
                <w:tcPr>
                  <w:tcW w:w="0" w:type="auto"/>
                  <w:tcBorders>
                    <w:tl2br w:val="nil"/>
                    <w:tr2bl w:val="nil"/>
                  </w:tcBorders>
                  <w:shd w:val="clear" w:color="auto" w:fill="FFFFFF"/>
                  <w:vAlign w:val="center"/>
                </w:tcPr>
                <w:p w14:paraId="204A30A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宋体" w:cs="Times New Roman"/>
                      <w:color w:val="000000"/>
                      <w:spacing w:val="0"/>
                      <w:w w:val="100"/>
                      <w:position w:val="0"/>
                      <w:sz w:val="21"/>
                      <w:szCs w:val="21"/>
                      <w:lang w:val="en-US" w:eastAsia="zh-CN" w:bidi="en-US"/>
                    </w:rPr>
                    <w:t>0.0001</w:t>
                  </w:r>
                </w:p>
              </w:tc>
              <w:tc>
                <w:tcPr>
                  <w:tcW w:w="0" w:type="auto"/>
                  <w:tcBorders>
                    <w:tl2br w:val="nil"/>
                    <w:tr2bl w:val="nil"/>
                  </w:tcBorders>
                  <w:shd w:val="clear" w:color="auto" w:fill="FFFFFF"/>
                  <w:vAlign w:val="center"/>
                </w:tcPr>
                <w:p w14:paraId="03994045">
                  <w:pPr>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cs="Times New Roman"/>
                      <w:color w:val="000000"/>
                      <w:spacing w:val="0"/>
                      <w:w w:val="100"/>
                      <w:position w:val="0"/>
                      <w:sz w:val="21"/>
                      <w:szCs w:val="21"/>
                      <w:lang w:val="en-US" w:eastAsia="zh-CN" w:bidi="en-US"/>
                    </w:rPr>
                    <w:t>达标</w:t>
                  </w:r>
                </w:p>
              </w:tc>
            </w:tr>
            <w:tr w14:paraId="342ACBD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restart"/>
                  <w:tcBorders>
                    <w:tl2br w:val="nil"/>
                    <w:tr2bl w:val="nil"/>
                  </w:tcBorders>
                  <w:shd w:val="clear" w:color="auto" w:fill="FFFFFF"/>
                  <w:vAlign w:val="center"/>
                  <mc:AlternateContent>
                    <mc:Choice Requires="wpsCustomData">
                      <wpsCustomData:diagonals>
                        <wpsCustomData:diagonal from="10000" to="30000">
                          <wpsCustomData:border w:val="single" w:color="auto" w:sz="6" w:space="0"/>
                        </wpsCustomData:diagonal>
                      </wpsCustomData:diagonals>
                    </mc:Choice>
                  </mc:AlternateContent>
                </w:tcPr>
                <w:p w14:paraId="35F9C2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p w14:paraId="4FB9E8DE">
                  <w:pPr>
                    <w:pStyle w:val="76"/>
                    <w:keepNext w:val="0"/>
                    <w:keepLines w:val="0"/>
                    <w:widowControl w:val="0"/>
                    <w:shd w:val="clear" w:color="auto" w:fill="auto"/>
                    <w:bidi w:val="0"/>
                    <w:spacing w:before="0" w:after="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检测项目</w:t>
                  </w:r>
                </w:p>
                <w:p w14:paraId="67EDF68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点位/时间/</w:t>
                  </w:r>
                </w:p>
                <w:p w14:paraId="5BF7FE3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编号</w:t>
                  </w:r>
                </w:p>
              </w:tc>
              <w:tc>
                <w:tcPr>
                  <w:tcW w:w="0" w:type="auto"/>
                  <w:gridSpan w:val="3"/>
                  <w:tcBorders>
                    <w:tl2br w:val="nil"/>
                    <w:tr2bl w:val="nil"/>
                  </w:tcBorders>
                  <w:shd w:val="clear" w:color="auto" w:fill="FFFFFF"/>
                  <w:vAlign w:val="center"/>
                </w:tcPr>
                <w:p w14:paraId="5269445A">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污染监视井</w:t>
                  </w:r>
                </w:p>
              </w:tc>
              <w:tc>
                <w:tcPr>
                  <w:tcW w:w="0" w:type="auto"/>
                  <w:vMerge w:val="restart"/>
                  <w:tcBorders>
                    <w:tl2br w:val="nil"/>
                    <w:tr2bl w:val="nil"/>
                  </w:tcBorders>
                  <w:shd w:val="clear" w:color="auto" w:fill="FFFFFF"/>
                  <w:vAlign w:val="center"/>
                </w:tcPr>
                <w:p w14:paraId="0ABB0EC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color w:val="000000"/>
                      <w:spacing w:val="0"/>
                      <w:w w:val="100"/>
                      <w:position w:val="0"/>
                      <w:sz w:val="21"/>
                      <w:szCs w:val="21"/>
                      <w:lang w:val="zh-TW" w:eastAsia="zh-TW" w:bidi="zh-TW"/>
                    </w:rPr>
                  </w:pPr>
                  <w:r>
                    <w:rPr>
                      <w:rFonts w:hint="default" w:ascii="Times New Roman" w:hAnsi="Times New Roman" w:cs="Times New Roman"/>
                      <w:color w:val="000000"/>
                      <w:spacing w:val="0"/>
                      <w:w w:val="100"/>
                      <w:position w:val="0"/>
                      <w:sz w:val="21"/>
                      <w:szCs w:val="21"/>
                      <w:lang w:val="en-US" w:eastAsia="zh-CN" w:bidi="zh-TW"/>
                    </w:rPr>
                    <w:t>标准限值</w:t>
                  </w:r>
                </w:p>
              </w:tc>
              <w:tc>
                <w:tcPr>
                  <w:tcW w:w="0" w:type="auto"/>
                  <w:vMerge w:val="restart"/>
                  <w:tcBorders>
                    <w:tl2br w:val="nil"/>
                    <w:tr2bl w:val="nil"/>
                  </w:tcBorders>
                  <w:shd w:val="clear" w:color="auto" w:fill="FFFFFF"/>
                  <w:vAlign w:val="center"/>
                </w:tcPr>
                <w:p w14:paraId="12C34A77">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cs="Times New Roman"/>
                      <w:color w:val="000000"/>
                      <w:spacing w:val="0"/>
                      <w:w w:val="100"/>
                      <w:position w:val="0"/>
                      <w:sz w:val="21"/>
                      <w:szCs w:val="21"/>
                      <w:lang w:val="zh-TW" w:eastAsia="zh-TW" w:bidi="zh-TW"/>
                    </w:rPr>
                  </w:pPr>
                  <w:r>
                    <w:rPr>
                      <w:rFonts w:hint="default" w:ascii="Times New Roman" w:hAnsi="Times New Roman" w:cs="Times New Roman"/>
                      <w:color w:val="000000"/>
                      <w:spacing w:val="0"/>
                      <w:w w:val="100"/>
                      <w:position w:val="0"/>
                      <w:sz w:val="21"/>
                      <w:szCs w:val="21"/>
                      <w:lang w:val="en-US" w:eastAsia="zh-CN" w:bidi="zh-TW"/>
                    </w:rPr>
                    <w:t>达标情况</w:t>
                  </w:r>
                </w:p>
              </w:tc>
            </w:tr>
            <w:tr w14:paraId="07EC623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6" w:hRule="exact"/>
                <w:jc w:val="center"/>
              </w:trPr>
              <w:tc>
                <w:tcPr>
                  <w:tcW w:w="0" w:type="auto"/>
                  <w:vMerge w:val="continue"/>
                  <w:tcBorders>
                    <w:tl2br w:val="nil"/>
                    <w:tr2bl w:val="nil"/>
                  </w:tcBorders>
                  <w:shd w:val="clear" w:color="auto" w:fill="FFFFFF"/>
                  <w:vAlign w:val="center"/>
                </w:tcPr>
                <w:p w14:paraId="44AC71CA">
                  <w:pPr>
                    <w:jc w:val="center"/>
                    <w:rPr>
                      <w:rFonts w:hint="default" w:ascii="Times New Roman" w:hAnsi="Times New Roman" w:cs="Times New Roman"/>
                      <w:sz w:val="21"/>
                      <w:szCs w:val="21"/>
                    </w:rPr>
                  </w:pPr>
                </w:p>
              </w:tc>
              <w:tc>
                <w:tcPr>
                  <w:tcW w:w="0" w:type="auto"/>
                  <w:gridSpan w:val="3"/>
                  <w:tcBorders>
                    <w:tl2br w:val="nil"/>
                    <w:tr2bl w:val="nil"/>
                  </w:tcBorders>
                  <w:shd w:val="clear" w:color="auto" w:fill="FFFFFF"/>
                  <w:vAlign w:val="center"/>
                </w:tcPr>
                <w:p w14:paraId="6545CCA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2022.11.28</w:t>
                  </w:r>
                </w:p>
              </w:tc>
              <w:tc>
                <w:tcPr>
                  <w:tcW w:w="0" w:type="auto"/>
                  <w:vMerge w:val="continue"/>
                  <w:tcBorders>
                    <w:tl2br w:val="nil"/>
                    <w:tr2bl w:val="nil"/>
                  </w:tcBorders>
                  <w:shd w:val="clear" w:color="auto" w:fill="FFFFFF"/>
                  <w:vAlign w:val="center"/>
                </w:tcPr>
                <w:p w14:paraId="0C5FBD0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5197391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r>
            <w:tr w14:paraId="375BF87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9" w:hRule="exact"/>
                <w:jc w:val="center"/>
              </w:trPr>
              <w:tc>
                <w:tcPr>
                  <w:tcW w:w="0" w:type="auto"/>
                  <w:vMerge w:val="continue"/>
                  <w:tcBorders>
                    <w:tl2br w:val="nil"/>
                    <w:tr2bl w:val="nil"/>
                  </w:tcBorders>
                  <w:shd w:val="clear" w:color="auto" w:fill="FFFFFF"/>
                  <w:vAlign w:val="center"/>
                </w:tcPr>
                <w:p w14:paraId="5B3EC0C3">
                  <w:pPr>
                    <w:jc w:val="center"/>
                    <w:rPr>
                      <w:rFonts w:hint="default" w:ascii="Times New Roman" w:hAnsi="Times New Roman" w:cs="Times New Roman"/>
                      <w:sz w:val="21"/>
                      <w:szCs w:val="21"/>
                    </w:rPr>
                  </w:pPr>
                </w:p>
              </w:tc>
              <w:tc>
                <w:tcPr>
                  <w:tcW w:w="0" w:type="auto"/>
                  <w:tcBorders>
                    <w:tl2br w:val="nil"/>
                    <w:tr2bl w:val="nil"/>
                  </w:tcBorders>
                  <w:shd w:val="clear" w:color="auto" w:fill="FFFFFF"/>
                  <w:vAlign w:val="center"/>
                </w:tcPr>
                <w:p w14:paraId="710EFA5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10:15</w:t>
                  </w:r>
                </w:p>
              </w:tc>
              <w:tc>
                <w:tcPr>
                  <w:tcW w:w="0" w:type="auto"/>
                  <w:tcBorders>
                    <w:tl2br w:val="nil"/>
                    <w:tr2bl w:val="nil"/>
                  </w:tcBorders>
                  <w:shd w:val="clear" w:color="auto" w:fill="FFFFFF"/>
                  <w:vAlign w:val="center"/>
                </w:tcPr>
                <w:p w14:paraId="78D515A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14:23</w:t>
                  </w:r>
                </w:p>
              </w:tc>
              <w:tc>
                <w:tcPr>
                  <w:tcW w:w="0" w:type="auto"/>
                  <w:tcBorders>
                    <w:tl2br w:val="nil"/>
                    <w:tr2bl w:val="nil"/>
                  </w:tcBorders>
                  <w:shd w:val="clear" w:color="auto" w:fill="FFFFFF"/>
                  <w:vAlign w:val="center"/>
                </w:tcPr>
                <w:p w14:paraId="2B76E58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zh-TW" w:eastAsia="zh-TW" w:bidi="zh-TW"/>
                    </w:rPr>
                    <w:t>17:29</w:t>
                  </w:r>
                </w:p>
              </w:tc>
              <w:tc>
                <w:tcPr>
                  <w:tcW w:w="0" w:type="auto"/>
                  <w:vMerge w:val="continue"/>
                  <w:tcBorders>
                    <w:tl2br w:val="nil"/>
                    <w:tr2bl w:val="nil"/>
                  </w:tcBorders>
                  <w:shd w:val="clear" w:color="auto" w:fill="FFFFFF"/>
                  <w:vAlign w:val="center"/>
                </w:tcPr>
                <w:p w14:paraId="0ED4654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zh-TW" w:eastAsia="zh-TW" w:bidi="zh-TW"/>
                    </w:rPr>
                  </w:pPr>
                </w:p>
              </w:tc>
              <w:tc>
                <w:tcPr>
                  <w:tcW w:w="0" w:type="auto"/>
                  <w:vMerge w:val="continue"/>
                  <w:tcBorders>
                    <w:tl2br w:val="nil"/>
                    <w:tr2bl w:val="nil"/>
                  </w:tcBorders>
                  <w:shd w:val="clear" w:color="auto" w:fill="FFFFFF"/>
                  <w:vAlign w:val="center"/>
                </w:tcPr>
                <w:p w14:paraId="412D4406">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zh-TW" w:eastAsia="zh-TW" w:bidi="zh-TW"/>
                    </w:rPr>
                  </w:pPr>
                </w:p>
              </w:tc>
            </w:tr>
            <w:tr w14:paraId="693604A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269" w:hRule="exact"/>
                <w:jc w:val="center"/>
              </w:trPr>
              <w:tc>
                <w:tcPr>
                  <w:tcW w:w="0" w:type="auto"/>
                  <w:vMerge w:val="continue"/>
                  <w:tcBorders>
                    <w:tl2br w:val="nil"/>
                    <w:tr2bl w:val="nil"/>
                  </w:tcBorders>
                  <w:shd w:val="clear" w:color="auto" w:fill="FFFFFF"/>
                  <w:vAlign w:val="center"/>
                </w:tcPr>
                <w:p w14:paraId="29811746">
                  <w:pPr>
                    <w:jc w:val="center"/>
                    <w:rPr>
                      <w:rFonts w:hint="default" w:ascii="Times New Roman" w:hAnsi="Times New Roman" w:cs="Times New Roman"/>
                      <w:sz w:val="21"/>
                      <w:szCs w:val="21"/>
                    </w:rPr>
                  </w:pPr>
                </w:p>
              </w:tc>
              <w:tc>
                <w:tcPr>
                  <w:tcW w:w="0" w:type="auto"/>
                  <w:tcBorders>
                    <w:tl2br w:val="nil"/>
                    <w:tr2bl w:val="nil"/>
                  </w:tcBorders>
                  <w:shd w:val="clear" w:color="auto" w:fill="FFFFFF"/>
                  <w:vAlign w:val="center"/>
                </w:tcPr>
                <w:p w14:paraId="752B637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DH20221102111-44</w:t>
                  </w:r>
                </w:p>
              </w:tc>
              <w:tc>
                <w:tcPr>
                  <w:tcW w:w="0" w:type="auto"/>
                  <w:tcBorders>
                    <w:tl2br w:val="nil"/>
                    <w:tr2bl w:val="nil"/>
                  </w:tcBorders>
                  <w:shd w:val="clear" w:color="auto" w:fill="FFFFFF"/>
                  <w:vAlign w:val="center"/>
                </w:tcPr>
                <w:p w14:paraId="4E7B8E9B">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w:t>
                  </w:r>
                  <w:r>
                    <w:rPr>
                      <w:rFonts w:hint="default" w:ascii="Times New Roman" w:hAnsi="Times New Roman" w:cs="Times New Roman"/>
                      <w:color w:val="000000"/>
                      <w:spacing w:val="0"/>
                      <w:w w:val="100"/>
                      <w:position w:val="0"/>
                      <w:sz w:val="21"/>
                      <w:szCs w:val="21"/>
                      <w:lang w:val="zh-TW" w:eastAsia="zh-TW" w:bidi="zh-TW"/>
                    </w:rPr>
                    <w:t>1021</w:t>
                  </w:r>
                  <w:r>
                    <w:rPr>
                      <w:rFonts w:hint="default" w:ascii="Times New Roman" w:hAnsi="Times New Roman" w:cs="Times New Roman"/>
                      <w:color w:val="000000"/>
                      <w:spacing w:val="0"/>
                      <w:w w:val="100"/>
                      <w:position w:val="0"/>
                      <w:sz w:val="21"/>
                      <w:szCs w:val="21"/>
                      <w:lang w:val="en-US" w:eastAsia="en-US" w:bidi="en-US"/>
                    </w:rPr>
                    <w:t>11-45</w:t>
                  </w:r>
                </w:p>
              </w:tc>
              <w:tc>
                <w:tcPr>
                  <w:tcW w:w="0" w:type="auto"/>
                  <w:tcBorders>
                    <w:tl2br w:val="nil"/>
                    <w:tr2bl w:val="nil"/>
                  </w:tcBorders>
                  <w:shd w:val="clear" w:color="auto" w:fill="FFFFFF"/>
                  <w:vAlign w:val="center"/>
                </w:tcPr>
                <w:p w14:paraId="7762971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DH20221</w:t>
                  </w:r>
                  <w:r>
                    <w:rPr>
                      <w:rFonts w:hint="default" w:ascii="Times New Roman" w:hAnsi="Times New Roman" w:cs="Times New Roman"/>
                      <w:color w:val="000000"/>
                      <w:spacing w:val="0"/>
                      <w:w w:val="100"/>
                      <w:position w:val="0"/>
                      <w:sz w:val="21"/>
                      <w:szCs w:val="21"/>
                      <w:lang w:val="zh-TW" w:eastAsia="zh-TW" w:bidi="zh-TW"/>
                    </w:rPr>
                    <w:t>1021</w:t>
                  </w:r>
                  <w:r>
                    <w:rPr>
                      <w:rFonts w:hint="default" w:ascii="Times New Roman" w:hAnsi="Times New Roman" w:cs="Times New Roman"/>
                      <w:color w:val="000000"/>
                      <w:spacing w:val="0"/>
                      <w:w w:val="100"/>
                      <w:position w:val="0"/>
                      <w:sz w:val="21"/>
                      <w:szCs w:val="21"/>
                      <w:lang w:val="en-US" w:eastAsia="en-US" w:bidi="en-US"/>
                    </w:rPr>
                    <w:t>11-46</w:t>
                  </w:r>
                </w:p>
              </w:tc>
              <w:tc>
                <w:tcPr>
                  <w:tcW w:w="0" w:type="auto"/>
                  <w:vMerge w:val="continue"/>
                  <w:tcBorders>
                    <w:tl2br w:val="nil"/>
                    <w:tr2bl w:val="nil"/>
                  </w:tcBorders>
                  <w:shd w:val="clear" w:color="auto" w:fill="FFFFFF"/>
                  <w:vAlign w:val="center"/>
                </w:tcPr>
                <w:p w14:paraId="03AA5B4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c>
                <w:tcPr>
                  <w:tcW w:w="0" w:type="auto"/>
                  <w:vMerge w:val="continue"/>
                  <w:tcBorders>
                    <w:tl2br w:val="nil"/>
                    <w:tr2bl w:val="nil"/>
                  </w:tcBorders>
                  <w:shd w:val="clear" w:color="auto" w:fill="FFFFFF"/>
                  <w:vAlign w:val="center"/>
                </w:tcPr>
                <w:p w14:paraId="0E72C5F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color w:val="000000"/>
                      <w:spacing w:val="0"/>
                      <w:w w:val="100"/>
                      <w:position w:val="0"/>
                      <w:sz w:val="21"/>
                      <w:szCs w:val="21"/>
                      <w:lang w:val="en-US" w:eastAsia="en-US" w:bidi="en-US"/>
                    </w:rPr>
                  </w:pPr>
                </w:p>
              </w:tc>
            </w:tr>
            <w:tr w14:paraId="2BBB898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 w:type="dxa"/>
                  <w:bottom w:w="0" w:type="dxa"/>
                  <w:right w:w="10" w:type="dxa"/>
                </w:tblCellMar>
              </w:tblPrEx>
              <w:trPr>
                <w:trHeight w:val="382" w:hRule="exact"/>
                <w:jc w:val="center"/>
              </w:trPr>
              <w:tc>
                <w:tcPr>
                  <w:tcW w:w="0" w:type="auto"/>
                  <w:tcBorders>
                    <w:tl2br w:val="nil"/>
                    <w:tr2bl w:val="nil"/>
                  </w:tcBorders>
                  <w:shd w:val="clear" w:color="auto" w:fill="FFFFFF"/>
                  <w:vAlign w:val="center"/>
                </w:tcPr>
                <w:p w14:paraId="13D608F9">
                  <w:pPr>
                    <w:pStyle w:val="76"/>
                    <w:keepNext w:val="0"/>
                    <w:keepLines w:val="0"/>
                    <w:widowControl w:val="0"/>
                    <w:shd w:val="clear" w:color="auto" w:fill="auto"/>
                    <w:bidi w:val="0"/>
                    <w:spacing w:before="0" w:after="0" w:line="240" w:lineRule="auto"/>
                    <w:ind w:left="0" w:right="0" w:firstLine="520"/>
                    <w:jc w:val="center"/>
                    <w:rPr>
                      <w:rFonts w:hint="default" w:ascii="Times New Roman" w:hAnsi="Times New Roman" w:cs="Times New Roman"/>
                      <w:sz w:val="21"/>
                      <w:szCs w:val="21"/>
                    </w:rPr>
                  </w:pPr>
                  <w:r>
                    <w:rPr>
                      <w:rFonts w:hint="default" w:ascii="Times New Roman" w:hAnsi="Times New Roman" w:cs="Times New Roman"/>
                      <w:color w:val="000000"/>
                      <w:spacing w:val="0"/>
                      <w:w w:val="100"/>
                      <w:position w:val="0"/>
                      <w:sz w:val="21"/>
                      <w:szCs w:val="21"/>
                      <w:lang w:val="en-US" w:eastAsia="en-US" w:bidi="en-US"/>
                    </w:rPr>
                    <w:t xml:space="preserve">pH </w:t>
                  </w:r>
                  <w:r>
                    <w:rPr>
                      <w:rFonts w:hint="default" w:ascii="Times New Roman" w:hAnsi="Times New Roman" w:cs="Times New Roman"/>
                      <w:color w:val="000000"/>
                      <w:spacing w:val="0"/>
                      <w:w w:val="100"/>
                      <w:position w:val="0"/>
                      <w:sz w:val="21"/>
                      <w:szCs w:val="21"/>
                      <w:lang w:val="zh-TW" w:eastAsia="zh-TW" w:bidi="zh-TW"/>
                    </w:rPr>
                    <w:t>（无量纲）</w:t>
                  </w:r>
                </w:p>
              </w:tc>
              <w:tc>
                <w:tcPr>
                  <w:tcW w:w="0" w:type="auto"/>
                  <w:tcBorders>
                    <w:tl2br w:val="nil"/>
                    <w:tr2bl w:val="nil"/>
                  </w:tcBorders>
                  <w:shd w:val="clear" w:color="auto" w:fill="FFFFFF"/>
                  <w:vAlign w:val="center"/>
                </w:tcPr>
                <w:p w14:paraId="4AC7B98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7.0</w:t>
                  </w:r>
                </w:p>
              </w:tc>
              <w:tc>
                <w:tcPr>
                  <w:tcW w:w="0" w:type="auto"/>
                  <w:tcBorders>
                    <w:tl2br w:val="nil"/>
                    <w:tr2bl w:val="nil"/>
                  </w:tcBorders>
                  <w:shd w:val="clear" w:color="auto" w:fill="FFFFFF"/>
                  <w:vAlign w:val="center"/>
                </w:tcPr>
                <w:p w14:paraId="3AB1650B">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7.1</w:t>
                  </w:r>
                </w:p>
              </w:tc>
              <w:tc>
                <w:tcPr>
                  <w:tcW w:w="0" w:type="auto"/>
                  <w:tcBorders>
                    <w:tl2br w:val="nil"/>
                    <w:tr2bl w:val="nil"/>
                  </w:tcBorders>
                  <w:shd w:val="clear" w:color="auto" w:fill="FFFFFF"/>
                  <w:vAlign w:val="center"/>
                </w:tcPr>
                <w:p w14:paraId="43A3B90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cs="Times New Roman"/>
                      <w:sz w:val="21"/>
                      <w:szCs w:val="21"/>
                    </w:rPr>
                  </w:pPr>
                  <w:r>
                    <w:rPr>
                      <w:rFonts w:hint="default" w:ascii="Times New Roman" w:hAnsi="Times New Roman" w:eastAsia="Times New Roman" w:cs="Times New Roman"/>
                      <w:color w:val="000000"/>
                      <w:spacing w:val="0"/>
                      <w:w w:val="100"/>
                      <w:position w:val="0"/>
                      <w:sz w:val="21"/>
                      <w:szCs w:val="21"/>
                      <w:lang w:val="en-US" w:eastAsia="en-US" w:bidi="en-US"/>
                    </w:rPr>
                    <w:t>7.3</w:t>
                  </w:r>
                </w:p>
              </w:tc>
              <w:tc>
                <w:tcPr>
                  <w:tcW w:w="0" w:type="auto"/>
                  <w:tcBorders>
                    <w:tl2br w:val="nil"/>
                    <w:tr2bl w:val="nil"/>
                  </w:tcBorders>
                  <w:shd w:val="clear" w:color="auto" w:fill="FFFFFF"/>
                  <w:vAlign w:val="center"/>
                </w:tcPr>
                <w:p w14:paraId="2CA891B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6-9</w:t>
                  </w:r>
                </w:p>
              </w:tc>
              <w:tc>
                <w:tcPr>
                  <w:tcW w:w="0" w:type="auto"/>
                  <w:tcBorders>
                    <w:tl2br w:val="nil"/>
                    <w:tr2bl w:val="nil"/>
                  </w:tcBorders>
                  <w:shd w:val="clear" w:color="auto" w:fill="FFFFFF"/>
                  <w:vAlign w:val="center"/>
                </w:tcPr>
                <w:p w14:paraId="2C60854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cs="Times New Roman"/>
                      <w:color w:val="000000"/>
                      <w:spacing w:val="0"/>
                      <w:w w:val="100"/>
                      <w:position w:val="0"/>
                      <w:sz w:val="21"/>
                      <w:szCs w:val="21"/>
                      <w:lang w:val="en-US" w:eastAsia="zh-CN" w:bidi="en-US"/>
                    </w:rPr>
                    <w:t>达标</w:t>
                  </w:r>
                </w:p>
              </w:tc>
            </w:tr>
          </w:tbl>
          <w:p w14:paraId="035E6A01">
            <w:pPr>
              <w:pStyle w:val="68"/>
              <w:keepNext w:val="0"/>
              <w:keepLines w:val="0"/>
              <w:suppressLineNumbers w:val="0"/>
              <w:spacing w:before="0" w:beforeAutospacing="0" w:after="0" w:afterAutospacing="0" w:line="360" w:lineRule="auto"/>
              <w:ind w:left="0" w:right="0"/>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根据监测数据可知，监测数据</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中污染监视井和本底井中有锰元素有超出标准范围，其余</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满足《地下水环境质量标准》（GB/T14848-2017）Ⅲ类水质标准。</w:t>
            </w:r>
          </w:p>
          <w:p w14:paraId="4F9FA956">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5、生态环境现状</w:t>
            </w:r>
          </w:p>
          <w:p w14:paraId="01E7548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根据现场踏勘，项目位于</w:t>
            </w:r>
            <w:r>
              <w:rPr>
                <w:rFonts w:hint="default" w:ascii="Times New Roman" w:hAnsi="Times New Roman" w:cs="Times New Roman"/>
                <w:color w:val="000000" w:themeColor="text1"/>
                <w:sz w:val="24"/>
                <w:lang w:val="en-US" w:eastAsia="zh-CN"/>
                <w14:textFill>
                  <w14:solidFill>
                    <w14:schemeClr w14:val="tx1"/>
                  </w14:solidFill>
                </w14:textFill>
              </w:rPr>
              <w:t>芒市</w:t>
            </w:r>
            <w:r>
              <w:rPr>
                <w:rFonts w:hint="default" w:ascii="Times New Roman" w:hAnsi="Times New Roman" w:cs="Times New Roman"/>
                <w:color w:val="000000" w:themeColor="text1"/>
                <w:sz w:val="24"/>
                <w14:textFill>
                  <w14:solidFill>
                    <w14:schemeClr w14:val="tx1"/>
                  </w14:solidFill>
                </w14:textFill>
              </w:rPr>
              <w:t>镇</w:t>
            </w:r>
            <w:r>
              <w:rPr>
                <w:rFonts w:hint="default" w:ascii="Times New Roman" w:hAnsi="Times New Roman" w:cs="Times New Roman"/>
                <w:color w:val="000000" w:themeColor="text1"/>
                <w:sz w:val="24"/>
                <w:lang w:val="en-US" w:eastAsia="zh-CN"/>
                <w14:textFill>
                  <w14:solidFill>
                    <w14:schemeClr w14:val="tx1"/>
                  </w14:solidFill>
                </w14:textFill>
              </w:rPr>
              <w:t>街坡村后山，</w:t>
            </w:r>
            <w:r>
              <w:rPr>
                <w:rFonts w:hint="default" w:ascii="Times New Roman" w:hAnsi="Times New Roman" w:cs="Times New Roman"/>
                <w:color w:val="000000" w:themeColor="text1"/>
                <w:sz w:val="24"/>
                <w14:textFill>
                  <w14:solidFill>
                    <w14:schemeClr w14:val="tx1"/>
                  </w14:solidFill>
                </w14:textFill>
              </w:rPr>
              <w:t>人类活动较为频繁，项目区周边分布有其它工业企业，无大型野生动物出没，动物主要以麻雀、家鼠、蛇等小型动物为主，此外，项目周围无自然保护区分布，无珍稀、濒危或需要特殊保护的动植物存在，项目不涉及古树名木，无特殊生态敏感保护目标分布。</w:t>
            </w:r>
          </w:p>
          <w:p w14:paraId="2D32F155">
            <w:pPr>
              <w:widowControl/>
              <w:spacing w:line="360" w:lineRule="auto"/>
              <w:ind w:firstLine="482"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kern w:val="0"/>
                <w:sz w:val="24"/>
                <w:lang w:bidi="ar"/>
                <w14:textFill>
                  <w14:solidFill>
                    <w14:schemeClr w14:val="tx1"/>
                  </w14:solidFill>
                </w14:textFill>
              </w:rPr>
              <w:t xml:space="preserve">6、电磁辐射 </w:t>
            </w:r>
          </w:p>
          <w:p w14:paraId="7230DD4C">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无电磁辐射影响。</w:t>
            </w:r>
          </w:p>
        </w:tc>
      </w:tr>
      <w:tr w14:paraId="4B70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246" w:type="pct"/>
          </w:tcPr>
          <w:p w14:paraId="09D857C2">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1DDA2938">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269E879C">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4B2B9340">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2FD3C766">
            <w:pPr>
              <w:spacing w:line="360" w:lineRule="auto"/>
              <w:rPr>
                <w:rFonts w:hint="default" w:ascii="Times New Roman" w:hAnsi="Times New Roman" w:eastAsia="宋体" w:cs="Times New Roman"/>
                <w:color w:val="000000" w:themeColor="text1"/>
                <w:kern w:val="0"/>
                <w:sz w:val="24"/>
                <w:lang w:bidi="ar"/>
                <w14:textFill>
                  <w14:solidFill>
                    <w14:schemeClr w14:val="tx1"/>
                  </w14:solidFill>
                </w14:textFill>
              </w:rPr>
            </w:pPr>
          </w:p>
          <w:p w14:paraId="7E12F689">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环境保护目标</w:t>
            </w:r>
          </w:p>
        </w:tc>
        <w:tc>
          <w:tcPr>
            <w:tcW w:w="4753" w:type="pct"/>
          </w:tcPr>
          <w:p w14:paraId="4E05C76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根据环办环评〔2020〕33 号附件2《建设项目环境影响报告表编制技术指南（污染影响类）（试行）》，环境影响报告表环境保护目标设置范围如下： </w:t>
            </w:r>
          </w:p>
          <w:p w14:paraId="4D68AA8D">
            <w:pPr>
              <w:numPr>
                <w:ilvl w:val="0"/>
                <w:numId w:val="5"/>
              </w:numPr>
              <w:spacing w:line="360" w:lineRule="auto"/>
              <w:ind w:left="-62" w:leftChars="0" w:firstLine="482"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大气环境：</w:t>
            </w:r>
            <w:r>
              <w:rPr>
                <w:rFonts w:hint="default" w:ascii="Times New Roman" w:hAnsi="Times New Roman" w:eastAsia="宋体" w:cs="Times New Roman"/>
                <w:color w:val="000000" w:themeColor="text1"/>
                <w:sz w:val="24"/>
                <w:szCs w:val="24"/>
                <w:highlight w:val="none"/>
                <w14:textFill>
                  <w14:solidFill>
                    <w14:schemeClr w14:val="tx1"/>
                  </w14:solidFill>
                </w14:textFill>
              </w:rPr>
              <w:t>以项目厂界外500m区域确定大气保护目标，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500m范围内无</w:t>
            </w:r>
            <w:r>
              <w:rPr>
                <w:rFonts w:hint="default" w:ascii="Times New Roman" w:hAnsi="Times New Roman" w:eastAsia="宋体" w:cs="Times New Roman"/>
                <w:color w:val="000000" w:themeColor="text1"/>
                <w:sz w:val="24"/>
                <w:szCs w:val="24"/>
                <w:highlight w:val="none"/>
                <w14:textFill>
                  <w14:solidFill>
                    <w14:schemeClr w14:val="tx1"/>
                  </w14:solidFill>
                </w14:textFill>
              </w:rPr>
              <w:t>大气环境保护目标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见附图</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9CF3244">
            <w:pPr>
              <w:numPr>
                <w:ilvl w:val="0"/>
                <w:numId w:val="5"/>
              </w:numPr>
              <w:spacing w:line="360" w:lineRule="auto"/>
              <w:ind w:left="-62" w:leftChars="0" w:firstLine="482"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声环境：项目厂界外50米范围内不存在声环境保护目标。 </w:t>
            </w:r>
          </w:p>
          <w:p w14:paraId="492E6DF1">
            <w:pPr>
              <w:numPr>
                <w:ilvl w:val="0"/>
                <w:numId w:val="5"/>
              </w:numPr>
              <w:spacing w:line="360" w:lineRule="auto"/>
              <w:ind w:left="-62" w:leftChars="0" w:firstLine="482"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地下水环境：项目厂界外500米范围内无地下水集中式饮用水水源和热水、 矿泉水、温泉等特殊地下水资源，项目无地下水保护目标。 </w:t>
            </w:r>
          </w:p>
          <w:p w14:paraId="75DCB198">
            <w:pPr>
              <w:numPr>
                <w:ilvl w:val="0"/>
                <w:numId w:val="5"/>
              </w:numPr>
              <w:spacing w:line="360" w:lineRule="auto"/>
              <w:ind w:left="-62" w:leftChars="0" w:firstLine="482"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生态环境：项目场地及周边200m范围内无国家级和省级保护植物物种，以及地方狭域植物种类分布，也无古树名木。无大型野生哺乳动物、受国家和云南省重点保护及关注物种，同时也无当地特有物种。</w:t>
            </w:r>
          </w:p>
          <w:p w14:paraId="15C041E2">
            <w:pPr>
              <w:numPr>
                <w:ilvl w:val="0"/>
                <w:numId w:val="5"/>
              </w:numPr>
              <w:spacing w:line="360" w:lineRule="auto"/>
              <w:ind w:left="-62" w:leftChars="0" w:firstLine="482"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地表水环境：项目区附近地表水主要为芒市河，</w:t>
            </w:r>
            <w:r>
              <w:rPr>
                <w:rFonts w:hint="default" w:ascii="Times New Roman" w:hAnsi="Times New Roman" w:eastAsia="宋体" w:cs="Times New Roman"/>
                <w:color w:val="000000" w:themeColor="text1"/>
                <w:sz w:val="24"/>
                <w:lang w:val="en-US" w:eastAsia="zh-CN"/>
                <w14:textFill>
                  <w14:solidFill>
                    <w14:schemeClr w14:val="tx1"/>
                  </w14:solidFill>
                </w14:textFill>
              </w:rPr>
              <w:t>场内设置有两人值守，均在场内食宿，生活废水经化粪池预处理后，进入市政污水管网，最终进入污水处理厂处理。渗滤液主要为垃圾腐败及降雨过程产生，渗滤液经污水处理站处理达标后排入芒市</w:t>
            </w:r>
            <w:r>
              <w:rPr>
                <w:rFonts w:hint="eastAsia" w:ascii="Times New Roman" w:hAnsi="Times New Roman" w:eastAsia="宋体" w:cs="Times New Roman"/>
                <w:color w:val="000000" w:themeColor="text1"/>
                <w:sz w:val="24"/>
                <w:lang w:val="en-US" w:eastAsia="zh-CN"/>
                <w14:textFill>
                  <w14:solidFill>
                    <w14:schemeClr w14:val="tx1"/>
                  </w14:solidFill>
                </w14:textFill>
              </w:rPr>
              <w:t>污水处理厂</w:t>
            </w:r>
            <w:r>
              <w:rPr>
                <w:rFonts w:hint="default" w:ascii="Times New Roman" w:hAnsi="Times New Roman" w:eastAsia="宋体" w:cs="Times New Roman"/>
                <w:color w:val="000000" w:themeColor="text1"/>
                <w:sz w:val="24"/>
                <w14:textFill>
                  <w14:solidFill>
                    <w14:schemeClr w14:val="tx1"/>
                  </w14:solidFill>
                </w14:textFill>
              </w:rPr>
              <w:t>。根据《环境影响评价技术导则 地表水环境》（HJ2.3-2018）的要求，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保护区等。根据调查，该项目选址不涉及到饮用水水源保护区、饮用水取水口，涉水的自然保护区、风景名胜区，重要湿地、重点保护与珍稀水生生物的栖息地、重要水生生物的自然产卵场及索饵场、越冬场和洄游通道，天然渔场等渔业水体，以及水产种质资源保护区等区域。本项目不涉及以上区域。</w:t>
            </w:r>
          </w:p>
          <w:p w14:paraId="376270C4">
            <w:pPr>
              <w:numPr>
                <w:ilvl w:val="0"/>
                <w:numId w:val="5"/>
              </w:numPr>
              <w:spacing w:line="360" w:lineRule="auto"/>
              <w:ind w:left="-62" w:leftChars="0" w:firstLine="482" w:firstLineChars="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根据现场勘查，确定环境保护目标见表3-1</w:t>
            </w:r>
            <w:r>
              <w:rPr>
                <w:rFonts w:hint="default"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p>
          <w:p w14:paraId="762E35FC">
            <w:pPr>
              <w:pStyle w:val="34"/>
              <w:ind w:firstLine="0" w:firstLineChars="0"/>
              <w:rPr>
                <w:rFonts w:hint="default" w:ascii="Times New Roman" w:hAnsi="Times New Roman" w:cs="Times New Roman"/>
                <w:b/>
                <w:bCs/>
                <w:color w:val="000000" w:themeColor="text1"/>
                <w14:textFill>
                  <w14:solidFill>
                    <w14:schemeClr w14:val="tx1"/>
                  </w14:solidFill>
                </w14:textFill>
              </w:rPr>
            </w:pPr>
          </w:p>
          <w:p w14:paraId="6816FF7F">
            <w:pPr>
              <w:pStyle w:val="34"/>
              <w:ind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表3-1</w:t>
            </w:r>
            <w:r>
              <w:rPr>
                <w:rFonts w:hint="default" w:ascii="Times New Roman" w:hAnsi="Times New Roman"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14:textFill>
                  <w14:solidFill>
                    <w14:schemeClr w14:val="tx1"/>
                  </w14:solidFill>
                </w14:textFill>
              </w:rPr>
              <w:t xml:space="preserve">  环境保护目标</w:t>
            </w:r>
          </w:p>
          <w:tbl>
            <w:tblPr>
              <w:tblStyle w:val="27"/>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7"/>
              <w:gridCol w:w="994"/>
              <w:gridCol w:w="1887"/>
              <w:gridCol w:w="806"/>
              <w:gridCol w:w="1275"/>
              <w:gridCol w:w="1195"/>
              <w:gridCol w:w="1690"/>
            </w:tblGrid>
            <w:tr w14:paraId="22BC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527" w:type="dxa"/>
                  <w:vAlign w:val="center"/>
                </w:tcPr>
                <w:p w14:paraId="00B9950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保护因素</w:t>
                  </w:r>
                </w:p>
              </w:tc>
              <w:tc>
                <w:tcPr>
                  <w:tcW w:w="994" w:type="dxa"/>
                  <w:vAlign w:val="center"/>
                </w:tcPr>
                <w:p w14:paraId="388CD98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名称</w:t>
                  </w:r>
                </w:p>
              </w:tc>
              <w:tc>
                <w:tcPr>
                  <w:tcW w:w="1887" w:type="dxa"/>
                  <w:vAlign w:val="center"/>
                </w:tcPr>
                <w:p w14:paraId="2E9CD14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地理坐标</w:t>
                  </w:r>
                </w:p>
              </w:tc>
              <w:tc>
                <w:tcPr>
                  <w:tcW w:w="806" w:type="dxa"/>
                  <w:vAlign w:val="center"/>
                </w:tcPr>
                <w:p w14:paraId="28E8BCD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方位</w:t>
                  </w:r>
                </w:p>
              </w:tc>
              <w:tc>
                <w:tcPr>
                  <w:tcW w:w="1275" w:type="dxa"/>
                  <w:vAlign w:val="center"/>
                </w:tcPr>
                <w:p w14:paraId="0CF6D16F">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人口</w:t>
                  </w:r>
                </w:p>
                <w:p w14:paraId="0916298A">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（人）</w:t>
                  </w:r>
                </w:p>
              </w:tc>
              <w:tc>
                <w:tcPr>
                  <w:tcW w:w="1195" w:type="dxa"/>
                  <w:vAlign w:val="center"/>
                </w:tcPr>
                <w:p w14:paraId="3F18992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与项目周界</w:t>
                  </w:r>
                </w:p>
                <w:p w14:paraId="03929AD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最近距离</w:t>
                  </w:r>
                </w:p>
              </w:tc>
              <w:tc>
                <w:tcPr>
                  <w:tcW w:w="1690" w:type="dxa"/>
                  <w:vAlign w:val="center"/>
                </w:tcPr>
                <w:p w14:paraId="177C85D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保护要求</w:t>
                  </w:r>
                </w:p>
              </w:tc>
            </w:tr>
            <w:tr w14:paraId="5837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527" w:type="dxa"/>
                  <w:vMerge w:val="restart"/>
                  <w:vAlign w:val="center"/>
                </w:tcPr>
                <w:p w14:paraId="4B358F4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大气环境</w:t>
                  </w:r>
                </w:p>
              </w:tc>
              <w:tc>
                <w:tcPr>
                  <w:tcW w:w="994" w:type="dxa"/>
                  <w:vAlign w:val="center"/>
                </w:tcPr>
                <w:p w14:paraId="2F2807E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丙茂村</w:t>
                  </w:r>
                </w:p>
              </w:tc>
              <w:tc>
                <w:tcPr>
                  <w:tcW w:w="1887" w:type="dxa"/>
                  <w:vAlign w:val="center"/>
                </w:tcPr>
                <w:p w14:paraId="557FCC8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eastAsia" w:ascii="Times New Roman" w:hAnsi="Times New Roman" w:eastAsia="宋体" w:cs="Times New Roman"/>
                      <w:color w:val="000000"/>
                      <w:spacing w:val="0"/>
                      <w:w w:val="100"/>
                      <w:position w:val="0"/>
                      <w:sz w:val="21"/>
                      <w:szCs w:val="21"/>
                      <w:lang w:val="en-US" w:eastAsia="zh-CN" w:bidi="en-US"/>
                    </w:rPr>
                    <w:t>东经：</w:t>
                  </w:r>
                  <w:r>
                    <w:rPr>
                      <w:rFonts w:hint="default" w:ascii="Times New Roman" w:hAnsi="Times New Roman" w:eastAsia="Times New Roman" w:cs="Times New Roman"/>
                      <w:color w:val="000000"/>
                      <w:spacing w:val="0"/>
                      <w:w w:val="100"/>
                      <w:position w:val="0"/>
                      <w:sz w:val="21"/>
                      <w:szCs w:val="21"/>
                      <w:lang w:val="en-US" w:eastAsia="en-US" w:bidi="en-US"/>
                    </w:rPr>
                    <w:t>98.61962199</w:t>
                  </w:r>
                  <w:r>
                    <w:rPr>
                      <w:rFonts w:hint="default" w:ascii="Times New Roman" w:hAnsi="Times New Roman" w:eastAsia="宋体" w:cs="Times New Roman"/>
                      <w:color w:val="000000"/>
                      <w:spacing w:val="0"/>
                      <w:w w:val="100"/>
                      <w:position w:val="0"/>
                      <w:sz w:val="21"/>
                      <w:szCs w:val="21"/>
                      <w:lang w:val="en-US" w:eastAsia="zh-CN" w:bidi="en-US"/>
                    </w:rPr>
                    <w:t>，</w:t>
                  </w:r>
                  <w:r>
                    <w:rPr>
                      <w:rFonts w:hint="eastAsia" w:ascii="Times New Roman" w:hAnsi="Times New Roman" w:cs="Times New Roman"/>
                      <w:color w:val="000000"/>
                      <w:spacing w:val="0"/>
                      <w:w w:val="100"/>
                      <w:position w:val="0"/>
                      <w:sz w:val="21"/>
                      <w:szCs w:val="21"/>
                      <w:lang w:val="en-US" w:eastAsia="zh-CN" w:bidi="en-US"/>
                    </w:rPr>
                    <w:t>北纬：</w:t>
                  </w:r>
                  <w:r>
                    <w:rPr>
                      <w:rFonts w:hint="default" w:ascii="Times New Roman" w:hAnsi="Times New Roman" w:eastAsia="Times New Roman" w:cs="Times New Roman"/>
                      <w:color w:val="000000"/>
                      <w:spacing w:val="0"/>
                      <w:w w:val="100"/>
                      <w:position w:val="0"/>
                      <w:sz w:val="21"/>
                      <w:szCs w:val="21"/>
                      <w:lang w:val="en-US" w:eastAsia="en-US" w:bidi="en-US"/>
                    </w:rPr>
                    <w:t>24.46862523</w:t>
                  </w:r>
                </w:p>
              </w:tc>
              <w:tc>
                <w:tcPr>
                  <w:tcW w:w="806" w:type="dxa"/>
                  <w:vAlign w:val="center"/>
                </w:tcPr>
                <w:p w14:paraId="61FC68C6">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东北</w:t>
                  </w:r>
                </w:p>
              </w:tc>
              <w:tc>
                <w:tcPr>
                  <w:tcW w:w="1275" w:type="dxa"/>
                  <w:vAlign w:val="center"/>
                </w:tcPr>
                <w:p w14:paraId="01DF37ED">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42户196人</w:t>
                  </w:r>
                </w:p>
              </w:tc>
              <w:tc>
                <w:tcPr>
                  <w:tcW w:w="1195" w:type="dxa"/>
                  <w:vAlign w:val="center"/>
                </w:tcPr>
                <w:p w14:paraId="2D7C786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1km</w:t>
                  </w:r>
                </w:p>
              </w:tc>
              <w:tc>
                <w:tcPr>
                  <w:tcW w:w="1690" w:type="dxa"/>
                  <w:vMerge w:val="restart"/>
                  <w:vAlign w:val="center"/>
                </w:tcPr>
                <w:p w14:paraId="252A2C6D">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《环境空气质量标准》（GB30</w:t>
                  </w:r>
                  <w:r>
                    <w:rPr>
                      <w:rFonts w:hint="default" w:ascii="Times New Roman" w:hAnsi="Times New Roman" w:eastAsia="Times New Roman" w:cs="Times New Roman"/>
                      <w:color w:val="000000"/>
                      <w:spacing w:val="0"/>
                      <w:w w:val="100"/>
                      <w:position w:val="0"/>
                      <w:sz w:val="21"/>
                      <w:szCs w:val="21"/>
                      <w:lang w:val="en-US" w:eastAsia="en-US" w:bidi="en-US"/>
                    </w:rPr>
                    <w:cr/>
                  </w:r>
                  <w:r>
                    <w:rPr>
                      <w:rFonts w:hint="default" w:ascii="Times New Roman" w:hAnsi="Times New Roman" w:eastAsia="Times New Roman" w:cs="Times New Roman"/>
                      <w:color w:val="000000"/>
                      <w:spacing w:val="0"/>
                      <w:w w:val="100"/>
                      <w:position w:val="0"/>
                      <w:sz w:val="21"/>
                      <w:szCs w:val="21"/>
                      <w:lang w:val="en-US" w:eastAsia="en-US" w:bidi="en-US"/>
                    </w:rPr>
                    <w:t>5-2012）二级标准</w:t>
                  </w:r>
                </w:p>
              </w:tc>
            </w:tr>
            <w:tr w14:paraId="2AEB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jc w:val="center"/>
              </w:trPr>
              <w:tc>
                <w:tcPr>
                  <w:tcW w:w="527" w:type="dxa"/>
                  <w:vMerge w:val="continue"/>
                  <w:vAlign w:val="center"/>
                </w:tcPr>
                <w:p w14:paraId="61D30BD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p>
              </w:tc>
              <w:tc>
                <w:tcPr>
                  <w:tcW w:w="994" w:type="dxa"/>
                  <w:vAlign w:val="center"/>
                </w:tcPr>
                <w:p w14:paraId="6D28C7F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大湾村</w:t>
                  </w:r>
                </w:p>
              </w:tc>
              <w:tc>
                <w:tcPr>
                  <w:tcW w:w="1887" w:type="dxa"/>
                  <w:vAlign w:val="center"/>
                </w:tcPr>
                <w:p w14:paraId="2D22681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eastAsia" w:ascii="Times New Roman" w:hAnsi="Times New Roman" w:eastAsia="宋体" w:cs="Times New Roman"/>
                      <w:color w:val="000000"/>
                      <w:spacing w:val="0"/>
                      <w:w w:val="100"/>
                      <w:position w:val="0"/>
                      <w:sz w:val="21"/>
                      <w:szCs w:val="21"/>
                      <w:lang w:val="en-US" w:eastAsia="zh-CN" w:bidi="en-US"/>
                    </w:rPr>
                    <w:t>东经：</w:t>
                  </w:r>
                  <w:r>
                    <w:rPr>
                      <w:rFonts w:hint="default" w:ascii="Times New Roman" w:hAnsi="Times New Roman" w:eastAsia="Times New Roman" w:cs="Times New Roman"/>
                      <w:color w:val="000000"/>
                      <w:spacing w:val="0"/>
                      <w:w w:val="100"/>
                      <w:position w:val="0"/>
                      <w:sz w:val="21"/>
                      <w:szCs w:val="21"/>
                      <w:lang w:val="en-US" w:eastAsia="en-US" w:bidi="en-US"/>
                    </w:rPr>
                    <w:t>98.60126495</w:t>
                  </w:r>
                  <w:r>
                    <w:rPr>
                      <w:rFonts w:hint="default" w:ascii="Times New Roman" w:hAnsi="Times New Roman" w:eastAsia="宋体" w:cs="Times New Roman"/>
                      <w:color w:val="000000"/>
                      <w:spacing w:val="0"/>
                      <w:w w:val="100"/>
                      <w:position w:val="0"/>
                      <w:sz w:val="21"/>
                      <w:szCs w:val="21"/>
                      <w:lang w:val="en-US" w:eastAsia="zh-CN" w:bidi="en-US"/>
                    </w:rPr>
                    <w:t>，</w:t>
                  </w:r>
                  <w:r>
                    <w:rPr>
                      <w:rFonts w:hint="default" w:ascii="Times New Roman" w:hAnsi="Times New Roman" w:eastAsia="Times New Roman" w:cs="Times New Roman"/>
                      <w:color w:val="000000"/>
                      <w:spacing w:val="0"/>
                      <w:w w:val="100"/>
                      <w:position w:val="0"/>
                      <w:sz w:val="21"/>
                      <w:szCs w:val="21"/>
                      <w:lang w:val="en-US" w:eastAsia="en-US" w:bidi="en-US"/>
                    </w:rPr>
                    <w:t xml:space="preserve"> </w:t>
                  </w:r>
                  <w:r>
                    <w:rPr>
                      <w:rFonts w:hint="eastAsia" w:ascii="Times New Roman" w:hAnsi="Times New Roman" w:eastAsia="宋体" w:cs="Times New Roman"/>
                      <w:color w:val="000000"/>
                      <w:spacing w:val="0"/>
                      <w:w w:val="100"/>
                      <w:position w:val="0"/>
                      <w:sz w:val="21"/>
                      <w:szCs w:val="21"/>
                      <w:lang w:val="en-US" w:eastAsia="zh-CN" w:bidi="en-US"/>
                    </w:rPr>
                    <w:t>北纬：</w:t>
                  </w:r>
                  <w:r>
                    <w:rPr>
                      <w:rFonts w:hint="default" w:ascii="Times New Roman" w:hAnsi="Times New Roman" w:eastAsia="Times New Roman" w:cs="Times New Roman"/>
                      <w:color w:val="000000"/>
                      <w:spacing w:val="0"/>
                      <w:w w:val="100"/>
                      <w:position w:val="0"/>
                      <w:sz w:val="21"/>
                      <w:szCs w:val="21"/>
                      <w:lang w:val="en-US" w:eastAsia="en-US" w:bidi="en-US"/>
                    </w:rPr>
                    <w:t>24.47672037</w:t>
                  </w:r>
                </w:p>
              </w:tc>
              <w:tc>
                <w:tcPr>
                  <w:tcW w:w="806" w:type="dxa"/>
                  <w:vAlign w:val="center"/>
                </w:tcPr>
                <w:p w14:paraId="2C5D20C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西北</w:t>
                  </w:r>
                </w:p>
              </w:tc>
              <w:tc>
                <w:tcPr>
                  <w:tcW w:w="1275" w:type="dxa"/>
                  <w:vAlign w:val="center"/>
                </w:tcPr>
                <w:p w14:paraId="2CEDD26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184户893人</w:t>
                  </w:r>
                </w:p>
              </w:tc>
              <w:tc>
                <w:tcPr>
                  <w:tcW w:w="1195" w:type="dxa"/>
                  <w:vAlign w:val="center"/>
                </w:tcPr>
                <w:p w14:paraId="5081294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1.2km</w:t>
                  </w:r>
                </w:p>
              </w:tc>
              <w:tc>
                <w:tcPr>
                  <w:tcW w:w="1690" w:type="dxa"/>
                  <w:vMerge w:val="continue"/>
                  <w:vAlign w:val="center"/>
                </w:tcPr>
                <w:p w14:paraId="4DD66859">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p>
              </w:tc>
            </w:tr>
            <w:tr w14:paraId="121E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27" w:type="dxa"/>
                  <w:vMerge w:val="continue"/>
                  <w:vAlign w:val="center"/>
                </w:tcPr>
                <w:p w14:paraId="4EF72FE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p>
              </w:tc>
              <w:tc>
                <w:tcPr>
                  <w:tcW w:w="994" w:type="dxa"/>
                  <w:vAlign w:val="center"/>
                </w:tcPr>
                <w:p w14:paraId="167499A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蔓燕寨</w:t>
                  </w:r>
                </w:p>
              </w:tc>
              <w:tc>
                <w:tcPr>
                  <w:tcW w:w="1887" w:type="dxa"/>
                  <w:vAlign w:val="center"/>
                </w:tcPr>
                <w:p w14:paraId="16E0A8B6">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eastAsia" w:ascii="Times New Roman" w:hAnsi="Times New Roman" w:eastAsia="宋体" w:cs="Times New Roman"/>
                      <w:color w:val="000000"/>
                      <w:spacing w:val="0"/>
                      <w:w w:val="100"/>
                      <w:position w:val="0"/>
                      <w:sz w:val="21"/>
                      <w:szCs w:val="21"/>
                      <w:lang w:val="en-US" w:eastAsia="zh-CN" w:bidi="en-US"/>
                    </w:rPr>
                    <w:t>东经：</w:t>
                  </w:r>
                  <w:r>
                    <w:rPr>
                      <w:rFonts w:hint="default" w:ascii="Times New Roman" w:hAnsi="Times New Roman" w:eastAsia="Times New Roman" w:cs="Times New Roman"/>
                      <w:color w:val="000000"/>
                      <w:spacing w:val="0"/>
                      <w:w w:val="100"/>
                      <w:position w:val="0"/>
                      <w:sz w:val="21"/>
                      <w:szCs w:val="21"/>
                      <w:lang w:val="en-US" w:eastAsia="en-US" w:bidi="en-US"/>
                    </w:rPr>
                    <w:t>98.61948252</w:t>
                  </w:r>
                  <w:r>
                    <w:rPr>
                      <w:rFonts w:hint="default" w:ascii="Times New Roman" w:hAnsi="Times New Roman" w:eastAsia="宋体" w:cs="Times New Roman"/>
                      <w:color w:val="000000"/>
                      <w:spacing w:val="0"/>
                      <w:w w:val="100"/>
                      <w:position w:val="0"/>
                      <w:sz w:val="21"/>
                      <w:szCs w:val="21"/>
                      <w:lang w:val="en-US" w:eastAsia="zh-CN" w:bidi="en-US"/>
                    </w:rPr>
                    <w:t>，</w:t>
                  </w:r>
                  <w:r>
                    <w:rPr>
                      <w:rFonts w:hint="default" w:ascii="Times New Roman" w:hAnsi="Times New Roman" w:eastAsia="Times New Roman" w:cs="Times New Roman"/>
                      <w:color w:val="000000"/>
                      <w:spacing w:val="0"/>
                      <w:w w:val="100"/>
                      <w:position w:val="0"/>
                      <w:sz w:val="21"/>
                      <w:szCs w:val="21"/>
                      <w:lang w:val="en-US" w:eastAsia="en-US" w:bidi="en-US"/>
                    </w:rPr>
                    <w:t xml:space="preserve"> </w:t>
                  </w:r>
                  <w:r>
                    <w:rPr>
                      <w:rFonts w:hint="eastAsia" w:ascii="Times New Roman" w:hAnsi="Times New Roman" w:eastAsia="宋体" w:cs="Times New Roman"/>
                      <w:color w:val="000000"/>
                      <w:spacing w:val="0"/>
                      <w:w w:val="100"/>
                      <w:position w:val="0"/>
                      <w:sz w:val="21"/>
                      <w:szCs w:val="21"/>
                      <w:lang w:val="en-US" w:eastAsia="zh-CN" w:bidi="en-US"/>
                    </w:rPr>
                    <w:t>北纬：</w:t>
                  </w:r>
                  <w:r>
                    <w:rPr>
                      <w:rFonts w:hint="default" w:ascii="Times New Roman" w:hAnsi="Times New Roman" w:eastAsia="Times New Roman" w:cs="Times New Roman"/>
                      <w:color w:val="000000"/>
                      <w:spacing w:val="0"/>
                      <w:w w:val="100"/>
                      <w:position w:val="0"/>
                      <w:sz w:val="21"/>
                      <w:szCs w:val="21"/>
                      <w:lang w:val="en-US" w:eastAsia="en-US" w:bidi="en-US"/>
                    </w:rPr>
                    <w:t>24.46195538</w:t>
                  </w:r>
                </w:p>
              </w:tc>
              <w:tc>
                <w:tcPr>
                  <w:tcW w:w="806" w:type="dxa"/>
                  <w:vAlign w:val="center"/>
                </w:tcPr>
                <w:p w14:paraId="36CADC2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东南</w:t>
                  </w:r>
                </w:p>
              </w:tc>
              <w:tc>
                <w:tcPr>
                  <w:tcW w:w="1275" w:type="dxa"/>
                  <w:vAlign w:val="center"/>
                </w:tcPr>
                <w:p w14:paraId="2E2A9A23">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57户250人</w:t>
                  </w:r>
                </w:p>
              </w:tc>
              <w:tc>
                <w:tcPr>
                  <w:tcW w:w="1195" w:type="dxa"/>
                  <w:vAlign w:val="center"/>
                </w:tcPr>
                <w:p w14:paraId="1E85EC2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1.5km</w:t>
                  </w:r>
                </w:p>
              </w:tc>
              <w:tc>
                <w:tcPr>
                  <w:tcW w:w="1690" w:type="dxa"/>
                  <w:vMerge w:val="continue"/>
                  <w:vAlign w:val="center"/>
                </w:tcPr>
                <w:p w14:paraId="65FDA0F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p>
              </w:tc>
            </w:tr>
            <w:tr w14:paraId="6A62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27" w:type="dxa"/>
                  <w:vMerge w:val="continue"/>
                  <w:vAlign w:val="center"/>
                </w:tcPr>
                <w:p w14:paraId="105E1552">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p>
              </w:tc>
              <w:tc>
                <w:tcPr>
                  <w:tcW w:w="994" w:type="dxa"/>
                  <w:vAlign w:val="center"/>
                </w:tcPr>
                <w:p w14:paraId="647626B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芒排寨</w:t>
                  </w:r>
                </w:p>
              </w:tc>
              <w:tc>
                <w:tcPr>
                  <w:tcW w:w="1887" w:type="dxa"/>
                  <w:vAlign w:val="center"/>
                </w:tcPr>
                <w:p w14:paraId="3C97E2B8">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eastAsia" w:ascii="Times New Roman" w:hAnsi="Times New Roman" w:eastAsia="宋体" w:cs="Times New Roman"/>
                      <w:color w:val="000000"/>
                      <w:spacing w:val="0"/>
                      <w:w w:val="100"/>
                      <w:position w:val="0"/>
                      <w:sz w:val="21"/>
                      <w:szCs w:val="21"/>
                      <w:lang w:val="en-US" w:eastAsia="zh-CN" w:bidi="en-US"/>
                    </w:rPr>
                    <w:t>东经：</w:t>
                  </w:r>
                  <w:r>
                    <w:rPr>
                      <w:rFonts w:hint="default" w:ascii="Times New Roman" w:hAnsi="Times New Roman" w:eastAsia="Times New Roman" w:cs="Times New Roman"/>
                      <w:color w:val="000000"/>
                      <w:spacing w:val="0"/>
                      <w:w w:val="100"/>
                      <w:position w:val="0"/>
                      <w:sz w:val="21"/>
                      <w:szCs w:val="21"/>
                      <w:lang w:val="en-US" w:eastAsia="en-US" w:bidi="en-US"/>
                    </w:rPr>
                    <w:t>98.62383842</w:t>
                  </w:r>
                  <w:r>
                    <w:rPr>
                      <w:rFonts w:hint="default" w:ascii="Times New Roman" w:hAnsi="Times New Roman" w:eastAsia="宋体" w:cs="Times New Roman"/>
                      <w:color w:val="000000"/>
                      <w:spacing w:val="0"/>
                      <w:w w:val="100"/>
                      <w:position w:val="0"/>
                      <w:sz w:val="21"/>
                      <w:szCs w:val="21"/>
                      <w:lang w:val="en-US" w:eastAsia="zh-CN" w:bidi="en-US"/>
                    </w:rPr>
                    <w:t>，</w:t>
                  </w:r>
                  <w:r>
                    <w:rPr>
                      <w:rFonts w:hint="default" w:ascii="Times New Roman" w:hAnsi="Times New Roman" w:eastAsia="Times New Roman" w:cs="Times New Roman"/>
                      <w:color w:val="000000"/>
                      <w:spacing w:val="0"/>
                      <w:w w:val="100"/>
                      <w:position w:val="0"/>
                      <w:sz w:val="21"/>
                      <w:szCs w:val="21"/>
                      <w:lang w:val="en-US" w:eastAsia="en-US" w:bidi="en-US"/>
                    </w:rPr>
                    <w:t xml:space="preserve"> </w:t>
                  </w:r>
                  <w:r>
                    <w:rPr>
                      <w:rFonts w:hint="eastAsia" w:ascii="Times New Roman" w:hAnsi="Times New Roman" w:eastAsia="宋体" w:cs="Times New Roman"/>
                      <w:color w:val="000000"/>
                      <w:spacing w:val="0"/>
                      <w:w w:val="100"/>
                      <w:position w:val="0"/>
                      <w:sz w:val="21"/>
                      <w:szCs w:val="21"/>
                      <w:lang w:val="en-US" w:eastAsia="zh-CN" w:bidi="en-US"/>
                    </w:rPr>
                    <w:t>北纬：</w:t>
                  </w:r>
                  <w:r>
                    <w:rPr>
                      <w:rFonts w:hint="default" w:ascii="Times New Roman" w:hAnsi="Times New Roman" w:eastAsia="Times New Roman" w:cs="Times New Roman"/>
                      <w:color w:val="000000"/>
                      <w:spacing w:val="0"/>
                      <w:w w:val="100"/>
                      <w:position w:val="0"/>
                      <w:sz w:val="21"/>
                      <w:szCs w:val="21"/>
                      <w:lang w:val="en-US" w:eastAsia="en-US" w:bidi="en-US"/>
                    </w:rPr>
                    <w:t>24.47136924</w:t>
                  </w:r>
                </w:p>
              </w:tc>
              <w:tc>
                <w:tcPr>
                  <w:tcW w:w="806" w:type="dxa"/>
                  <w:vAlign w:val="center"/>
                </w:tcPr>
                <w:p w14:paraId="1A2CAB3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东偏北</w:t>
                  </w:r>
                </w:p>
              </w:tc>
              <w:tc>
                <w:tcPr>
                  <w:tcW w:w="1275" w:type="dxa"/>
                  <w:vAlign w:val="center"/>
                </w:tcPr>
                <w:p w14:paraId="79C0BE2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44户，209人</w:t>
                  </w:r>
                </w:p>
              </w:tc>
              <w:tc>
                <w:tcPr>
                  <w:tcW w:w="1195" w:type="dxa"/>
                  <w:vAlign w:val="center"/>
                </w:tcPr>
                <w:p w14:paraId="144EC3C0">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2km</w:t>
                  </w:r>
                </w:p>
              </w:tc>
              <w:tc>
                <w:tcPr>
                  <w:tcW w:w="1690" w:type="dxa"/>
                  <w:vMerge w:val="continue"/>
                  <w:vAlign w:val="center"/>
                </w:tcPr>
                <w:p w14:paraId="36BB34A5">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p>
              </w:tc>
            </w:tr>
            <w:tr w14:paraId="6C4E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527" w:type="dxa"/>
                  <w:vAlign w:val="center"/>
                </w:tcPr>
                <w:p w14:paraId="491CA744">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地表水</w:t>
                  </w:r>
                </w:p>
              </w:tc>
              <w:tc>
                <w:tcPr>
                  <w:tcW w:w="994" w:type="dxa"/>
                  <w:vAlign w:val="center"/>
                </w:tcPr>
                <w:p w14:paraId="2AA93EB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芒市河</w:t>
                  </w:r>
                </w:p>
              </w:tc>
              <w:tc>
                <w:tcPr>
                  <w:tcW w:w="1887" w:type="dxa"/>
                  <w:vAlign w:val="center"/>
                </w:tcPr>
                <w:p w14:paraId="24ABDE4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w:t>
                  </w:r>
                </w:p>
              </w:tc>
              <w:tc>
                <w:tcPr>
                  <w:tcW w:w="806" w:type="dxa"/>
                  <w:vAlign w:val="center"/>
                </w:tcPr>
                <w:p w14:paraId="0D9249F7">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南</w:t>
                  </w:r>
                </w:p>
              </w:tc>
              <w:tc>
                <w:tcPr>
                  <w:tcW w:w="1275" w:type="dxa"/>
                  <w:vAlign w:val="center"/>
                </w:tcPr>
                <w:p w14:paraId="32CEFBB1">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en-US" w:bidi="en-US"/>
                    </w:rPr>
                    <w:t>/</w:t>
                  </w:r>
                </w:p>
              </w:tc>
              <w:tc>
                <w:tcPr>
                  <w:tcW w:w="1195" w:type="dxa"/>
                  <w:vAlign w:val="center"/>
                </w:tcPr>
                <w:p w14:paraId="2B22883C">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zh-CN" w:bidi="en-US"/>
                    </w:rPr>
                  </w:pPr>
                  <w:r>
                    <w:rPr>
                      <w:rFonts w:hint="default" w:ascii="Times New Roman" w:hAnsi="Times New Roman" w:eastAsia="Times New Roman" w:cs="Times New Roman"/>
                      <w:color w:val="000000"/>
                      <w:spacing w:val="0"/>
                      <w:w w:val="100"/>
                      <w:position w:val="0"/>
                      <w:sz w:val="21"/>
                      <w:szCs w:val="21"/>
                      <w:lang w:val="en-US" w:eastAsia="zh-CN" w:bidi="en-US"/>
                    </w:rPr>
                    <w:t>1.4</w:t>
                  </w:r>
                  <w:r>
                    <w:rPr>
                      <w:rFonts w:hint="default" w:ascii="Times New Roman" w:hAnsi="Times New Roman" w:eastAsia="Times New Roman" w:cs="Times New Roman"/>
                      <w:color w:val="000000"/>
                      <w:spacing w:val="0"/>
                      <w:w w:val="100"/>
                      <w:position w:val="0"/>
                      <w:sz w:val="21"/>
                      <w:szCs w:val="21"/>
                      <w:lang w:val="en-US" w:eastAsia="en-US" w:bidi="en-US"/>
                    </w:rPr>
                    <w:t>km</w:t>
                  </w:r>
                </w:p>
              </w:tc>
              <w:tc>
                <w:tcPr>
                  <w:tcW w:w="1690" w:type="dxa"/>
                  <w:vAlign w:val="center"/>
                </w:tcPr>
                <w:p w14:paraId="198545DE">
                  <w:pPr>
                    <w:pStyle w:val="76"/>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color w:val="000000"/>
                      <w:spacing w:val="0"/>
                      <w:w w:val="100"/>
                      <w:position w:val="0"/>
                      <w:sz w:val="21"/>
                      <w:szCs w:val="21"/>
                      <w:lang w:val="en-US" w:eastAsia="en-US" w:bidi="en-US"/>
                    </w:rPr>
                  </w:pPr>
                  <w:r>
                    <w:rPr>
                      <w:rFonts w:hint="default" w:ascii="Times New Roman" w:hAnsi="Times New Roman" w:eastAsia="Times New Roman" w:cs="Times New Roman"/>
                      <w:color w:val="000000"/>
                      <w:spacing w:val="0"/>
                      <w:w w:val="100"/>
                      <w:position w:val="0"/>
                      <w:sz w:val="21"/>
                      <w:szCs w:val="21"/>
                      <w:lang w:val="en-US" w:eastAsia="en-US" w:bidi="en-US"/>
                    </w:rPr>
                    <w:t>《地表水环境质量标准》Ⅲ类标准</w:t>
                  </w:r>
                </w:p>
              </w:tc>
            </w:tr>
          </w:tbl>
          <w:p w14:paraId="5B094077">
            <w:pPr>
              <w:pStyle w:val="36"/>
              <w:widowControl w:val="0"/>
              <w:ind w:firstLine="0" w:firstLineChars="0"/>
              <w:jc w:val="both"/>
              <w:rPr>
                <w:rFonts w:hint="default" w:ascii="Times New Roman" w:hAnsi="Times New Roman" w:cs="Times New Roman"/>
                <w:color w:val="000000" w:themeColor="text1"/>
                <w14:textFill>
                  <w14:solidFill>
                    <w14:schemeClr w14:val="tx1"/>
                  </w14:solidFill>
                </w14:textFill>
              </w:rPr>
            </w:pPr>
          </w:p>
        </w:tc>
      </w:tr>
      <w:tr w14:paraId="7669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246" w:type="pct"/>
          </w:tcPr>
          <w:p w14:paraId="31567450">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p>
          <w:p w14:paraId="1FC65402">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p>
          <w:p w14:paraId="013C9C97">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p>
          <w:p w14:paraId="6985041C">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p>
          <w:p w14:paraId="3F8A7017">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p>
          <w:p w14:paraId="6880F7CF">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污染物排放控制标准</w:t>
            </w:r>
          </w:p>
        </w:tc>
        <w:tc>
          <w:tcPr>
            <w:tcW w:w="4753" w:type="pct"/>
          </w:tcPr>
          <w:p w14:paraId="2DFC2644">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一、大气污染物排放标准</w:t>
            </w:r>
          </w:p>
          <w:p w14:paraId="0DE8875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1、施工期</w:t>
            </w:r>
          </w:p>
          <w:p w14:paraId="6082E684">
            <w:pPr>
              <w:autoSpaceDE w:val="0"/>
              <w:autoSpaceDN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施工期排放的颗粒物执行《大气污染物综合排放标准》（GB16297-1996）中的无组织排放监控浓度值，标准值详见表3-</w:t>
            </w:r>
            <w:r>
              <w:rPr>
                <w:rFonts w:hint="default"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w:t>
            </w:r>
          </w:p>
          <w:p w14:paraId="758636FD">
            <w:pPr>
              <w:pStyle w:val="34"/>
              <w:ind w:firstLine="0" w:firstLineChars="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 3-</w:t>
            </w:r>
            <w:r>
              <w:rPr>
                <w:rFonts w:hint="default" w:ascii="Times New Roman" w:hAnsi="Times New Roman" w:eastAsia="宋体" w:cs="Times New Roman"/>
                <w:b/>
                <w:bCs/>
                <w:color w:val="000000" w:themeColor="text1"/>
                <w:lang w:val="en-US" w:eastAsia="zh-CN"/>
                <w14:textFill>
                  <w14:solidFill>
                    <w14:schemeClr w14:val="tx1"/>
                  </w14:solidFill>
                </w14:textFill>
              </w:rPr>
              <w:t>17</w:t>
            </w:r>
            <w:r>
              <w:rPr>
                <w:rFonts w:hint="default" w:ascii="Times New Roman" w:hAnsi="Times New Roman" w:eastAsia="宋体" w:cs="Times New Roman"/>
                <w:b/>
                <w:bCs/>
                <w:color w:val="000000" w:themeColor="text1"/>
                <w14:textFill>
                  <w14:solidFill>
                    <w14:schemeClr w14:val="tx1"/>
                  </w14:solidFill>
                </w14:textFill>
              </w:rPr>
              <w:t xml:space="preserve">  无组织排放浓度限值</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0"/>
              <w:gridCol w:w="5234"/>
            </w:tblGrid>
            <w:tr w14:paraId="71F9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90" w:type="pct"/>
                </w:tcPr>
                <w:p w14:paraId="3D3A79D1">
                  <w:pPr>
                    <w:pStyle w:val="4"/>
                    <w:tabs>
                      <w:tab w:val="left" w:pos="540"/>
                    </w:tabs>
                    <w:spacing w:after="0" w:line="360" w:lineRule="auto"/>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污染物</w:t>
                  </w:r>
                </w:p>
              </w:tc>
              <w:tc>
                <w:tcPr>
                  <w:tcW w:w="2809" w:type="pct"/>
                </w:tcPr>
                <w:p w14:paraId="608F1CC9">
                  <w:pPr>
                    <w:pStyle w:val="4"/>
                    <w:tabs>
                      <w:tab w:val="left" w:pos="540"/>
                    </w:tabs>
                    <w:spacing w:after="0" w:line="360" w:lineRule="auto"/>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周界外浓度最高点</w:t>
                  </w:r>
                </w:p>
              </w:tc>
            </w:tr>
            <w:tr w14:paraId="1EE2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190" w:type="pct"/>
                </w:tcPr>
                <w:p w14:paraId="4C7DE4D9">
                  <w:pPr>
                    <w:pStyle w:val="4"/>
                    <w:tabs>
                      <w:tab w:val="left" w:pos="540"/>
                    </w:tabs>
                    <w:spacing w:after="0" w:line="360" w:lineRule="auto"/>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2809" w:type="pct"/>
                </w:tcPr>
                <w:p w14:paraId="79E3E935">
                  <w:pPr>
                    <w:pStyle w:val="4"/>
                    <w:tabs>
                      <w:tab w:val="left" w:pos="540"/>
                    </w:tabs>
                    <w:spacing w:after="0" w:line="360" w:lineRule="auto"/>
                    <w:ind w:left="0" w:left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r>
          </w:tbl>
          <w:p w14:paraId="6BAD8D4E">
            <w:pPr>
              <w:autoSpaceDE w:val="0"/>
              <w:autoSpaceDN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2、运营期</w:t>
            </w:r>
          </w:p>
          <w:p w14:paraId="20A1C2FC">
            <w:pPr>
              <w:autoSpaceDE w:val="0"/>
              <w:autoSpaceDN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项目运营期废气污染物主要为NH</w:t>
            </w:r>
            <w:r>
              <w:rPr>
                <w:rFonts w:hint="default" w:ascii="Times New Roman" w:hAnsi="Times New Roman" w:cs="Times New Roman"/>
                <w:color w:val="000000" w:themeColor="text1"/>
                <w:sz w:val="24"/>
                <w:vertAlign w:val="subscript"/>
                <w:lang w:eastAsia="zh-CN"/>
                <w14:textFill>
                  <w14:solidFill>
                    <w14:schemeClr w14:val="tx1"/>
                  </w14:solidFill>
                </w14:textFill>
              </w:rPr>
              <w:t>3</w:t>
            </w:r>
            <w:r>
              <w:rPr>
                <w:rFonts w:hint="default" w:ascii="Times New Roman" w:hAnsi="Times New Roman" w:cs="Times New Roman"/>
                <w:color w:val="000000" w:themeColor="text1"/>
                <w:sz w:val="24"/>
                <w:lang w:eastAsia="zh-CN"/>
                <w14:textFill>
                  <w14:solidFill>
                    <w14:schemeClr w14:val="tx1"/>
                  </w14:solidFill>
                </w14:textFill>
              </w:rPr>
              <w:t>、H</w:t>
            </w:r>
            <w:r>
              <w:rPr>
                <w:rFonts w:hint="default" w:ascii="Times New Roman" w:hAnsi="Times New Roman" w:cs="Times New Roman"/>
                <w:color w:val="000000" w:themeColor="text1"/>
                <w:sz w:val="24"/>
                <w:vertAlign w:val="subscript"/>
                <w:lang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S、臭气浓度，执行《恶臭污染物排放标准》（GB14554-93）无组织排放厂界浓度二级标准及有组织排放限值，具体详见下表</w:t>
            </w:r>
            <w:r>
              <w:rPr>
                <w:rFonts w:hint="default" w:ascii="Times New Roman" w:hAnsi="Times New Roman" w:cs="Times New Roman"/>
                <w:color w:val="000000" w:themeColor="text1"/>
                <w:sz w:val="24"/>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18</w:t>
            </w:r>
            <w:r>
              <w:rPr>
                <w:rFonts w:hint="default" w:ascii="Times New Roman" w:hAnsi="Times New Roman" w:cs="Times New Roman"/>
                <w:color w:val="000000" w:themeColor="text1"/>
                <w:sz w:val="24"/>
                <w14:textFill>
                  <w14:solidFill>
                    <w14:schemeClr w14:val="tx1"/>
                  </w14:solidFill>
                </w14:textFill>
              </w:rPr>
              <w:t>。</w:t>
            </w:r>
          </w:p>
          <w:p w14:paraId="643243FB">
            <w:pPr>
              <w:pStyle w:val="34"/>
              <w:ind w:firstLine="0" w:firstLineChars="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表3-</w:t>
            </w:r>
            <w:r>
              <w:rPr>
                <w:rFonts w:hint="default" w:ascii="Times New Roman" w:hAnsi="Times New Roman" w:eastAsia="宋体" w:cs="Times New Roman"/>
                <w:b/>
                <w:bCs/>
                <w:color w:val="000000" w:themeColor="text1"/>
                <w:lang w:val="en-US" w:eastAsia="zh-CN"/>
                <w14:textFill>
                  <w14:solidFill>
                    <w14:schemeClr w14:val="tx1"/>
                  </w14:solidFill>
                </w14:textFill>
              </w:rPr>
              <w:t>18</w:t>
            </w:r>
            <w:r>
              <w:rPr>
                <w:rFonts w:hint="default" w:ascii="Times New Roman" w:hAnsi="Times New Roman" w:eastAsia="宋体" w:cs="Times New Roman"/>
                <w:b/>
                <w:bCs/>
                <w:color w:val="000000" w:themeColor="text1"/>
                <w14:textFill>
                  <w14:solidFill>
                    <w14:schemeClr w14:val="tx1"/>
                  </w14:solidFill>
                </w14:textFill>
              </w:rPr>
              <w:t xml:space="preserve">   项目运营期大气污染物排放标准  </w:t>
            </w:r>
          </w:p>
          <w:tbl>
            <w:tblPr>
              <w:tblStyle w:val="28"/>
              <w:tblW w:w="9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348"/>
              <w:gridCol w:w="2086"/>
              <w:gridCol w:w="2051"/>
              <w:gridCol w:w="2983"/>
            </w:tblGrid>
            <w:tr w14:paraId="5357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56" w:type="pct"/>
                  <w:noWrap w:val="0"/>
                  <w:vAlign w:val="center"/>
                </w:tcPr>
                <w:p w14:paraId="68730D3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序号</w:t>
                  </w:r>
                </w:p>
              </w:tc>
              <w:tc>
                <w:tcPr>
                  <w:tcW w:w="723" w:type="pct"/>
                  <w:noWrap w:val="0"/>
                  <w:vAlign w:val="center"/>
                </w:tcPr>
                <w:p w14:paraId="7D7F804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TW" w:bidi="en-US"/>
                    </w:rPr>
                    <w:t>污染物</w:t>
                  </w:r>
                </w:p>
              </w:tc>
              <w:tc>
                <w:tcPr>
                  <w:tcW w:w="1119" w:type="pct"/>
                  <w:noWrap w:val="0"/>
                  <w:vAlign w:val="center"/>
                </w:tcPr>
                <w:p w14:paraId="6AB824D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单位</w:t>
                  </w:r>
                </w:p>
              </w:tc>
              <w:tc>
                <w:tcPr>
                  <w:tcW w:w="1100" w:type="pct"/>
                  <w:noWrap w:val="0"/>
                  <w:vAlign w:val="center"/>
                </w:tcPr>
                <w:p w14:paraId="5A39CD9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二级新扩改建</w:t>
                  </w:r>
                </w:p>
              </w:tc>
              <w:tc>
                <w:tcPr>
                  <w:tcW w:w="1600" w:type="pct"/>
                  <w:noWrap w:val="0"/>
                  <w:vAlign w:val="center"/>
                </w:tcPr>
                <w:p w14:paraId="3CDF816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标准名称及级（类）别</w:t>
                  </w:r>
                </w:p>
              </w:tc>
            </w:tr>
            <w:tr w14:paraId="3832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noWrap w:val="0"/>
                  <w:vAlign w:val="center"/>
                </w:tcPr>
                <w:p w14:paraId="4BC16C8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1</w:t>
                  </w:r>
                </w:p>
              </w:tc>
              <w:tc>
                <w:tcPr>
                  <w:tcW w:w="723" w:type="pct"/>
                  <w:noWrap w:val="0"/>
                  <w:vAlign w:val="center"/>
                </w:tcPr>
                <w:p w14:paraId="1C4442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H</w:t>
                  </w:r>
                  <w:r>
                    <w:rPr>
                      <w:rFonts w:hint="default" w:ascii="Times New Roman" w:hAnsi="Times New Roman" w:eastAsia="宋体" w:cs="Times New Roman"/>
                      <w:color w:val="000000"/>
                      <w:spacing w:val="0"/>
                      <w:w w:val="100"/>
                      <w:position w:val="0"/>
                      <w:sz w:val="21"/>
                      <w:szCs w:val="21"/>
                      <w:vertAlign w:val="subscript"/>
                      <w:lang w:val="zh-TW" w:eastAsia="zh-CN" w:bidi="en-US"/>
                    </w:rPr>
                    <w:t>2</w:t>
                  </w:r>
                  <w:r>
                    <w:rPr>
                      <w:rFonts w:hint="default" w:ascii="Times New Roman" w:hAnsi="Times New Roman" w:eastAsia="宋体" w:cs="Times New Roman"/>
                      <w:color w:val="000000"/>
                      <w:spacing w:val="0"/>
                      <w:w w:val="100"/>
                      <w:position w:val="0"/>
                      <w:sz w:val="21"/>
                      <w:szCs w:val="21"/>
                      <w:lang w:val="zh-TW" w:eastAsia="zh-CN" w:bidi="en-US"/>
                    </w:rPr>
                    <w:t>S</w:t>
                  </w:r>
                </w:p>
              </w:tc>
              <w:tc>
                <w:tcPr>
                  <w:tcW w:w="1119" w:type="pct"/>
                  <w:noWrap w:val="0"/>
                  <w:vAlign w:val="center"/>
                </w:tcPr>
                <w:p w14:paraId="677AB2C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mg/m³</w:t>
                  </w:r>
                </w:p>
              </w:tc>
              <w:tc>
                <w:tcPr>
                  <w:tcW w:w="1100" w:type="pct"/>
                  <w:noWrap w:val="0"/>
                  <w:vAlign w:val="center"/>
                </w:tcPr>
                <w:p w14:paraId="338D813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0.06</w:t>
                  </w:r>
                </w:p>
              </w:tc>
              <w:tc>
                <w:tcPr>
                  <w:tcW w:w="1600" w:type="pct"/>
                  <w:vMerge w:val="restart"/>
                  <w:noWrap w:val="0"/>
                  <w:vAlign w:val="center"/>
                </w:tcPr>
                <w:p w14:paraId="48D365C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《恶臭污染物排放标准》（GB014554-93）无组织厂界标准值</w:t>
                  </w:r>
                </w:p>
              </w:tc>
            </w:tr>
            <w:tr w14:paraId="507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noWrap w:val="0"/>
                  <w:vAlign w:val="center"/>
                </w:tcPr>
                <w:p w14:paraId="73EC79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2</w:t>
                  </w:r>
                </w:p>
              </w:tc>
              <w:tc>
                <w:tcPr>
                  <w:tcW w:w="723" w:type="pct"/>
                  <w:noWrap w:val="0"/>
                  <w:vAlign w:val="center"/>
                </w:tcPr>
                <w:p w14:paraId="03A575C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TW" w:bidi="en-US"/>
                    </w:rPr>
                  </w:pPr>
                  <w:r>
                    <w:rPr>
                      <w:rFonts w:hint="default" w:ascii="Times New Roman" w:hAnsi="Times New Roman" w:eastAsia="宋体" w:cs="Times New Roman"/>
                      <w:color w:val="000000"/>
                      <w:spacing w:val="0"/>
                      <w:w w:val="100"/>
                      <w:position w:val="0"/>
                      <w:sz w:val="21"/>
                      <w:szCs w:val="21"/>
                      <w:lang w:val="zh-TW" w:eastAsia="zh-CN" w:bidi="en-US"/>
                    </w:rPr>
                    <w:t>NH</w:t>
                  </w:r>
                  <w:r>
                    <w:rPr>
                      <w:rFonts w:hint="default" w:ascii="Times New Roman" w:hAnsi="Times New Roman" w:eastAsia="宋体" w:cs="Times New Roman"/>
                      <w:color w:val="000000"/>
                      <w:spacing w:val="0"/>
                      <w:w w:val="100"/>
                      <w:position w:val="0"/>
                      <w:sz w:val="21"/>
                      <w:szCs w:val="21"/>
                      <w:vertAlign w:val="subscript"/>
                      <w:lang w:val="en-US" w:eastAsia="zh-CN" w:bidi="en-US"/>
                    </w:rPr>
                    <w:t>3</w:t>
                  </w:r>
                </w:p>
              </w:tc>
              <w:tc>
                <w:tcPr>
                  <w:tcW w:w="1119" w:type="pct"/>
                  <w:noWrap w:val="0"/>
                  <w:vAlign w:val="center"/>
                </w:tcPr>
                <w:p w14:paraId="7B90D99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mg/m³</w:t>
                  </w:r>
                </w:p>
              </w:tc>
              <w:tc>
                <w:tcPr>
                  <w:tcW w:w="1100" w:type="pct"/>
                  <w:noWrap w:val="0"/>
                  <w:vAlign w:val="center"/>
                </w:tcPr>
                <w:p w14:paraId="7D50FA9C">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1.5</w:t>
                  </w:r>
                </w:p>
              </w:tc>
              <w:tc>
                <w:tcPr>
                  <w:tcW w:w="1600" w:type="pct"/>
                  <w:vMerge w:val="continue"/>
                  <w:noWrap w:val="0"/>
                  <w:vAlign w:val="center"/>
                </w:tcPr>
                <w:p w14:paraId="039FAC9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r>
            <w:tr w14:paraId="2B04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56" w:type="pct"/>
                  <w:noWrap w:val="0"/>
                  <w:vAlign w:val="center"/>
                </w:tcPr>
                <w:p w14:paraId="5A2CD3E9">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3</w:t>
                  </w:r>
                </w:p>
              </w:tc>
              <w:tc>
                <w:tcPr>
                  <w:tcW w:w="723" w:type="pct"/>
                  <w:noWrap w:val="0"/>
                  <w:vAlign w:val="center"/>
                </w:tcPr>
                <w:p w14:paraId="4279B5F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臭气浓度</w:t>
                  </w:r>
                </w:p>
              </w:tc>
              <w:tc>
                <w:tcPr>
                  <w:tcW w:w="1119" w:type="pct"/>
                  <w:noWrap w:val="0"/>
                  <w:vAlign w:val="center"/>
                </w:tcPr>
                <w:p w14:paraId="7B197864">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无量纲</w:t>
                  </w:r>
                </w:p>
              </w:tc>
              <w:tc>
                <w:tcPr>
                  <w:tcW w:w="1100" w:type="pct"/>
                  <w:noWrap w:val="0"/>
                  <w:vAlign w:val="center"/>
                </w:tcPr>
                <w:p w14:paraId="019E0BF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20</w:t>
                  </w:r>
                </w:p>
              </w:tc>
              <w:tc>
                <w:tcPr>
                  <w:tcW w:w="1600" w:type="pct"/>
                  <w:vMerge w:val="continue"/>
                  <w:noWrap w:val="0"/>
                  <w:vAlign w:val="center"/>
                </w:tcPr>
                <w:p w14:paraId="4596E8E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p>
              </w:tc>
            </w:tr>
            <w:tr w14:paraId="2BAA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456" w:type="pct"/>
                  <w:noWrap w:val="0"/>
                  <w:vAlign w:val="center"/>
                </w:tcPr>
                <w:p w14:paraId="4A87786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CN" w:bidi="en-US"/>
                    </w:rPr>
                    <w:t>序号</w:t>
                  </w:r>
                </w:p>
              </w:tc>
              <w:tc>
                <w:tcPr>
                  <w:tcW w:w="723" w:type="pct"/>
                  <w:noWrap w:val="0"/>
                  <w:vAlign w:val="center"/>
                </w:tcPr>
                <w:p w14:paraId="126D13AD">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TW" w:bidi="en-US"/>
                    </w:rPr>
                    <w:t>污染物</w:t>
                  </w:r>
                </w:p>
              </w:tc>
              <w:tc>
                <w:tcPr>
                  <w:tcW w:w="1119" w:type="pct"/>
                  <w:noWrap w:val="0"/>
                  <w:vAlign w:val="center"/>
                </w:tcPr>
                <w:p w14:paraId="6115A382">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排气筒高度（m）</w:t>
                  </w:r>
                </w:p>
              </w:tc>
              <w:tc>
                <w:tcPr>
                  <w:tcW w:w="1100" w:type="pct"/>
                  <w:noWrap w:val="0"/>
                  <w:vAlign w:val="center"/>
                </w:tcPr>
                <w:p w14:paraId="795B44C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排放量（kg/h）</w:t>
                  </w:r>
                </w:p>
              </w:tc>
              <w:tc>
                <w:tcPr>
                  <w:tcW w:w="1600" w:type="pct"/>
                  <w:noWrap w:val="0"/>
                  <w:vAlign w:val="center"/>
                </w:tcPr>
                <w:p w14:paraId="6ADDC80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标准名称及级（类）别</w:t>
                  </w:r>
                </w:p>
              </w:tc>
            </w:tr>
            <w:tr w14:paraId="443A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noWrap w:val="0"/>
                  <w:vAlign w:val="center"/>
                </w:tcPr>
                <w:p w14:paraId="29E8E715">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1</w:t>
                  </w:r>
                </w:p>
              </w:tc>
              <w:tc>
                <w:tcPr>
                  <w:tcW w:w="723" w:type="pct"/>
                  <w:noWrap w:val="0"/>
                  <w:vAlign w:val="center"/>
                </w:tcPr>
                <w:p w14:paraId="2B515B8E">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CN" w:bidi="en-US"/>
                    </w:rPr>
                    <w:t>H</w:t>
                  </w:r>
                  <w:r>
                    <w:rPr>
                      <w:rFonts w:hint="default" w:ascii="Times New Roman" w:hAnsi="Times New Roman" w:eastAsia="宋体" w:cs="Times New Roman"/>
                      <w:color w:val="000000"/>
                      <w:spacing w:val="0"/>
                      <w:w w:val="100"/>
                      <w:position w:val="0"/>
                      <w:sz w:val="21"/>
                      <w:szCs w:val="21"/>
                      <w:vertAlign w:val="subscript"/>
                      <w:lang w:val="zh-TW" w:eastAsia="zh-CN" w:bidi="en-US"/>
                    </w:rPr>
                    <w:t>2</w:t>
                  </w:r>
                  <w:r>
                    <w:rPr>
                      <w:rFonts w:hint="default" w:ascii="Times New Roman" w:hAnsi="Times New Roman" w:eastAsia="宋体" w:cs="Times New Roman"/>
                      <w:color w:val="000000"/>
                      <w:spacing w:val="0"/>
                      <w:w w:val="100"/>
                      <w:position w:val="0"/>
                      <w:sz w:val="21"/>
                      <w:szCs w:val="21"/>
                      <w:lang w:val="zh-TW" w:eastAsia="zh-CN" w:bidi="en-US"/>
                    </w:rPr>
                    <w:t>S</w:t>
                  </w:r>
                </w:p>
              </w:tc>
              <w:tc>
                <w:tcPr>
                  <w:tcW w:w="1119" w:type="pct"/>
                  <w:noWrap w:val="0"/>
                  <w:vAlign w:val="center"/>
                </w:tcPr>
                <w:p w14:paraId="35FE416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15</w:t>
                  </w:r>
                </w:p>
              </w:tc>
              <w:tc>
                <w:tcPr>
                  <w:tcW w:w="1100" w:type="pct"/>
                  <w:noWrap w:val="0"/>
                  <w:vAlign w:val="center"/>
                </w:tcPr>
                <w:p w14:paraId="5C61EB1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0.33</w:t>
                  </w:r>
                </w:p>
              </w:tc>
              <w:tc>
                <w:tcPr>
                  <w:tcW w:w="1600" w:type="pct"/>
                  <w:vMerge w:val="restart"/>
                  <w:noWrap w:val="0"/>
                  <w:vAlign w:val="center"/>
                </w:tcPr>
                <w:p w14:paraId="54587FD6">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《恶臭污染物排放标准》（GB014554-93）有组织排放限值</w:t>
                  </w:r>
                </w:p>
              </w:tc>
            </w:tr>
            <w:tr w14:paraId="62AA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noWrap w:val="0"/>
                  <w:vAlign w:val="center"/>
                </w:tcPr>
                <w:p w14:paraId="0F8BBBD1">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2</w:t>
                  </w:r>
                </w:p>
              </w:tc>
              <w:tc>
                <w:tcPr>
                  <w:tcW w:w="723" w:type="pct"/>
                  <w:noWrap w:val="0"/>
                  <w:vAlign w:val="center"/>
                </w:tcPr>
                <w:p w14:paraId="0F99334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CN" w:bidi="en-US"/>
                    </w:rPr>
                    <w:t>NH</w:t>
                  </w:r>
                  <w:r>
                    <w:rPr>
                      <w:rFonts w:hint="default" w:ascii="Times New Roman" w:hAnsi="Times New Roman" w:eastAsia="宋体" w:cs="Times New Roman"/>
                      <w:color w:val="000000"/>
                      <w:spacing w:val="0"/>
                      <w:w w:val="100"/>
                      <w:position w:val="0"/>
                      <w:sz w:val="21"/>
                      <w:szCs w:val="21"/>
                      <w:vertAlign w:val="subscript"/>
                      <w:lang w:val="en-US" w:eastAsia="zh-CN" w:bidi="en-US"/>
                    </w:rPr>
                    <w:t>3</w:t>
                  </w:r>
                </w:p>
              </w:tc>
              <w:tc>
                <w:tcPr>
                  <w:tcW w:w="1119" w:type="pct"/>
                  <w:noWrap w:val="0"/>
                  <w:vAlign w:val="center"/>
                </w:tcPr>
                <w:p w14:paraId="7CD26E80">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15</w:t>
                  </w:r>
                </w:p>
              </w:tc>
              <w:tc>
                <w:tcPr>
                  <w:tcW w:w="1100" w:type="pct"/>
                  <w:noWrap w:val="0"/>
                  <w:vAlign w:val="center"/>
                </w:tcPr>
                <w:p w14:paraId="271D28B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4.9</w:t>
                  </w:r>
                </w:p>
              </w:tc>
              <w:tc>
                <w:tcPr>
                  <w:tcW w:w="1600" w:type="pct"/>
                  <w:vMerge w:val="continue"/>
                  <w:noWrap w:val="0"/>
                  <w:vAlign w:val="center"/>
                </w:tcPr>
                <w:p w14:paraId="1073E7A5">
                  <w:pPr>
                    <w:pStyle w:val="71"/>
                    <w:bidi w:val="0"/>
                    <w:jc w:val="center"/>
                    <w:rPr>
                      <w:rFonts w:hint="default" w:ascii="Times New Roman" w:hAnsi="Times New Roman" w:cs="Times New Roman"/>
                    </w:rPr>
                  </w:pPr>
                </w:p>
              </w:tc>
            </w:tr>
            <w:tr w14:paraId="052E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56" w:type="pct"/>
                  <w:noWrap w:val="0"/>
                  <w:vAlign w:val="center"/>
                </w:tcPr>
                <w:p w14:paraId="0D5BAF13">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3</w:t>
                  </w:r>
                </w:p>
              </w:tc>
              <w:tc>
                <w:tcPr>
                  <w:tcW w:w="723" w:type="pct"/>
                  <w:noWrap w:val="0"/>
                  <w:vAlign w:val="center"/>
                </w:tcPr>
                <w:p w14:paraId="5EADB90B">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zh-TW" w:eastAsia="zh-CN" w:bidi="en-US"/>
                    </w:rPr>
                    <w:t>臭气浓度</w:t>
                  </w:r>
                </w:p>
              </w:tc>
              <w:tc>
                <w:tcPr>
                  <w:tcW w:w="1119" w:type="pct"/>
                  <w:noWrap w:val="0"/>
                  <w:vAlign w:val="center"/>
                </w:tcPr>
                <w:p w14:paraId="2A594A5F">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en-US" w:eastAsia="zh-CN" w:bidi="en-US"/>
                    </w:rPr>
                  </w:pPr>
                  <w:r>
                    <w:rPr>
                      <w:rFonts w:hint="default" w:ascii="Times New Roman" w:hAnsi="Times New Roman" w:eastAsia="宋体" w:cs="Times New Roman"/>
                      <w:color w:val="000000"/>
                      <w:spacing w:val="0"/>
                      <w:w w:val="100"/>
                      <w:position w:val="0"/>
                      <w:sz w:val="21"/>
                      <w:szCs w:val="21"/>
                      <w:lang w:val="en-US" w:eastAsia="zh-CN" w:bidi="en-US"/>
                    </w:rPr>
                    <w:t>15</w:t>
                  </w:r>
                </w:p>
              </w:tc>
              <w:tc>
                <w:tcPr>
                  <w:tcW w:w="1100" w:type="pct"/>
                  <w:noWrap w:val="0"/>
                  <w:vAlign w:val="center"/>
                </w:tcPr>
                <w:p w14:paraId="6DC396E8">
                  <w:pPr>
                    <w:pStyle w:val="76"/>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color w:val="000000"/>
                      <w:spacing w:val="0"/>
                      <w:w w:val="100"/>
                      <w:position w:val="0"/>
                      <w:sz w:val="21"/>
                      <w:szCs w:val="21"/>
                      <w:lang w:val="zh-TW" w:eastAsia="zh-TW" w:bidi="en-US"/>
                    </w:rPr>
                  </w:pPr>
                  <w:r>
                    <w:rPr>
                      <w:rFonts w:hint="default" w:ascii="Times New Roman" w:hAnsi="Times New Roman" w:eastAsia="宋体" w:cs="Times New Roman"/>
                      <w:color w:val="000000"/>
                      <w:spacing w:val="0"/>
                      <w:w w:val="100"/>
                      <w:position w:val="0"/>
                      <w:sz w:val="21"/>
                      <w:szCs w:val="21"/>
                      <w:lang w:val="zh-TW" w:eastAsia="zh-CN" w:bidi="en-US"/>
                    </w:rPr>
                    <w:t>2000（无量纲）</w:t>
                  </w:r>
                </w:p>
              </w:tc>
              <w:tc>
                <w:tcPr>
                  <w:tcW w:w="1600" w:type="pct"/>
                  <w:vMerge w:val="continue"/>
                  <w:noWrap w:val="0"/>
                  <w:vAlign w:val="center"/>
                </w:tcPr>
                <w:p w14:paraId="3125FC59">
                  <w:pPr>
                    <w:pStyle w:val="71"/>
                    <w:bidi w:val="0"/>
                    <w:jc w:val="center"/>
                    <w:rPr>
                      <w:rFonts w:hint="default" w:ascii="Times New Roman" w:hAnsi="Times New Roman" w:cs="Times New Roman"/>
                    </w:rPr>
                  </w:pPr>
                </w:p>
              </w:tc>
            </w:tr>
          </w:tbl>
          <w:p w14:paraId="1AC88CF4">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二、噪声排放标准</w:t>
            </w:r>
          </w:p>
          <w:p w14:paraId="4A1955E3">
            <w:pPr>
              <w:pStyle w:val="53"/>
              <w:ind w:firstLine="48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施工期施工场界噪声排放执行《建筑施工场界环境噪声排放标准》（GB12523-2011），标准值见下表3-</w:t>
            </w:r>
            <w:r>
              <w:rPr>
                <w:rFonts w:hint="eastAsia" w:ascii="Times New Roman" w:hAnsi="Times New Roman" w:cs="Times New Roman"/>
                <w:color w:val="000000" w:themeColor="text1"/>
                <w:szCs w:val="24"/>
                <w:lang w:val="en-US" w:eastAsia="zh-CN"/>
                <w14:textFill>
                  <w14:solidFill>
                    <w14:schemeClr w14:val="tx1"/>
                  </w14:solidFill>
                </w14:textFill>
              </w:rPr>
              <w:t>19</w:t>
            </w:r>
            <w:r>
              <w:rPr>
                <w:rFonts w:hint="default" w:ascii="Times New Roman" w:hAnsi="Times New Roman" w:cs="Times New Roman"/>
                <w:color w:val="000000" w:themeColor="text1"/>
                <w:szCs w:val="24"/>
                <w14:textFill>
                  <w14:solidFill>
                    <w14:schemeClr w14:val="tx1"/>
                  </w14:solidFill>
                </w14:textFill>
              </w:rPr>
              <w:t>。</w:t>
            </w:r>
          </w:p>
          <w:p w14:paraId="5DFBD746">
            <w:pPr>
              <w:autoSpaceDE w:val="0"/>
              <w:autoSpaceDN w:val="0"/>
              <w:adjustRightInd w:val="0"/>
              <w:spacing w:line="360" w:lineRule="auto"/>
              <w:jc w:val="center"/>
              <w:rPr>
                <w:rFonts w:hint="default" w:ascii="Times New Roman" w:hAnsi="Times New Roman" w:eastAsia="宋体" w:cs="Times New Roman"/>
                <w:b/>
                <w:color w:val="000000" w:themeColor="text1"/>
                <w:kern w:val="0"/>
                <w:szCs w:val="21"/>
                <w:lang w:bidi="ar"/>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表3-</w:t>
            </w:r>
            <w:r>
              <w:rPr>
                <w:rFonts w:hint="eastAsia" w:ascii="Times New Roman" w:hAnsi="Times New Roman" w:eastAsia="宋体" w:cs="Times New Roman"/>
                <w:b/>
                <w:color w:val="000000" w:themeColor="text1"/>
                <w:kern w:val="0"/>
                <w:szCs w:val="21"/>
                <w:lang w:val="en-US" w:eastAsia="zh-CN" w:bidi="ar"/>
                <w14:textFill>
                  <w14:solidFill>
                    <w14:schemeClr w14:val="tx1"/>
                  </w14:solidFill>
                </w14:textFill>
              </w:rPr>
              <w:t>19</w:t>
            </w:r>
            <w:r>
              <w:rPr>
                <w:rFonts w:hint="default" w:ascii="Times New Roman" w:hAnsi="Times New Roman" w:eastAsia="宋体" w:cs="Times New Roman"/>
                <w:b/>
                <w:color w:val="000000" w:themeColor="text1"/>
                <w:kern w:val="0"/>
                <w:szCs w:val="21"/>
                <w:lang w:bidi="ar"/>
                <w14:textFill>
                  <w14:solidFill>
                    <w14:schemeClr w14:val="tx1"/>
                  </w14:solidFill>
                </w14:textFill>
              </w:rPr>
              <w:t xml:space="preserve">   建筑施工场界环境噪声排放限值   单位：dB（A）</w:t>
            </w:r>
          </w:p>
          <w:tbl>
            <w:tblPr>
              <w:tblStyle w:val="27"/>
              <w:tblW w:w="7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5"/>
              <w:gridCol w:w="3814"/>
            </w:tblGrid>
            <w:tr w14:paraId="5480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105" w:type="dxa"/>
                  <w:vAlign w:val="center"/>
                </w:tcPr>
                <w:p w14:paraId="1284D883">
                  <w:pPr>
                    <w:pStyle w:val="53"/>
                    <w:spacing w:line="240" w:lineRule="auto"/>
                    <w:ind w:firstLine="4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3814" w:type="dxa"/>
                  <w:vAlign w:val="center"/>
                </w:tcPr>
                <w:p w14:paraId="6A9120CD">
                  <w:pPr>
                    <w:pStyle w:val="53"/>
                    <w:spacing w:line="240" w:lineRule="auto"/>
                    <w:ind w:firstLine="4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夜间</w:t>
                  </w:r>
                </w:p>
              </w:tc>
            </w:tr>
            <w:tr w14:paraId="09A2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105" w:type="dxa"/>
                  <w:vAlign w:val="center"/>
                </w:tcPr>
                <w:p w14:paraId="7CB34455">
                  <w:pPr>
                    <w:pStyle w:val="53"/>
                    <w:spacing w:line="240" w:lineRule="auto"/>
                    <w:ind w:firstLine="4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3814" w:type="dxa"/>
                  <w:vAlign w:val="center"/>
                </w:tcPr>
                <w:p w14:paraId="40BFFE76">
                  <w:pPr>
                    <w:pStyle w:val="53"/>
                    <w:spacing w:line="240" w:lineRule="auto"/>
                    <w:ind w:firstLine="4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w:t>
                  </w:r>
                </w:p>
              </w:tc>
            </w:tr>
          </w:tbl>
          <w:p w14:paraId="47D16E06">
            <w:pPr>
              <w:pStyle w:val="53"/>
              <w:ind w:firstLine="480"/>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项目运营期噪声执行《工业企业厂界环境噪声排放标准》（GB12348－2008）</w:t>
            </w:r>
            <w:r>
              <w:rPr>
                <w:rFonts w:hint="default" w:ascii="Times New Roman" w:hAnsi="Times New Roman" w:cs="Times New Roman"/>
                <w:color w:val="000000" w:themeColor="text1"/>
                <w:szCs w:val="22"/>
                <w:lang w:val="en-US" w:eastAsia="zh-CN"/>
                <w14:textFill>
                  <w14:solidFill>
                    <w14:schemeClr w14:val="tx1"/>
                  </w14:solidFill>
                </w14:textFill>
              </w:rPr>
              <w:t>3</w:t>
            </w:r>
            <w:r>
              <w:rPr>
                <w:rFonts w:hint="default" w:ascii="Times New Roman" w:hAnsi="Times New Roman" w:cs="Times New Roman"/>
                <w:color w:val="000000" w:themeColor="text1"/>
                <w:szCs w:val="22"/>
                <w14:textFill>
                  <w14:solidFill>
                    <w14:schemeClr w14:val="tx1"/>
                  </w14:solidFill>
                </w14:textFill>
              </w:rPr>
              <w:t>类标准</w:t>
            </w:r>
            <w:r>
              <w:rPr>
                <w:rFonts w:hint="default" w:ascii="Times New Roman" w:hAnsi="Times New Roman" w:cs="Times New Roman"/>
                <w:color w:val="000000" w:themeColor="text1"/>
                <w14:textFill>
                  <w14:solidFill>
                    <w14:schemeClr w14:val="tx1"/>
                  </w14:solidFill>
                </w14:textFill>
              </w:rPr>
              <w:t>，具体标准值见表3-</w:t>
            </w:r>
            <w:r>
              <w:rPr>
                <w:rFonts w:hint="default"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p>
          <w:p w14:paraId="17C7B652">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表3-</w:t>
            </w:r>
            <w:r>
              <w:rPr>
                <w:rFonts w:hint="default" w:ascii="Times New Roman" w:hAnsi="Times New Roman" w:cs="Times New Roman"/>
                <w:b/>
                <w:color w:val="000000" w:themeColor="text1"/>
                <w:szCs w:val="21"/>
                <w:lang w:val="en-US" w:eastAsia="zh-CN"/>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0</w:t>
            </w:r>
            <w:r>
              <w:rPr>
                <w:rFonts w:hint="default" w:ascii="Times New Roman" w:hAnsi="Times New Roman" w:cs="Times New Roman"/>
                <w:b/>
                <w:color w:val="000000" w:themeColor="text1"/>
                <w:szCs w:val="21"/>
                <w14:textFill>
                  <w14:solidFill>
                    <w14:schemeClr w14:val="tx1"/>
                  </w14:solidFill>
                </w14:textFill>
              </w:rPr>
              <w:t xml:space="preserve">  工业企业厂界环境噪声排放标准     单位： dB(A)</w:t>
            </w:r>
          </w:p>
          <w:tbl>
            <w:tblPr>
              <w:tblStyle w:val="27"/>
              <w:tblW w:w="85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9"/>
              <w:gridCol w:w="2791"/>
              <w:gridCol w:w="1823"/>
              <w:gridCol w:w="1826"/>
            </w:tblGrid>
            <w:tr w14:paraId="4C4C7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2" w:hRule="atLeast"/>
                <w:jc w:val="center"/>
              </w:trPr>
              <w:tc>
                <w:tcPr>
                  <w:tcW w:w="2139" w:type="dxa"/>
                  <w:vMerge w:val="restart"/>
                  <w:vAlign w:val="center"/>
                </w:tcPr>
                <w:p w14:paraId="23BCD63A">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声环境功能区类别</w:t>
                  </w:r>
                </w:p>
              </w:tc>
              <w:tc>
                <w:tcPr>
                  <w:tcW w:w="2791" w:type="dxa"/>
                  <w:vMerge w:val="restart"/>
                  <w:vAlign w:val="center"/>
                </w:tcPr>
                <w:p w14:paraId="7AE18EDD">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执行区域</w:t>
                  </w:r>
                </w:p>
              </w:tc>
              <w:tc>
                <w:tcPr>
                  <w:tcW w:w="3649" w:type="dxa"/>
                  <w:gridSpan w:val="2"/>
                  <w:vAlign w:val="center"/>
                </w:tcPr>
                <w:p w14:paraId="12949036">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环境噪声限制，dB(A)</w:t>
                  </w:r>
                </w:p>
              </w:tc>
            </w:tr>
            <w:tr w14:paraId="4344E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2139" w:type="dxa"/>
                  <w:vMerge w:val="continue"/>
                  <w:vAlign w:val="center"/>
                </w:tcPr>
                <w:p w14:paraId="0F678D50">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p>
              </w:tc>
              <w:tc>
                <w:tcPr>
                  <w:tcW w:w="2791" w:type="dxa"/>
                  <w:vMerge w:val="continue"/>
                  <w:vAlign w:val="center"/>
                </w:tcPr>
                <w:p w14:paraId="2EE21C1F">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p>
              </w:tc>
              <w:tc>
                <w:tcPr>
                  <w:tcW w:w="1823" w:type="dxa"/>
                  <w:vAlign w:val="center"/>
                </w:tcPr>
                <w:p w14:paraId="3ADBEE5B">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昼间</w:t>
                  </w:r>
                </w:p>
              </w:tc>
              <w:tc>
                <w:tcPr>
                  <w:tcW w:w="1826" w:type="dxa"/>
                  <w:vAlign w:val="center"/>
                </w:tcPr>
                <w:p w14:paraId="31763552">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夜间</w:t>
                  </w:r>
                </w:p>
              </w:tc>
            </w:tr>
            <w:tr w14:paraId="2A462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jc w:val="center"/>
              </w:trPr>
              <w:tc>
                <w:tcPr>
                  <w:tcW w:w="2139" w:type="dxa"/>
                  <w:vAlign w:val="center"/>
                </w:tcPr>
                <w:p w14:paraId="25DD612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类</w:t>
                  </w:r>
                </w:p>
              </w:tc>
              <w:tc>
                <w:tcPr>
                  <w:tcW w:w="2791" w:type="dxa"/>
                  <w:vAlign w:val="center"/>
                </w:tcPr>
                <w:p w14:paraId="1F98D28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其余区域</w:t>
                  </w:r>
                </w:p>
              </w:tc>
              <w:tc>
                <w:tcPr>
                  <w:tcW w:w="1823" w:type="dxa"/>
                  <w:vAlign w:val="center"/>
                </w:tcPr>
                <w:p w14:paraId="11626AD8">
                  <w:pPr>
                    <w:spacing w:line="240" w:lineRule="auto"/>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 w:val="21"/>
                      <w:szCs w:val="21"/>
                    </w:rPr>
                    <w:t>60</w:t>
                  </w:r>
                </w:p>
              </w:tc>
              <w:tc>
                <w:tcPr>
                  <w:tcW w:w="1826" w:type="dxa"/>
                  <w:vAlign w:val="center"/>
                </w:tcPr>
                <w:p w14:paraId="0606384E">
                  <w:pPr>
                    <w:spacing w:line="240" w:lineRule="auto"/>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sz w:val="21"/>
                      <w:szCs w:val="21"/>
                    </w:rPr>
                    <w:t>50</w:t>
                  </w:r>
                </w:p>
              </w:tc>
            </w:tr>
          </w:tbl>
          <w:p w14:paraId="1B2F6F49">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三、废水排放标准</w:t>
            </w:r>
          </w:p>
          <w:p w14:paraId="5EAC7694">
            <w:pPr>
              <w:pStyle w:val="53"/>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本项目施工期不设施工营地，主要依托周边农户，施工生产废水及地面初期雨水经临时沉淀池沉淀处理后用于项目区洒水降尘，不外排。</w:t>
            </w:r>
          </w:p>
          <w:p w14:paraId="49CCE0FA">
            <w:pPr>
              <w:pStyle w:val="53"/>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运营期实行雨污分流体制，雨水通过雨水管道排入外环境；</w:t>
            </w:r>
            <w:r>
              <w:rPr>
                <w:rFonts w:hint="default" w:ascii="Times New Roman" w:hAnsi="Times New Roman" w:cs="Times New Roman"/>
                <w:color w:val="000000" w:themeColor="text1"/>
                <w:szCs w:val="24"/>
                <w:lang w:val="en-US" w:eastAsia="zh-CN"/>
                <w14:textFill>
                  <w14:solidFill>
                    <w14:schemeClr w14:val="tx1"/>
                  </w14:solidFill>
                </w14:textFill>
              </w:rPr>
              <w:t>由于本垃圾填埋场自动化程度不高，没有冲洗装置。场内设置有两人值守，</w:t>
            </w:r>
            <w:r>
              <w:rPr>
                <w:rFonts w:hint="eastAsia" w:ascii="Times New Roman" w:hAnsi="Times New Roman" w:cs="Times New Roman"/>
                <w:color w:val="000000" w:themeColor="text1"/>
                <w:szCs w:val="24"/>
                <w:lang w:val="en-US" w:eastAsia="zh-CN"/>
                <w14:textFill>
                  <w14:solidFill>
                    <w14:schemeClr w14:val="tx1"/>
                  </w14:solidFill>
                </w14:textFill>
              </w:rPr>
              <w:t>不</w:t>
            </w:r>
            <w:r>
              <w:rPr>
                <w:rFonts w:hint="default" w:ascii="Times New Roman" w:hAnsi="Times New Roman" w:cs="Times New Roman"/>
                <w:color w:val="000000" w:themeColor="text1"/>
                <w:szCs w:val="24"/>
                <w:lang w:val="en-US" w:eastAsia="zh-CN"/>
                <w14:textFill>
                  <w14:solidFill>
                    <w14:schemeClr w14:val="tx1"/>
                  </w14:solidFill>
                </w14:textFill>
              </w:rPr>
              <w:t>在场内食宿</w:t>
            </w:r>
            <w:r>
              <w:rPr>
                <w:rFonts w:hint="eastAsia"/>
                <w:lang w:eastAsia="zh-CN"/>
              </w:rPr>
              <w:t>，</w:t>
            </w:r>
            <w:r>
              <w:rPr>
                <w:rFonts w:hint="eastAsia"/>
                <w:lang w:val="en-US" w:eastAsia="zh-CN"/>
              </w:rPr>
              <w:t>产生的办公废水</w:t>
            </w:r>
            <w:r>
              <w:rPr>
                <w:rFonts w:hint="default" w:ascii="Times New Roman" w:hAnsi="Times New Roman" w:cs="Times New Roman"/>
                <w:color w:val="000000" w:themeColor="text1"/>
                <w:szCs w:val="24"/>
                <w:lang w:val="en-US" w:eastAsia="zh-CN"/>
                <w14:textFill>
                  <w14:solidFill>
                    <w14:schemeClr w14:val="tx1"/>
                  </w14:solidFill>
                </w14:textFill>
              </w:rPr>
              <w:t>经化粪池预处理后，进入市政污水管网，最终进入污水处理厂处理。渗滤液</w:t>
            </w:r>
            <w:r>
              <w:rPr>
                <w:rFonts w:hint="default" w:ascii="Times New Roman" w:hAnsi="Times New Roman" w:cs="Times New Roman"/>
                <w:color w:val="000000" w:themeColor="text1"/>
                <w:szCs w:val="24"/>
                <w:lang w:eastAsia="zh-CN"/>
                <w14:textFill>
                  <w14:solidFill>
                    <w14:schemeClr w14:val="tx1"/>
                  </w14:solidFill>
                </w14:textFill>
              </w:rPr>
              <w:t>废水执行</w:t>
            </w:r>
            <w:r>
              <w:rPr>
                <w:rFonts w:hint="default" w:ascii="Times New Roman" w:hAnsi="Times New Roman" w:cs="Times New Roman"/>
                <w:color w:val="000000" w:themeColor="text1"/>
                <w:szCs w:val="24"/>
                <w14:textFill>
                  <w14:solidFill>
                    <w14:schemeClr w14:val="tx1"/>
                  </w14:solidFill>
                </w14:textFill>
              </w:rPr>
              <w:t>《生活垃圾填埋场污染控制标准》（GB16889-2008）表2标准排放。</w:t>
            </w:r>
            <w:r>
              <w:rPr>
                <w:rFonts w:hint="default" w:ascii="Times New Roman" w:hAnsi="Times New Roman" w:cs="Times New Roman"/>
                <w:color w:val="000000" w:themeColor="text1"/>
                <w:szCs w:val="24"/>
                <w:lang w:val="en-US" w:eastAsia="zh-CN"/>
                <w14:textFill>
                  <w14:solidFill>
                    <w14:schemeClr w14:val="tx1"/>
                  </w14:solidFill>
                </w14:textFill>
              </w:rPr>
              <w:t>具体标准限值见表3-2</w:t>
            </w:r>
            <w:r>
              <w:rPr>
                <w:rFonts w:hint="eastAsia" w:ascii="Times New Roman" w:hAnsi="Times New Roman" w:cs="Times New Roman"/>
                <w:color w:val="000000" w:themeColor="text1"/>
                <w:szCs w:val="24"/>
                <w:lang w:val="en-US" w:eastAsia="zh-CN"/>
                <w14:textFill>
                  <w14:solidFill>
                    <w14:schemeClr w14:val="tx1"/>
                  </w14:solidFill>
                </w14:textFill>
              </w:rPr>
              <w:t>1</w:t>
            </w:r>
            <w:r>
              <w:rPr>
                <w:rFonts w:hint="default" w:ascii="Times New Roman" w:hAnsi="Times New Roman" w:cs="Times New Roman"/>
                <w:color w:val="000000" w:themeColor="text1"/>
                <w:szCs w:val="24"/>
                <w14:textFill>
                  <w14:solidFill>
                    <w14:schemeClr w14:val="tx1"/>
                  </w14:solidFill>
                </w14:textFill>
              </w:rPr>
              <w:t xml:space="preserve">。 </w:t>
            </w:r>
          </w:p>
          <w:p w14:paraId="5AF07724">
            <w:pPr>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表3-2</w:t>
            </w:r>
            <w:r>
              <w:rPr>
                <w:rFonts w:hint="eastAsia" w:ascii="Times New Roman" w:hAnsi="Times New Roman" w:cs="Times New Roman"/>
                <w:b/>
                <w:color w:val="000000" w:themeColor="text1"/>
                <w:szCs w:val="21"/>
                <w:lang w:val="en-US" w:eastAsia="zh-CN"/>
                <w14:textFill>
                  <w14:solidFill>
                    <w14:schemeClr w14:val="tx1"/>
                  </w14:solidFill>
                </w14:textFill>
              </w:rPr>
              <w:t>1</w:t>
            </w:r>
            <w:r>
              <w:rPr>
                <w:rFonts w:hint="default" w:ascii="Times New Roman" w:hAnsi="Times New Roman" w:cs="Times New Roman"/>
                <w:b/>
                <w:color w:val="000000" w:themeColor="text1"/>
                <w:szCs w:val="21"/>
                <w:lang w:val="en-US" w:eastAsia="zh-CN"/>
                <w14:textFill>
                  <w14:solidFill>
                    <w14:schemeClr w14:val="tx1"/>
                  </w14:solidFill>
                </w14:textFill>
              </w:rPr>
              <w:t xml:space="preserve">  污水排入城市下水道水质标准</w:t>
            </w:r>
          </w:p>
          <w:tbl>
            <w:tblPr>
              <w:tblStyle w:val="80"/>
              <w:tblW w:w="4998" w:type="pct"/>
              <w:tblInd w:w="5"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1032"/>
              <w:gridCol w:w="3728"/>
              <w:gridCol w:w="1676"/>
              <w:gridCol w:w="2873"/>
            </w:tblGrid>
            <w:tr w14:paraId="49E5A5A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48E8056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序号</w:t>
                  </w:r>
                </w:p>
              </w:tc>
              <w:tc>
                <w:tcPr>
                  <w:tcW w:w="2002" w:type="pct"/>
                  <w:tcBorders>
                    <w:tl2br w:val="nil"/>
                    <w:tr2bl w:val="nil"/>
                  </w:tcBorders>
                  <w:noWrap w:val="0"/>
                  <w:vAlign w:val="center"/>
                </w:tcPr>
                <w:p w14:paraId="3C671772">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控制项目名称</w:t>
                  </w:r>
                </w:p>
              </w:tc>
              <w:tc>
                <w:tcPr>
                  <w:tcW w:w="900" w:type="pct"/>
                  <w:tcBorders>
                    <w:tl2br w:val="nil"/>
                    <w:tr2bl w:val="nil"/>
                  </w:tcBorders>
                  <w:noWrap w:val="0"/>
                  <w:vAlign w:val="center"/>
                </w:tcPr>
                <w:p w14:paraId="36D8574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排放浓度限值</w:t>
                  </w:r>
                </w:p>
              </w:tc>
              <w:tc>
                <w:tcPr>
                  <w:tcW w:w="1543" w:type="pct"/>
                  <w:tcBorders>
                    <w:tl2br w:val="nil"/>
                    <w:tr2bl w:val="nil"/>
                  </w:tcBorders>
                  <w:noWrap w:val="0"/>
                  <w:vAlign w:val="center"/>
                </w:tcPr>
                <w:p w14:paraId="6A6F0CCB">
                  <w:pPr>
                    <w:pStyle w:val="71"/>
                    <w:bidi w:val="0"/>
                    <w:jc w:val="center"/>
                    <w:rPr>
                      <w:rFonts w:hint="default" w:ascii="Times New Roman" w:hAnsi="Times New Roman" w:cs="Times New Roman"/>
                    </w:rPr>
                  </w:pPr>
                  <w:r>
                    <w:rPr>
                      <w:rFonts w:hint="default" w:ascii="Times New Roman" w:hAnsi="Times New Roman" w:cs="Times New Roman"/>
                    </w:rPr>
                    <w:t>污染物排放监控位置</w:t>
                  </w:r>
                </w:p>
              </w:tc>
            </w:tr>
            <w:tr w14:paraId="75A7E89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36FBE87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2002" w:type="pct"/>
                  <w:tcBorders>
                    <w:tl2br w:val="nil"/>
                    <w:tr2bl w:val="nil"/>
                  </w:tcBorders>
                  <w:noWrap w:val="0"/>
                  <w:vAlign w:val="center"/>
                </w:tcPr>
                <w:p w14:paraId="35871E4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色度（稀释倍数）</w:t>
                  </w:r>
                </w:p>
              </w:tc>
              <w:tc>
                <w:tcPr>
                  <w:tcW w:w="900" w:type="pct"/>
                  <w:tcBorders>
                    <w:tl2br w:val="nil"/>
                    <w:tr2bl w:val="nil"/>
                  </w:tcBorders>
                  <w:noWrap w:val="0"/>
                  <w:vAlign w:val="center"/>
                </w:tcPr>
                <w:p w14:paraId="4DE01A3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c>
                <w:tcPr>
                  <w:tcW w:w="1543" w:type="pct"/>
                  <w:vMerge w:val="restart"/>
                  <w:tcBorders>
                    <w:tl2br w:val="nil"/>
                    <w:tr2bl w:val="nil"/>
                  </w:tcBorders>
                  <w:noWrap w:val="0"/>
                  <w:vAlign w:val="center"/>
                </w:tcPr>
                <w:p w14:paraId="3102178A">
                  <w:pPr>
                    <w:pStyle w:val="71"/>
                    <w:bidi w:val="0"/>
                    <w:jc w:val="center"/>
                    <w:rPr>
                      <w:rFonts w:hint="default" w:ascii="Times New Roman" w:hAnsi="Times New Roman" w:cs="Times New Roman"/>
                    </w:rPr>
                  </w:pPr>
                  <w:r>
                    <w:rPr>
                      <w:rFonts w:hint="default" w:ascii="Times New Roman" w:hAnsi="Times New Roman" w:cs="Times New Roman"/>
                    </w:rPr>
                    <w:t>常规污水处理设施排放口</w:t>
                  </w:r>
                </w:p>
              </w:tc>
            </w:tr>
            <w:tr w14:paraId="52E0706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45C5F6F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002" w:type="pct"/>
                  <w:tcBorders>
                    <w:tl2br w:val="nil"/>
                    <w:tr2bl w:val="nil"/>
                  </w:tcBorders>
                  <w:noWrap w:val="0"/>
                  <w:vAlign w:val="center"/>
                </w:tcPr>
                <w:p w14:paraId="0C65E88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化学需氧量（CODCr ）/（mg/L）</w:t>
                  </w:r>
                </w:p>
              </w:tc>
              <w:tc>
                <w:tcPr>
                  <w:tcW w:w="900" w:type="pct"/>
                  <w:tcBorders>
                    <w:tl2br w:val="nil"/>
                    <w:tr2bl w:val="nil"/>
                  </w:tcBorders>
                  <w:noWrap w:val="0"/>
                  <w:vAlign w:val="center"/>
                </w:tcPr>
                <w:p w14:paraId="4A38F63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w:t>
                  </w:r>
                </w:p>
              </w:tc>
              <w:tc>
                <w:tcPr>
                  <w:tcW w:w="1543" w:type="pct"/>
                  <w:vMerge w:val="continue"/>
                  <w:tcBorders>
                    <w:tl2br w:val="nil"/>
                    <w:tr2bl w:val="nil"/>
                  </w:tcBorders>
                  <w:noWrap w:val="0"/>
                  <w:vAlign w:val="center"/>
                </w:tcPr>
                <w:p w14:paraId="60F35D8C">
                  <w:pPr>
                    <w:pStyle w:val="71"/>
                    <w:bidi w:val="0"/>
                    <w:jc w:val="center"/>
                    <w:rPr>
                      <w:rFonts w:hint="default" w:ascii="Times New Roman" w:hAnsi="Times New Roman" w:cs="Times New Roman"/>
                    </w:rPr>
                  </w:pPr>
                </w:p>
              </w:tc>
            </w:tr>
            <w:tr w14:paraId="3576816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554" w:type="pct"/>
                  <w:tcBorders>
                    <w:tl2br w:val="nil"/>
                    <w:tr2bl w:val="nil"/>
                  </w:tcBorders>
                  <w:noWrap w:val="0"/>
                  <w:vAlign w:val="center"/>
                </w:tcPr>
                <w:p w14:paraId="32462D9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2002" w:type="pct"/>
                  <w:tcBorders>
                    <w:tl2br w:val="nil"/>
                    <w:tr2bl w:val="nil"/>
                  </w:tcBorders>
                  <w:noWrap w:val="0"/>
                  <w:vAlign w:val="center"/>
                </w:tcPr>
                <w:p w14:paraId="5905D35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五日生化需氧量（BOD5 ）/（mg/L）</w:t>
                  </w:r>
                </w:p>
              </w:tc>
              <w:tc>
                <w:tcPr>
                  <w:tcW w:w="900" w:type="pct"/>
                  <w:tcBorders>
                    <w:tl2br w:val="nil"/>
                    <w:tr2bl w:val="nil"/>
                  </w:tcBorders>
                  <w:noWrap w:val="0"/>
                  <w:vAlign w:val="center"/>
                </w:tcPr>
                <w:p w14:paraId="39B8A73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543" w:type="pct"/>
                  <w:vMerge w:val="continue"/>
                  <w:tcBorders>
                    <w:tl2br w:val="nil"/>
                    <w:tr2bl w:val="nil"/>
                  </w:tcBorders>
                  <w:noWrap w:val="0"/>
                  <w:vAlign w:val="center"/>
                </w:tcPr>
                <w:p w14:paraId="6CF18B04">
                  <w:pPr>
                    <w:pStyle w:val="71"/>
                    <w:bidi w:val="0"/>
                    <w:jc w:val="center"/>
                    <w:rPr>
                      <w:rFonts w:hint="default" w:ascii="Times New Roman" w:hAnsi="Times New Roman" w:cs="Times New Roman"/>
                    </w:rPr>
                  </w:pPr>
                </w:p>
              </w:tc>
            </w:tr>
            <w:tr w14:paraId="3E46336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4A9BDBB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2002" w:type="pct"/>
                  <w:tcBorders>
                    <w:tl2br w:val="nil"/>
                    <w:tr2bl w:val="nil"/>
                  </w:tcBorders>
                  <w:noWrap w:val="0"/>
                  <w:vAlign w:val="center"/>
                </w:tcPr>
                <w:p w14:paraId="2199B60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悬浮物（SS）/（mg/L）</w:t>
                  </w:r>
                </w:p>
              </w:tc>
              <w:tc>
                <w:tcPr>
                  <w:tcW w:w="900" w:type="pct"/>
                  <w:tcBorders>
                    <w:tl2br w:val="nil"/>
                    <w:tr2bl w:val="nil"/>
                  </w:tcBorders>
                  <w:noWrap w:val="0"/>
                  <w:vAlign w:val="center"/>
                </w:tcPr>
                <w:p w14:paraId="20B9423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w:t>
                  </w:r>
                </w:p>
              </w:tc>
              <w:tc>
                <w:tcPr>
                  <w:tcW w:w="1543" w:type="pct"/>
                  <w:vMerge w:val="continue"/>
                  <w:tcBorders>
                    <w:tl2br w:val="nil"/>
                    <w:tr2bl w:val="nil"/>
                  </w:tcBorders>
                  <w:noWrap w:val="0"/>
                  <w:vAlign w:val="center"/>
                </w:tcPr>
                <w:p w14:paraId="4E91E1E4">
                  <w:pPr>
                    <w:pStyle w:val="71"/>
                    <w:bidi w:val="0"/>
                    <w:jc w:val="center"/>
                    <w:rPr>
                      <w:rFonts w:hint="default" w:ascii="Times New Roman" w:hAnsi="Times New Roman" w:cs="Times New Roman"/>
                    </w:rPr>
                  </w:pPr>
                </w:p>
              </w:tc>
            </w:tr>
            <w:tr w14:paraId="14C648B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0FB1089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2002" w:type="pct"/>
                  <w:tcBorders>
                    <w:tl2br w:val="nil"/>
                    <w:tr2bl w:val="nil"/>
                  </w:tcBorders>
                  <w:noWrap w:val="0"/>
                  <w:vAlign w:val="center"/>
                </w:tcPr>
                <w:p w14:paraId="51413FF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总氮（以 N 计） / （mg/L）</w:t>
                  </w:r>
                </w:p>
              </w:tc>
              <w:tc>
                <w:tcPr>
                  <w:tcW w:w="900" w:type="pct"/>
                  <w:tcBorders>
                    <w:tl2br w:val="nil"/>
                    <w:tr2bl w:val="nil"/>
                  </w:tcBorders>
                  <w:noWrap w:val="0"/>
                  <w:vAlign w:val="center"/>
                </w:tcPr>
                <w:p w14:paraId="4CA9798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c>
                <w:tcPr>
                  <w:tcW w:w="1543" w:type="pct"/>
                  <w:vMerge w:val="continue"/>
                  <w:tcBorders>
                    <w:tl2br w:val="nil"/>
                    <w:tr2bl w:val="nil"/>
                  </w:tcBorders>
                  <w:noWrap w:val="0"/>
                  <w:vAlign w:val="center"/>
                </w:tcPr>
                <w:p w14:paraId="48988C52">
                  <w:pPr>
                    <w:pStyle w:val="71"/>
                    <w:bidi w:val="0"/>
                    <w:jc w:val="center"/>
                    <w:rPr>
                      <w:rFonts w:hint="default" w:ascii="Times New Roman" w:hAnsi="Times New Roman" w:cs="Times New Roman"/>
                    </w:rPr>
                  </w:pPr>
                </w:p>
              </w:tc>
            </w:tr>
            <w:tr w14:paraId="1080C66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60603632">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2002" w:type="pct"/>
                  <w:tcBorders>
                    <w:tl2br w:val="nil"/>
                    <w:tr2bl w:val="nil"/>
                  </w:tcBorders>
                  <w:noWrap w:val="0"/>
                  <w:vAlign w:val="center"/>
                </w:tcPr>
                <w:p w14:paraId="7046FA0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氨氮（以 N 计） / （mg/L）</w:t>
                  </w:r>
                </w:p>
              </w:tc>
              <w:tc>
                <w:tcPr>
                  <w:tcW w:w="900" w:type="pct"/>
                  <w:tcBorders>
                    <w:tl2br w:val="nil"/>
                    <w:tr2bl w:val="nil"/>
                  </w:tcBorders>
                  <w:noWrap w:val="0"/>
                  <w:vAlign w:val="center"/>
                </w:tcPr>
                <w:p w14:paraId="4C3F5872">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c>
                <w:tcPr>
                  <w:tcW w:w="1543" w:type="pct"/>
                  <w:vMerge w:val="continue"/>
                  <w:tcBorders>
                    <w:tl2br w:val="nil"/>
                    <w:tr2bl w:val="nil"/>
                  </w:tcBorders>
                  <w:noWrap w:val="0"/>
                  <w:vAlign w:val="center"/>
                </w:tcPr>
                <w:p w14:paraId="404D3FAB">
                  <w:pPr>
                    <w:pStyle w:val="71"/>
                    <w:bidi w:val="0"/>
                    <w:jc w:val="center"/>
                    <w:rPr>
                      <w:rFonts w:hint="default" w:ascii="Times New Roman" w:hAnsi="Times New Roman" w:cs="Times New Roman"/>
                    </w:rPr>
                  </w:pPr>
                </w:p>
              </w:tc>
            </w:tr>
            <w:tr w14:paraId="51BB593A">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565E47DD">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2002" w:type="pct"/>
                  <w:tcBorders>
                    <w:tl2br w:val="nil"/>
                    <w:tr2bl w:val="nil"/>
                  </w:tcBorders>
                  <w:noWrap w:val="0"/>
                  <w:vAlign w:val="center"/>
                </w:tcPr>
                <w:p w14:paraId="60BB4F9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总磷（以 P 计） / （mg/L）</w:t>
                  </w:r>
                </w:p>
              </w:tc>
              <w:tc>
                <w:tcPr>
                  <w:tcW w:w="900" w:type="pct"/>
                  <w:tcBorders>
                    <w:tl2br w:val="nil"/>
                    <w:tr2bl w:val="nil"/>
                  </w:tcBorders>
                  <w:noWrap w:val="0"/>
                  <w:vAlign w:val="center"/>
                </w:tcPr>
                <w:p w14:paraId="1ECE7DE7">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1543" w:type="pct"/>
                  <w:vMerge w:val="continue"/>
                  <w:tcBorders>
                    <w:tl2br w:val="nil"/>
                    <w:tr2bl w:val="nil"/>
                  </w:tcBorders>
                  <w:noWrap w:val="0"/>
                  <w:vAlign w:val="center"/>
                </w:tcPr>
                <w:p w14:paraId="12D3065C">
                  <w:pPr>
                    <w:pStyle w:val="71"/>
                    <w:bidi w:val="0"/>
                    <w:jc w:val="center"/>
                    <w:rPr>
                      <w:rFonts w:hint="default" w:ascii="Times New Roman" w:hAnsi="Times New Roman" w:cs="Times New Roman"/>
                    </w:rPr>
                  </w:pPr>
                </w:p>
              </w:tc>
            </w:tr>
            <w:tr w14:paraId="66F31D05">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64D6F365">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2002" w:type="pct"/>
                  <w:tcBorders>
                    <w:tl2br w:val="nil"/>
                    <w:tr2bl w:val="nil"/>
                  </w:tcBorders>
                  <w:noWrap w:val="0"/>
                  <w:vAlign w:val="center"/>
                </w:tcPr>
                <w:p w14:paraId="3DA7E71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粪大肠菌群/ （个/L）</w:t>
                  </w:r>
                </w:p>
              </w:tc>
              <w:tc>
                <w:tcPr>
                  <w:tcW w:w="900" w:type="pct"/>
                  <w:tcBorders>
                    <w:tl2br w:val="nil"/>
                    <w:tr2bl w:val="nil"/>
                  </w:tcBorders>
                  <w:noWrap w:val="0"/>
                  <w:vAlign w:val="center"/>
                </w:tcPr>
                <w:p w14:paraId="2A223F0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10000</w:t>
                  </w:r>
                </w:p>
              </w:tc>
              <w:tc>
                <w:tcPr>
                  <w:tcW w:w="1543" w:type="pct"/>
                  <w:vMerge w:val="continue"/>
                  <w:tcBorders>
                    <w:tl2br w:val="nil"/>
                    <w:tr2bl w:val="nil"/>
                  </w:tcBorders>
                  <w:noWrap w:val="0"/>
                  <w:vAlign w:val="center"/>
                </w:tcPr>
                <w:p w14:paraId="7888B509">
                  <w:pPr>
                    <w:pStyle w:val="71"/>
                    <w:bidi w:val="0"/>
                    <w:jc w:val="center"/>
                    <w:rPr>
                      <w:rFonts w:hint="default" w:ascii="Times New Roman" w:hAnsi="Times New Roman" w:cs="Times New Roman"/>
                    </w:rPr>
                  </w:pPr>
                </w:p>
              </w:tc>
            </w:tr>
            <w:tr w14:paraId="0D575669">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0C44676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2002" w:type="pct"/>
                  <w:tcBorders>
                    <w:tl2br w:val="nil"/>
                    <w:tr2bl w:val="nil"/>
                  </w:tcBorders>
                  <w:noWrap w:val="0"/>
                  <w:vAlign w:val="center"/>
                </w:tcPr>
                <w:p w14:paraId="08278354">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总汞/（mg/L）</w:t>
                  </w:r>
                </w:p>
              </w:tc>
              <w:tc>
                <w:tcPr>
                  <w:tcW w:w="900" w:type="pct"/>
                  <w:tcBorders>
                    <w:tl2br w:val="nil"/>
                    <w:tr2bl w:val="nil"/>
                  </w:tcBorders>
                  <w:noWrap w:val="0"/>
                  <w:vAlign w:val="center"/>
                </w:tcPr>
                <w:p w14:paraId="59E3D9F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0.001</w:t>
                  </w:r>
                </w:p>
              </w:tc>
              <w:tc>
                <w:tcPr>
                  <w:tcW w:w="1543" w:type="pct"/>
                  <w:vMerge w:val="continue"/>
                  <w:tcBorders>
                    <w:tl2br w:val="nil"/>
                    <w:tr2bl w:val="nil"/>
                  </w:tcBorders>
                  <w:noWrap w:val="0"/>
                  <w:vAlign w:val="center"/>
                </w:tcPr>
                <w:p w14:paraId="61AFB45B">
                  <w:pPr>
                    <w:pStyle w:val="71"/>
                    <w:bidi w:val="0"/>
                    <w:jc w:val="center"/>
                    <w:rPr>
                      <w:rFonts w:hint="default" w:ascii="Times New Roman" w:hAnsi="Times New Roman" w:cs="Times New Roman"/>
                    </w:rPr>
                  </w:pPr>
                </w:p>
              </w:tc>
            </w:tr>
            <w:tr w14:paraId="424C3781">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5344D38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2002" w:type="pct"/>
                  <w:tcBorders>
                    <w:tl2br w:val="nil"/>
                    <w:tr2bl w:val="nil"/>
                  </w:tcBorders>
                  <w:noWrap w:val="0"/>
                  <w:vAlign w:val="center"/>
                </w:tcPr>
                <w:p w14:paraId="7D196BE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总镉/（mg/L）</w:t>
                  </w:r>
                </w:p>
              </w:tc>
              <w:tc>
                <w:tcPr>
                  <w:tcW w:w="900" w:type="pct"/>
                  <w:tcBorders>
                    <w:tl2br w:val="nil"/>
                    <w:tr2bl w:val="nil"/>
                  </w:tcBorders>
                  <w:noWrap w:val="0"/>
                  <w:vAlign w:val="center"/>
                </w:tcPr>
                <w:p w14:paraId="0699F0A8">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w:t>
                  </w:r>
                </w:p>
              </w:tc>
              <w:tc>
                <w:tcPr>
                  <w:tcW w:w="1543" w:type="pct"/>
                  <w:vMerge w:val="continue"/>
                  <w:tcBorders>
                    <w:tl2br w:val="nil"/>
                    <w:tr2bl w:val="nil"/>
                  </w:tcBorders>
                  <w:noWrap w:val="0"/>
                  <w:vAlign w:val="center"/>
                </w:tcPr>
                <w:p w14:paraId="03621758">
                  <w:pPr>
                    <w:pStyle w:val="71"/>
                    <w:bidi w:val="0"/>
                    <w:jc w:val="center"/>
                    <w:rPr>
                      <w:rFonts w:hint="default" w:ascii="Times New Roman" w:hAnsi="Times New Roman" w:cs="Times New Roman"/>
                    </w:rPr>
                  </w:pPr>
                </w:p>
              </w:tc>
            </w:tr>
            <w:tr w14:paraId="433EBE08">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588A34A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p>
              </w:tc>
              <w:tc>
                <w:tcPr>
                  <w:tcW w:w="2002" w:type="pct"/>
                  <w:tcBorders>
                    <w:tl2br w:val="nil"/>
                    <w:tr2bl w:val="nil"/>
                  </w:tcBorders>
                  <w:noWrap w:val="0"/>
                  <w:vAlign w:val="center"/>
                </w:tcPr>
                <w:p w14:paraId="0E4B71FB">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总铬/（mg/L）</w:t>
                  </w:r>
                </w:p>
              </w:tc>
              <w:tc>
                <w:tcPr>
                  <w:tcW w:w="900" w:type="pct"/>
                  <w:tcBorders>
                    <w:tl2br w:val="nil"/>
                    <w:tr2bl w:val="nil"/>
                  </w:tcBorders>
                  <w:noWrap w:val="0"/>
                  <w:vAlign w:val="center"/>
                </w:tcPr>
                <w:p w14:paraId="0A47616A">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p>
              </w:tc>
              <w:tc>
                <w:tcPr>
                  <w:tcW w:w="1543" w:type="pct"/>
                  <w:vMerge w:val="continue"/>
                  <w:tcBorders>
                    <w:tl2br w:val="nil"/>
                    <w:tr2bl w:val="nil"/>
                  </w:tcBorders>
                  <w:noWrap w:val="0"/>
                  <w:vAlign w:val="center"/>
                </w:tcPr>
                <w:p w14:paraId="6E8C60DD">
                  <w:pPr>
                    <w:pStyle w:val="71"/>
                    <w:bidi w:val="0"/>
                    <w:jc w:val="center"/>
                    <w:rPr>
                      <w:rFonts w:hint="default" w:ascii="Times New Roman" w:hAnsi="Times New Roman" w:cs="Times New Roman"/>
                    </w:rPr>
                  </w:pPr>
                </w:p>
              </w:tc>
            </w:tr>
            <w:tr w14:paraId="7076EF27">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570C685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2002" w:type="pct"/>
                  <w:tcBorders>
                    <w:tl2br w:val="nil"/>
                    <w:tr2bl w:val="nil"/>
                  </w:tcBorders>
                  <w:noWrap w:val="0"/>
                  <w:vAlign w:val="center"/>
                </w:tcPr>
                <w:p w14:paraId="54849946">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六价铬/（mg/L）</w:t>
                  </w:r>
                </w:p>
              </w:tc>
              <w:tc>
                <w:tcPr>
                  <w:tcW w:w="900" w:type="pct"/>
                  <w:tcBorders>
                    <w:tl2br w:val="nil"/>
                    <w:tr2bl w:val="nil"/>
                  </w:tcBorders>
                  <w:noWrap w:val="0"/>
                  <w:vAlign w:val="center"/>
                </w:tcPr>
                <w:p w14:paraId="3FDE5141">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0.05</w:t>
                  </w:r>
                </w:p>
              </w:tc>
              <w:tc>
                <w:tcPr>
                  <w:tcW w:w="1543" w:type="pct"/>
                  <w:vMerge w:val="continue"/>
                  <w:tcBorders>
                    <w:tl2br w:val="nil"/>
                    <w:tr2bl w:val="nil"/>
                  </w:tcBorders>
                  <w:noWrap w:val="0"/>
                  <w:vAlign w:val="center"/>
                </w:tcPr>
                <w:p w14:paraId="23AEF439">
                  <w:pPr>
                    <w:pStyle w:val="71"/>
                    <w:bidi w:val="0"/>
                    <w:jc w:val="center"/>
                    <w:rPr>
                      <w:rFonts w:hint="default" w:ascii="Times New Roman" w:hAnsi="Times New Roman" w:cs="Times New Roman"/>
                    </w:rPr>
                  </w:pPr>
                </w:p>
              </w:tc>
            </w:tr>
            <w:tr w14:paraId="4BBB602F">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57148C7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w:t>
                  </w:r>
                </w:p>
              </w:tc>
              <w:tc>
                <w:tcPr>
                  <w:tcW w:w="2002" w:type="pct"/>
                  <w:tcBorders>
                    <w:tl2br w:val="nil"/>
                    <w:tr2bl w:val="nil"/>
                  </w:tcBorders>
                  <w:noWrap w:val="0"/>
                  <w:vAlign w:val="center"/>
                </w:tcPr>
                <w:p w14:paraId="5D206DDE">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总砷/（mg/L）</w:t>
                  </w:r>
                </w:p>
              </w:tc>
              <w:tc>
                <w:tcPr>
                  <w:tcW w:w="900" w:type="pct"/>
                  <w:tcBorders>
                    <w:tl2br w:val="nil"/>
                    <w:tr2bl w:val="nil"/>
                  </w:tcBorders>
                  <w:noWrap w:val="0"/>
                  <w:vAlign w:val="center"/>
                </w:tcPr>
                <w:p w14:paraId="7C5BCBE3">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p>
              </w:tc>
              <w:tc>
                <w:tcPr>
                  <w:tcW w:w="1543" w:type="pct"/>
                  <w:vMerge w:val="continue"/>
                  <w:tcBorders>
                    <w:tl2br w:val="nil"/>
                    <w:tr2bl w:val="nil"/>
                  </w:tcBorders>
                  <w:noWrap w:val="0"/>
                  <w:vAlign w:val="center"/>
                </w:tcPr>
                <w:p w14:paraId="5DE9D38E">
                  <w:pPr>
                    <w:pStyle w:val="71"/>
                    <w:bidi w:val="0"/>
                    <w:jc w:val="center"/>
                    <w:rPr>
                      <w:rFonts w:hint="default" w:ascii="Times New Roman" w:hAnsi="Times New Roman" w:cs="Times New Roman"/>
                    </w:rPr>
                  </w:pPr>
                </w:p>
              </w:tc>
            </w:tr>
            <w:tr w14:paraId="64E1FBAB">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54" w:type="pct"/>
                  <w:tcBorders>
                    <w:tl2br w:val="nil"/>
                    <w:tr2bl w:val="nil"/>
                  </w:tcBorders>
                  <w:noWrap w:val="0"/>
                  <w:vAlign w:val="center"/>
                </w:tcPr>
                <w:p w14:paraId="50225C6F">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w:t>
                  </w:r>
                </w:p>
              </w:tc>
              <w:tc>
                <w:tcPr>
                  <w:tcW w:w="2002" w:type="pct"/>
                  <w:tcBorders>
                    <w:tl2br w:val="nil"/>
                    <w:tr2bl w:val="nil"/>
                  </w:tcBorders>
                  <w:noWrap w:val="0"/>
                  <w:vAlign w:val="center"/>
                </w:tcPr>
                <w:p w14:paraId="0B851DB0">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总铅/（mg/L）</w:t>
                  </w:r>
                </w:p>
              </w:tc>
              <w:tc>
                <w:tcPr>
                  <w:tcW w:w="900" w:type="pct"/>
                  <w:tcBorders>
                    <w:tl2br w:val="nil"/>
                    <w:tr2bl w:val="nil"/>
                  </w:tcBorders>
                  <w:noWrap w:val="0"/>
                  <w:vAlign w:val="center"/>
                </w:tcPr>
                <w:p w14:paraId="6462180C">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0.1</w:t>
                  </w:r>
                </w:p>
              </w:tc>
              <w:tc>
                <w:tcPr>
                  <w:tcW w:w="1543" w:type="pct"/>
                  <w:vMerge w:val="continue"/>
                  <w:tcBorders>
                    <w:tl2br w:val="nil"/>
                    <w:tr2bl w:val="nil"/>
                  </w:tcBorders>
                  <w:noWrap w:val="0"/>
                  <w:vAlign w:val="center"/>
                </w:tcPr>
                <w:p w14:paraId="266CB293">
                  <w:pPr>
                    <w:pStyle w:val="71"/>
                    <w:bidi w:val="0"/>
                    <w:jc w:val="center"/>
                    <w:rPr>
                      <w:rFonts w:hint="default" w:ascii="Times New Roman" w:hAnsi="Times New Roman" w:cs="Times New Roman"/>
                    </w:rPr>
                  </w:pPr>
                </w:p>
              </w:tc>
            </w:tr>
          </w:tbl>
          <w:p w14:paraId="7F3B919D">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四、固体废物处置标准</w:t>
            </w:r>
          </w:p>
          <w:p w14:paraId="3475E339">
            <w:pPr>
              <w:spacing w:line="360" w:lineRule="auto"/>
              <w:ind w:firstLine="480" w:firstLineChars="200"/>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一般工业固废储存及处置执行《一般工业固体废物贮存和填埋污染控制标准》（GB18599-2020）中的相关规定；危险废物储存及处置执行《危险废物贮存污染控制标准》（GB18597-2001）及2013年修改单中的相关规定；生活垃圾执行《生活垃圾填埋污染控制标准》（GB16889-2008）。</w:t>
            </w:r>
          </w:p>
        </w:tc>
      </w:tr>
      <w:tr w14:paraId="5732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246" w:type="pct"/>
          </w:tcPr>
          <w:p w14:paraId="0CD2156B">
            <w:pPr>
              <w:spacing w:line="360" w:lineRule="auto"/>
              <w:rPr>
                <w:rFonts w:hint="default" w:ascii="Times New Roman" w:hAnsi="Times New Roman" w:eastAsia="宋体" w:cs="Times New Roman"/>
                <w:color w:val="000000" w:themeColor="text1"/>
                <w:kern w:val="0"/>
                <w:sz w:val="22"/>
                <w:szCs w:val="22"/>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总量控制指标</w:t>
            </w:r>
          </w:p>
        </w:tc>
        <w:tc>
          <w:tcPr>
            <w:tcW w:w="4753" w:type="pct"/>
          </w:tcPr>
          <w:p w14:paraId="1DFA2C85">
            <w:pPr>
              <w:pStyle w:val="68"/>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根据项目的具体情况，结合国家污染物排放总量控制原则，列出项目需执行的总量控制指标：污染物总量控制指标如下（单位：t/a）：</w:t>
            </w:r>
          </w:p>
          <w:p w14:paraId="57954BB4">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1、废水</w:t>
            </w:r>
          </w:p>
          <w:p w14:paraId="1FB6F688">
            <w:pPr>
              <w:widowControl/>
              <w:spacing w:line="360" w:lineRule="auto"/>
              <w:ind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val="en-US" w:bidi="ar"/>
                <w14:textFill>
                  <w14:solidFill>
                    <w14:schemeClr w14:val="tx1"/>
                  </w14:solidFill>
                </w14:textFill>
              </w:rPr>
              <w:t>本项目废水污染物排放总量控制因子为COD和氨氮，COD排放量</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：2.73</w:t>
            </w:r>
            <w:r>
              <w:rPr>
                <w:rFonts w:hint="default" w:ascii="Times New Roman" w:hAnsi="Times New Roman" w:eastAsia="宋体" w:cs="Times New Roman"/>
                <w:color w:val="000000" w:themeColor="text1"/>
                <w:kern w:val="0"/>
                <w:sz w:val="24"/>
                <w:lang w:val="en-US" w:bidi="ar"/>
                <w14:textFill>
                  <w14:solidFill>
                    <w14:schemeClr w14:val="tx1"/>
                  </w14:solidFill>
                </w14:textFill>
              </w:rPr>
              <w:t>t/a</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val="en-US" w:bidi="ar"/>
                <w14:textFill>
                  <w14:solidFill>
                    <w14:schemeClr w14:val="tx1"/>
                  </w14:solidFill>
                </w14:textFill>
              </w:rPr>
              <w:t>氨氮排放量</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：0.63</w:t>
            </w:r>
            <w:r>
              <w:rPr>
                <w:rFonts w:hint="default" w:ascii="Times New Roman" w:hAnsi="Times New Roman" w:eastAsia="宋体" w:cs="Times New Roman"/>
                <w:color w:val="000000" w:themeColor="text1"/>
                <w:kern w:val="0"/>
                <w:sz w:val="24"/>
                <w:lang w:val="en-US" w:bidi="ar"/>
                <w14:textFill>
                  <w14:solidFill>
                    <w14:schemeClr w14:val="tx1"/>
                  </w14:solidFill>
                </w14:textFill>
              </w:rPr>
              <w:t>t/a。</w:t>
            </w:r>
          </w:p>
          <w:p w14:paraId="66BD288D">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2、废气</w:t>
            </w:r>
          </w:p>
          <w:p w14:paraId="49D8D7E6">
            <w:pPr>
              <w:widowControl/>
              <w:spacing w:line="360" w:lineRule="auto"/>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渗滤液处理站在运行期废气污染源主要为进水部分和污泥处理部分产生的恶臭气体，不涉及为颗粒物、SO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和NOx，因此不设置污染物总量控制指标。</w:t>
            </w:r>
          </w:p>
          <w:p w14:paraId="2BDCDDD7">
            <w:pPr>
              <w:pStyle w:val="34"/>
              <w:numPr>
                <w:ilvl w:val="0"/>
                <w:numId w:val="6"/>
              </w:numPr>
              <w:ind w:firstLine="482"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固废：</w:t>
            </w:r>
            <w:r>
              <w:rPr>
                <w:rFonts w:hint="default" w:ascii="Times New Roman" w:hAnsi="Times New Roman" w:cs="Times New Roman"/>
                <w:color w:val="000000" w:themeColor="text1"/>
                <w:sz w:val="24"/>
                <w14:textFill>
                  <w14:solidFill>
                    <w14:schemeClr w14:val="tx1"/>
                  </w14:solidFill>
                </w14:textFill>
              </w:rPr>
              <w:t>本项目产生的固体废物均得到妥善处置，处置率100%。</w:t>
            </w:r>
          </w:p>
          <w:p w14:paraId="39646BB0">
            <w:pPr>
              <w:pStyle w:val="34"/>
              <w:numPr>
                <w:ilvl w:val="0"/>
                <w:numId w:val="0"/>
              </w:numPr>
              <w:jc w:val="both"/>
              <w:rPr>
                <w:rFonts w:hint="default" w:ascii="Times New Roman" w:hAnsi="Times New Roman" w:eastAsia="宋体" w:cs="Times New Roman"/>
                <w:color w:val="000000" w:themeColor="text1"/>
                <w:lang w:val="en-US" w:eastAsia="zh-CN"/>
                <w14:textFill>
                  <w14:solidFill>
                    <w14:schemeClr w14:val="tx1"/>
                  </w14:solidFill>
                </w14:textFill>
              </w:rPr>
            </w:pPr>
          </w:p>
          <w:p w14:paraId="3D7434BE">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30F8E1ED">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74FD93DA">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0015FD7D">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76450AD3">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14631F7C">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442A0CCB">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2AB39DC8">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7306A139">
            <w:pPr>
              <w:pStyle w:val="34"/>
              <w:numPr>
                <w:ilvl w:val="0"/>
                <w:numId w:val="0"/>
              </w:numPr>
              <w:jc w:val="both"/>
              <w:rPr>
                <w:rFonts w:hint="default" w:ascii="Times New Roman" w:hAnsi="Times New Roman" w:cs="Times New Roman"/>
                <w:color w:val="000000" w:themeColor="text1"/>
                <w:sz w:val="24"/>
                <w:lang w:val="en-US" w:eastAsia="zh-CN"/>
                <w14:textFill>
                  <w14:solidFill>
                    <w14:schemeClr w14:val="tx1"/>
                  </w14:solidFill>
                </w14:textFill>
              </w:rPr>
            </w:pPr>
          </w:p>
          <w:p w14:paraId="1163651F">
            <w:pPr>
              <w:pStyle w:val="34"/>
              <w:numPr>
                <w:ilvl w:val="0"/>
                <w:numId w:val="0"/>
              </w:numPr>
              <w:jc w:val="both"/>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3985ED09">
      <w:pPr>
        <w:spacing w:line="360" w:lineRule="auto"/>
        <w:rPr>
          <w:rFonts w:ascii="黑体" w:hAnsi="宋体" w:eastAsia="黑体" w:cs="黑体"/>
          <w:color w:val="000000" w:themeColor="text1"/>
          <w:kern w:val="0"/>
          <w:sz w:val="30"/>
          <w:szCs w:val="30"/>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1DB9806">
      <w:pPr>
        <w:pStyle w:val="6"/>
        <w:spacing w:before="0" w:after="0"/>
        <w:jc w:val="center"/>
        <w:rPr>
          <w:color w:val="000000" w:themeColor="text1"/>
          <w14:textFill>
            <w14:solidFill>
              <w14:schemeClr w14:val="tx1"/>
            </w14:solidFill>
          </w14:textFill>
        </w:rPr>
      </w:pPr>
      <w:bookmarkStart w:id="27" w:name="_Toc14530"/>
      <w:r>
        <w:rPr>
          <w:rFonts w:hint="eastAsia"/>
          <w:color w:val="000000" w:themeColor="text1"/>
          <w14:textFill>
            <w14:solidFill>
              <w14:schemeClr w14:val="tx1"/>
            </w14:solidFill>
          </w14:textFill>
        </w:rPr>
        <w:t>四、主要环境影响和保护措施</w:t>
      </w:r>
      <w:bookmarkEnd w:id="27"/>
    </w:p>
    <w:tbl>
      <w:tblPr>
        <w:tblStyle w:val="27"/>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092"/>
      </w:tblGrid>
      <w:tr w14:paraId="50EB0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noWrap/>
            <w:tcMar>
              <w:left w:w="28" w:type="dxa"/>
              <w:right w:w="28" w:type="dxa"/>
            </w:tcMar>
            <w:vAlign w:val="center"/>
          </w:tcPr>
          <w:p w14:paraId="2ED5001F">
            <w:pPr>
              <w:pStyle w:val="25"/>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施工</w:t>
            </w:r>
          </w:p>
          <w:p w14:paraId="20CCFE82">
            <w:pPr>
              <w:pStyle w:val="25"/>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期环</w:t>
            </w:r>
          </w:p>
          <w:p w14:paraId="077F3AE0">
            <w:pPr>
              <w:pStyle w:val="25"/>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境保</w:t>
            </w:r>
          </w:p>
          <w:p w14:paraId="4D6FD464">
            <w:pPr>
              <w:pStyle w:val="25"/>
              <w:adjustRightInd w:val="0"/>
              <w:snapToGrid w:val="0"/>
              <w:spacing w:before="0" w:beforeAutospacing="0" w:after="0" w:afterAutospacing="0"/>
              <w:jc w:val="center"/>
              <w:rPr>
                <w:rFonts w:hint="default" w:ascii="Times New Roman" w:hAnsi="Times New Roman" w:cs="Times New Roman"/>
                <w:kern w:val="2"/>
                <w:szCs w:val="24"/>
              </w:rPr>
            </w:pPr>
            <w:r>
              <w:rPr>
                <w:rFonts w:hint="default" w:ascii="Times New Roman" w:hAnsi="Times New Roman" w:cs="Times New Roman"/>
                <w:kern w:val="2"/>
                <w:szCs w:val="24"/>
              </w:rPr>
              <w:t>护措</w:t>
            </w:r>
          </w:p>
          <w:p w14:paraId="527D6C71">
            <w:pPr>
              <w:pStyle w:val="25"/>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Cs w:val="24"/>
              </w:rPr>
              <w:t>施</w:t>
            </w:r>
          </w:p>
        </w:tc>
        <w:tc>
          <w:tcPr>
            <w:tcW w:w="4747" w:type="pct"/>
            <w:noWrap/>
            <w:vAlign w:val="center"/>
          </w:tcPr>
          <w:p w14:paraId="6C78251E">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项目施工期间，施工人员用餐依托周边农户家或带盒饭就餐，不在场地内食宿。</w:t>
            </w:r>
          </w:p>
          <w:p w14:paraId="0E0B616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1、施工期大气环境保护措施</w:t>
            </w:r>
          </w:p>
          <w:p w14:paraId="55F038B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本项目已完成大部分基础建设，现需在原有基础建设上增加设备及完善环保设施。</w:t>
            </w:r>
          </w:p>
          <w:p w14:paraId="11DE6579">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施工废气主要来源于施工扬尘、汽车尾气。环评要求建设方在施工过程中作业场地采取围挡、围护以减少扬尘扩散，这样可大大减少施工扬尘对周围环境的影响。</w:t>
            </w:r>
          </w:p>
          <w:p w14:paraId="1BDACFE4">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交通运输过程中将排放一定量的尾气，对道路运输路线两侧及作业点周围局部范围产生一定影响，采用汽车尾气检测合格的交通运输车辆，严禁冒黑烟，以减轻对周围环境的影响。</w:t>
            </w:r>
          </w:p>
          <w:p w14:paraId="7D3DB6B1">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2、施工期水环境保护措施</w:t>
            </w:r>
          </w:p>
          <w:p w14:paraId="34E0521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（1）施工人员生活污水</w:t>
            </w:r>
          </w:p>
          <w:p w14:paraId="4BB249D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施工期不设施工营地和食堂。项目平均施工人数10人，施工期2个月，生活用水量按50L/人·d计，则项目施工期施工人员生活用水量为30m³。废水排放系数取0.8，则项目施工期施工人员生活污水产量为24m³。主要污染物为COD和SS。COD为350mg/L、0.0076t，SS 为220mg/L、0.005t。</w:t>
            </w:r>
          </w:p>
          <w:p w14:paraId="62313314">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生活污水经现有项目化粪池收集后用作经渗滤液处理站处理后排放。</w:t>
            </w:r>
          </w:p>
          <w:p w14:paraId="3A0B66D5">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（2）施工废水</w:t>
            </w:r>
          </w:p>
          <w:p w14:paraId="102B515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项目施工期施工废水主要产生于施工设备、车辆的冲洗过程，施工废水主要污染物为SS，SS浓度约为1500mg/L。</w:t>
            </w:r>
          </w:p>
          <w:p w14:paraId="3B17D02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施工废水进入现有雨水收集池收集、沉淀后回用于施工过程和施工场地的洒水降尘，不外排。</w:t>
            </w:r>
          </w:p>
          <w:p w14:paraId="0A264C02">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3、施工期声环境保护措施</w:t>
            </w:r>
          </w:p>
          <w:p w14:paraId="29668E3C">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本工程建设施工工作量较小，施工期噪声分为交通噪声和施工机械噪声，前者为间歇性噪声，后者为持续性噪声。施工噪声源主要为设备安装及调试等机械设备产生噪声，源强在70～90dB(A)之间。</w:t>
            </w:r>
          </w:p>
          <w:p w14:paraId="460412E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为了将影响控制在可接受范围内必须采取一定的控制措施，建议采取如下措施：</w:t>
            </w:r>
          </w:p>
          <w:p w14:paraId="7041F997">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①建设单位应要求施工单位所使用的主要施工机械应为低噪声机械设备，并按时对所有施工机械进行检修，严格按操作规程使用各类机械。</w:t>
            </w:r>
          </w:p>
          <w:p w14:paraId="27F0A1B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②施工期噪声应按《建筑施工场界噪声限值》（GB12523-2011）进行控制，应合理安排施工时间，尽量避免高噪声设备同时施工，应限制夜间高噪声设备的施工时间，在夜间10点至次日早上6点禁止施工。</w:t>
            </w:r>
          </w:p>
          <w:p w14:paraId="42057331">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③物料运输车辆采取减速缓行、禁止鸣笛等措施，以减小运输车辆噪声对周边环境的影响。</w:t>
            </w:r>
          </w:p>
          <w:p w14:paraId="1454CB9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4、施工期固体废物措施</w:t>
            </w:r>
          </w:p>
          <w:p w14:paraId="3F893765">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施工期固体废物主要为施工人员生活垃圾与建筑垃圾。</w:t>
            </w:r>
          </w:p>
          <w:p w14:paraId="53CA076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（1）施工人员生活垃圾</w:t>
            </w:r>
          </w:p>
          <w:p w14:paraId="57B01756">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施工人员10人，均不在项目区食宿，生活垃圾产生量按0.3kg/d计算，则施工人员生活垃圾产生总量为3kg/d，本项目施工期为1个月，整个施工期产生的生活垃圾约为90kg。</w:t>
            </w:r>
          </w:p>
          <w:p w14:paraId="543C6AE1">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由环卫部门定期清运。</w:t>
            </w:r>
          </w:p>
          <w:p w14:paraId="1F7C4C0A">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（2）建筑垃圾</w:t>
            </w:r>
          </w:p>
          <w:p w14:paraId="4F71E055">
            <w:pPr>
              <w:pStyle w:val="3"/>
              <w:bidi w:val="0"/>
              <w:rPr>
                <w:rFonts w:hint="default" w:ascii="Times New Roman" w:hAnsi="Times New Roman" w:cs="Times New Roman"/>
                <w:bCs/>
                <w:spacing w:val="-10"/>
                <w:szCs w:val="21"/>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本项目在现有工程基础进行部分施工，产生的建筑垃圾可回收部分出售给废品回收单位，不能回收利用的部分应集中收集后运往住建部门指定地点，不得随处丢弃。</w:t>
            </w:r>
          </w:p>
        </w:tc>
      </w:tr>
      <w:tr w14:paraId="7D165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noWrap/>
            <w:tcMar>
              <w:left w:w="28" w:type="dxa"/>
              <w:right w:w="28" w:type="dxa"/>
            </w:tcMar>
            <w:vAlign w:val="center"/>
          </w:tcPr>
          <w:p w14:paraId="33E0CF1B">
            <w:pPr>
              <w:adjustRightInd w:val="0"/>
              <w:snapToGrid w:val="0"/>
              <w:jc w:val="center"/>
              <w:rPr>
                <w:rFonts w:hint="default" w:ascii="Times New Roman" w:hAnsi="Times New Roman" w:cs="Times New Roman"/>
                <w:bCs/>
              </w:rPr>
            </w:pPr>
            <w:r>
              <w:rPr>
                <w:rFonts w:hint="default" w:ascii="Times New Roman" w:hAnsi="Times New Roman" w:cs="Times New Roman"/>
                <w:bCs/>
              </w:rPr>
              <w:t>运营</w:t>
            </w:r>
          </w:p>
          <w:p w14:paraId="4DA35C87">
            <w:pPr>
              <w:adjustRightInd w:val="0"/>
              <w:snapToGrid w:val="0"/>
              <w:jc w:val="center"/>
              <w:rPr>
                <w:rFonts w:hint="default" w:ascii="Times New Roman" w:hAnsi="Times New Roman" w:cs="Times New Roman"/>
                <w:bCs/>
              </w:rPr>
            </w:pPr>
            <w:r>
              <w:rPr>
                <w:rFonts w:hint="default" w:ascii="Times New Roman" w:hAnsi="Times New Roman" w:cs="Times New Roman"/>
                <w:bCs/>
              </w:rPr>
              <w:t>期环</w:t>
            </w:r>
          </w:p>
          <w:p w14:paraId="1413D4D9">
            <w:pPr>
              <w:adjustRightInd w:val="0"/>
              <w:snapToGrid w:val="0"/>
              <w:jc w:val="center"/>
              <w:rPr>
                <w:rFonts w:hint="default" w:ascii="Times New Roman" w:hAnsi="Times New Roman" w:cs="Times New Roman"/>
                <w:bCs/>
              </w:rPr>
            </w:pPr>
            <w:r>
              <w:rPr>
                <w:rFonts w:hint="default" w:ascii="Times New Roman" w:hAnsi="Times New Roman" w:cs="Times New Roman"/>
                <w:bCs/>
              </w:rPr>
              <w:t>境影</w:t>
            </w:r>
          </w:p>
          <w:p w14:paraId="0B993C65">
            <w:pPr>
              <w:adjustRightInd w:val="0"/>
              <w:snapToGrid w:val="0"/>
              <w:jc w:val="center"/>
              <w:rPr>
                <w:rFonts w:hint="default" w:ascii="Times New Roman" w:hAnsi="Times New Roman" w:cs="Times New Roman"/>
                <w:bCs/>
              </w:rPr>
            </w:pPr>
            <w:r>
              <w:rPr>
                <w:rFonts w:hint="default" w:ascii="Times New Roman" w:hAnsi="Times New Roman" w:cs="Times New Roman"/>
                <w:bCs/>
              </w:rPr>
              <w:t>响和</w:t>
            </w:r>
          </w:p>
          <w:p w14:paraId="7E69E17F">
            <w:pPr>
              <w:adjustRightInd w:val="0"/>
              <w:snapToGrid w:val="0"/>
              <w:jc w:val="center"/>
              <w:rPr>
                <w:rFonts w:hint="default" w:ascii="Times New Roman" w:hAnsi="Times New Roman" w:cs="Times New Roman"/>
                <w:bCs/>
              </w:rPr>
            </w:pPr>
            <w:r>
              <w:rPr>
                <w:rFonts w:hint="default" w:ascii="Times New Roman" w:hAnsi="Times New Roman" w:cs="Times New Roman"/>
                <w:bCs/>
              </w:rPr>
              <w:t>保护</w:t>
            </w:r>
          </w:p>
          <w:p w14:paraId="5E76CA5E">
            <w:pPr>
              <w:adjustRightInd w:val="0"/>
              <w:snapToGrid w:val="0"/>
              <w:jc w:val="center"/>
              <w:rPr>
                <w:rFonts w:hint="default" w:ascii="Times New Roman" w:hAnsi="Times New Roman" w:cs="Times New Roman"/>
                <w:bCs/>
                <w:szCs w:val="21"/>
              </w:rPr>
            </w:pPr>
            <w:r>
              <w:rPr>
                <w:rFonts w:hint="default" w:ascii="Times New Roman" w:hAnsi="Times New Roman" w:cs="Times New Roman"/>
                <w:bCs/>
              </w:rPr>
              <w:t>措施</w:t>
            </w:r>
          </w:p>
        </w:tc>
        <w:tc>
          <w:tcPr>
            <w:tcW w:w="4747" w:type="pct"/>
            <w:noWrap/>
            <w:vAlign w:val="center"/>
          </w:tcPr>
          <w:p w14:paraId="56602185">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1、废气环境影响和保护措施</w:t>
            </w:r>
          </w:p>
          <w:p w14:paraId="2DB400FA">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1）废气</w:t>
            </w:r>
          </w:p>
          <w:p w14:paraId="1A123A08">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本项目为提高渗滤液处理站的水处理效率，不新增废气，项目渗滤液恶臭气体与</w:t>
            </w:r>
            <w:r>
              <w:t>《芒市城市生活垃圾渗滤液处理工程环境影响补充报告》</w:t>
            </w:r>
            <w:r>
              <w:rPr>
                <w:rFonts w:hint="eastAsia"/>
                <w:lang w:val="en-US" w:eastAsia="zh-CN"/>
              </w:rPr>
              <w:t>中的产排污一致，未发生变化；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主要来源于原项目进水部分的恶臭气体</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即</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硝化反应/反硝化反应池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、污泥池等溢出的恶臭污染物，其成份主要是生化分解和反应过程中产生的氨、胺等含氮化合物及硫化氢、甲烷、硫醇、硫醚等混合物，属无组织排放源。其中：含量最高的是NH</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，其次是H</w:t>
            </w:r>
            <w:r>
              <w:rPr>
                <w:rFonts w:hint="default" w:ascii="Times New Roman" w:hAnsi="Times New Roman" w:eastAsia="宋体" w:cs="Times New Roman"/>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S，而气味刺激性最强的甲基硫醇，其次是硫化氢。臭气污染向大气扩散受到诸多因素的影响，如水温、水质、处理工艺、污泥龄、周遍建筑物的密度及气象条件等。相关研究表明：恶臭浓度最高处为污泥处置工序，恶臭逸出量最大的工段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曝气硝化反应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工段，在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硝化反应</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过程中恶臭物质逸入空气。臭气的主要成份、性质见表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5EAB3D46">
            <w:pPr>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表</w:t>
            </w:r>
            <w:r>
              <w:rPr>
                <w:rFonts w:hint="eastAsia" w:ascii="Times New Roman" w:hAnsi="Times New Roman" w:cs="Times New Roman"/>
                <w:b/>
                <w:color w:val="000000" w:themeColor="text1"/>
                <w:szCs w:val="21"/>
                <w:lang w:val="en-US" w:eastAsia="zh-CN"/>
                <w14:textFill>
                  <w14:solidFill>
                    <w14:schemeClr w14:val="tx1"/>
                  </w14:solidFill>
                </w14:textFill>
              </w:rPr>
              <w:t xml:space="preserve">4-1 </w:t>
            </w:r>
            <w:r>
              <w:rPr>
                <w:rFonts w:hint="default" w:ascii="Times New Roman" w:hAnsi="Times New Roman" w:cs="Times New Roman"/>
                <w:b/>
                <w:color w:val="000000" w:themeColor="text1"/>
                <w:szCs w:val="21"/>
                <w:lang w:val="en-US" w:eastAsia="zh-CN"/>
                <w14:textFill>
                  <w14:solidFill>
                    <w14:schemeClr w14:val="tx1"/>
                  </w14:solidFill>
                </w14:textFill>
              </w:rPr>
              <w:t>臭气的主要成份、</w:t>
            </w:r>
            <w:r>
              <w:rPr>
                <w:rFonts w:hint="eastAsia" w:ascii="Times New Roman" w:hAnsi="Times New Roman" w:cs="Times New Roman"/>
                <w:b/>
                <w:color w:val="000000" w:themeColor="text1"/>
                <w:szCs w:val="21"/>
                <w:lang w:val="en-US" w:eastAsia="zh-CN"/>
                <w14:textFill>
                  <w14:solidFill>
                    <w14:schemeClr w14:val="tx1"/>
                  </w14:solidFill>
                </w14:textFill>
              </w:rPr>
              <w:t>特征</w:t>
            </w:r>
          </w:p>
          <w:tbl>
            <w:tblPr>
              <w:tblStyle w:val="27"/>
              <w:tblW w:w="783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47"/>
              <w:gridCol w:w="1656"/>
              <w:gridCol w:w="1200"/>
              <w:gridCol w:w="1709"/>
              <w:gridCol w:w="1549"/>
            </w:tblGrid>
            <w:tr w14:paraId="13AC2B8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577" w:type="dxa"/>
                  <w:tcBorders>
                    <w:tl2br w:val="nil"/>
                    <w:tr2bl w:val="nil"/>
                  </w:tcBorders>
                  <w:noWrap w:val="0"/>
                  <w:vAlign w:val="center"/>
                </w:tcPr>
                <w:p w14:paraId="73C45733">
                  <w:pPr>
                    <w:pStyle w:val="37"/>
                    <w:spacing w:before="0" w:beforeLines="0" w:after="0" w:line="240" w:lineRule="auto"/>
                    <w:rPr>
                      <w:rFonts w:ascii="Times New Roman"/>
                      <w:b w:val="0"/>
                      <w:snapToGrid w:val="0"/>
                      <w:sz w:val="21"/>
                      <w:szCs w:val="21"/>
                    </w:rPr>
                  </w:pPr>
                  <w:r>
                    <w:rPr>
                      <w:rFonts w:ascii="Times New Roman"/>
                      <w:b w:val="0"/>
                      <w:snapToGrid w:val="0"/>
                      <w:sz w:val="21"/>
                      <w:szCs w:val="21"/>
                    </w:rPr>
                    <w:t>成份</w:t>
                  </w:r>
                </w:p>
              </w:tc>
              <w:tc>
                <w:tcPr>
                  <w:tcW w:w="1147" w:type="dxa"/>
                  <w:tcBorders>
                    <w:tl2br w:val="nil"/>
                    <w:tr2bl w:val="nil"/>
                  </w:tcBorders>
                  <w:noWrap w:val="0"/>
                  <w:vAlign w:val="center"/>
                </w:tcPr>
                <w:p w14:paraId="240A2CC1">
                  <w:pPr>
                    <w:pStyle w:val="37"/>
                    <w:spacing w:before="0" w:beforeLines="0" w:after="0" w:line="240" w:lineRule="auto"/>
                    <w:rPr>
                      <w:rFonts w:ascii="Times New Roman"/>
                      <w:b w:val="0"/>
                      <w:snapToGrid w:val="0"/>
                      <w:sz w:val="21"/>
                      <w:szCs w:val="21"/>
                    </w:rPr>
                  </w:pPr>
                  <w:r>
                    <w:rPr>
                      <w:rFonts w:ascii="Times New Roman"/>
                      <w:b w:val="0"/>
                      <w:snapToGrid w:val="0"/>
                      <w:sz w:val="21"/>
                      <w:szCs w:val="21"/>
                    </w:rPr>
                    <w:t>氨气(NH</w:t>
                  </w:r>
                  <w:r>
                    <w:rPr>
                      <w:rFonts w:ascii="Times New Roman"/>
                      <w:b w:val="0"/>
                      <w:snapToGrid w:val="0"/>
                      <w:sz w:val="21"/>
                      <w:szCs w:val="21"/>
                      <w:vertAlign w:val="subscript"/>
                    </w:rPr>
                    <w:t>3</w:t>
                  </w:r>
                  <w:r>
                    <w:rPr>
                      <w:rFonts w:ascii="Times New Roman"/>
                      <w:b w:val="0"/>
                      <w:snapToGrid w:val="0"/>
                      <w:sz w:val="21"/>
                      <w:szCs w:val="21"/>
                    </w:rPr>
                    <w:t>)</w:t>
                  </w:r>
                </w:p>
              </w:tc>
              <w:tc>
                <w:tcPr>
                  <w:tcW w:w="1656" w:type="dxa"/>
                  <w:tcBorders>
                    <w:tl2br w:val="nil"/>
                    <w:tr2bl w:val="nil"/>
                  </w:tcBorders>
                  <w:noWrap w:val="0"/>
                  <w:vAlign w:val="center"/>
                </w:tcPr>
                <w:p w14:paraId="7390A80D">
                  <w:pPr>
                    <w:pStyle w:val="37"/>
                    <w:spacing w:before="0" w:beforeLines="0" w:after="0" w:line="240" w:lineRule="auto"/>
                    <w:rPr>
                      <w:rFonts w:ascii="Times New Roman"/>
                      <w:b w:val="0"/>
                      <w:snapToGrid w:val="0"/>
                      <w:sz w:val="21"/>
                      <w:szCs w:val="21"/>
                    </w:rPr>
                  </w:pPr>
                  <w:r>
                    <w:rPr>
                      <w:rFonts w:ascii="Times New Roman"/>
                      <w:b w:val="0"/>
                      <w:snapToGrid w:val="0"/>
                      <w:sz w:val="21"/>
                      <w:szCs w:val="21"/>
                    </w:rPr>
                    <w:t>甲基硫醇(CH</w:t>
                  </w:r>
                  <w:r>
                    <w:rPr>
                      <w:rFonts w:ascii="Times New Roman"/>
                      <w:b w:val="0"/>
                      <w:snapToGrid w:val="0"/>
                      <w:sz w:val="21"/>
                      <w:szCs w:val="21"/>
                      <w:vertAlign w:val="subscript"/>
                    </w:rPr>
                    <w:t>3</w:t>
                  </w:r>
                  <w:r>
                    <w:rPr>
                      <w:rFonts w:ascii="Times New Roman"/>
                      <w:b w:val="0"/>
                      <w:snapToGrid w:val="0"/>
                      <w:sz w:val="21"/>
                      <w:szCs w:val="21"/>
                    </w:rPr>
                    <w:t>SH)</w:t>
                  </w:r>
                </w:p>
              </w:tc>
              <w:tc>
                <w:tcPr>
                  <w:tcW w:w="1200" w:type="dxa"/>
                  <w:tcBorders>
                    <w:tl2br w:val="nil"/>
                    <w:tr2bl w:val="nil"/>
                  </w:tcBorders>
                  <w:noWrap w:val="0"/>
                  <w:vAlign w:val="center"/>
                </w:tcPr>
                <w:p w14:paraId="6AA7A501">
                  <w:pPr>
                    <w:pStyle w:val="37"/>
                    <w:spacing w:before="0" w:beforeLines="0" w:after="0" w:line="240" w:lineRule="auto"/>
                    <w:rPr>
                      <w:rFonts w:ascii="Times New Roman"/>
                      <w:b w:val="0"/>
                      <w:snapToGrid w:val="0"/>
                      <w:sz w:val="21"/>
                      <w:szCs w:val="21"/>
                    </w:rPr>
                  </w:pPr>
                  <w:r>
                    <w:rPr>
                      <w:rFonts w:ascii="Times New Roman"/>
                      <w:b w:val="0"/>
                      <w:snapToGrid w:val="0"/>
                      <w:sz w:val="21"/>
                      <w:szCs w:val="21"/>
                    </w:rPr>
                    <w:t>硫化氢(H</w:t>
                  </w:r>
                  <w:r>
                    <w:rPr>
                      <w:rFonts w:ascii="Times New Roman"/>
                      <w:b w:val="0"/>
                      <w:snapToGrid w:val="0"/>
                      <w:sz w:val="21"/>
                      <w:szCs w:val="21"/>
                      <w:vertAlign w:val="subscript"/>
                    </w:rPr>
                    <w:t>2</w:t>
                  </w:r>
                  <w:r>
                    <w:rPr>
                      <w:rFonts w:ascii="Times New Roman"/>
                      <w:b w:val="0"/>
                      <w:snapToGrid w:val="0"/>
                      <w:sz w:val="21"/>
                      <w:szCs w:val="21"/>
                    </w:rPr>
                    <w:t>S)</w:t>
                  </w:r>
                </w:p>
              </w:tc>
              <w:tc>
                <w:tcPr>
                  <w:tcW w:w="1709" w:type="dxa"/>
                  <w:tcBorders>
                    <w:tl2br w:val="nil"/>
                    <w:tr2bl w:val="nil"/>
                  </w:tcBorders>
                  <w:noWrap w:val="0"/>
                  <w:vAlign w:val="center"/>
                </w:tcPr>
                <w:p w14:paraId="74E48F5A">
                  <w:pPr>
                    <w:pStyle w:val="37"/>
                    <w:spacing w:before="0" w:beforeLines="0" w:after="0" w:line="240" w:lineRule="auto"/>
                    <w:rPr>
                      <w:rFonts w:ascii="Times New Roman"/>
                      <w:b w:val="0"/>
                      <w:snapToGrid w:val="0"/>
                      <w:sz w:val="21"/>
                      <w:szCs w:val="21"/>
                    </w:rPr>
                  </w:pPr>
                  <w:r>
                    <w:rPr>
                      <w:rFonts w:ascii="Times New Roman"/>
                      <w:b w:val="0"/>
                      <w:snapToGrid w:val="0"/>
                      <w:sz w:val="21"/>
                      <w:szCs w:val="21"/>
                    </w:rPr>
                    <w:t>二甲基硫((CH</w:t>
                  </w:r>
                  <w:r>
                    <w:rPr>
                      <w:rFonts w:ascii="Times New Roman"/>
                      <w:b w:val="0"/>
                      <w:snapToGrid w:val="0"/>
                      <w:sz w:val="21"/>
                      <w:szCs w:val="21"/>
                      <w:vertAlign w:val="subscript"/>
                    </w:rPr>
                    <w:t>3</w:t>
                  </w:r>
                  <w:r>
                    <w:rPr>
                      <w:rFonts w:ascii="Times New Roman"/>
                      <w:b w:val="0"/>
                      <w:snapToGrid w:val="0"/>
                      <w:sz w:val="21"/>
                      <w:szCs w:val="21"/>
                    </w:rPr>
                    <w:t>)</w:t>
                  </w:r>
                  <w:r>
                    <w:rPr>
                      <w:rFonts w:ascii="Times New Roman"/>
                      <w:b w:val="0"/>
                      <w:snapToGrid w:val="0"/>
                      <w:sz w:val="21"/>
                      <w:szCs w:val="21"/>
                      <w:vertAlign w:val="subscript"/>
                    </w:rPr>
                    <w:t>2</w:t>
                  </w:r>
                  <w:r>
                    <w:rPr>
                      <w:rFonts w:ascii="Times New Roman"/>
                      <w:b w:val="0"/>
                      <w:snapToGrid w:val="0"/>
                      <w:sz w:val="21"/>
                      <w:szCs w:val="21"/>
                    </w:rPr>
                    <w:t>S)</w:t>
                  </w:r>
                </w:p>
              </w:tc>
              <w:tc>
                <w:tcPr>
                  <w:tcW w:w="1549" w:type="dxa"/>
                  <w:tcBorders>
                    <w:tl2br w:val="nil"/>
                    <w:tr2bl w:val="nil"/>
                  </w:tcBorders>
                  <w:noWrap w:val="0"/>
                  <w:vAlign w:val="center"/>
                </w:tcPr>
                <w:p w14:paraId="34753471">
                  <w:pPr>
                    <w:pStyle w:val="37"/>
                    <w:spacing w:before="0" w:beforeLines="0" w:after="0" w:line="240" w:lineRule="auto"/>
                    <w:rPr>
                      <w:rFonts w:ascii="Times New Roman"/>
                      <w:b w:val="0"/>
                      <w:snapToGrid w:val="0"/>
                      <w:sz w:val="21"/>
                      <w:szCs w:val="21"/>
                    </w:rPr>
                  </w:pPr>
                  <w:r>
                    <w:rPr>
                      <w:rFonts w:ascii="Times New Roman"/>
                      <w:b w:val="0"/>
                      <w:snapToGrid w:val="0"/>
                      <w:sz w:val="21"/>
                      <w:szCs w:val="21"/>
                    </w:rPr>
                    <w:t>三甲胺((CH</w:t>
                  </w:r>
                  <w:r>
                    <w:rPr>
                      <w:rFonts w:ascii="Times New Roman"/>
                      <w:b w:val="0"/>
                      <w:snapToGrid w:val="0"/>
                      <w:sz w:val="21"/>
                      <w:szCs w:val="21"/>
                      <w:vertAlign w:val="subscript"/>
                    </w:rPr>
                    <w:t>3</w:t>
                  </w:r>
                  <w:r>
                    <w:rPr>
                      <w:rFonts w:ascii="Times New Roman"/>
                      <w:b w:val="0"/>
                      <w:snapToGrid w:val="0"/>
                      <w:sz w:val="21"/>
                      <w:szCs w:val="21"/>
                    </w:rPr>
                    <w:t>)</w:t>
                  </w:r>
                  <w:r>
                    <w:rPr>
                      <w:rFonts w:ascii="Times New Roman"/>
                      <w:b w:val="0"/>
                      <w:snapToGrid w:val="0"/>
                      <w:sz w:val="21"/>
                      <w:szCs w:val="21"/>
                      <w:vertAlign w:val="subscript"/>
                    </w:rPr>
                    <w:t>3</w:t>
                  </w:r>
                  <w:r>
                    <w:rPr>
                      <w:rFonts w:ascii="Times New Roman"/>
                      <w:b w:val="0"/>
                      <w:snapToGrid w:val="0"/>
                      <w:sz w:val="21"/>
                      <w:szCs w:val="21"/>
                    </w:rPr>
                    <w:t>N)</w:t>
                  </w:r>
                </w:p>
              </w:tc>
            </w:tr>
            <w:tr w14:paraId="575A757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77" w:type="dxa"/>
                  <w:tcBorders>
                    <w:tl2br w:val="nil"/>
                    <w:tr2bl w:val="nil"/>
                  </w:tcBorders>
                  <w:noWrap w:val="0"/>
                  <w:vAlign w:val="center"/>
                </w:tcPr>
                <w:p w14:paraId="1E3644FA">
                  <w:pPr>
                    <w:pStyle w:val="37"/>
                    <w:spacing w:before="0" w:beforeLines="0" w:after="0" w:line="240" w:lineRule="auto"/>
                    <w:rPr>
                      <w:rFonts w:ascii="Times New Roman"/>
                      <w:b w:val="0"/>
                      <w:snapToGrid w:val="0"/>
                      <w:sz w:val="21"/>
                      <w:szCs w:val="21"/>
                    </w:rPr>
                  </w:pPr>
                  <w:r>
                    <w:rPr>
                      <w:rFonts w:hint="eastAsia" w:ascii="Times New Roman"/>
                      <w:b w:val="0"/>
                      <w:snapToGrid w:val="0"/>
                      <w:sz w:val="21"/>
                      <w:szCs w:val="21"/>
                    </w:rPr>
                    <w:t>特征</w:t>
                  </w:r>
                </w:p>
              </w:tc>
              <w:tc>
                <w:tcPr>
                  <w:tcW w:w="1147" w:type="dxa"/>
                  <w:tcBorders>
                    <w:tl2br w:val="nil"/>
                    <w:tr2bl w:val="nil"/>
                  </w:tcBorders>
                  <w:noWrap w:val="0"/>
                  <w:vAlign w:val="center"/>
                </w:tcPr>
                <w:p w14:paraId="4A3543AB">
                  <w:pPr>
                    <w:pStyle w:val="37"/>
                    <w:spacing w:before="0" w:beforeLines="0" w:after="0" w:line="240" w:lineRule="auto"/>
                    <w:rPr>
                      <w:rFonts w:ascii="Times New Roman"/>
                      <w:b w:val="0"/>
                      <w:snapToGrid w:val="0"/>
                      <w:sz w:val="21"/>
                      <w:szCs w:val="21"/>
                    </w:rPr>
                  </w:pPr>
                  <w:r>
                    <w:rPr>
                      <w:rFonts w:ascii="Times New Roman"/>
                      <w:b w:val="0"/>
                      <w:snapToGrid w:val="0"/>
                      <w:sz w:val="21"/>
                      <w:szCs w:val="21"/>
                    </w:rPr>
                    <w:t>刺激性臭味</w:t>
                  </w:r>
                </w:p>
              </w:tc>
              <w:tc>
                <w:tcPr>
                  <w:tcW w:w="1656" w:type="dxa"/>
                  <w:tcBorders>
                    <w:tl2br w:val="nil"/>
                    <w:tr2bl w:val="nil"/>
                  </w:tcBorders>
                  <w:noWrap w:val="0"/>
                  <w:vAlign w:val="center"/>
                </w:tcPr>
                <w:p w14:paraId="0856B7B2">
                  <w:pPr>
                    <w:pStyle w:val="37"/>
                    <w:spacing w:before="0" w:beforeLines="0" w:after="0" w:line="240" w:lineRule="auto"/>
                    <w:rPr>
                      <w:rFonts w:ascii="Times New Roman"/>
                      <w:b w:val="0"/>
                      <w:snapToGrid w:val="0"/>
                      <w:sz w:val="21"/>
                      <w:szCs w:val="21"/>
                    </w:rPr>
                  </w:pPr>
                  <w:r>
                    <w:rPr>
                      <w:rFonts w:ascii="Times New Roman"/>
                      <w:b w:val="0"/>
                      <w:snapToGrid w:val="0"/>
                      <w:sz w:val="21"/>
                      <w:szCs w:val="21"/>
                    </w:rPr>
                    <w:t>腐烂、洋葱臭味</w:t>
                  </w:r>
                </w:p>
              </w:tc>
              <w:tc>
                <w:tcPr>
                  <w:tcW w:w="1200" w:type="dxa"/>
                  <w:tcBorders>
                    <w:tl2br w:val="nil"/>
                    <w:tr2bl w:val="nil"/>
                  </w:tcBorders>
                  <w:noWrap w:val="0"/>
                  <w:vAlign w:val="center"/>
                </w:tcPr>
                <w:p w14:paraId="4BE6D017">
                  <w:pPr>
                    <w:pStyle w:val="37"/>
                    <w:spacing w:before="0" w:beforeLines="0" w:after="0" w:line="240" w:lineRule="auto"/>
                    <w:rPr>
                      <w:rFonts w:ascii="Times New Roman"/>
                      <w:b w:val="0"/>
                      <w:snapToGrid w:val="0"/>
                      <w:sz w:val="21"/>
                      <w:szCs w:val="21"/>
                    </w:rPr>
                  </w:pPr>
                  <w:r>
                    <w:rPr>
                      <w:rFonts w:ascii="Times New Roman"/>
                      <w:b w:val="0"/>
                      <w:snapToGrid w:val="0"/>
                      <w:sz w:val="21"/>
                      <w:szCs w:val="21"/>
                    </w:rPr>
                    <w:t>臭鸡蛋味</w:t>
                  </w:r>
                </w:p>
              </w:tc>
              <w:tc>
                <w:tcPr>
                  <w:tcW w:w="1709" w:type="dxa"/>
                  <w:tcBorders>
                    <w:tl2br w:val="nil"/>
                    <w:tr2bl w:val="nil"/>
                  </w:tcBorders>
                  <w:noWrap w:val="0"/>
                  <w:vAlign w:val="center"/>
                </w:tcPr>
                <w:p w14:paraId="0AF85BB4">
                  <w:pPr>
                    <w:pStyle w:val="37"/>
                    <w:spacing w:before="0" w:beforeLines="0" w:after="0" w:line="240" w:lineRule="auto"/>
                    <w:rPr>
                      <w:rFonts w:ascii="Times New Roman"/>
                      <w:b w:val="0"/>
                      <w:snapToGrid w:val="0"/>
                      <w:sz w:val="21"/>
                      <w:szCs w:val="21"/>
                    </w:rPr>
                  </w:pPr>
                  <w:r>
                    <w:rPr>
                      <w:rFonts w:ascii="Times New Roman"/>
                      <w:b w:val="0"/>
                      <w:snapToGrid w:val="0"/>
                      <w:sz w:val="21"/>
                      <w:szCs w:val="21"/>
                    </w:rPr>
                    <w:t>腐烂甘蓝臭味</w:t>
                  </w:r>
                </w:p>
              </w:tc>
              <w:tc>
                <w:tcPr>
                  <w:tcW w:w="1549" w:type="dxa"/>
                  <w:tcBorders>
                    <w:tl2br w:val="nil"/>
                    <w:tr2bl w:val="nil"/>
                  </w:tcBorders>
                  <w:noWrap w:val="0"/>
                  <w:vAlign w:val="center"/>
                </w:tcPr>
                <w:p w14:paraId="35794E33">
                  <w:pPr>
                    <w:pStyle w:val="37"/>
                    <w:spacing w:before="0" w:beforeLines="0" w:after="0" w:line="240" w:lineRule="auto"/>
                    <w:rPr>
                      <w:rFonts w:ascii="Times New Roman"/>
                      <w:b w:val="0"/>
                      <w:snapToGrid w:val="0"/>
                      <w:sz w:val="21"/>
                      <w:szCs w:val="21"/>
                    </w:rPr>
                  </w:pPr>
                  <w:r>
                    <w:rPr>
                      <w:rFonts w:ascii="Times New Roman"/>
                      <w:b w:val="0"/>
                      <w:snapToGrid w:val="0"/>
                      <w:sz w:val="21"/>
                      <w:szCs w:val="21"/>
                    </w:rPr>
                    <w:t>腐烂鱼臭</w:t>
                  </w:r>
                </w:p>
              </w:tc>
            </w:tr>
          </w:tbl>
          <w:p w14:paraId="2AF50E06">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垃圾填埋场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采用</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曝气硝化滤池</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作为强化生物处理单元，</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该系统</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本身具有除臭功能，可大大减轻臭气</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。在总平面布置上，将气味大的构筑物尽量集中布置，污水处理厂与其他建筑之间设置绿化隔离带，道路两侧栽种行道树，以改善景观环境，减少气味向厂外扩散。</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采取上述措施，可有效</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减少气味向厂外扩散</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14E76759">
            <w:pPr>
              <w:pStyle w:val="83"/>
              <w:spacing w:before="0" w:beforeLines="0" w:line="360" w:lineRule="auto"/>
              <w:ind w:left="0" w:leftChars="0"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引用《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芒市城市生活垃圾处理工程及渗滤液处理工程建设项目竣工环境保护验收监测报告YN209-JCB2016226</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》验收结论：</w:t>
            </w:r>
          </w:p>
          <w:p w14:paraId="3DEB944E">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（1）臭气浓度</w:t>
            </w:r>
          </w:p>
          <w:p w14:paraId="4F64F69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本次监测设置了1个对照点、3个监控点，其中监控点的监测结果最大值为19，以GB14554-93《恶臭污染物排放标准》评价（臭气浓度≤20），3个监控点的监测结果均符合标准限值要求。</w:t>
            </w:r>
          </w:p>
          <w:p w14:paraId="0025249D">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（2）硫化氢</w:t>
            </w:r>
          </w:p>
          <w:p w14:paraId="18FB121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监控点的硫化氢最大值为0.016mg/m³，以GB14554-93《恶臭污染物排放标准》评价（硫化氢≤0.06mg/m³），监测结果均符合标准限值要求。</w:t>
            </w:r>
          </w:p>
          <w:p w14:paraId="070153A4">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（3）氨气</w:t>
            </w:r>
          </w:p>
          <w:p w14:paraId="0BA0FF5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监控点的氨气最大值为0.30mg/m³，以GB14554-93《恶臭污染物排放标准》评价（氨气≤1.5mg/m²），监测结果均符合标准限值要求。</w:t>
            </w:r>
          </w:p>
          <w:p w14:paraId="2623A0CF">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（4）总悬浮颗粒物</w:t>
            </w:r>
          </w:p>
          <w:p w14:paraId="510E63AC">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监控点的总悬浮颗粒物最大值为0.439mg/m³，以GB16297-1996《大气污染物综合排放标准》评价（TSP≤1.0mg/m³），监测结果均符合标准限值要求。</w:t>
            </w:r>
          </w:p>
          <w:p w14:paraId="09FB2155">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通过对以上 4 个污染因子监测结果的达标分析可知，项目无组织废气监测结果符合GB14554-93《恶臭污染物排放标准》要求。</w:t>
            </w:r>
          </w:p>
          <w:p w14:paraId="3BEA1613">
            <w:pPr>
              <w:pStyle w:val="3"/>
              <w:bidi w:val="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（5）填埋区甲烷</w:t>
            </w:r>
          </w:p>
          <w:p w14:paraId="1A6282B3">
            <w:pPr>
              <w:pStyle w:val="83"/>
              <w:spacing w:before="0" w:beforeLines="0" w:line="360" w:lineRule="auto"/>
              <w:ind w:left="0" w:leftChars="0"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已经在用的垃圾填埋场一期共有6个导气管，连续监测两天，甲烷浓度范围2.08%~3.38%，达不到自动点火装置5%可燃的要求。</w:t>
            </w:r>
          </w:p>
          <w:p w14:paraId="7F3A88B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2）非正常排放情况</w:t>
            </w:r>
          </w:p>
          <w:p w14:paraId="58A21A0F">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根据营运期工艺及产污环节分析的结果，本项目的非正常排放情况主要是：废气处理设施发生故障停止工作。</w:t>
            </w:r>
          </w:p>
          <w:p w14:paraId="7EFA00E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废气处理设备停止工作：当发生废气处理处置设备出现故障时，废气将直接排放，事故排放源强见下表。</w:t>
            </w:r>
          </w:p>
          <w:p w14:paraId="76D61829">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 4-</w:t>
            </w:r>
            <w:r>
              <w:rPr>
                <w:rFonts w:hint="eastAsia" w:ascii="Times New Roman" w:hAnsi="Times New Roman" w:cs="Times New Roman"/>
                <w:lang w:val="en-US" w:eastAsia="zh-CN"/>
              </w:rPr>
              <w:t>2</w:t>
            </w:r>
            <w:r>
              <w:rPr>
                <w:rFonts w:hint="default" w:ascii="Times New Roman" w:hAnsi="Times New Roman" w:cs="Times New Roman"/>
                <w:lang w:val="en-US" w:eastAsia="zh-CN"/>
              </w:rPr>
              <w:t>非正常工况下废气排放情况</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57"/>
              <w:gridCol w:w="796"/>
              <w:gridCol w:w="1215"/>
              <w:gridCol w:w="768"/>
              <w:gridCol w:w="1355"/>
              <w:gridCol w:w="1229"/>
              <w:gridCol w:w="768"/>
              <w:gridCol w:w="1174"/>
            </w:tblGrid>
            <w:tr w14:paraId="1260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5" w:hRule="exact"/>
                <w:jc w:val="center"/>
              </w:trPr>
              <w:tc>
                <w:tcPr>
                  <w:tcW w:w="354" w:type="pct"/>
                  <w:shd w:val="clear" w:color="auto" w:fill="FFFFFF"/>
                  <w:noWrap w:val="0"/>
                  <w:vAlign w:val="center"/>
                </w:tcPr>
                <w:p w14:paraId="6B535A12">
                  <w:pPr>
                    <w:pStyle w:val="71"/>
                    <w:bidi w:val="0"/>
                    <w:rPr>
                      <w:rFonts w:hint="default" w:ascii="Times New Roman" w:hAnsi="Times New Roman" w:cs="Times New Roman"/>
                    </w:rPr>
                  </w:pPr>
                  <w:r>
                    <w:rPr>
                      <w:rFonts w:hint="default" w:ascii="Times New Roman" w:hAnsi="Times New Roman" w:cs="Times New Roman"/>
                    </w:rPr>
                    <w:t>序</w:t>
                  </w:r>
                </w:p>
              </w:tc>
              <w:tc>
                <w:tcPr>
                  <w:tcW w:w="506" w:type="pct"/>
                  <w:shd w:val="clear" w:color="auto" w:fill="FFFFFF"/>
                  <w:noWrap w:val="0"/>
                  <w:vAlign w:val="center"/>
                </w:tcPr>
                <w:p w14:paraId="11B64754">
                  <w:pPr>
                    <w:pStyle w:val="71"/>
                    <w:bidi w:val="0"/>
                    <w:rPr>
                      <w:rFonts w:hint="default" w:ascii="Times New Roman" w:hAnsi="Times New Roman" w:cs="Times New Roman"/>
                    </w:rPr>
                  </w:pPr>
                  <w:r>
                    <w:rPr>
                      <w:rFonts w:hint="default" w:ascii="Times New Roman" w:hAnsi="Times New Roman" w:cs="Times New Roman"/>
                    </w:rPr>
                    <w:t>污染源</w:t>
                  </w:r>
                </w:p>
              </w:tc>
              <w:tc>
                <w:tcPr>
                  <w:tcW w:w="772" w:type="pct"/>
                  <w:shd w:val="clear" w:color="auto" w:fill="FFFFFF"/>
                  <w:noWrap w:val="0"/>
                  <w:vAlign w:val="center"/>
                </w:tcPr>
                <w:p w14:paraId="205E3A86">
                  <w:pPr>
                    <w:pStyle w:val="71"/>
                    <w:bidi w:val="0"/>
                    <w:rPr>
                      <w:rFonts w:hint="default" w:ascii="Times New Roman" w:hAnsi="Times New Roman" w:cs="Times New Roman"/>
                    </w:rPr>
                  </w:pPr>
                  <w:r>
                    <w:rPr>
                      <w:rFonts w:hint="default" w:ascii="Times New Roman" w:hAnsi="Times New Roman" w:cs="Times New Roman"/>
                    </w:rPr>
                    <w:t>非正常排放 原因</w:t>
                  </w:r>
                </w:p>
              </w:tc>
              <w:tc>
                <w:tcPr>
                  <w:tcW w:w="488" w:type="pct"/>
                  <w:shd w:val="clear" w:color="auto" w:fill="FFFFFF"/>
                  <w:noWrap w:val="0"/>
                  <w:vAlign w:val="center"/>
                </w:tcPr>
                <w:p w14:paraId="07925B2E">
                  <w:pPr>
                    <w:pStyle w:val="71"/>
                    <w:bidi w:val="0"/>
                    <w:rPr>
                      <w:rFonts w:hint="default" w:ascii="Times New Roman" w:hAnsi="Times New Roman" w:cs="Times New Roman"/>
                    </w:rPr>
                  </w:pPr>
                  <w:r>
                    <w:rPr>
                      <w:rFonts w:hint="default" w:ascii="Times New Roman" w:hAnsi="Times New Roman" w:cs="Times New Roman"/>
                    </w:rPr>
                    <w:t>污染物</w:t>
                  </w:r>
                </w:p>
              </w:tc>
              <w:tc>
                <w:tcPr>
                  <w:tcW w:w="861" w:type="pct"/>
                  <w:shd w:val="clear" w:color="auto" w:fill="FFFFFF"/>
                  <w:noWrap w:val="0"/>
                  <w:vAlign w:val="center"/>
                </w:tcPr>
                <w:p w14:paraId="0395C01F">
                  <w:pPr>
                    <w:pStyle w:val="71"/>
                    <w:bidi w:val="0"/>
                    <w:rPr>
                      <w:rFonts w:hint="default" w:ascii="Times New Roman" w:hAnsi="Times New Roman" w:cs="Times New Roman"/>
                    </w:rPr>
                  </w:pPr>
                  <w:r>
                    <w:rPr>
                      <w:rFonts w:hint="default" w:ascii="Times New Roman" w:hAnsi="Times New Roman" w:cs="Times New Roman"/>
                    </w:rPr>
                    <w:t>非正常排放速率</w:t>
                  </w:r>
                  <w:r>
                    <w:rPr>
                      <w:rFonts w:hint="default" w:ascii="Times New Roman" w:hAnsi="Times New Roman" w:cs="Times New Roman"/>
                      <w:lang w:val="en-US" w:eastAsia="en-US"/>
                    </w:rPr>
                    <w:t>(kg</w:t>
                  </w:r>
                  <w:r>
                    <w:rPr>
                      <w:rFonts w:hint="default" w:ascii="Times New Roman" w:hAnsi="Times New Roman" w:cs="Times New Roman"/>
                      <w:lang w:val="en-US" w:eastAsia="zh-CN"/>
                    </w:rPr>
                    <w:t>/</w:t>
                  </w:r>
                  <w:r>
                    <w:rPr>
                      <w:rFonts w:hint="default" w:ascii="Times New Roman" w:hAnsi="Times New Roman" w:cs="Times New Roman"/>
                      <w:lang w:val="en-US" w:eastAsia="en-US"/>
                    </w:rPr>
                    <w:t>h)</w:t>
                  </w:r>
                </w:p>
              </w:tc>
              <w:tc>
                <w:tcPr>
                  <w:tcW w:w="781" w:type="pct"/>
                  <w:shd w:val="clear" w:color="auto" w:fill="FFFFFF"/>
                  <w:noWrap w:val="0"/>
                  <w:vAlign w:val="center"/>
                </w:tcPr>
                <w:p w14:paraId="728B16C3">
                  <w:pPr>
                    <w:pStyle w:val="71"/>
                    <w:bidi w:val="0"/>
                    <w:rPr>
                      <w:rFonts w:hint="default" w:ascii="Times New Roman" w:hAnsi="Times New Roman" w:eastAsia="宋体" w:cs="Times New Roman"/>
                      <w:lang w:eastAsia="zh-CN"/>
                    </w:rPr>
                  </w:pPr>
                  <w:r>
                    <w:rPr>
                      <w:rFonts w:hint="default" w:ascii="Times New Roman" w:hAnsi="Times New Roman" w:cs="Times New Roman"/>
                    </w:rPr>
                    <w:t>单次持续时 间</w:t>
                  </w:r>
                  <w:r>
                    <w:rPr>
                      <w:rFonts w:hint="default" w:ascii="Times New Roman" w:hAnsi="Times New Roman" w:cs="Times New Roman"/>
                      <w:lang w:val="en-US" w:eastAsia="zh-CN"/>
                    </w:rPr>
                    <w:t>/h</w:t>
                  </w:r>
                </w:p>
              </w:tc>
              <w:tc>
                <w:tcPr>
                  <w:tcW w:w="488" w:type="pct"/>
                  <w:shd w:val="clear" w:color="auto" w:fill="FFFFFF"/>
                  <w:noWrap w:val="0"/>
                  <w:vAlign w:val="center"/>
                </w:tcPr>
                <w:p w14:paraId="5572D3A4">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年发生频次/次</w:t>
                  </w:r>
                </w:p>
              </w:tc>
              <w:tc>
                <w:tcPr>
                  <w:tcW w:w="746" w:type="pct"/>
                  <w:shd w:val="clear" w:color="auto" w:fill="FFFFFF"/>
                  <w:noWrap w:val="0"/>
                  <w:vAlign w:val="center"/>
                </w:tcPr>
                <w:p w14:paraId="281765DB">
                  <w:pPr>
                    <w:pStyle w:val="71"/>
                    <w:bidi w:val="0"/>
                    <w:rPr>
                      <w:rFonts w:hint="default" w:ascii="Times New Roman" w:hAnsi="Times New Roman" w:cs="Times New Roman"/>
                    </w:rPr>
                  </w:pPr>
                  <w:r>
                    <w:rPr>
                      <w:rFonts w:hint="default" w:ascii="Times New Roman" w:hAnsi="Times New Roman" w:cs="Times New Roman"/>
                    </w:rPr>
                    <w:t>应对措施</w:t>
                  </w:r>
                </w:p>
              </w:tc>
            </w:tr>
            <w:tr w14:paraId="29A6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0" w:hRule="exact"/>
                <w:jc w:val="center"/>
              </w:trPr>
              <w:tc>
                <w:tcPr>
                  <w:tcW w:w="354" w:type="pct"/>
                  <w:vMerge w:val="restart"/>
                  <w:shd w:val="clear" w:color="auto" w:fill="FFFFFF"/>
                  <w:noWrap w:val="0"/>
                  <w:vAlign w:val="center"/>
                </w:tcPr>
                <w:p w14:paraId="050DA0AB">
                  <w:pPr>
                    <w:pStyle w:val="71"/>
                    <w:bidi w:val="0"/>
                    <w:rPr>
                      <w:rFonts w:hint="default" w:ascii="Times New Roman" w:hAnsi="Times New Roman" w:cs="Times New Roman"/>
                    </w:rPr>
                  </w:pPr>
                  <w:r>
                    <w:rPr>
                      <w:rFonts w:hint="default" w:ascii="Times New Roman" w:hAnsi="Times New Roman" w:cs="Times New Roman"/>
                    </w:rPr>
                    <w:t>1</w:t>
                  </w:r>
                </w:p>
              </w:tc>
              <w:tc>
                <w:tcPr>
                  <w:tcW w:w="506" w:type="pct"/>
                  <w:vMerge w:val="restart"/>
                  <w:shd w:val="clear" w:color="auto" w:fill="FFFFFF"/>
                  <w:noWrap w:val="0"/>
                  <w:vAlign w:val="center"/>
                </w:tcPr>
                <w:p w14:paraId="3C98EC5C">
                  <w:pPr>
                    <w:pStyle w:val="71"/>
                    <w:bidi w:val="0"/>
                    <w:rPr>
                      <w:rFonts w:hint="default" w:ascii="Times New Roman" w:hAnsi="Times New Roman" w:cs="Times New Roman"/>
                    </w:rPr>
                  </w:pPr>
                  <w:r>
                    <w:rPr>
                      <w:rFonts w:hint="default" w:ascii="Times New Roman" w:hAnsi="Times New Roman" w:cs="Times New Roman"/>
                      <w:lang w:val="en-US" w:eastAsia="zh-CN"/>
                    </w:rPr>
                    <w:t>渗滤液处理系统</w:t>
                  </w:r>
                </w:p>
              </w:tc>
              <w:tc>
                <w:tcPr>
                  <w:tcW w:w="772" w:type="pct"/>
                  <w:vMerge w:val="restart"/>
                  <w:shd w:val="clear" w:color="auto" w:fill="FFFFFF"/>
                  <w:noWrap w:val="0"/>
                  <w:vAlign w:val="center"/>
                </w:tcPr>
                <w:p w14:paraId="0DE3752E">
                  <w:pPr>
                    <w:pStyle w:val="71"/>
                    <w:bidi w:val="0"/>
                    <w:rPr>
                      <w:rFonts w:hint="default" w:ascii="Times New Roman" w:hAnsi="Times New Roman" w:cs="Times New Roman"/>
                    </w:rPr>
                  </w:pPr>
                  <w:r>
                    <w:rPr>
                      <w:rFonts w:hint="default" w:ascii="Times New Roman" w:hAnsi="Times New Roman" w:cs="Times New Roman"/>
                      <w:lang w:val="en-US" w:eastAsia="zh-CN"/>
                    </w:rPr>
                    <w:t>除臭系统</w:t>
                  </w:r>
                  <w:r>
                    <w:rPr>
                      <w:rFonts w:hint="default" w:ascii="Times New Roman" w:hAnsi="Times New Roman" w:cs="Times New Roman"/>
                    </w:rPr>
                    <w:t>失效</w:t>
                  </w:r>
                </w:p>
              </w:tc>
              <w:tc>
                <w:tcPr>
                  <w:tcW w:w="488" w:type="pct"/>
                  <w:tcBorders>
                    <w:bottom w:val="single" w:color="000000" w:sz="6" w:space="0"/>
                  </w:tcBorders>
                  <w:shd w:val="clear" w:color="auto" w:fill="FFFFFF"/>
                  <w:noWrap w:val="0"/>
                  <w:vAlign w:val="center"/>
                </w:tcPr>
                <w:p w14:paraId="08129A47">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w:t>
                  </w:r>
                </w:p>
              </w:tc>
              <w:tc>
                <w:tcPr>
                  <w:tcW w:w="861" w:type="pct"/>
                  <w:tcBorders>
                    <w:bottom w:val="single" w:color="000000" w:sz="6" w:space="0"/>
                  </w:tcBorders>
                  <w:shd w:val="clear" w:color="auto" w:fill="FFFFFF"/>
                  <w:noWrap w:val="0"/>
                  <w:vAlign w:val="center"/>
                </w:tcPr>
                <w:p w14:paraId="6208A691">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0.001</w:t>
                  </w:r>
                </w:p>
              </w:tc>
              <w:tc>
                <w:tcPr>
                  <w:tcW w:w="781" w:type="pct"/>
                  <w:vMerge w:val="restart"/>
                  <w:shd w:val="clear" w:color="auto" w:fill="FFFFFF"/>
                  <w:noWrap w:val="0"/>
                  <w:vAlign w:val="center"/>
                </w:tcPr>
                <w:p w14:paraId="1F368DAB">
                  <w:pPr>
                    <w:pStyle w:val="71"/>
                    <w:bidi w:val="0"/>
                    <w:rPr>
                      <w:rFonts w:hint="default" w:ascii="Times New Roman" w:hAnsi="Times New Roman" w:cs="Times New Roman"/>
                    </w:rPr>
                  </w:pPr>
                  <w:r>
                    <w:rPr>
                      <w:rFonts w:hint="default" w:ascii="Times New Roman" w:hAnsi="Times New Roman" w:cs="Times New Roman"/>
                      <w:lang w:val="en-US" w:eastAsia="en-US"/>
                    </w:rPr>
                    <w:t>0.1</w:t>
                  </w:r>
                </w:p>
              </w:tc>
              <w:tc>
                <w:tcPr>
                  <w:tcW w:w="488" w:type="pct"/>
                  <w:vMerge w:val="restart"/>
                  <w:shd w:val="clear" w:color="auto" w:fill="FFFFFF"/>
                  <w:noWrap w:val="0"/>
                  <w:vAlign w:val="center"/>
                </w:tcPr>
                <w:p w14:paraId="20948982">
                  <w:pPr>
                    <w:pStyle w:val="71"/>
                    <w:bidi w:val="0"/>
                    <w:rPr>
                      <w:rFonts w:hint="default" w:ascii="Times New Roman" w:hAnsi="Times New Roman" w:cs="Times New Roman"/>
                    </w:rPr>
                  </w:pPr>
                  <w:r>
                    <w:rPr>
                      <w:rFonts w:hint="default" w:ascii="Times New Roman" w:hAnsi="Times New Roman" w:cs="Times New Roman"/>
                    </w:rPr>
                    <w:t>3</w:t>
                  </w:r>
                </w:p>
              </w:tc>
              <w:tc>
                <w:tcPr>
                  <w:tcW w:w="746" w:type="pct"/>
                  <w:vMerge w:val="restart"/>
                  <w:shd w:val="clear" w:color="auto" w:fill="FFFFFF"/>
                  <w:noWrap w:val="0"/>
                  <w:vAlign w:val="center"/>
                </w:tcPr>
                <w:p w14:paraId="59AF568F">
                  <w:pPr>
                    <w:pStyle w:val="71"/>
                    <w:bidi w:val="0"/>
                    <w:rPr>
                      <w:rFonts w:hint="default" w:ascii="Times New Roman" w:hAnsi="Times New Roman" w:cs="Times New Roman"/>
                    </w:rPr>
                  </w:pPr>
                  <w:r>
                    <w:rPr>
                      <w:rFonts w:hint="default" w:ascii="Times New Roman" w:hAnsi="Times New Roman" w:cs="Times New Roman"/>
                      <w:lang w:eastAsia="zh-CN"/>
                    </w:rPr>
                    <w:t>立即进行</w:t>
                  </w:r>
                  <w:r>
                    <w:rPr>
                      <w:rFonts w:hint="default" w:ascii="Times New Roman" w:hAnsi="Times New Roman" w:cs="Times New Roman"/>
                    </w:rPr>
                    <w:t>检修</w:t>
                  </w:r>
                </w:p>
              </w:tc>
            </w:tr>
            <w:tr w14:paraId="68D9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5" w:hRule="exact"/>
                <w:jc w:val="center"/>
              </w:trPr>
              <w:tc>
                <w:tcPr>
                  <w:tcW w:w="354" w:type="pct"/>
                  <w:vMerge w:val="continue"/>
                  <w:shd w:val="clear" w:color="auto" w:fill="FFFFFF"/>
                  <w:noWrap w:val="0"/>
                  <w:vAlign w:val="center"/>
                </w:tcPr>
                <w:p w14:paraId="26C594F5">
                  <w:pPr>
                    <w:pStyle w:val="71"/>
                    <w:bidi w:val="0"/>
                    <w:rPr>
                      <w:rFonts w:hint="default" w:ascii="Times New Roman" w:hAnsi="Times New Roman" w:cs="Times New Roman"/>
                    </w:rPr>
                  </w:pPr>
                </w:p>
              </w:tc>
              <w:tc>
                <w:tcPr>
                  <w:tcW w:w="506" w:type="pct"/>
                  <w:vMerge w:val="continue"/>
                  <w:shd w:val="clear" w:color="auto" w:fill="FFFFFF"/>
                  <w:noWrap w:val="0"/>
                  <w:vAlign w:val="center"/>
                </w:tcPr>
                <w:p w14:paraId="58AD22BB">
                  <w:pPr>
                    <w:pStyle w:val="71"/>
                    <w:bidi w:val="0"/>
                    <w:rPr>
                      <w:rFonts w:hint="default" w:ascii="Times New Roman" w:hAnsi="Times New Roman" w:cs="Times New Roman"/>
                      <w:lang w:val="en-US" w:eastAsia="zh-CN"/>
                    </w:rPr>
                  </w:pPr>
                </w:p>
              </w:tc>
              <w:tc>
                <w:tcPr>
                  <w:tcW w:w="772" w:type="pct"/>
                  <w:vMerge w:val="continue"/>
                  <w:shd w:val="clear" w:color="auto" w:fill="FFFFFF"/>
                  <w:noWrap w:val="0"/>
                  <w:vAlign w:val="center"/>
                </w:tcPr>
                <w:p w14:paraId="5566065A">
                  <w:pPr>
                    <w:pStyle w:val="71"/>
                    <w:bidi w:val="0"/>
                    <w:rPr>
                      <w:rFonts w:hint="default" w:ascii="Times New Roman" w:hAnsi="Times New Roman" w:cs="Times New Roman"/>
                      <w:lang w:val="en-US" w:eastAsia="zh-CN"/>
                    </w:rPr>
                  </w:pPr>
                </w:p>
              </w:tc>
              <w:tc>
                <w:tcPr>
                  <w:tcW w:w="488" w:type="pct"/>
                  <w:tcBorders>
                    <w:top w:val="single" w:color="000000" w:sz="6" w:space="0"/>
                  </w:tcBorders>
                  <w:shd w:val="clear" w:color="auto" w:fill="FFFFFF"/>
                  <w:noWrap w:val="0"/>
                  <w:vAlign w:val="center"/>
                </w:tcPr>
                <w:p w14:paraId="4419FAF2">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p>
              </w:tc>
              <w:tc>
                <w:tcPr>
                  <w:tcW w:w="861" w:type="pct"/>
                  <w:tcBorders>
                    <w:top w:val="single" w:color="000000" w:sz="6" w:space="0"/>
                  </w:tcBorders>
                  <w:shd w:val="clear" w:color="auto" w:fill="FFFFFF"/>
                  <w:noWrap w:val="0"/>
                  <w:vAlign w:val="center"/>
                </w:tcPr>
                <w:p w14:paraId="3F2247DF">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0.031</w:t>
                  </w:r>
                </w:p>
              </w:tc>
              <w:tc>
                <w:tcPr>
                  <w:tcW w:w="781" w:type="pct"/>
                  <w:vMerge w:val="continue"/>
                  <w:shd w:val="clear" w:color="auto" w:fill="FFFFFF"/>
                  <w:noWrap w:val="0"/>
                  <w:vAlign w:val="center"/>
                </w:tcPr>
                <w:p w14:paraId="127200A8">
                  <w:pPr>
                    <w:pStyle w:val="71"/>
                    <w:bidi w:val="0"/>
                    <w:rPr>
                      <w:rFonts w:hint="default" w:ascii="Times New Roman" w:hAnsi="Times New Roman" w:cs="Times New Roman"/>
                      <w:lang w:val="en-US" w:eastAsia="en-US"/>
                    </w:rPr>
                  </w:pPr>
                </w:p>
              </w:tc>
              <w:tc>
                <w:tcPr>
                  <w:tcW w:w="488" w:type="pct"/>
                  <w:vMerge w:val="continue"/>
                  <w:shd w:val="clear" w:color="auto" w:fill="FFFFFF"/>
                  <w:noWrap w:val="0"/>
                  <w:vAlign w:val="center"/>
                </w:tcPr>
                <w:p w14:paraId="6E180E9F">
                  <w:pPr>
                    <w:pStyle w:val="71"/>
                    <w:bidi w:val="0"/>
                    <w:rPr>
                      <w:rFonts w:hint="default" w:ascii="Times New Roman" w:hAnsi="Times New Roman" w:cs="Times New Roman"/>
                    </w:rPr>
                  </w:pPr>
                </w:p>
              </w:tc>
              <w:tc>
                <w:tcPr>
                  <w:tcW w:w="746" w:type="pct"/>
                  <w:vMerge w:val="continue"/>
                  <w:shd w:val="clear" w:color="auto" w:fill="FFFFFF"/>
                  <w:noWrap w:val="0"/>
                  <w:vAlign w:val="center"/>
                </w:tcPr>
                <w:p w14:paraId="54A430D0">
                  <w:pPr>
                    <w:pStyle w:val="71"/>
                    <w:bidi w:val="0"/>
                    <w:rPr>
                      <w:rFonts w:hint="default" w:ascii="Times New Roman" w:hAnsi="Times New Roman" w:cs="Times New Roman"/>
                    </w:rPr>
                  </w:pPr>
                </w:p>
              </w:tc>
            </w:tr>
          </w:tbl>
          <w:p w14:paraId="26DA6C70">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3）污染物排放量核算</w:t>
            </w:r>
          </w:p>
          <w:p w14:paraId="337A691D">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①无组织排放量核算</w:t>
            </w:r>
          </w:p>
          <w:p w14:paraId="3BCA0B3F">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3</w:t>
            </w:r>
            <w:r>
              <w:rPr>
                <w:rFonts w:hint="default" w:ascii="Times New Roman" w:hAnsi="Times New Roman" w:cs="Times New Roman"/>
                <w:lang w:val="en-US" w:eastAsia="zh-CN"/>
              </w:rPr>
              <w:t>大气污染物无组织排放量核算表</w:t>
            </w:r>
          </w:p>
          <w:tbl>
            <w:tblPr>
              <w:tblStyle w:val="2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
              <w:gridCol w:w="607"/>
              <w:gridCol w:w="1085"/>
              <w:gridCol w:w="624"/>
              <w:gridCol w:w="1465"/>
              <w:gridCol w:w="1698"/>
              <w:gridCol w:w="1069"/>
              <w:gridCol w:w="823"/>
            </w:tblGrid>
            <w:tr w14:paraId="356F2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2" w:type="pct"/>
                  <w:vMerge w:val="restart"/>
                  <w:noWrap w:val="0"/>
                  <w:vAlign w:val="center"/>
                </w:tcPr>
                <w:p w14:paraId="5C799309">
                  <w:pPr>
                    <w:pStyle w:val="71"/>
                    <w:jc w:val="center"/>
                    <w:rPr>
                      <w:rFonts w:hint="default" w:ascii="Times New Roman" w:hAnsi="Times New Roman" w:cs="Times New Roman"/>
                    </w:rPr>
                  </w:pPr>
                </w:p>
                <w:p w14:paraId="715EA533">
                  <w:pPr>
                    <w:pStyle w:val="71"/>
                    <w:jc w:val="center"/>
                    <w:rPr>
                      <w:rFonts w:hint="default" w:ascii="Times New Roman" w:hAnsi="Times New Roman" w:cs="Times New Roman"/>
                    </w:rPr>
                  </w:pPr>
                  <w:r>
                    <w:rPr>
                      <w:rFonts w:hint="default" w:ascii="Times New Roman" w:hAnsi="Times New Roman" w:cs="Times New Roman"/>
                    </w:rPr>
                    <w:t>序号</w:t>
                  </w:r>
                </w:p>
              </w:tc>
              <w:tc>
                <w:tcPr>
                  <w:tcW w:w="386" w:type="pct"/>
                  <w:vMerge w:val="restart"/>
                  <w:noWrap w:val="0"/>
                  <w:vAlign w:val="center"/>
                </w:tcPr>
                <w:p w14:paraId="618B931B">
                  <w:pPr>
                    <w:pStyle w:val="71"/>
                    <w:jc w:val="center"/>
                    <w:rPr>
                      <w:rFonts w:hint="default" w:ascii="Times New Roman" w:hAnsi="Times New Roman" w:cs="Times New Roman"/>
                    </w:rPr>
                  </w:pPr>
                  <w:r>
                    <w:rPr>
                      <w:rFonts w:hint="default" w:ascii="Times New Roman" w:hAnsi="Times New Roman" w:cs="Times New Roman"/>
                    </w:rPr>
                    <w:t>排放口编号</w:t>
                  </w:r>
                </w:p>
              </w:tc>
              <w:tc>
                <w:tcPr>
                  <w:tcW w:w="690" w:type="pct"/>
                  <w:vMerge w:val="restart"/>
                  <w:noWrap w:val="0"/>
                  <w:vAlign w:val="center"/>
                </w:tcPr>
                <w:p w14:paraId="6714D3EB">
                  <w:pPr>
                    <w:pStyle w:val="71"/>
                    <w:jc w:val="center"/>
                    <w:rPr>
                      <w:rFonts w:hint="default" w:ascii="Times New Roman" w:hAnsi="Times New Roman" w:cs="Times New Roman"/>
                    </w:rPr>
                  </w:pPr>
                </w:p>
                <w:p w14:paraId="71934F9D">
                  <w:pPr>
                    <w:pStyle w:val="71"/>
                    <w:jc w:val="center"/>
                    <w:rPr>
                      <w:rFonts w:hint="default" w:ascii="Times New Roman" w:hAnsi="Times New Roman" w:cs="Times New Roman"/>
                    </w:rPr>
                  </w:pPr>
                  <w:r>
                    <w:rPr>
                      <w:rFonts w:hint="default" w:ascii="Times New Roman" w:hAnsi="Times New Roman" w:cs="Times New Roman"/>
                    </w:rPr>
                    <w:t>产污环节</w:t>
                  </w:r>
                </w:p>
              </w:tc>
              <w:tc>
                <w:tcPr>
                  <w:tcW w:w="396" w:type="pct"/>
                  <w:vMerge w:val="restart"/>
                  <w:noWrap w:val="0"/>
                  <w:vAlign w:val="center"/>
                </w:tcPr>
                <w:p w14:paraId="47621D22">
                  <w:pPr>
                    <w:pStyle w:val="71"/>
                    <w:jc w:val="center"/>
                    <w:rPr>
                      <w:rFonts w:hint="default" w:ascii="Times New Roman" w:hAnsi="Times New Roman" w:cs="Times New Roman"/>
                    </w:rPr>
                  </w:pPr>
                </w:p>
                <w:p w14:paraId="27ED6589">
                  <w:pPr>
                    <w:pStyle w:val="71"/>
                    <w:jc w:val="center"/>
                    <w:rPr>
                      <w:rFonts w:hint="default" w:ascii="Times New Roman" w:hAnsi="Times New Roman" w:cs="Times New Roman"/>
                    </w:rPr>
                  </w:pPr>
                  <w:r>
                    <w:rPr>
                      <w:rFonts w:hint="default" w:ascii="Times New Roman" w:hAnsi="Times New Roman" w:cs="Times New Roman"/>
                    </w:rPr>
                    <w:t>污染物</w:t>
                  </w:r>
                </w:p>
              </w:tc>
              <w:tc>
                <w:tcPr>
                  <w:tcW w:w="931" w:type="pct"/>
                  <w:vMerge w:val="restart"/>
                  <w:noWrap w:val="0"/>
                  <w:vAlign w:val="center"/>
                </w:tcPr>
                <w:p w14:paraId="1D82D54C">
                  <w:pPr>
                    <w:pStyle w:val="71"/>
                    <w:jc w:val="center"/>
                    <w:rPr>
                      <w:rFonts w:hint="default" w:ascii="Times New Roman" w:hAnsi="Times New Roman" w:cs="Times New Roman"/>
                    </w:rPr>
                  </w:pPr>
                </w:p>
                <w:p w14:paraId="0EC2FB04">
                  <w:pPr>
                    <w:pStyle w:val="71"/>
                    <w:jc w:val="center"/>
                    <w:rPr>
                      <w:rFonts w:hint="default" w:ascii="Times New Roman" w:hAnsi="Times New Roman" w:cs="Times New Roman"/>
                    </w:rPr>
                  </w:pPr>
                  <w:r>
                    <w:rPr>
                      <w:rFonts w:hint="default" w:ascii="Times New Roman" w:hAnsi="Times New Roman" w:cs="Times New Roman"/>
                    </w:rPr>
                    <w:t>主要污染防治措施</w:t>
                  </w:r>
                </w:p>
              </w:tc>
              <w:tc>
                <w:tcPr>
                  <w:tcW w:w="1759" w:type="pct"/>
                  <w:gridSpan w:val="2"/>
                  <w:noWrap w:val="0"/>
                  <w:vAlign w:val="center"/>
                </w:tcPr>
                <w:p w14:paraId="44CF2B0B">
                  <w:pPr>
                    <w:pStyle w:val="71"/>
                    <w:jc w:val="center"/>
                    <w:rPr>
                      <w:rFonts w:hint="default" w:ascii="Times New Roman" w:hAnsi="Times New Roman" w:cs="Times New Roman"/>
                    </w:rPr>
                  </w:pPr>
                  <w:r>
                    <w:rPr>
                      <w:rFonts w:hint="default" w:ascii="Times New Roman" w:hAnsi="Times New Roman" w:cs="Times New Roman"/>
                    </w:rPr>
                    <w:t>国家或地方污染物排放标准</w:t>
                  </w:r>
                </w:p>
              </w:tc>
              <w:tc>
                <w:tcPr>
                  <w:tcW w:w="523" w:type="pct"/>
                  <w:vMerge w:val="restart"/>
                  <w:noWrap w:val="0"/>
                  <w:vAlign w:val="center"/>
                </w:tcPr>
                <w:p w14:paraId="0B52EBC3">
                  <w:pPr>
                    <w:pStyle w:val="71"/>
                    <w:jc w:val="center"/>
                    <w:rPr>
                      <w:rFonts w:hint="default" w:ascii="Times New Roman" w:hAnsi="Times New Roman" w:cs="Times New Roman"/>
                    </w:rPr>
                  </w:pPr>
                </w:p>
                <w:p w14:paraId="7D4F23F3">
                  <w:pPr>
                    <w:pStyle w:val="71"/>
                    <w:jc w:val="center"/>
                    <w:rPr>
                      <w:rFonts w:hint="default" w:ascii="Times New Roman" w:hAnsi="Times New Roman" w:cs="Times New Roman"/>
                    </w:rPr>
                  </w:pPr>
                  <w:r>
                    <w:rPr>
                      <w:rFonts w:hint="default" w:ascii="Times New Roman" w:hAnsi="Times New Roman" w:cs="Times New Roman"/>
                    </w:rPr>
                    <w:t>年排放量（t/a）</w:t>
                  </w:r>
                </w:p>
              </w:tc>
            </w:tr>
            <w:tr w14:paraId="49AA8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12" w:type="pct"/>
                  <w:vMerge w:val="continue"/>
                  <w:tcBorders>
                    <w:top w:val="nil"/>
                  </w:tcBorders>
                  <w:noWrap w:val="0"/>
                  <w:vAlign w:val="center"/>
                </w:tcPr>
                <w:p w14:paraId="2EFFAA54">
                  <w:pPr>
                    <w:pStyle w:val="71"/>
                    <w:jc w:val="center"/>
                    <w:rPr>
                      <w:rFonts w:hint="default" w:ascii="Times New Roman" w:hAnsi="Times New Roman" w:cs="Times New Roman"/>
                    </w:rPr>
                  </w:pPr>
                </w:p>
              </w:tc>
              <w:tc>
                <w:tcPr>
                  <w:tcW w:w="386" w:type="pct"/>
                  <w:vMerge w:val="continue"/>
                  <w:tcBorders>
                    <w:top w:val="nil"/>
                  </w:tcBorders>
                  <w:noWrap w:val="0"/>
                  <w:vAlign w:val="center"/>
                </w:tcPr>
                <w:p w14:paraId="3422508E">
                  <w:pPr>
                    <w:pStyle w:val="71"/>
                    <w:jc w:val="center"/>
                    <w:rPr>
                      <w:rFonts w:hint="default" w:ascii="Times New Roman" w:hAnsi="Times New Roman" w:cs="Times New Roman"/>
                    </w:rPr>
                  </w:pPr>
                </w:p>
              </w:tc>
              <w:tc>
                <w:tcPr>
                  <w:tcW w:w="690" w:type="pct"/>
                  <w:vMerge w:val="continue"/>
                  <w:tcBorders>
                    <w:top w:val="nil"/>
                  </w:tcBorders>
                  <w:noWrap w:val="0"/>
                  <w:vAlign w:val="center"/>
                </w:tcPr>
                <w:p w14:paraId="53D27EA4">
                  <w:pPr>
                    <w:pStyle w:val="71"/>
                    <w:jc w:val="center"/>
                    <w:rPr>
                      <w:rFonts w:hint="default" w:ascii="Times New Roman" w:hAnsi="Times New Roman" w:cs="Times New Roman"/>
                    </w:rPr>
                  </w:pPr>
                </w:p>
              </w:tc>
              <w:tc>
                <w:tcPr>
                  <w:tcW w:w="396" w:type="pct"/>
                  <w:vMerge w:val="continue"/>
                  <w:tcBorders>
                    <w:top w:val="nil"/>
                  </w:tcBorders>
                  <w:noWrap w:val="0"/>
                  <w:vAlign w:val="center"/>
                </w:tcPr>
                <w:p w14:paraId="3FD60247">
                  <w:pPr>
                    <w:pStyle w:val="71"/>
                    <w:jc w:val="center"/>
                    <w:rPr>
                      <w:rFonts w:hint="default" w:ascii="Times New Roman" w:hAnsi="Times New Roman" w:cs="Times New Roman"/>
                    </w:rPr>
                  </w:pPr>
                </w:p>
              </w:tc>
              <w:tc>
                <w:tcPr>
                  <w:tcW w:w="931" w:type="pct"/>
                  <w:vMerge w:val="continue"/>
                  <w:tcBorders>
                    <w:top w:val="nil"/>
                  </w:tcBorders>
                  <w:noWrap w:val="0"/>
                  <w:vAlign w:val="center"/>
                </w:tcPr>
                <w:p w14:paraId="3E199F77">
                  <w:pPr>
                    <w:pStyle w:val="71"/>
                    <w:jc w:val="center"/>
                    <w:rPr>
                      <w:rFonts w:hint="default" w:ascii="Times New Roman" w:hAnsi="Times New Roman" w:cs="Times New Roman"/>
                    </w:rPr>
                  </w:pPr>
                </w:p>
              </w:tc>
              <w:tc>
                <w:tcPr>
                  <w:tcW w:w="1079" w:type="pct"/>
                  <w:noWrap w:val="0"/>
                  <w:vAlign w:val="center"/>
                </w:tcPr>
                <w:p w14:paraId="7C822215">
                  <w:pPr>
                    <w:pStyle w:val="71"/>
                    <w:jc w:val="center"/>
                    <w:rPr>
                      <w:rFonts w:hint="default" w:ascii="Times New Roman" w:hAnsi="Times New Roman" w:cs="Times New Roman"/>
                    </w:rPr>
                  </w:pPr>
                  <w:r>
                    <w:rPr>
                      <w:rFonts w:hint="default" w:ascii="Times New Roman" w:hAnsi="Times New Roman" w:cs="Times New Roman"/>
                    </w:rPr>
                    <w:t>标准名称</w:t>
                  </w:r>
                </w:p>
              </w:tc>
              <w:tc>
                <w:tcPr>
                  <w:tcW w:w="679" w:type="pct"/>
                  <w:noWrap w:val="0"/>
                  <w:vAlign w:val="center"/>
                </w:tcPr>
                <w:p w14:paraId="4C24153B">
                  <w:pPr>
                    <w:pStyle w:val="71"/>
                    <w:jc w:val="center"/>
                    <w:rPr>
                      <w:rFonts w:hint="default" w:ascii="Times New Roman" w:hAnsi="Times New Roman" w:cs="Times New Roman"/>
                    </w:rPr>
                  </w:pPr>
                  <w:r>
                    <w:rPr>
                      <w:rFonts w:hint="default" w:ascii="Times New Roman" w:hAnsi="Times New Roman" w:cs="Times New Roman"/>
                    </w:rPr>
                    <w:t>浓度限值</w:t>
                  </w:r>
                </w:p>
                <w:p w14:paraId="4787CDAE">
                  <w:pPr>
                    <w:pStyle w:val="71"/>
                    <w:jc w:val="center"/>
                    <w:rPr>
                      <w:rFonts w:hint="default" w:ascii="Times New Roman" w:hAnsi="Times New Roman" w:cs="Times New Roman"/>
                    </w:rPr>
                  </w:pPr>
                  <w:r>
                    <w:rPr>
                      <w:rFonts w:hint="default" w:ascii="Times New Roman" w:hAnsi="Times New Roman" w:cs="Times New Roman"/>
                    </w:rPr>
                    <w:t>（mg/m³）</w:t>
                  </w:r>
                </w:p>
              </w:tc>
              <w:tc>
                <w:tcPr>
                  <w:tcW w:w="523" w:type="pct"/>
                  <w:vMerge w:val="continue"/>
                  <w:tcBorders>
                    <w:top w:val="nil"/>
                  </w:tcBorders>
                  <w:noWrap w:val="0"/>
                  <w:vAlign w:val="center"/>
                </w:tcPr>
                <w:p w14:paraId="1DA63062">
                  <w:pPr>
                    <w:pStyle w:val="71"/>
                    <w:jc w:val="center"/>
                    <w:rPr>
                      <w:rFonts w:hint="default" w:ascii="Times New Roman" w:hAnsi="Times New Roman" w:cs="Times New Roman"/>
                    </w:rPr>
                  </w:pPr>
                </w:p>
              </w:tc>
            </w:tr>
            <w:tr w14:paraId="71CC2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312" w:type="pct"/>
                  <w:vMerge w:val="restart"/>
                  <w:noWrap w:val="0"/>
                  <w:vAlign w:val="center"/>
                </w:tcPr>
                <w:p w14:paraId="44A3797E">
                  <w:pPr>
                    <w:pStyle w:val="71"/>
                    <w:jc w:val="center"/>
                    <w:rPr>
                      <w:rFonts w:hint="default" w:ascii="Times New Roman" w:hAnsi="Times New Roman" w:cs="Times New Roman"/>
                    </w:rPr>
                  </w:pPr>
                  <w:r>
                    <w:rPr>
                      <w:rFonts w:hint="default" w:ascii="Times New Roman" w:hAnsi="Times New Roman" w:cs="Times New Roman"/>
                    </w:rPr>
                    <w:t>1</w:t>
                  </w:r>
                </w:p>
              </w:tc>
              <w:tc>
                <w:tcPr>
                  <w:tcW w:w="386" w:type="pct"/>
                  <w:vMerge w:val="restart"/>
                  <w:noWrap w:val="0"/>
                  <w:vAlign w:val="center"/>
                </w:tcPr>
                <w:p w14:paraId="2B045874">
                  <w:pPr>
                    <w:pStyle w:val="71"/>
                    <w:jc w:val="center"/>
                    <w:rPr>
                      <w:rFonts w:hint="default" w:ascii="Times New Roman" w:hAnsi="Times New Roman" w:cs="Times New Roman"/>
                    </w:rPr>
                  </w:pPr>
                  <w:r>
                    <w:rPr>
                      <w:rFonts w:hint="default" w:ascii="Times New Roman" w:hAnsi="Times New Roman" w:cs="Times New Roman"/>
                    </w:rPr>
                    <w:t>生产车间</w:t>
                  </w:r>
                </w:p>
              </w:tc>
              <w:tc>
                <w:tcPr>
                  <w:tcW w:w="690" w:type="pct"/>
                  <w:vMerge w:val="restart"/>
                  <w:noWrap w:val="0"/>
                  <w:vAlign w:val="center"/>
                </w:tcPr>
                <w:p w14:paraId="7A2F1BA4">
                  <w:pPr>
                    <w:pStyle w:val="71"/>
                    <w:jc w:val="center"/>
                    <w:rPr>
                      <w:rFonts w:hint="default" w:ascii="Times New Roman" w:hAnsi="Times New Roman" w:cs="Times New Roman"/>
                    </w:rPr>
                  </w:pPr>
                  <w:r>
                    <w:rPr>
                      <w:rFonts w:hint="default" w:ascii="Times New Roman" w:hAnsi="Times New Roman" w:cs="Times New Roman"/>
                      <w:lang w:val="en-US" w:eastAsia="zh-CN"/>
                    </w:rPr>
                    <w:t>渗滤液处理系统</w:t>
                  </w:r>
                </w:p>
                <w:p w14:paraId="4EFFB706">
                  <w:pPr>
                    <w:pStyle w:val="71"/>
                    <w:jc w:val="center"/>
                    <w:rPr>
                      <w:rFonts w:hint="default" w:ascii="Times New Roman" w:hAnsi="Times New Roman" w:cs="Times New Roman"/>
                    </w:rPr>
                  </w:pPr>
                </w:p>
              </w:tc>
              <w:tc>
                <w:tcPr>
                  <w:tcW w:w="396" w:type="pct"/>
                  <w:tcBorders>
                    <w:bottom w:val="single" w:color="000000" w:sz="6" w:space="0"/>
                  </w:tcBorders>
                  <w:noWrap w:val="0"/>
                  <w:vAlign w:val="center"/>
                </w:tcPr>
                <w:p w14:paraId="627B55AA">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w:t>
                  </w:r>
                </w:p>
              </w:tc>
              <w:tc>
                <w:tcPr>
                  <w:tcW w:w="931" w:type="pct"/>
                  <w:vMerge w:val="restart"/>
                  <w:noWrap w:val="0"/>
                  <w:vAlign w:val="center"/>
                </w:tcPr>
                <w:p w14:paraId="54439DAA">
                  <w:pPr>
                    <w:pStyle w:val="71"/>
                    <w:jc w:val="center"/>
                    <w:rPr>
                      <w:rFonts w:hint="default" w:ascii="Times New Roman" w:hAnsi="Times New Roman" w:cs="Times New Roman"/>
                    </w:rPr>
                  </w:pPr>
                  <w:r>
                    <w:rPr>
                      <w:rFonts w:hint="default" w:ascii="Times New Roman" w:hAnsi="Times New Roman" w:cs="Times New Roman"/>
                      <w:lang w:val="en-US" w:eastAsia="zh-CN"/>
                    </w:rPr>
                    <w:t>加强通风</w:t>
                  </w:r>
                </w:p>
              </w:tc>
              <w:tc>
                <w:tcPr>
                  <w:tcW w:w="1079" w:type="pct"/>
                  <w:vMerge w:val="restart"/>
                  <w:noWrap w:val="0"/>
                  <w:vAlign w:val="center"/>
                </w:tcPr>
                <w:p w14:paraId="185605BA">
                  <w:pPr>
                    <w:pStyle w:val="71"/>
                    <w:jc w:val="center"/>
                    <w:rPr>
                      <w:rFonts w:hint="default" w:ascii="Times New Roman" w:hAnsi="Times New Roman" w:eastAsia="宋体" w:cs="Times New Roman"/>
                      <w:lang w:eastAsia="zh-CN"/>
                    </w:rPr>
                  </w:pPr>
                  <w:r>
                    <w:rPr>
                      <w:rFonts w:hint="default" w:ascii="Times New Roman" w:hAnsi="Times New Roman" w:cs="Times New Roman"/>
                      <w:lang w:eastAsia="zh-CN"/>
                    </w:rPr>
                    <w:t>《恶臭污染物排放标准》（GB014554-93）无组织厂界标准</w:t>
                  </w:r>
                </w:p>
              </w:tc>
              <w:tc>
                <w:tcPr>
                  <w:tcW w:w="679" w:type="pct"/>
                  <w:tcBorders>
                    <w:bottom w:val="single" w:color="000000" w:sz="6" w:space="0"/>
                  </w:tcBorders>
                  <w:noWrap w:val="0"/>
                  <w:vAlign w:val="center"/>
                </w:tcPr>
                <w:p w14:paraId="2A1E0736">
                  <w:pPr>
                    <w:pStyle w:val="71"/>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0.06</w:t>
                  </w:r>
                </w:p>
              </w:tc>
              <w:tc>
                <w:tcPr>
                  <w:tcW w:w="523" w:type="pct"/>
                  <w:tcBorders>
                    <w:bottom w:val="single" w:color="000000" w:sz="6" w:space="0"/>
                  </w:tcBorders>
                  <w:noWrap w:val="0"/>
                  <w:vAlign w:val="center"/>
                </w:tcPr>
                <w:p w14:paraId="31CC7837">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0.001</w:t>
                  </w:r>
                </w:p>
              </w:tc>
            </w:tr>
            <w:tr w14:paraId="36D4A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312" w:type="pct"/>
                  <w:vMerge w:val="continue"/>
                  <w:noWrap w:val="0"/>
                  <w:vAlign w:val="center"/>
                </w:tcPr>
                <w:p w14:paraId="7C025A9E">
                  <w:pPr>
                    <w:pStyle w:val="71"/>
                    <w:jc w:val="center"/>
                    <w:rPr>
                      <w:rFonts w:hint="default" w:ascii="Times New Roman" w:hAnsi="Times New Roman" w:cs="Times New Roman"/>
                    </w:rPr>
                  </w:pPr>
                </w:p>
              </w:tc>
              <w:tc>
                <w:tcPr>
                  <w:tcW w:w="386" w:type="pct"/>
                  <w:vMerge w:val="continue"/>
                  <w:noWrap w:val="0"/>
                  <w:vAlign w:val="center"/>
                </w:tcPr>
                <w:p w14:paraId="2910F8FF">
                  <w:pPr>
                    <w:pStyle w:val="71"/>
                    <w:jc w:val="center"/>
                    <w:rPr>
                      <w:rFonts w:hint="default" w:ascii="Times New Roman" w:hAnsi="Times New Roman" w:cs="Times New Roman"/>
                    </w:rPr>
                  </w:pPr>
                </w:p>
              </w:tc>
              <w:tc>
                <w:tcPr>
                  <w:tcW w:w="690" w:type="pct"/>
                  <w:vMerge w:val="continue"/>
                  <w:noWrap w:val="0"/>
                  <w:vAlign w:val="center"/>
                </w:tcPr>
                <w:p w14:paraId="5F093723">
                  <w:pPr>
                    <w:pStyle w:val="71"/>
                    <w:jc w:val="center"/>
                    <w:rPr>
                      <w:rFonts w:hint="default" w:ascii="Times New Roman" w:hAnsi="Times New Roman" w:cs="Times New Roman"/>
                    </w:rPr>
                  </w:pPr>
                </w:p>
              </w:tc>
              <w:tc>
                <w:tcPr>
                  <w:tcW w:w="396" w:type="pct"/>
                  <w:tcBorders>
                    <w:top w:val="single" w:color="000000" w:sz="6" w:space="0"/>
                  </w:tcBorders>
                  <w:noWrap w:val="0"/>
                  <w:vAlign w:val="center"/>
                </w:tcPr>
                <w:p w14:paraId="71244BEE">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p>
              </w:tc>
              <w:tc>
                <w:tcPr>
                  <w:tcW w:w="931" w:type="pct"/>
                  <w:vMerge w:val="continue"/>
                  <w:noWrap w:val="0"/>
                  <w:vAlign w:val="center"/>
                </w:tcPr>
                <w:p w14:paraId="6E2FCBB5">
                  <w:pPr>
                    <w:pStyle w:val="71"/>
                    <w:jc w:val="center"/>
                    <w:rPr>
                      <w:rFonts w:hint="default" w:ascii="Times New Roman" w:hAnsi="Times New Roman" w:cs="Times New Roman"/>
                    </w:rPr>
                  </w:pPr>
                </w:p>
              </w:tc>
              <w:tc>
                <w:tcPr>
                  <w:tcW w:w="1079" w:type="pct"/>
                  <w:vMerge w:val="continue"/>
                  <w:noWrap w:val="0"/>
                  <w:vAlign w:val="center"/>
                </w:tcPr>
                <w:p w14:paraId="3E37CBB7">
                  <w:pPr>
                    <w:pStyle w:val="71"/>
                    <w:jc w:val="center"/>
                    <w:rPr>
                      <w:rFonts w:hint="default" w:ascii="Times New Roman" w:hAnsi="Times New Roman" w:cs="Times New Roman"/>
                      <w:lang w:eastAsia="zh-CN"/>
                    </w:rPr>
                  </w:pPr>
                </w:p>
              </w:tc>
              <w:tc>
                <w:tcPr>
                  <w:tcW w:w="679" w:type="pct"/>
                  <w:tcBorders>
                    <w:top w:val="single" w:color="000000" w:sz="6" w:space="0"/>
                  </w:tcBorders>
                  <w:noWrap w:val="0"/>
                  <w:vAlign w:val="center"/>
                </w:tcPr>
                <w:p w14:paraId="2D7C66E9">
                  <w:pPr>
                    <w:pStyle w:val="71"/>
                    <w:jc w:val="center"/>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523" w:type="pct"/>
                  <w:tcBorders>
                    <w:top w:val="single" w:color="000000" w:sz="6" w:space="0"/>
                  </w:tcBorders>
                  <w:noWrap w:val="0"/>
                  <w:vAlign w:val="center"/>
                </w:tcPr>
                <w:p w14:paraId="116A054C">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0.024</w:t>
                  </w:r>
                </w:p>
              </w:tc>
            </w:tr>
            <w:tr w14:paraId="2B090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000" w:type="pct"/>
                  <w:gridSpan w:val="8"/>
                  <w:noWrap w:val="0"/>
                  <w:vAlign w:val="center"/>
                </w:tcPr>
                <w:p w14:paraId="4771B070">
                  <w:pPr>
                    <w:pStyle w:val="71"/>
                    <w:jc w:val="center"/>
                    <w:rPr>
                      <w:rFonts w:hint="default" w:ascii="Times New Roman" w:hAnsi="Times New Roman" w:cs="Times New Roman"/>
                    </w:rPr>
                  </w:pPr>
                  <w:r>
                    <w:rPr>
                      <w:rFonts w:hint="default" w:ascii="Times New Roman" w:hAnsi="Times New Roman" w:cs="Times New Roman"/>
                    </w:rPr>
                    <w:t>无组织排放总计</w:t>
                  </w:r>
                </w:p>
              </w:tc>
            </w:tr>
            <w:tr w14:paraId="2188E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698" w:type="pct"/>
                  <w:gridSpan w:val="2"/>
                  <w:vMerge w:val="restart"/>
                  <w:noWrap w:val="0"/>
                  <w:vAlign w:val="center"/>
                </w:tcPr>
                <w:p w14:paraId="101E6752">
                  <w:pPr>
                    <w:pStyle w:val="71"/>
                    <w:jc w:val="center"/>
                    <w:rPr>
                      <w:rFonts w:hint="default" w:ascii="Times New Roman" w:hAnsi="Times New Roman" w:cs="Times New Roman"/>
                    </w:rPr>
                  </w:pPr>
                  <w:r>
                    <w:rPr>
                      <w:rFonts w:hint="default" w:ascii="Times New Roman" w:hAnsi="Times New Roman" w:cs="Times New Roman"/>
                    </w:rPr>
                    <w:t>无组织排放总计</w:t>
                  </w:r>
                </w:p>
              </w:tc>
              <w:tc>
                <w:tcPr>
                  <w:tcW w:w="3098" w:type="pct"/>
                  <w:gridSpan w:val="4"/>
                  <w:tcBorders>
                    <w:bottom w:val="single" w:color="000000" w:sz="6" w:space="0"/>
                  </w:tcBorders>
                  <w:noWrap w:val="0"/>
                  <w:vAlign w:val="center"/>
                </w:tcPr>
                <w:p w14:paraId="3A068A24">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w:t>
                  </w:r>
                </w:p>
              </w:tc>
              <w:tc>
                <w:tcPr>
                  <w:tcW w:w="1203" w:type="pct"/>
                  <w:gridSpan w:val="2"/>
                  <w:tcBorders>
                    <w:bottom w:val="single" w:color="000000" w:sz="6" w:space="0"/>
                  </w:tcBorders>
                  <w:noWrap w:val="0"/>
                  <w:vAlign w:val="center"/>
                </w:tcPr>
                <w:p w14:paraId="58C59AA7">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0.001</w:t>
                  </w:r>
                </w:p>
              </w:tc>
            </w:tr>
            <w:tr w14:paraId="65DAA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98" w:type="pct"/>
                  <w:gridSpan w:val="2"/>
                  <w:vMerge w:val="continue"/>
                  <w:noWrap w:val="0"/>
                  <w:vAlign w:val="center"/>
                </w:tcPr>
                <w:p w14:paraId="274E0EA1">
                  <w:pPr>
                    <w:pStyle w:val="71"/>
                    <w:jc w:val="center"/>
                    <w:rPr>
                      <w:rFonts w:hint="default" w:ascii="Times New Roman" w:hAnsi="Times New Roman" w:cs="Times New Roman"/>
                    </w:rPr>
                  </w:pPr>
                </w:p>
              </w:tc>
              <w:tc>
                <w:tcPr>
                  <w:tcW w:w="3098" w:type="pct"/>
                  <w:gridSpan w:val="4"/>
                  <w:tcBorders>
                    <w:top w:val="single" w:color="000000" w:sz="6" w:space="0"/>
                  </w:tcBorders>
                  <w:noWrap w:val="0"/>
                  <w:vAlign w:val="center"/>
                </w:tcPr>
                <w:p w14:paraId="38D097F6">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p>
              </w:tc>
              <w:tc>
                <w:tcPr>
                  <w:tcW w:w="1203" w:type="pct"/>
                  <w:gridSpan w:val="2"/>
                  <w:tcBorders>
                    <w:top w:val="single" w:color="000000" w:sz="6" w:space="0"/>
                  </w:tcBorders>
                  <w:noWrap w:val="0"/>
                  <w:vAlign w:val="center"/>
                </w:tcPr>
                <w:p w14:paraId="08F7552B">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0.024</w:t>
                  </w:r>
                </w:p>
              </w:tc>
            </w:tr>
          </w:tbl>
          <w:p w14:paraId="08EA089B">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②项目大气污染物年排放总量核算</w:t>
            </w:r>
          </w:p>
          <w:p w14:paraId="325DD8EB">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4</w:t>
            </w:r>
            <w:r>
              <w:rPr>
                <w:rFonts w:hint="default" w:ascii="Times New Roman" w:hAnsi="Times New Roman" w:cs="Times New Roman"/>
                <w:lang w:val="en-US" w:eastAsia="zh-CN"/>
              </w:rPr>
              <w:t>项目大气污染物年排放量核算表</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5"/>
              <w:gridCol w:w="2220"/>
              <w:gridCol w:w="4078"/>
            </w:tblGrid>
            <w:tr w14:paraId="7557C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pct"/>
                  <w:tcBorders>
                    <w:bottom w:val="single" w:color="000000" w:sz="6" w:space="0"/>
                    <w:right w:val="single" w:color="000000" w:sz="6" w:space="0"/>
                  </w:tcBorders>
                  <w:noWrap w:val="0"/>
                  <w:vAlign w:val="center"/>
                </w:tcPr>
                <w:p w14:paraId="2B71A780">
                  <w:pPr>
                    <w:pStyle w:val="71"/>
                    <w:jc w:val="center"/>
                    <w:rPr>
                      <w:rFonts w:hint="default" w:ascii="Times New Roman" w:hAnsi="Times New Roman" w:cs="Times New Roman"/>
                    </w:rPr>
                  </w:pPr>
                  <w:r>
                    <w:rPr>
                      <w:rFonts w:hint="default" w:ascii="Times New Roman" w:hAnsi="Times New Roman" w:cs="Times New Roman"/>
                    </w:rPr>
                    <w:t>序号</w:t>
                  </w:r>
                </w:p>
              </w:tc>
              <w:tc>
                <w:tcPr>
                  <w:tcW w:w="1411" w:type="pct"/>
                  <w:tcBorders>
                    <w:left w:val="single" w:color="000000" w:sz="6" w:space="0"/>
                    <w:bottom w:val="single" w:color="000000" w:sz="6" w:space="0"/>
                    <w:right w:val="single" w:color="000000" w:sz="6" w:space="0"/>
                  </w:tcBorders>
                  <w:noWrap w:val="0"/>
                  <w:vAlign w:val="center"/>
                </w:tcPr>
                <w:p w14:paraId="44086193">
                  <w:pPr>
                    <w:pStyle w:val="71"/>
                    <w:jc w:val="center"/>
                    <w:rPr>
                      <w:rFonts w:hint="default" w:ascii="Times New Roman" w:hAnsi="Times New Roman" w:cs="Times New Roman"/>
                    </w:rPr>
                  </w:pPr>
                  <w:r>
                    <w:rPr>
                      <w:rFonts w:hint="default" w:ascii="Times New Roman" w:hAnsi="Times New Roman" w:cs="Times New Roman"/>
                    </w:rPr>
                    <w:t>污染物</w:t>
                  </w:r>
                </w:p>
              </w:tc>
              <w:tc>
                <w:tcPr>
                  <w:tcW w:w="2593" w:type="pct"/>
                  <w:tcBorders>
                    <w:left w:val="single" w:color="000000" w:sz="6" w:space="0"/>
                    <w:bottom w:val="single" w:color="000000" w:sz="6" w:space="0"/>
                  </w:tcBorders>
                  <w:noWrap w:val="0"/>
                  <w:vAlign w:val="center"/>
                </w:tcPr>
                <w:p w14:paraId="226FB13A">
                  <w:pPr>
                    <w:pStyle w:val="71"/>
                    <w:jc w:val="center"/>
                    <w:rPr>
                      <w:rFonts w:hint="default" w:ascii="Times New Roman" w:hAnsi="Times New Roman" w:cs="Times New Roman"/>
                    </w:rPr>
                  </w:pPr>
                  <w:r>
                    <w:rPr>
                      <w:rFonts w:hint="default" w:ascii="Times New Roman" w:hAnsi="Times New Roman" w:cs="Times New Roman"/>
                    </w:rPr>
                    <w:t>年排放量（t/a）</w:t>
                  </w:r>
                </w:p>
              </w:tc>
            </w:tr>
            <w:tr w14:paraId="2CCED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pct"/>
                  <w:vMerge w:val="restart"/>
                  <w:tcBorders>
                    <w:top w:val="single" w:color="000000" w:sz="6" w:space="0"/>
                    <w:right w:val="single" w:color="000000" w:sz="6" w:space="0"/>
                  </w:tcBorders>
                  <w:noWrap w:val="0"/>
                  <w:vAlign w:val="center"/>
                </w:tcPr>
                <w:p w14:paraId="4CC5F715">
                  <w:pPr>
                    <w:pStyle w:val="71"/>
                    <w:jc w:val="center"/>
                    <w:rPr>
                      <w:rFonts w:hint="default" w:ascii="Times New Roman" w:hAnsi="Times New Roman" w:cs="Times New Roman"/>
                    </w:rPr>
                  </w:pPr>
                  <w:r>
                    <w:rPr>
                      <w:rFonts w:hint="default" w:ascii="Times New Roman" w:hAnsi="Times New Roman" w:cs="Times New Roman"/>
                    </w:rPr>
                    <w:t>1</w:t>
                  </w:r>
                </w:p>
              </w:tc>
              <w:tc>
                <w:tcPr>
                  <w:tcW w:w="1411" w:type="pct"/>
                  <w:tcBorders>
                    <w:top w:val="single" w:color="000000" w:sz="6" w:space="0"/>
                    <w:left w:val="single" w:color="000000" w:sz="6" w:space="0"/>
                    <w:bottom w:val="single" w:color="000000" w:sz="6" w:space="0"/>
                    <w:right w:val="single" w:color="000000" w:sz="6" w:space="0"/>
                  </w:tcBorders>
                  <w:noWrap w:val="0"/>
                  <w:vAlign w:val="center"/>
                </w:tcPr>
                <w:p w14:paraId="0ABE9D2B">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w:t>
                  </w:r>
                </w:p>
              </w:tc>
              <w:tc>
                <w:tcPr>
                  <w:tcW w:w="2593" w:type="pct"/>
                  <w:tcBorders>
                    <w:top w:val="single" w:color="000000" w:sz="6" w:space="0"/>
                    <w:left w:val="single" w:color="000000" w:sz="6" w:space="0"/>
                    <w:bottom w:val="single" w:color="000000" w:sz="6" w:space="0"/>
                  </w:tcBorders>
                  <w:noWrap w:val="0"/>
                  <w:vAlign w:val="center"/>
                </w:tcPr>
                <w:p w14:paraId="3C6CBE35">
                  <w:pPr>
                    <w:pStyle w:val="71"/>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0.0026</w:t>
                  </w:r>
                </w:p>
              </w:tc>
            </w:tr>
            <w:tr w14:paraId="28E84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pct"/>
                  <w:vMerge w:val="continue"/>
                  <w:tcBorders>
                    <w:bottom w:val="single" w:color="000000" w:sz="6" w:space="0"/>
                    <w:right w:val="single" w:color="000000" w:sz="6" w:space="0"/>
                  </w:tcBorders>
                  <w:noWrap w:val="0"/>
                  <w:vAlign w:val="center"/>
                </w:tcPr>
                <w:p w14:paraId="32080835">
                  <w:pPr>
                    <w:pStyle w:val="71"/>
                    <w:jc w:val="center"/>
                    <w:rPr>
                      <w:rFonts w:hint="default" w:ascii="Times New Roman" w:hAnsi="Times New Roman" w:cs="Times New Roman"/>
                    </w:rPr>
                  </w:pPr>
                </w:p>
              </w:tc>
              <w:tc>
                <w:tcPr>
                  <w:tcW w:w="1411" w:type="pct"/>
                  <w:tcBorders>
                    <w:top w:val="single" w:color="000000" w:sz="6" w:space="0"/>
                    <w:left w:val="single" w:color="000000" w:sz="6" w:space="0"/>
                    <w:bottom w:val="single" w:color="000000" w:sz="6" w:space="0"/>
                    <w:right w:val="single" w:color="000000" w:sz="6" w:space="0"/>
                  </w:tcBorders>
                  <w:noWrap w:val="0"/>
                  <w:vAlign w:val="center"/>
                </w:tcPr>
                <w:p w14:paraId="544B3EB3">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NH</w:t>
                  </w:r>
                  <w:r>
                    <w:rPr>
                      <w:rFonts w:hint="default" w:ascii="Times New Roman" w:hAnsi="Times New Roman" w:cs="Times New Roman"/>
                      <w:vertAlign w:val="subscript"/>
                      <w:lang w:val="en-US" w:eastAsia="zh-CN"/>
                    </w:rPr>
                    <w:t>3</w:t>
                  </w:r>
                </w:p>
              </w:tc>
              <w:tc>
                <w:tcPr>
                  <w:tcW w:w="2593" w:type="pct"/>
                  <w:tcBorders>
                    <w:top w:val="single" w:color="000000" w:sz="6" w:space="0"/>
                    <w:left w:val="single" w:color="000000" w:sz="6" w:space="0"/>
                    <w:bottom w:val="single" w:color="000000" w:sz="6" w:space="0"/>
                  </w:tcBorders>
                  <w:noWrap w:val="0"/>
                  <w:vAlign w:val="center"/>
                </w:tcPr>
                <w:p w14:paraId="5D875C80">
                  <w:pPr>
                    <w:pStyle w:val="71"/>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0.0672</w:t>
                  </w:r>
                </w:p>
              </w:tc>
            </w:tr>
          </w:tbl>
          <w:p w14:paraId="40D53892">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4）废气影响分析</w:t>
            </w:r>
          </w:p>
          <w:p w14:paraId="5889BDE4">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根据现状监测数据可知，本项目无组织废气满足《恶臭污染物排放标准》（GB014554-93）无组织厂界标准。项目所在区域为达标区，运营期无组织废气通过加强通风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本项目产生的大气污染物通过本环评中的治理措施处理后能达到排放标准，对环境影响较小。</w:t>
            </w:r>
          </w:p>
          <w:p w14:paraId="18ACF4C7">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5）监测要求</w:t>
            </w:r>
          </w:p>
          <w:p w14:paraId="6A72EC4F">
            <w:pPr>
              <w:pStyle w:val="3"/>
              <w:bidi w:val="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依据《排污单位自行监测技术指南 总则》(HJ819-2017)和本项目废气排放情况，对本项目废气的监测要求见下表：</w:t>
            </w:r>
          </w:p>
          <w:p w14:paraId="027B224D">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建设项目废气监测要求</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4"/>
              <w:gridCol w:w="1054"/>
              <w:gridCol w:w="1899"/>
              <w:gridCol w:w="1229"/>
              <w:gridCol w:w="3025"/>
            </w:tblGrid>
            <w:tr w14:paraId="7045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noWrap w:val="0"/>
                  <w:vAlign w:val="center"/>
                </w:tcPr>
                <w:p w14:paraId="4F112116">
                  <w:pPr>
                    <w:pStyle w:val="71"/>
                    <w:bidi w:val="0"/>
                    <w:jc w:val="center"/>
                    <w:rPr>
                      <w:rFonts w:hint="default" w:ascii="Times New Roman" w:hAnsi="Times New Roman" w:cs="Times New Roman"/>
                    </w:rPr>
                  </w:pPr>
                  <w:r>
                    <w:rPr>
                      <w:rFonts w:hint="default" w:ascii="Times New Roman" w:hAnsi="Times New Roman" w:cs="Times New Roman"/>
                    </w:rPr>
                    <w:t>名称</w:t>
                  </w:r>
                </w:p>
              </w:tc>
              <w:tc>
                <w:tcPr>
                  <w:tcW w:w="670" w:type="pct"/>
                  <w:noWrap w:val="0"/>
                  <w:vAlign w:val="center"/>
                </w:tcPr>
                <w:p w14:paraId="5253C802">
                  <w:pPr>
                    <w:pStyle w:val="71"/>
                    <w:bidi w:val="0"/>
                    <w:jc w:val="center"/>
                    <w:rPr>
                      <w:rFonts w:hint="default" w:ascii="Times New Roman" w:hAnsi="Times New Roman" w:cs="Times New Roman"/>
                    </w:rPr>
                  </w:pPr>
                  <w:r>
                    <w:rPr>
                      <w:rFonts w:hint="default" w:ascii="Times New Roman" w:hAnsi="Times New Roman" w:cs="Times New Roman"/>
                    </w:rPr>
                    <w:t>监测点位</w:t>
                  </w:r>
                </w:p>
              </w:tc>
              <w:tc>
                <w:tcPr>
                  <w:tcW w:w="1207" w:type="pct"/>
                  <w:noWrap w:val="0"/>
                  <w:vAlign w:val="center"/>
                </w:tcPr>
                <w:p w14:paraId="4826A8FA">
                  <w:pPr>
                    <w:pStyle w:val="71"/>
                    <w:bidi w:val="0"/>
                    <w:jc w:val="center"/>
                    <w:rPr>
                      <w:rFonts w:hint="default" w:ascii="Times New Roman" w:hAnsi="Times New Roman" w:cs="Times New Roman"/>
                    </w:rPr>
                  </w:pPr>
                  <w:r>
                    <w:rPr>
                      <w:rFonts w:hint="default" w:ascii="Times New Roman" w:hAnsi="Times New Roman" w:cs="Times New Roman"/>
                    </w:rPr>
                    <w:t>监测项目</w:t>
                  </w:r>
                </w:p>
              </w:tc>
              <w:tc>
                <w:tcPr>
                  <w:tcW w:w="781" w:type="pct"/>
                  <w:noWrap w:val="0"/>
                  <w:vAlign w:val="center"/>
                </w:tcPr>
                <w:p w14:paraId="376448AD">
                  <w:pPr>
                    <w:pStyle w:val="71"/>
                    <w:bidi w:val="0"/>
                    <w:jc w:val="center"/>
                    <w:rPr>
                      <w:rFonts w:hint="default" w:ascii="Times New Roman" w:hAnsi="Times New Roman" w:cs="Times New Roman"/>
                    </w:rPr>
                  </w:pPr>
                  <w:r>
                    <w:rPr>
                      <w:rFonts w:hint="default" w:ascii="Times New Roman" w:hAnsi="Times New Roman" w:cs="Times New Roman"/>
                    </w:rPr>
                    <w:t>监测频率</w:t>
                  </w:r>
                </w:p>
              </w:tc>
              <w:tc>
                <w:tcPr>
                  <w:tcW w:w="1924" w:type="pct"/>
                  <w:noWrap w:val="0"/>
                  <w:vAlign w:val="center"/>
                </w:tcPr>
                <w:p w14:paraId="57FD377D">
                  <w:pPr>
                    <w:pStyle w:val="71"/>
                    <w:bidi w:val="0"/>
                    <w:jc w:val="center"/>
                    <w:rPr>
                      <w:rFonts w:hint="default" w:ascii="Times New Roman" w:hAnsi="Times New Roman" w:cs="Times New Roman"/>
                    </w:rPr>
                  </w:pPr>
                  <w:r>
                    <w:rPr>
                      <w:rFonts w:hint="default" w:ascii="Times New Roman" w:hAnsi="Times New Roman" w:cs="Times New Roman"/>
                    </w:rPr>
                    <w:t>执行排放标准</w:t>
                  </w:r>
                </w:p>
              </w:tc>
            </w:tr>
            <w:tr w14:paraId="18FB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415" w:type="pct"/>
                  <w:noWrap w:val="0"/>
                  <w:vAlign w:val="center"/>
                </w:tcPr>
                <w:p w14:paraId="2741F0B8">
                  <w:pPr>
                    <w:pStyle w:val="71"/>
                    <w:bidi w:val="0"/>
                    <w:jc w:val="center"/>
                    <w:rPr>
                      <w:rFonts w:hint="default" w:ascii="Times New Roman" w:hAnsi="Times New Roman" w:cs="Times New Roman"/>
                    </w:rPr>
                  </w:pPr>
                  <w:r>
                    <w:rPr>
                      <w:rFonts w:hint="default" w:ascii="Times New Roman" w:hAnsi="Times New Roman" w:cs="Times New Roman"/>
                    </w:rPr>
                    <w:t>废气</w:t>
                  </w:r>
                </w:p>
              </w:tc>
              <w:tc>
                <w:tcPr>
                  <w:tcW w:w="670" w:type="pct"/>
                  <w:noWrap w:val="0"/>
                  <w:vAlign w:val="center"/>
                </w:tcPr>
                <w:p w14:paraId="1EF9001B">
                  <w:pPr>
                    <w:pStyle w:val="71"/>
                    <w:bidi w:val="0"/>
                    <w:jc w:val="center"/>
                    <w:rPr>
                      <w:rFonts w:hint="default" w:ascii="Times New Roman" w:hAnsi="Times New Roman" w:cs="Times New Roman"/>
                    </w:rPr>
                  </w:pPr>
                  <w:r>
                    <w:rPr>
                      <w:rFonts w:hint="default" w:ascii="Times New Roman" w:hAnsi="Times New Roman" w:cs="Times New Roman"/>
                    </w:rPr>
                    <w:t>厂界</w:t>
                  </w:r>
                </w:p>
              </w:tc>
              <w:tc>
                <w:tcPr>
                  <w:tcW w:w="1207" w:type="pct"/>
                  <w:noWrap w:val="0"/>
                  <w:vAlign w:val="center"/>
                </w:tcPr>
                <w:p w14:paraId="1B7ADCC2">
                  <w:pPr>
                    <w:pStyle w:val="71"/>
                    <w:bidi w:val="0"/>
                    <w:jc w:val="center"/>
                    <w:rPr>
                      <w:rFonts w:hint="default" w:ascii="Times New Roman" w:hAnsi="Times New Roman" w:cs="Times New Roman"/>
                      <w:lang w:eastAsia="zh-CN"/>
                    </w:rPr>
                  </w:pPr>
                  <w:r>
                    <w:rPr>
                      <w:rFonts w:hint="default" w:ascii="Times New Roman" w:hAnsi="Times New Roman" w:cs="Times New Roman"/>
                      <w:lang w:val="en-US" w:eastAsia="zh-CN"/>
                    </w:rPr>
                    <w:t>臭气浓度、H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S、NH</w:t>
                  </w:r>
                  <w:r>
                    <w:rPr>
                      <w:rFonts w:hint="default" w:ascii="Times New Roman" w:hAnsi="Times New Roman" w:cs="Times New Roman"/>
                      <w:vertAlign w:val="subscript"/>
                      <w:lang w:val="en-US" w:eastAsia="zh-CN"/>
                    </w:rPr>
                    <w:t>3</w:t>
                  </w:r>
                </w:p>
              </w:tc>
              <w:tc>
                <w:tcPr>
                  <w:tcW w:w="781" w:type="pct"/>
                  <w:noWrap w:val="0"/>
                  <w:vAlign w:val="center"/>
                </w:tcPr>
                <w:p w14:paraId="7077DCCA">
                  <w:pPr>
                    <w:pStyle w:val="71"/>
                    <w:bidi w:val="0"/>
                    <w:jc w:val="center"/>
                    <w:rPr>
                      <w:rFonts w:hint="default" w:ascii="Times New Roman" w:hAnsi="Times New Roman" w:cs="Times New Roman"/>
                    </w:rPr>
                  </w:pPr>
                  <w:r>
                    <w:rPr>
                      <w:rFonts w:hint="default" w:ascii="Times New Roman" w:hAnsi="Times New Roman" w:cs="Times New Roman"/>
                    </w:rPr>
                    <w:t>半年一次</w:t>
                  </w:r>
                </w:p>
              </w:tc>
              <w:tc>
                <w:tcPr>
                  <w:tcW w:w="1924" w:type="pct"/>
                  <w:noWrap w:val="0"/>
                  <w:vAlign w:val="center"/>
                </w:tcPr>
                <w:p w14:paraId="2B776F9D">
                  <w:pPr>
                    <w:pStyle w:val="71"/>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《恶臭污染物排放标准》（GB014554-93）无组织厂界标准</w:t>
                  </w:r>
                </w:p>
              </w:tc>
            </w:tr>
          </w:tbl>
          <w:p w14:paraId="4423FFD1">
            <w:pPr>
              <w:pStyle w:val="3"/>
              <w:ind w:firstLine="480"/>
              <w:rPr>
                <w:rFonts w:hint="default" w:ascii="Times New Roman" w:hAnsi="Times New Roman" w:cs="Times New Roman"/>
              </w:rPr>
            </w:pPr>
            <w:r>
              <w:rPr>
                <w:rFonts w:hint="default" w:ascii="Times New Roman" w:hAnsi="Times New Roman" w:cs="Times New Roman"/>
              </w:rPr>
              <w:t>2、废水</w:t>
            </w:r>
          </w:p>
          <w:p w14:paraId="4EC75B18">
            <w:pPr>
              <w:pStyle w:val="3"/>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废水污染源强分析</w:t>
            </w:r>
          </w:p>
          <w:p w14:paraId="20CC2797">
            <w:pPr>
              <w:pStyle w:val="3"/>
              <w:bidi w:val="0"/>
              <w:rPr>
                <w:rFonts w:hint="default" w:ascii="Times New Roman" w:hAnsi="Times New Roman" w:cs="Times New Roman"/>
                <w:lang w:val="en-US" w:eastAsia="zh-CN"/>
              </w:rPr>
            </w:pPr>
            <w:r>
              <w:rPr>
                <w:rFonts w:hint="default" w:ascii="Times New Roman" w:hAnsi="Times New Roman" w:cs="Times New Roman"/>
                <w:lang w:val="en-US"/>
              </w:rPr>
              <w:t>项目废水主要包括垃圾渗滤液、</w:t>
            </w:r>
            <w:r>
              <w:rPr>
                <w:rFonts w:hint="default" w:ascii="Times New Roman" w:hAnsi="Times New Roman" w:cs="Times New Roman"/>
                <w:lang w:val="en-US" w:eastAsia="zh-CN"/>
              </w:rPr>
              <w:t>洗涤塔废水、</w:t>
            </w:r>
            <w:r>
              <w:rPr>
                <w:rFonts w:hint="default" w:ascii="Times New Roman" w:hAnsi="Times New Roman" w:cs="Times New Roman"/>
                <w:lang w:val="en-US"/>
              </w:rPr>
              <w:t>工作人员</w:t>
            </w:r>
            <w:r>
              <w:rPr>
                <w:rFonts w:hint="eastAsia" w:ascii="Times New Roman" w:hAnsi="Times New Roman" w:cs="Times New Roman"/>
                <w:lang w:val="en-US" w:eastAsia="zh-CN"/>
              </w:rPr>
              <w:t>办公废水</w:t>
            </w:r>
            <w:r>
              <w:rPr>
                <w:rFonts w:hint="default" w:ascii="Times New Roman" w:hAnsi="Times New Roman" w:cs="Times New Roman"/>
                <w:lang w:val="en-US" w:eastAsia="zh-CN"/>
              </w:rPr>
              <w:t>。</w:t>
            </w:r>
          </w:p>
          <w:p w14:paraId="49457DDE">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办公废水</w:t>
            </w:r>
            <w:r>
              <w:rPr>
                <w:rFonts w:hint="default" w:ascii="Times New Roman" w:hAnsi="Times New Roman" w:cs="Times New Roman"/>
                <w:lang w:val="en-US" w:eastAsia="zh-CN"/>
              </w:rPr>
              <w:t>：由于本垃圾填埋场自动化程度不高，没有冲洗装置。场内设置有两人值守，</w:t>
            </w:r>
            <w:r>
              <w:rPr>
                <w:rFonts w:hint="eastAsia" w:ascii="Times New Roman" w:hAnsi="Times New Roman" w:cs="Times New Roman"/>
                <w:lang w:val="en-US" w:eastAsia="zh-CN"/>
              </w:rPr>
              <w:t>不</w:t>
            </w:r>
            <w:r>
              <w:rPr>
                <w:rFonts w:hint="default" w:ascii="Times New Roman" w:hAnsi="Times New Roman" w:cs="Times New Roman"/>
                <w:lang w:val="en-US" w:eastAsia="zh-CN"/>
              </w:rPr>
              <w:t>在场内食宿，根据《云南省地方标准-用水定额》（DB53/T168-2019），用水量按100L/人·d进行计算，则生活用水量为0.2m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/d，产污系数取0.8，则废水产生量为0.16m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/d，经化粪池预处理后，进入市政污水管网，最终进入污水处理厂处理。</w:t>
            </w:r>
          </w:p>
          <w:p w14:paraId="7CD78D98">
            <w:pPr>
              <w:pStyle w:val="3"/>
              <w:bidi w:val="0"/>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eastAsia="zh-CN"/>
              </w:rPr>
              <w:t>洗涤塔废水：</w:t>
            </w:r>
            <w:r>
              <w:rPr>
                <w:rFonts w:hint="default" w:ascii="Times New Roman" w:hAnsi="Times New Roman" w:cs="Times New Roman"/>
                <w:lang w:val="en-US"/>
              </w:rPr>
              <w:t>项目废气处理区共设</w:t>
            </w:r>
            <w:r>
              <w:rPr>
                <w:rFonts w:hint="default" w:ascii="Times New Roman" w:hAnsi="Times New Roman" w:cs="Times New Roman"/>
                <w:lang w:val="en-US" w:eastAsia="zh-CN"/>
              </w:rPr>
              <w:t>1</w:t>
            </w:r>
            <w:r>
              <w:rPr>
                <w:rFonts w:hint="default" w:ascii="Times New Roman" w:hAnsi="Times New Roman" w:cs="Times New Roman"/>
                <w:lang w:val="en-US"/>
              </w:rPr>
              <w:t>个喷淋</w:t>
            </w:r>
            <w:r>
              <w:rPr>
                <w:rFonts w:hint="default" w:ascii="Times New Roman" w:hAnsi="Times New Roman" w:cs="Times New Roman"/>
                <w:lang w:eastAsia="zh-CN"/>
              </w:rPr>
              <w:t>洗涤塔</w:t>
            </w:r>
            <w:r>
              <w:rPr>
                <w:rFonts w:hint="default" w:ascii="Times New Roman" w:hAnsi="Times New Roman" w:cs="Times New Roman"/>
                <w:lang w:val="en-US"/>
              </w:rPr>
              <w:t>（酸雾吸收塔），喷淋</w:t>
            </w:r>
            <w:r>
              <w:rPr>
                <w:rFonts w:hint="default" w:ascii="Times New Roman" w:hAnsi="Times New Roman" w:cs="Times New Roman"/>
                <w:lang w:eastAsia="zh-CN"/>
              </w:rPr>
              <w:t>洗涤塔</w:t>
            </w:r>
            <w:r>
              <w:rPr>
                <w:rFonts w:hint="default" w:ascii="Times New Roman" w:hAnsi="Times New Roman" w:cs="Times New Roman"/>
                <w:lang w:val="en-US"/>
              </w:rPr>
              <w:t>循环喷淋水量约为1t，每工作6天（一周）更换一次，更换出的水排入厂区污水处理站内处理，则喷淋净化塔的用水量约为</w:t>
            </w:r>
            <w:r>
              <w:rPr>
                <w:rFonts w:hint="default" w:ascii="Times New Roman" w:hAnsi="Times New Roman" w:cs="Times New Roman"/>
                <w:lang w:val="en-US" w:eastAsia="zh-CN"/>
              </w:rPr>
              <w:t>59</w:t>
            </w:r>
            <w:r>
              <w:rPr>
                <w:rFonts w:hint="default" w:ascii="Times New Roman" w:hAnsi="Times New Roman" w:cs="Times New Roman"/>
                <w:lang w:val="en-US"/>
              </w:rPr>
              <w:t>t/a（</w:t>
            </w:r>
            <w:r>
              <w:rPr>
                <w:rFonts w:hint="default" w:ascii="Times New Roman" w:hAnsi="Times New Roman" w:cs="Times New Roman"/>
                <w:lang w:val="en-US" w:eastAsia="zh-CN"/>
              </w:rPr>
              <w:t>0.17</w:t>
            </w:r>
            <w:r>
              <w:rPr>
                <w:rFonts w:hint="default" w:ascii="Times New Roman" w:hAnsi="Times New Roman" w:cs="Times New Roman"/>
                <w:lang w:val="en-US"/>
              </w:rPr>
              <w:t>t/d）。</w:t>
            </w:r>
          </w:p>
          <w:p w14:paraId="4159459F">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color w:val="auto"/>
                <w:sz w:val="24"/>
                <w:szCs w:val="24"/>
                <w:lang w:val="en-US" w:eastAsia="zh-CN"/>
              </w:rPr>
              <w:t>本项目渗滤液处理系统主</w:t>
            </w:r>
            <w:r>
              <w:rPr>
                <w:rFonts w:hint="default" w:ascii="Times New Roman" w:hAnsi="Times New Roman" w:cs="Times New Roman" w:eastAsiaTheme="minorEastAsia"/>
                <w:kern w:val="2"/>
                <w:sz w:val="24"/>
                <w:szCs w:val="24"/>
                <w:lang w:val="en-US" w:eastAsia="zh-CN" w:bidi="ar-SA"/>
              </w:rPr>
              <w:t>要解决生活垃圾填埋场产生的渗滤液，处理规模为150t/d，受降雨及垃圾填埋量影响，各个季节渗滤液量不同，本场渗滤液产生量为12.71~171.36m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/d之间，场内建设有16400m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的调节池一座，建设有150m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/d污水处理站一座，100m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/d污水处理站一座，合计污水站规模为250m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/d，调节池位于整个垃圾填埋场西北侧，污水处理站位于南侧，调节池到污水处理站直线距离约50m，渗滤液经污水处理站处理达标后排入芒市河。本项目主要污染物产、排放量见下表。</w:t>
            </w:r>
          </w:p>
          <w:p w14:paraId="4F94BFBD">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 改建后水污染物产、排放量</w:t>
            </w:r>
          </w:p>
          <w:tbl>
            <w:tblPr>
              <w:tblStyle w:val="28"/>
              <w:tblW w:w="9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13"/>
              <w:gridCol w:w="1313"/>
              <w:gridCol w:w="1313"/>
              <w:gridCol w:w="1313"/>
              <w:gridCol w:w="1313"/>
            </w:tblGrid>
            <w:tr w14:paraId="5DC4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5" w:type="dxa"/>
                  <w:gridSpan w:val="2"/>
                  <w:noWrap w:val="0"/>
                  <w:vAlign w:val="center"/>
                </w:tcPr>
                <w:p w14:paraId="5A42F157">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项目</w:t>
                  </w:r>
                </w:p>
              </w:tc>
              <w:tc>
                <w:tcPr>
                  <w:tcW w:w="1313" w:type="dxa"/>
                  <w:noWrap w:val="0"/>
                  <w:vAlign w:val="center"/>
                </w:tcPr>
                <w:p w14:paraId="6BBBE30A">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lang w:val="en-US" w:eastAsia="zh-CN"/>
                    </w:rPr>
                    <w:t>COD</w:t>
                  </w:r>
                </w:p>
              </w:tc>
              <w:tc>
                <w:tcPr>
                  <w:tcW w:w="1313" w:type="dxa"/>
                  <w:noWrap w:val="0"/>
                  <w:vAlign w:val="center"/>
                </w:tcPr>
                <w:p w14:paraId="0B0A504E">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313" w:type="dxa"/>
                  <w:noWrap w:val="0"/>
                  <w:vAlign w:val="center"/>
                </w:tcPr>
                <w:p w14:paraId="3CF6E885">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313" w:type="dxa"/>
                  <w:noWrap w:val="0"/>
                  <w:vAlign w:val="center"/>
                </w:tcPr>
                <w:p w14:paraId="234C346D">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4"/>
                      <w:szCs w:val="24"/>
                      <w:lang w:val="en-US" w:eastAsia="zh-CN"/>
                    </w:rPr>
                    <w:t>SS</w:t>
                  </w:r>
                </w:p>
              </w:tc>
            </w:tr>
            <w:tr w14:paraId="34F1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Merge w:val="restart"/>
                  <w:noWrap w:val="0"/>
                  <w:vAlign w:val="center"/>
                </w:tcPr>
                <w:p w14:paraId="1D22EB28">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污水进水量（6.25万m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p>
              </w:tc>
              <w:tc>
                <w:tcPr>
                  <w:tcW w:w="1313" w:type="dxa"/>
                  <w:noWrap w:val="0"/>
                  <w:vAlign w:val="center"/>
                </w:tcPr>
                <w:p w14:paraId="34666EC1">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浓度</w:t>
                  </w:r>
                  <w:r>
                    <w:rPr>
                      <w:rFonts w:hint="default" w:ascii="Times New Roman" w:hAnsi="Times New Roman" w:cs="Times New Roman"/>
                      <w:color w:val="auto"/>
                      <w:sz w:val="21"/>
                      <w:szCs w:val="21"/>
                    </w:rPr>
                    <w:t>mg/L</w:t>
                  </w:r>
                </w:p>
              </w:tc>
              <w:tc>
                <w:tcPr>
                  <w:tcW w:w="1313" w:type="dxa"/>
                  <w:noWrap w:val="0"/>
                  <w:vAlign w:val="center"/>
                </w:tcPr>
                <w:p w14:paraId="280052CC">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3600</w:t>
                  </w:r>
                </w:p>
              </w:tc>
              <w:tc>
                <w:tcPr>
                  <w:tcW w:w="1313" w:type="dxa"/>
                  <w:noWrap w:val="0"/>
                  <w:vAlign w:val="center"/>
                </w:tcPr>
                <w:p w14:paraId="7C59D8D0">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1500</w:t>
                  </w:r>
                </w:p>
              </w:tc>
              <w:tc>
                <w:tcPr>
                  <w:tcW w:w="1313" w:type="dxa"/>
                  <w:noWrap w:val="0"/>
                  <w:vAlign w:val="center"/>
                </w:tcPr>
                <w:p w14:paraId="0A548B7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500</w:t>
                  </w:r>
                </w:p>
              </w:tc>
              <w:tc>
                <w:tcPr>
                  <w:tcW w:w="1313" w:type="dxa"/>
                  <w:noWrap w:val="0"/>
                  <w:vAlign w:val="center"/>
                </w:tcPr>
                <w:p w14:paraId="713BB55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2000</w:t>
                  </w:r>
                </w:p>
              </w:tc>
            </w:tr>
            <w:tr w14:paraId="12B6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Merge w:val="continue"/>
                  <w:noWrap w:val="0"/>
                  <w:vAlign w:val="center"/>
                </w:tcPr>
                <w:p w14:paraId="4BC891C7">
                  <w:pPr>
                    <w:pStyle w:val="71"/>
                    <w:bidi w:val="0"/>
                    <w:jc w:val="center"/>
                    <w:rPr>
                      <w:rFonts w:hint="default" w:ascii="Times New Roman" w:hAnsi="Times New Roman" w:cs="Times New Roman"/>
                      <w:lang w:val="en-US" w:eastAsia="zh-CN"/>
                    </w:rPr>
                  </w:pPr>
                </w:p>
              </w:tc>
              <w:tc>
                <w:tcPr>
                  <w:tcW w:w="1313" w:type="dxa"/>
                  <w:noWrap w:val="0"/>
                  <w:vAlign w:val="center"/>
                </w:tcPr>
                <w:p w14:paraId="42E33606">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产生量t/a</w:t>
                  </w:r>
                </w:p>
              </w:tc>
              <w:tc>
                <w:tcPr>
                  <w:tcW w:w="1313" w:type="dxa"/>
                  <w:noWrap w:val="0"/>
                  <w:vAlign w:val="center"/>
                </w:tcPr>
                <w:p w14:paraId="26326697">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189</w:t>
                  </w:r>
                </w:p>
              </w:tc>
              <w:tc>
                <w:tcPr>
                  <w:tcW w:w="1313" w:type="dxa"/>
                  <w:noWrap w:val="0"/>
                  <w:vAlign w:val="center"/>
                </w:tcPr>
                <w:p w14:paraId="6A4C76BD">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78.75</w:t>
                  </w:r>
                </w:p>
              </w:tc>
              <w:tc>
                <w:tcPr>
                  <w:tcW w:w="1313" w:type="dxa"/>
                  <w:noWrap w:val="0"/>
                  <w:vAlign w:val="center"/>
                </w:tcPr>
                <w:p w14:paraId="14055917">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26.25</w:t>
                  </w:r>
                </w:p>
              </w:tc>
              <w:tc>
                <w:tcPr>
                  <w:tcW w:w="1313" w:type="dxa"/>
                  <w:noWrap w:val="0"/>
                  <w:vAlign w:val="center"/>
                </w:tcPr>
                <w:p w14:paraId="2612BF07">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105</w:t>
                  </w:r>
                </w:p>
              </w:tc>
            </w:tr>
            <w:tr w14:paraId="0415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Merge w:val="restart"/>
                  <w:noWrap w:val="0"/>
                  <w:vAlign w:val="center"/>
                </w:tcPr>
                <w:p w14:paraId="1B145ED3">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污水出水量（6.25万m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/a)</w:t>
                  </w:r>
                </w:p>
              </w:tc>
              <w:tc>
                <w:tcPr>
                  <w:tcW w:w="1313" w:type="dxa"/>
                  <w:noWrap w:val="0"/>
                  <w:vAlign w:val="center"/>
                </w:tcPr>
                <w:p w14:paraId="2157B953">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浓度</w:t>
                  </w:r>
                  <w:r>
                    <w:rPr>
                      <w:rFonts w:hint="default" w:ascii="Times New Roman" w:hAnsi="Times New Roman" w:cs="Times New Roman"/>
                      <w:color w:val="auto"/>
                      <w:sz w:val="21"/>
                      <w:szCs w:val="21"/>
                    </w:rPr>
                    <w:t>mg/L</w:t>
                  </w:r>
                </w:p>
              </w:tc>
              <w:tc>
                <w:tcPr>
                  <w:tcW w:w="1313" w:type="dxa"/>
                  <w:noWrap w:val="0"/>
                  <w:vAlign w:val="center"/>
                </w:tcPr>
                <w:p w14:paraId="1186E7F5">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52</w:t>
                  </w:r>
                </w:p>
              </w:tc>
              <w:tc>
                <w:tcPr>
                  <w:tcW w:w="1313" w:type="dxa"/>
                  <w:noWrap w:val="0"/>
                  <w:vAlign w:val="center"/>
                </w:tcPr>
                <w:p w14:paraId="46C194FB">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13.5</w:t>
                  </w:r>
                </w:p>
              </w:tc>
              <w:tc>
                <w:tcPr>
                  <w:tcW w:w="1313" w:type="dxa"/>
                  <w:noWrap w:val="0"/>
                  <w:vAlign w:val="center"/>
                </w:tcPr>
                <w:p w14:paraId="101D7184">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1313" w:type="dxa"/>
                  <w:noWrap w:val="0"/>
                  <w:vAlign w:val="center"/>
                </w:tcPr>
                <w:p w14:paraId="2CFDD5D8">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19.5</w:t>
                  </w:r>
                </w:p>
              </w:tc>
            </w:tr>
            <w:tr w14:paraId="355A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2" w:type="dxa"/>
                  <w:vMerge w:val="continue"/>
                  <w:noWrap w:val="0"/>
                  <w:vAlign w:val="center"/>
                </w:tcPr>
                <w:p w14:paraId="08241C73">
                  <w:pPr>
                    <w:pStyle w:val="71"/>
                    <w:bidi w:val="0"/>
                    <w:jc w:val="center"/>
                    <w:rPr>
                      <w:rFonts w:hint="default" w:ascii="Times New Roman" w:hAnsi="Times New Roman" w:cs="Times New Roman"/>
                      <w:lang w:val="en-US" w:eastAsia="zh-CN"/>
                    </w:rPr>
                  </w:pPr>
                </w:p>
              </w:tc>
              <w:tc>
                <w:tcPr>
                  <w:tcW w:w="1313" w:type="dxa"/>
                  <w:noWrap w:val="0"/>
                  <w:vAlign w:val="center"/>
                </w:tcPr>
                <w:p w14:paraId="7DC84206">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排放量t/a</w:t>
                  </w:r>
                </w:p>
              </w:tc>
              <w:tc>
                <w:tcPr>
                  <w:tcW w:w="1313" w:type="dxa"/>
                  <w:noWrap w:val="0"/>
                  <w:vAlign w:val="center"/>
                </w:tcPr>
                <w:p w14:paraId="3F41FA5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2.73</w:t>
                  </w:r>
                </w:p>
              </w:tc>
              <w:tc>
                <w:tcPr>
                  <w:tcW w:w="1313" w:type="dxa"/>
                  <w:noWrap w:val="0"/>
                  <w:vAlign w:val="center"/>
                </w:tcPr>
                <w:p w14:paraId="4A5D4B43">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0.71</w:t>
                  </w:r>
                </w:p>
              </w:tc>
              <w:tc>
                <w:tcPr>
                  <w:tcW w:w="1313" w:type="dxa"/>
                  <w:noWrap w:val="0"/>
                  <w:vAlign w:val="center"/>
                </w:tcPr>
                <w:p w14:paraId="508718A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0.63</w:t>
                  </w:r>
                </w:p>
              </w:tc>
              <w:tc>
                <w:tcPr>
                  <w:tcW w:w="1313" w:type="dxa"/>
                  <w:noWrap w:val="0"/>
                  <w:vAlign w:val="center"/>
                </w:tcPr>
                <w:p w14:paraId="683C249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1.02</w:t>
                  </w:r>
                </w:p>
              </w:tc>
            </w:tr>
            <w:tr w14:paraId="1C2C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25" w:type="dxa"/>
                  <w:gridSpan w:val="2"/>
                  <w:noWrap w:val="0"/>
                  <w:vAlign w:val="center"/>
                </w:tcPr>
                <w:p w14:paraId="61387BEA">
                  <w:pPr>
                    <w:pStyle w:val="71"/>
                    <w:bidi w:val="0"/>
                    <w:jc w:val="center"/>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消减量t/a</w:t>
                  </w:r>
                </w:p>
              </w:tc>
              <w:tc>
                <w:tcPr>
                  <w:tcW w:w="1313" w:type="dxa"/>
                  <w:noWrap w:val="0"/>
                  <w:vAlign w:val="center"/>
                </w:tcPr>
                <w:p w14:paraId="5D558DAB">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186.27</w:t>
                  </w:r>
                </w:p>
              </w:tc>
              <w:tc>
                <w:tcPr>
                  <w:tcW w:w="1313" w:type="dxa"/>
                  <w:noWrap w:val="0"/>
                  <w:vAlign w:val="center"/>
                </w:tcPr>
                <w:p w14:paraId="77366DF4">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78.04</w:t>
                  </w:r>
                </w:p>
              </w:tc>
              <w:tc>
                <w:tcPr>
                  <w:tcW w:w="1313" w:type="dxa"/>
                  <w:noWrap w:val="0"/>
                  <w:vAlign w:val="center"/>
                </w:tcPr>
                <w:p w14:paraId="4F76D420">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25.62</w:t>
                  </w:r>
                </w:p>
              </w:tc>
              <w:tc>
                <w:tcPr>
                  <w:tcW w:w="1313" w:type="dxa"/>
                  <w:noWrap w:val="0"/>
                  <w:vAlign w:val="center"/>
                </w:tcPr>
                <w:p w14:paraId="46045746">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103.98</w:t>
                  </w:r>
                </w:p>
              </w:tc>
            </w:tr>
          </w:tbl>
          <w:p w14:paraId="544C7CB4">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根据上述分析，本项目用水情况汇总见下表。</w:t>
            </w:r>
          </w:p>
          <w:p w14:paraId="39CA4DA8">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7</w:t>
            </w:r>
            <w:r>
              <w:rPr>
                <w:rFonts w:hint="default" w:ascii="Times New Roman" w:hAnsi="Times New Roman" w:cs="Times New Roman"/>
                <w:lang w:val="en-US" w:eastAsia="zh-CN"/>
              </w:rPr>
              <w:t>项目用水情况表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59"/>
              <w:gridCol w:w="1848"/>
              <w:gridCol w:w="1344"/>
              <w:gridCol w:w="1159"/>
              <w:gridCol w:w="1524"/>
              <w:gridCol w:w="1525"/>
            </w:tblGrid>
            <w:tr w14:paraId="6CE6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92" w:type="pct"/>
                  <w:noWrap w:val="0"/>
                  <w:vAlign w:val="center"/>
                </w:tcPr>
                <w:p w14:paraId="4F58D0CE">
                  <w:pPr>
                    <w:pStyle w:val="71"/>
                    <w:rPr>
                      <w:rFonts w:hint="default" w:ascii="Times New Roman" w:hAnsi="Times New Roman" w:cs="Times New Roman"/>
                    </w:rPr>
                  </w:pPr>
                  <w:r>
                    <w:rPr>
                      <w:rFonts w:hint="default" w:ascii="Times New Roman" w:hAnsi="Times New Roman" w:cs="Times New Roman"/>
                    </w:rPr>
                    <w:t>序号</w:t>
                  </w:r>
                </w:p>
              </w:tc>
              <w:tc>
                <w:tcPr>
                  <w:tcW w:w="1175" w:type="pct"/>
                  <w:noWrap w:val="0"/>
                  <w:vAlign w:val="center"/>
                </w:tcPr>
                <w:p w14:paraId="257EA5D7">
                  <w:pPr>
                    <w:pStyle w:val="71"/>
                    <w:rPr>
                      <w:rFonts w:hint="default" w:ascii="Times New Roman" w:hAnsi="Times New Roman" w:cs="Times New Roman"/>
                    </w:rPr>
                  </w:pPr>
                  <w:r>
                    <w:rPr>
                      <w:rFonts w:hint="default" w:ascii="Times New Roman" w:hAnsi="Times New Roman" w:cs="Times New Roman"/>
                    </w:rPr>
                    <w:t>用水工序</w:t>
                  </w:r>
                </w:p>
              </w:tc>
              <w:tc>
                <w:tcPr>
                  <w:tcW w:w="855" w:type="pct"/>
                  <w:noWrap w:val="0"/>
                  <w:vAlign w:val="center"/>
                </w:tcPr>
                <w:p w14:paraId="3DE29F09">
                  <w:pPr>
                    <w:pStyle w:val="71"/>
                    <w:rPr>
                      <w:rFonts w:hint="default" w:ascii="Times New Roman" w:hAnsi="Times New Roman" w:cs="Times New Roman"/>
                    </w:rPr>
                  </w:pPr>
                  <w:r>
                    <w:rPr>
                      <w:rFonts w:hint="default" w:ascii="Times New Roman" w:hAnsi="Times New Roman" w:cs="Times New Roman"/>
                    </w:rPr>
                    <w:t>用水量m³/a</w:t>
                  </w:r>
                </w:p>
              </w:tc>
              <w:tc>
                <w:tcPr>
                  <w:tcW w:w="737" w:type="pct"/>
                  <w:noWrap w:val="0"/>
                  <w:vAlign w:val="center"/>
                </w:tcPr>
                <w:p w14:paraId="0AFC3925">
                  <w:pPr>
                    <w:pStyle w:val="71"/>
                    <w:rPr>
                      <w:rFonts w:hint="default" w:ascii="Times New Roman" w:hAnsi="Times New Roman" w:cs="Times New Roman"/>
                    </w:rPr>
                  </w:pPr>
                  <w:r>
                    <w:rPr>
                      <w:rFonts w:hint="default" w:ascii="Times New Roman" w:hAnsi="Times New Roman" w:cs="Times New Roman"/>
                    </w:rPr>
                    <w:t>损耗m³/a</w:t>
                  </w:r>
                </w:p>
              </w:tc>
              <w:tc>
                <w:tcPr>
                  <w:tcW w:w="969" w:type="pct"/>
                  <w:noWrap w:val="0"/>
                  <w:vAlign w:val="center"/>
                </w:tcPr>
                <w:p w14:paraId="6623803B">
                  <w:pPr>
                    <w:pStyle w:val="71"/>
                    <w:rPr>
                      <w:rFonts w:hint="default" w:ascii="Times New Roman" w:hAnsi="Times New Roman" w:cs="Times New Roman"/>
                    </w:rPr>
                  </w:pPr>
                  <w:r>
                    <w:rPr>
                      <w:rFonts w:hint="default" w:ascii="Times New Roman" w:hAnsi="Times New Roman" w:cs="Times New Roman"/>
                    </w:rPr>
                    <w:t>循环量/去向m³/a</w:t>
                  </w:r>
                </w:p>
              </w:tc>
              <w:tc>
                <w:tcPr>
                  <w:tcW w:w="970" w:type="pct"/>
                  <w:noWrap w:val="0"/>
                  <w:vAlign w:val="center"/>
                </w:tcPr>
                <w:p w14:paraId="04890766">
                  <w:pPr>
                    <w:pStyle w:val="71"/>
                    <w:rPr>
                      <w:rFonts w:hint="default" w:ascii="Times New Roman" w:hAnsi="Times New Roman" w:cs="Times New Roman"/>
                    </w:rPr>
                  </w:pPr>
                  <w:r>
                    <w:rPr>
                      <w:rFonts w:hint="default" w:ascii="Times New Roman" w:hAnsi="Times New Roman" w:cs="Times New Roman"/>
                    </w:rPr>
                    <w:t>排放去向</w:t>
                  </w:r>
                </w:p>
              </w:tc>
            </w:tr>
            <w:tr w14:paraId="7B30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92" w:type="pct"/>
                  <w:noWrap w:val="0"/>
                  <w:vAlign w:val="center"/>
                </w:tcPr>
                <w:p w14:paraId="55AA3CCB">
                  <w:pPr>
                    <w:pStyle w:val="71"/>
                    <w:rPr>
                      <w:rFonts w:hint="default" w:ascii="Times New Roman" w:hAnsi="Times New Roman" w:eastAsia="宋体" w:cs="Times New Roman"/>
                      <w:kern w:val="10"/>
                      <w:sz w:val="21"/>
                      <w:szCs w:val="21"/>
                      <w:lang w:val="en-US" w:eastAsia="zh-CN" w:bidi="ar-SA"/>
                    </w:rPr>
                  </w:pPr>
                  <w:r>
                    <w:rPr>
                      <w:rFonts w:hint="default" w:ascii="Times New Roman" w:hAnsi="Times New Roman" w:eastAsia="宋体" w:cs="Times New Roman"/>
                      <w:kern w:val="10"/>
                      <w:sz w:val="21"/>
                      <w:szCs w:val="21"/>
                      <w:lang w:val="en-US" w:eastAsia="zh-CN" w:bidi="ar-SA"/>
                    </w:rPr>
                    <w:t>1</w:t>
                  </w:r>
                </w:p>
              </w:tc>
              <w:tc>
                <w:tcPr>
                  <w:tcW w:w="1175" w:type="pct"/>
                  <w:noWrap w:val="0"/>
                  <w:vAlign w:val="center"/>
                </w:tcPr>
                <w:p w14:paraId="11ECAF20">
                  <w:pPr>
                    <w:pStyle w:val="71"/>
                    <w:rPr>
                      <w:rFonts w:hint="default" w:ascii="Times New Roman" w:hAnsi="Times New Roman" w:cs="Times New Roman"/>
                    </w:rPr>
                  </w:pPr>
                  <w:r>
                    <w:rPr>
                      <w:rFonts w:hint="eastAsia" w:ascii="Times New Roman" w:hAnsi="Times New Roman" w:cs="Times New Roman"/>
                      <w:lang w:val="en-US" w:eastAsia="zh-CN"/>
                    </w:rPr>
                    <w:t>办公</w:t>
                  </w:r>
                  <w:r>
                    <w:rPr>
                      <w:rFonts w:hint="default" w:ascii="Times New Roman" w:hAnsi="Times New Roman" w:cs="Times New Roman"/>
                    </w:rPr>
                    <w:t>用水</w:t>
                  </w:r>
                </w:p>
              </w:tc>
              <w:tc>
                <w:tcPr>
                  <w:tcW w:w="855" w:type="pct"/>
                  <w:noWrap w:val="0"/>
                  <w:vAlign w:val="center"/>
                </w:tcPr>
                <w:p w14:paraId="1D7EA51B">
                  <w:pPr>
                    <w:pStyle w:val="71"/>
                    <w:rPr>
                      <w:rFonts w:hint="default" w:ascii="Times New Roman" w:hAnsi="Times New Roman" w:eastAsia="宋体" w:cs="Times New Roman"/>
                      <w:lang w:val="en-US" w:eastAsia="zh-CN"/>
                    </w:rPr>
                  </w:pPr>
                  <w:r>
                    <w:rPr>
                      <w:rFonts w:hint="default" w:ascii="Times New Roman" w:hAnsi="Times New Roman" w:cs="Times New Roman"/>
                      <w:lang w:val="en-US" w:eastAsia="zh-CN"/>
                    </w:rPr>
                    <w:t>0.2</w:t>
                  </w:r>
                </w:p>
              </w:tc>
              <w:tc>
                <w:tcPr>
                  <w:tcW w:w="737" w:type="pct"/>
                  <w:noWrap w:val="0"/>
                  <w:vAlign w:val="center"/>
                </w:tcPr>
                <w:p w14:paraId="097CAB86">
                  <w:pPr>
                    <w:pStyle w:val="71"/>
                    <w:rPr>
                      <w:rFonts w:hint="default" w:ascii="Times New Roman" w:hAnsi="Times New Roman" w:eastAsia="宋体" w:cs="Times New Roman"/>
                      <w:lang w:val="en-US" w:eastAsia="zh-CN"/>
                    </w:rPr>
                  </w:pPr>
                  <w:r>
                    <w:rPr>
                      <w:rFonts w:hint="default" w:ascii="Times New Roman" w:hAnsi="Times New Roman" w:cs="Times New Roman"/>
                      <w:lang w:val="en-US" w:eastAsia="zh-CN"/>
                    </w:rPr>
                    <w:t>0.4</w:t>
                  </w:r>
                </w:p>
              </w:tc>
              <w:tc>
                <w:tcPr>
                  <w:tcW w:w="969" w:type="pct"/>
                  <w:noWrap w:val="0"/>
                  <w:vAlign w:val="center"/>
                </w:tcPr>
                <w:p w14:paraId="231FF2C9">
                  <w:pPr>
                    <w:pStyle w:val="71"/>
                    <w:rPr>
                      <w:rFonts w:hint="default" w:ascii="Times New Roman" w:hAnsi="Times New Roman" w:eastAsia="宋体" w:cs="Times New Roman"/>
                      <w:lang w:val="en-US" w:eastAsia="zh-CN"/>
                    </w:rPr>
                  </w:pPr>
                  <w:r>
                    <w:rPr>
                      <w:rFonts w:hint="default" w:ascii="Times New Roman" w:hAnsi="Times New Roman" w:cs="Times New Roman"/>
                      <w:lang w:val="en-US" w:eastAsia="zh-CN"/>
                    </w:rPr>
                    <w:t>0.16</w:t>
                  </w:r>
                </w:p>
              </w:tc>
              <w:tc>
                <w:tcPr>
                  <w:tcW w:w="970" w:type="pct"/>
                  <w:vMerge w:val="restart"/>
                  <w:noWrap w:val="0"/>
                  <w:vAlign w:val="center"/>
                </w:tcPr>
                <w:p w14:paraId="5867C41A">
                  <w:pPr>
                    <w:pStyle w:val="71"/>
                    <w:rPr>
                      <w:rFonts w:hint="default" w:ascii="Times New Roman" w:hAnsi="Times New Roman" w:eastAsia="宋体" w:cs="Times New Roman"/>
                      <w:lang w:eastAsia="zh-CN"/>
                    </w:rPr>
                  </w:pPr>
                  <w:r>
                    <w:rPr>
                      <w:rFonts w:hint="default" w:ascii="Times New Roman" w:hAnsi="Times New Roman" w:cs="Times New Roman"/>
                      <w:lang w:eastAsia="zh-CN"/>
                    </w:rPr>
                    <w:t>达标后外排</w:t>
                  </w:r>
                </w:p>
              </w:tc>
            </w:tr>
            <w:tr w14:paraId="173C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92" w:type="pct"/>
                  <w:noWrap w:val="0"/>
                  <w:vAlign w:val="center"/>
                </w:tcPr>
                <w:p w14:paraId="7C698745">
                  <w:pPr>
                    <w:pStyle w:val="71"/>
                    <w:rPr>
                      <w:rFonts w:hint="default" w:ascii="Times New Roman" w:hAnsi="Times New Roman" w:eastAsia="宋体" w:cs="Times New Roman"/>
                      <w:kern w:val="10"/>
                      <w:sz w:val="21"/>
                      <w:szCs w:val="21"/>
                      <w:lang w:val="en-US" w:eastAsia="zh-CN" w:bidi="ar-SA"/>
                    </w:rPr>
                  </w:pPr>
                  <w:r>
                    <w:rPr>
                      <w:rFonts w:hint="default" w:ascii="Times New Roman" w:hAnsi="Times New Roman" w:cs="Times New Roman"/>
                      <w:kern w:val="10"/>
                      <w:sz w:val="21"/>
                      <w:szCs w:val="21"/>
                      <w:lang w:val="en-US" w:eastAsia="zh-CN" w:bidi="ar-SA"/>
                    </w:rPr>
                    <w:t>2</w:t>
                  </w:r>
                </w:p>
              </w:tc>
              <w:tc>
                <w:tcPr>
                  <w:tcW w:w="1175" w:type="pct"/>
                  <w:noWrap w:val="0"/>
                  <w:vAlign w:val="center"/>
                </w:tcPr>
                <w:p w14:paraId="668F2F9B">
                  <w:pPr>
                    <w:pStyle w:val="71"/>
                    <w:rPr>
                      <w:rFonts w:hint="default" w:ascii="Times New Roman" w:hAnsi="Times New Roman" w:eastAsia="宋体" w:cs="Times New Roman"/>
                      <w:lang w:eastAsia="zh-CN"/>
                    </w:rPr>
                  </w:pPr>
                  <w:r>
                    <w:rPr>
                      <w:rFonts w:hint="default" w:ascii="Times New Roman" w:hAnsi="Times New Roman" w:cs="Times New Roman"/>
                      <w:lang w:eastAsia="zh-CN"/>
                    </w:rPr>
                    <w:t>洗涤塔用水</w:t>
                  </w:r>
                </w:p>
              </w:tc>
              <w:tc>
                <w:tcPr>
                  <w:tcW w:w="855" w:type="pct"/>
                  <w:noWrap w:val="0"/>
                  <w:vAlign w:val="center"/>
                </w:tcPr>
                <w:p w14:paraId="2E6E1A1C">
                  <w:pPr>
                    <w:pStyle w:val="71"/>
                    <w:rPr>
                      <w:rFonts w:hint="default" w:ascii="Times New Roman" w:hAnsi="Times New Roman" w:cs="Times New Roman"/>
                      <w:lang w:val="en-US" w:eastAsia="zh-CN"/>
                    </w:rPr>
                  </w:pPr>
                  <w:r>
                    <w:rPr>
                      <w:rFonts w:hint="default" w:ascii="Times New Roman" w:hAnsi="Times New Roman" w:cs="Times New Roman"/>
                      <w:lang w:val="en-US" w:eastAsia="zh-CN"/>
                    </w:rPr>
                    <w:t>59</w:t>
                  </w:r>
                </w:p>
              </w:tc>
              <w:tc>
                <w:tcPr>
                  <w:tcW w:w="737" w:type="pct"/>
                  <w:noWrap w:val="0"/>
                  <w:vAlign w:val="center"/>
                </w:tcPr>
                <w:p w14:paraId="1A3D4885">
                  <w:pPr>
                    <w:pStyle w:val="71"/>
                    <w:rPr>
                      <w:rFonts w:hint="default" w:ascii="Times New Roman" w:hAnsi="Times New Roman" w:cs="Times New Roman"/>
                      <w:lang w:val="en-US" w:eastAsia="zh-CN"/>
                    </w:rPr>
                  </w:pPr>
                  <w:r>
                    <w:rPr>
                      <w:rFonts w:hint="default" w:ascii="Times New Roman" w:hAnsi="Times New Roman" w:cs="Times New Roman"/>
                      <w:lang w:val="en-US" w:eastAsia="zh-CN"/>
                    </w:rPr>
                    <w:t>0</w:t>
                  </w:r>
                </w:p>
              </w:tc>
              <w:tc>
                <w:tcPr>
                  <w:tcW w:w="969" w:type="pct"/>
                  <w:noWrap w:val="0"/>
                  <w:vAlign w:val="center"/>
                </w:tcPr>
                <w:p w14:paraId="6E3F16D2">
                  <w:pPr>
                    <w:pStyle w:val="71"/>
                    <w:rPr>
                      <w:rFonts w:hint="default" w:ascii="Times New Roman" w:hAnsi="Times New Roman" w:cs="Times New Roman"/>
                      <w:lang w:val="en-US" w:eastAsia="zh-CN"/>
                    </w:rPr>
                  </w:pPr>
                  <w:r>
                    <w:rPr>
                      <w:rFonts w:hint="default" w:ascii="Times New Roman" w:hAnsi="Times New Roman" w:cs="Times New Roman"/>
                      <w:lang w:val="en-US" w:eastAsia="zh-CN"/>
                    </w:rPr>
                    <w:t>59</w:t>
                  </w:r>
                </w:p>
              </w:tc>
              <w:tc>
                <w:tcPr>
                  <w:tcW w:w="970" w:type="pct"/>
                  <w:vMerge w:val="continue"/>
                  <w:noWrap w:val="0"/>
                  <w:vAlign w:val="center"/>
                </w:tcPr>
                <w:p w14:paraId="20622296">
                  <w:pPr>
                    <w:pStyle w:val="71"/>
                    <w:rPr>
                      <w:rFonts w:hint="default" w:ascii="Times New Roman" w:hAnsi="Times New Roman" w:eastAsia="宋体" w:cs="Times New Roman"/>
                      <w:lang w:eastAsia="zh-CN"/>
                    </w:rPr>
                  </w:pPr>
                </w:p>
              </w:tc>
            </w:tr>
            <w:tr w14:paraId="0DE9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292" w:type="pct"/>
                  <w:noWrap w:val="0"/>
                  <w:vAlign w:val="center"/>
                </w:tcPr>
                <w:p w14:paraId="40BB4C80">
                  <w:pPr>
                    <w:pStyle w:val="71"/>
                    <w:rPr>
                      <w:rFonts w:hint="default" w:ascii="Times New Roman" w:hAnsi="Times New Roman" w:eastAsia="宋体" w:cs="Times New Roman"/>
                      <w:kern w:val="10"/>
                      <w:sz w:val="21"/>
                      <w:szCs w:val="21"/>
                      <w:lang w:val="en-US" w:eastAsia="zh-CN" w:bidi="ar-SA"/>
                    </w:rPr>
                  </w:pPr>
                  <w:r>
                    <w:rPr>
                      <w:rFonts w:hint="default" w:ascii="Times New Roman" w:hAnsi="Times New Roman" w:cs="Times New Roman"/>
                      <w:kern w:val="10"/>
                      <w:sz w:val="21"/>
                      <w:szCs w:val="21"/>
                      <w:lang w:val="en-US" w:eastAsia="zh-CN" w:bidi="ar-SA"/>
                    </w:rPr>
                    <w:t>3</w:t>
                  </w:r>
                </w:p>
              </w:tc>
              <w:tc>
                <w:tcPr>
                  <w:tcW w:w="1175" w:type="pct"/>
                  <w:noWrap w:val="0"/>
                  <w:vAlign w:val="center"/>
                </w:tcPr>
                <w:p w14:paraId="67386E0B">
                  <w:pPr>
                    <w:pStyle w:val="71"/>
                    <w:rPr>
                      <w:rFonts w:hint="default" w:ascii="Times New Roman" w:hAnsi="Times New Roman" w:cs="Times New Roman"/>
                    </w:rPr>
                  </w:pPr>
                  <w:r>
                    <w:rPr>
                      <w:rFonts w:hint="default" w:ascii="Times New Roman" w:hAnsi="Times New Roman" w:cs="Times New Roman"/>
                    </w:rPr>
                    <w:t>新鲜水用量</w:t>
                  </w:r>
                </w:p>
              </w:tc>
              <w:tc>
                <w:tcPr>
                  <w:tcW w:w="3532" w:type="pct"/>
                  <w:gridSpan w:val="4"/>
                  <w:noWrap w:val="0"/>
                  <w:vAlign w:val="center"/>
                </w:tcPr>
                <w:p w14:paraId="2364CBC2">
                  <w:pPr>
                    <w:pStyle w:val="71"/>
                    <w:rPr>
                      <w:rFonts w:hint="default" w:ascii="Times New Roman" w:hAnsi="Times New Roman" w:cs="Times New Roman"/>
                    </w:rPr>
                  </w:pPr>
                  <w:r>
                    <w:rPr>
                      <w:rFonts w:hint="default" w:ascii="Times New Roman" w:hAnsi="Times New Roman" w:cs="Times New Roman"/>
                      <w:lang w:val="en-US" w:eastAsia="zh-CN"/>
                    </w:rPr>
                    <w:t>59.2</w:t>
                  </w:r>
                  <w:r>
                    <w:rPr>
                      <w:rFonts w:hint="default" w:ascii="Times New Roman" w:hAnsi="Times New Roman" w:cs="Times New Roman"/>
                    </w:rPr>
                    <w:t>m³/a</w:t>
                  </w:r>
                </w:p>
              </w:tc>
            </w:tr>
          </w:tbl>
          <w:p w14:paraId="25E7812B">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（2）运营期水环境影响分析</w:t>
            </w:r>
          </w:p>
          <w:p w14:paraId="00DDFA91">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本项目圾渗滤液、工作人员</w:t>
            </w:r>
            <w:r>
              <w:rPr>
                <w:rFonts w:hint="eastAsia" w:ascii="Times New Roman" w:hAnsi="Times New Roman" w:cs="Times New Roman"/>
                <w:lang w:val="en-US" w:eastAsia="zh-CN"/>
              </w:rPr>
              <w:t>办公</w:t>
            </w:r>
            <w:r>
              <w:rPr>
                <w:rFonts w:hint="default" w:ascii="Times New Roman" w:hAnsi="Times New Roman" w:cs="Times New Roman"/>
                <w:lang w:val="en-US" w:eastAsia="zh-CN"/>
              </w:rPr>
              <w:t>污水进入渗滤液处理系统处理，处理后外排。</w:t>
            </w:r>
          </w:p>
          <w:p w14:paraId="6B41381A">
            <w:pPr>
              <w:pStyle w:val="3"/>
              <w:bidi w:val="0"/>
              <w:rPr>
                <w:rFonts w:hint="default" w:ascii="Times New Roman" w:hAnsi="Times New Roman" w:cs="Times New Roman"/>
                <w:lang w:val="en-US"/>
              </w:rPr>
            </w:pPr>
            <w:r>
              <w:rPr>
                <w:rFonts w:hint="default" w:ascii="Times New Roman" w:hAnsi="Times New Roman" w:cs="Times New Roman"/>
                <w:lang w:val="en-US" w:eastAsia="zh-CN"/>
              </w:rPr>
              <w:t>项目运营期主要采用</w:t>
            </w:r>
            <w:r>
              <w:rPr>
                <w:rFonts w:hint="default" w:ascii="Times New Roman" w:hAnsi="Times New Roman" w:eastAsia="宋体" w:cs="Times New Roman"/>
                <w:color w:val="000000" w:themeColor="text1"/>
                <w:sz w:val="24"/>
                <w:lang w:val="en-US" w:eastAsia="zh-CN"/>
                <w14:textFill>
                  <w14:solidFill>
                    <w14:schemeClr w14:val="tx1"/>
                  </w14:solidFill>
                </w14:textFill>
              </w:rPr>
              <w:t>：预处理+短程强化生化+NF+RO+去氨氮保障系统；</w:t>
            </w:r>
            <w:r>
              <w:rPr>
                <w:rFonts w:hint="default" w:ascii="Times New Roman" w:hAnsi="Times New Roman" w:cs="Times New Roman"/>
                <w:lang w:val="en-US" w:eastAsia="zh-CN"/>
              </w:rPr>
              <w:t>雨季时</w:t>
            </w:r>
            <w:r>
              <w:rPr>
                <w:rFonts w:hint="default" w:ascii="Times New Roman" w:hAnsi="Times New Roman" w:cs="Times New Roman"/>
                <w:lang w:val="en-US"/>
              </w:rPr>
              <w:t>的渗滤液处理工艺为两级</w:t>
            </w:r>
            <w:r>
              <w:rPr>
                <w:rFonts w:hint="default" w:ascii="Times New Roman" w:hAnsi="Times New Roman" w:cs="Times New Roman"/>
                <w:lang w:val="en-US" w:eastAsia="zh-CN"/>
              </w:rPr>
              <w:t>S</w:t>
            </w:r>
            <w:r>
              <w:rPr>
                <w:rFonts w:hint="default" w:ascii="Times New Roman" w:hAnsi="Times New Roman" w:cs="Times New Roman"/>
                <w:lang w:val="en-US"/>
              </w:rPr>
              <w:t>TRO工艺，浓缩液采取回灌的方式处理。两级</w:t>
            </w:r>
            <w:r>
              <w:rPr>
                <w:rFonts w:hint="default" w:ascii="Times New Roman" w:hAnsi="Times New Roman" w:cs="Times New Roman"/>
                <w:lang w:val="en-US" w:eastAsia="zh-CN"/>
              </w:rPr>
              <w:t>S</w:t>
            </w:r>
            <w:r>
              <w:rPr>
                <w:rFonts w:hint="default" w:ascii="Times New Roman" w:hAnsi="Times New Roman" w:cs="Times New Roman"/>
                <w:lang w:val="en-US"/>
              </w:rPr>
              <w:t>TRO工艺是基于碟管式反渗透膜的工艺运用，其核心技术在</w:t>
            </w:r>
            <w:r>
              <w:rPr>
                <w:rFonts w:hint="default" w:ascii="Times New Roman" w:hAnsi="Times New Roman" w:cs="Times New Roman"/>
                <w:lang w:val="en-US" w:eastAsia="zh-CN"/>
              </w:rPr>
              <w:t>于</w:t>
            </w:r>
            <w:r>
              <w:rPr>
                <w:rFonts w:hint="default" w:ascii="Times New Roman" w:hAnsi="Times New Roman" w:cs="Times New Roman"/>
                <w:lang w:val="en-US"/>
              </w:rPr>
              <w:t>碟管式反渗透膜的独特结构形式，使得反渗透膜直接处理垃圾渗滤液成为可能，是一种稳定可靠的垃圾渗滤液处理技术，在满足现行垃圾填埋场污染物控制排放标准的工艺路线中，具备投资省、自控程度高操作维护简便、运行费用低以及稳定持续满足排放要求的特点。两级</w:t>
            </w:r>
            <w:r>
              <w:rPr>
                <w:rFonts w:hint="default" w:ascii="Times New Roman" w:hAnsi="Times New Roman" w:cs="Times New Roman"/>
                <w:lang w:val="en-US" w:eastAsia="zh-CN"/>
              </w:rPr>
              <w:t>S</w:t>
            </w:r>
            <w:r>
              <w:rPr>
                <w:rFonts w:hint="default" w:ascii="Times New Roman" w:hAnsi="Times New Roman" w:cs="Times New Roman"/>
                <w:lang w:val="en-US"/>
              </w:rPr>
              <w:t>TRO成套装置中集成了用于预处理的砂滤系统、保安过滤器，用</w:t>
            </w:r>
            <w:r>
              <w:rPr>
                <w:rFonts w:hint="default" w:ascii="Times New Roman" w:hAnsi="Times New Roman" w:cs="Times New Roman"/>
                <w:lang w:val="en-US" w:eastAsia="zh-CN"/>
              </w:rPr>
              <w:t>于</w:t>
            </w:r>
            <w:r>
              <w:rPr>
                <w:rFonts w:hint="default" w:ascii="Times New Roman" w:hAnsi="Times New Roman" w:cs="Times New Roman"/>
                <w:lang w:val="en-US"/>
              </w:rPr>
              <w:t>反渗透分离的膜组件、高压泵、循环泵</w:t>
            </w:r>
            <w:r>
              <w:rPr>
                <w:rFonts w:hint="default" w:ascii="Times New Roman" w:hAnsi="Times New Roman" w:cs="Times New Roman"/>
                <w:lang w:val="en-US" w:eastAsia="zh-CN"/>
              </w:rPr>
              <w:t>；</w:t>
            </w:r>
            <w:r>
              <w:rPr>
                <w:rFonts w:hint="default" w:ascii="Times New Roman" w:hAnsi="Times New Roman" w:cs="Times New Roman"/>
                <w:lang w:val="en-US"/>
              </w:rPr>
              <w:t>用于系统清洗的清洗水箱以及用于设备供电及控制的 柜等</w:t>
            </w:r>
            <w:r>
              <w:rPr>
                <w:rFonts w:hint="default" w:ascii="Times New Roman" w:hAnsi="Times New Roman" w:cs="Times New Roman"/>
                <w:lang w:val="en-US" w:eastAsia="zh-CN"/>
              </w:rPr>
              <w:t>；</w:t>
            </w:r>
            <w:r>
              <w:rPr>
                <w:rFonts w:hint="default" w:ascii="Times New Roman" w:hAnsi="Times New Roman" w:cs="Times New Roman"/>
                <w:lang w:val="en-US"/>
              </w:rPr>
              <w:t>工艺中采用的</w:t>
            </w:r>
            <w:r>
              <w:rPr>
                <w:rFonts w:hint="default" w:ascii="Times New Roman" w:hAnsi="Times New Roman" w:cs="Times New Roman"/>
                <w:lang w:val="en-US" w:eastAsia="zh-CN"/>
              </w:rPr>
              <w:t>S</w:t>
            </w:r>
            <w:r>
              <w:rPr>
                <w:rFonts w:hint="default" w:ascii="Times New Roman" w:hAnsi="Times New Roman" w:cs="Times New Roman"/>
                <w:lang w:val="en-US"/>
              </w:rPr>
              <w:t>T膜组件采用标准化设计，组件易于拆卸维护，有效避免膜的结垢，膜污染减轻，使反渗透膜的寿命延长。反渗透膜对各项污染物都具有极高的去除率，出水水质好</w:t>
            </w:r>
            <w:r>
              <w:rPr>
                <w:rFonts w:hint="default" w:ascii="Times New Roman" w:hAnsi="Times New Roman" w:cs="Times New Roman"/>
                <w:lang w:val="en-US" w:eastAsia="zh-CN"/>
              </w:rPr>
              <w:t>。</w:t>
            </w:r>
          </w:p>
          <w:p w14:paraId="1CA0BF84">
            <w:pPr>
              <w:pStyle w:val="3"/>
              <w:bidi w:val="0"/>
              <w:rPr>
                <w:rFonts w:hint="default" w:ascii="Times New Roman" w:hAnsi="Times New Roman" w:cs="Times New Roman"/>
                <w:lang w:eastAsia="zh-CN"/>
              </w:rPr>
            </w:pPr>
            <w:r>
              <w:rPr>
                <w:rFonts w:hint="default" w:ascii="Times New Roman" w:hAnsi="Times New Roman" w:cs="Times New Roman"/>
              </w:rPr>
              <w:t xml:space="preserve">根据《厌氧-缺氧-好氧活性污泥法污水处理工程技术规范》（HJ </w:t>
            </w:r>
            <w:r>
              <w:rPr>
                <w:rFonts w:hint="default" w:ascii="Times New Roman" w:hAnsi="Times New Roman" w:cs="Times New Roman"/>
                <w:lang w:val="en-US" w:eastAsia="zh-CN"/>
              </w:rPr>
              <w:t>5</w:t>
            </w:r>
            <w:r>
              <w:rPr>
                <w:rFonts w:hint="default" w:ascii="Times New Roman" w:hAnsi="Times New Roman" w:cs="Times New Roman"/>
              </w:rPr>
              <w:t>76-2010）和《膜分离法污水处理工程技术规范》（HJ 579-2010），项目各处理单元去除率及污水水质如下</w:t>
            </w:r>
            <w:r>
              <w:rPr>
                <w:rFonts w:hint="default" w:ascii="Times New Roman" w:hAnsi="Times New Roman" w:cs="Times New Roman"/>
                <w:lang w:eastAsia="zh-CN"/>
              </w:rPr>
              <w:t>表。</w:t>
            </w:r>
          </w:p>
          <w:p w14:paraId="05A61292">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8</w:t>
            </w:r>
            <w:r>
              <w:rPr>
                <w:rFonts w:hint="default" w:ascii="Times New Roman" w:hAnsi="Times New Roman" w:cs="Times New Roman"/>
                <w:lang w:val="en-US" w:eastAsia="zh-CN"/>
              </w:rPr>
              <w:t>各处理单元去除率及污水水质一览表      单位:mg/L</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331"/>
              <w:gridCol w:w="718"/>
              <w:gridCol w:w="864"/>
              <w:gridCol w:w="1048"/>
              <w:gridCol w:w="1895"/>
            </w:tblGrid>
            <w:tr w14:paraId="7A1E3D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atLeast"/>
                <w:jc w:val="center"/>
              </w:trPr>
              <w:tc>
                <w:tcPr>
                  <w:tcW w:w="2119" w:type="pct"/>
                  <w:tcBorders>
                    <w:tl2br w:val="nil"/>
                    <w:tr2bl w:val="nil"/>
                  </w:tcBorders>
                  <w:shd w:val="clear" w:color="auto" w:fill="FFFFFF"/>
                  <w:noWrap w:val="0"/>
                  <w:tcMar>
                    <w:top w:w="15" w:type="dxa"/>
                    <w:left w:w="15" w:type="dxa"/>
                    <w:bottom w:w="15" w:type="dxa"/>
                    <w:right w:w="15" w:type="dxa"/>
                  </w:tcMar>
                  <w:vAlign w:val="center"/>
                </w:tcPr>
                <w:p w14:paraId="7F7BEB21">
                  <w:pPr>
                    <w:pStyle w:val="71"/>
                    <w:bidi w:val="0"/>
                    <w:rPr>
                      <w:rFonts w:hint="default" w:ascii="Times New Roman" w:hAnsi="Times New Roman" w:cs="Times New Roman"/>
                    </w:rPr>
                  </w:pPr>
                  <w:r>
                    <w:rPr>
                      <w:rFonts w:hint="default" w:ascii="Times New Roman" w:hAnsi="Times New Roman" w:cs="Times New Roman"/>
                    </w:rPr>
                    <w:t>项目</w:t>
                  </w:r>
                </w:p>
              </w:tc>
              <w:tc>
                <w:tcPr>
                  <w:tcW w:w="457" w:type="pct"/>
                  <w:tcBorders>
                    <w:tl2br w:val="nil"/>
                    <w:tr2bl w:val="nil"/>
                  </w:tcBorders>
                  <w:shd w:val="clear" w:color="auto" w:fill="FFFFFF"/>
                  <w:noWrap w:val="0"/>
                  <w:tcMar>
                    <w:top w:w="15" w:type="dxa"/>
                    <w:left w:w="15" w:type="dxa"/>
                    <w:bottom w:w="15" w:type="dxa"/>
                    <w:right w:w="15" w:type="dxa"/>
                  </w:tcMar>
                  <w:vAlign w:val="center"/>
                </w:tcPr>
                <w:p w14:paraId="7C68752E">
                  <w:pPr>
                    <w:pStyle w:val="71"/>
                    <w:bidi w:val="0"/>
                    <w:rPr>
                      <w:rFonts w:hint="default" w:ascii="Times New Roman" w:hAnsi="Times New Roman" w:cs="Times New Roman"/>
                    </w:rPr>
                  </w:pPr>
                  <w:r>
                    <w:rPr>
                      <w:rFonts w:hint="default" w:ascii="Times New Roman" w:hAnsi="Times New Roman" w:cs="Times New Roman"/>
                    </w:rPr>
                    <w:t>COD</w:t>
                  </w:r>
                </w:p>
              </w:tc>
              <w:tc>
                <w:tcPr>
                  <w:tcW w:w="550" w:type="pct"/>
                  <w:tcBorders>
                    <w:tl2br w:val="nil"/>
                    <w:tr2bl w:val="nil"/>
                  </w:tcBorders>
                  <w:shd w:val="clear" w:color="auto" w:fill="FFFFFF"/>
                  <w:noWrap w:val="0"/>
                  <w:vAlign w:val="center"/>
                </w:tcPr>
                <w:p w14:paraId="696D97A3">
                  <w:pPr>
                    <w:pStyle w:val="71"/>
                    <w:bidi w:val="0"/>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667" w:type="pct"/>
                  <w:tcBorders>
                    <w:tl2br w:val="nil"/>
                    <w:tr2bl w:val="nil"/>
                  </w:tcBorders>
                  <w:shd w:val="clear" w:color="auto" w:fill="FFFFFF"/>
                  <w:noWrap w:val="0"/>
                  <w:vAlign w:val="center"/>
                </w:tcPr>
                <w:p w14:paraId="4F16A2E2">
                  <w:pPr>
                    <w:pStyle w:val="71"/>
                    <w:bidi w:val="0"/>
                    <w:rPr>
                      <w:rFonts w:hint="default" w:ascii="Times New Roman" w:hAnsi="Times New Roman" w:cs="Times New Roman"/>
                    </w:rPr>
                  </w:pPr>
                  <w:r>
                    <w:rPr>
                      <w:rFonts w:hint="default" w:ascii="Times New Roman" w:hAnsi="Times New Roman" w:cs="Times New Roman"/>
                    </w:rPr>
                    <w:t>SS</w:t>
                  </w:r>
                </w:p>
              </w:tc>
              <w:tc>
                <w:tcPr>
                  <w:tcW w:w="1205" w:type="pct"/>
                  <w:tcBorders>
                    <w:tl2br w:val="nil"/>
                    <w:tr2bl w:val="nil"/>
                  </w:tcBorders>
                  <w:shd w:val="clear" w:color="auto" w:fill="FFFFFF"/>
                  <w:noWrap w:val="0"/>
                  <w:tcMar>
                    <w:top w:w="15" w:type="dxa"/>
                    <w:left w:w="15" w:type="dxa"/>
                    <w:bottom w:w="15" w:type="dxa"/>
                    <w:right w:w="15" w:type="dxa"/>
                  </w:tcMar>
                  <w:vAlign w:val="center"/>
                </w:tcPr>
                <w:p w14:paraId="632AB132">
                  <w:pPr>
                    <w:pStyle w:val="71"/>
                    <w:bidi w:val="0"/>
                    <w:rPr>
                      <w:rFonts w:hint="default" w:ascii="Times New Roman" w:hAnsi="Times New Roman" w:cs="Times New Roman"/>
                    </w:rPr>
                  </w:pPr>
                  <w:r>
                    <w:rPr>
                      <w:rFonts w:hint="default" w:ascii="Times New Roman" w:hAnsi="Times New Roman" w:cs="Times New Roman"/>
                    </w:rPr>
                    <w:t>氨氮</w:t>
                  </w:r>
                </w:p>
              </w:tc>
            </w:tr>
            <w:tr w14:paraId="0C34894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pct"/>
                  <w:tcBorders>
                    <w:tl2br w:val="nil"/>
                    <w:tr2bl w:val="nil"/>
                  </w:tcBorders>
                  <w:shd w:val="clear" w:color="auto" w:fill="FFFFFF"/>
                  <w:noWrap w:val="0"/>
                  <w:tcMar>
                    <w:top w:w="15" w:type="dxa"/>
                    <w:left w:w="15" w:type="dxa"/>
                    <w:bottom w:w="15" w:type="dxa"/>
                    <w:right w:w="15" w:type="dxa"/>
                  </w:tcMar>
                  <w:vAlign w:val="center"/>
                </w:tcPr>
                <w:p w14:paraId="7CAA8CC3">
                  <w:pPr>
                    <w:pStyle w:val="71"/>
                    <w:bidi w:val="0"/>
                    <w:rPr>
                      <w:rFonts w:hint="default" w:ascii="Times New Roman" w:hAnsi="Times New Roman" w:cs="Times New Roman"/>
                    </w:rPr>
                  </w:pPr>
                  <w:r>
                    <w:rPr>
                      <w:rFonts w:hint="default" w:ascii="Times New Roman" w:hAnsi="Times New Roman" w:cs="Times New Roman"/>
                    </w:rPr>
                    <w:t>实际进水水质</w:t>
                  </w:r>
                </w:p>
              </w:tc>
              <w:tc>
                <w:tcPr>
                  <w:tcW w:w="457" w:type="pct"/>
                  <w:tcBorders>
                    <w:tl2br w:val="nil"/>
                    <w:tr2bl w:val="nil"/>
                  </w:tcBorders>
                  <w:shd w:val="clear" w:color="auto" w:fill="FFFFFF"/>
                  <w:noWrap w:val="0"/>
                  <w:tcMar>
                    <w:top w:w="15" w:type="dxa"/>
                    <w:left w:w="15" w:type="dxa"/>
                    <w:bottom w:w="15" w:type="dxa"/>
                    <w:right w:w="15" w:type="dxa"/>
                  </w:tcMar>
                  <w:vAlign w:val="center"/>
                </w:tcPr>
                <w:p w14:paraId="66CD58F4">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3600</w:t>
                  </w:r>
                </w:p>
              </w:tc>
              <w:tc>
                <w:tcPr>
                  <w:tcW w:w="550" w:type="pct"/>
                  <w:tcBorders>
                    <w:tl2br w:val="nil"/>
                    <w:tr2bl w:val="nil"/>
                  </w:tcBorders>
                  <w:shd w:val="clear" w:color="auto" w:fill="FFFFFF"/>
                  <w:noWrap w:val="0"/>
                  <w:vAlign w:val="center"/>
                </w:tcPr>
                <w:p w14:paraId="11C60FB1">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1500</w:t>
                  </w:r>
                </w:p>
              </w:tc>
              <w:tc>
                <w:tcPr>
                  <w:tcW w:w="667" w:type="pct"/>
                  <w:tcBorders>
                    <w:tl2br w:val="nil"/>
                    <w:tr2bl w:val="nil"/>
                  </w:tcBorders>
                  <w:shd w:val="clear" w:color="auto" w:fill="FFFFFF"/>
                  <w:noWrap w:val="0"/>
                  <w:vAlign w:val="center"/>
                </w:tcPr>
                <w:p w14:paraId="7B455AF3">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200</w:t>
                  </w:r>
                </w:p>
              </w:tc>
              <w:tc>
                <w:tcPr>
                  <w:tcW w:w="1205" w:type="pct"/>
                  <w:tcBorders>
                    <w:tl2br w:val="nil"/>
                    <w:tr2bl w:val="nil"/>
                  </w:tcBorders>
                  <w:shd w:val="clear" w:color="auto" w:fill="FFFFFF"/>
                  <w:noWrap w:val="0"/>
                  <w:tcMar>
                    <w:top w:w="15" w:type="dxa"/>
                    <w:left w:w="15" w:type="dxa"/>
                    <w:bottom w:w="15" w:type="dxa"/>
                    <w:right w:w="15" w:type="dxa"/>
                  </w:tcMar>
                  <w:vAlign w:val="center"/>
                </w:tcPr>
                <w:p w14:paraId="58AA3E23">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500</w:t>
                  </w:r>
                </w:p>
              </w:tc>
            </w:tr>
            <w:tr w14:paraId="3D258F6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pct"/>
                  <w:tcBorders>
                    <w:tl2br w:val="nil"/>
                    <w:tr2bl w:val="nil"/>
                  </w:tcBorders>
                  <w:shd w:val="clear" w:color="auto" w:fill="FFFFFF"/>
                  <w:noWrap w:val="0"/>
                  <w:tcMar>
                    <w:top w:w="15" w:type="dxa"/>
                    <w:left w:w="15" w:type="dxa"/>
                    <w:bottom w:w="15" w:type="dxa"/>
                    <w:right w:w="15" w:type="dxa"/>
                  </w:tcMar>
                  <w:vAlign w:val="center"/>
                </w:tcPr>
                <w:p w14:paraId="367EB231">
                  <w:pPr>
                    <w:pStyle w:val="71"/>
                    <w:bidi w:val="0"/>
                    <w:rPr>
                      <w:rFonts w:hint="default" w:ascii="Times New Roman" w:hAnsi="Times New Roman" w:cs="Times New Roman"/>
                    </w:rPr>
                  </w:pPr>
                  <w:r>
                    <w:rPr>
                      <w:rFonts w:hint="default" w:ascii="Times New Roman" w:hAnsi="Times New Roman" w:cs="Times New Roman"/>
                    </w:rPr>
                    <w:t>《厌氧-缺氧-好氧活性污泥法污水处理工程技术规范》（ HJ 576-2010）中去除率%</w:t>
                  </w:r>
                </w:p>
              </w:tc>
              <w:tc>
                <w:tcPr>
                  <w:tcW w:w="457" w:type="pct"/>
                  <w:tcBorders>
                    <w:tl2br w:val="nil"/>
                    <w:tr2bl w:val="nil"/>
                  </w:tcBorders>
                  <w:shd w:val="clear" w:color="auto" w:fill="FFFFFF"/>
                  <w:noWrap w:val="0"/>
                  <w:tcMar>
                    <w:top w:w="15" w:type="dxa"/>
                    <w:left w:w="15" w:type="dxa"/>
                    <w:bottom w:w="15" w:type="dxa"/>
                    <w:right w:w="15" w:type="dxa"/>
                  </w:tcMar>
                  <w:vAlign w:val="center"/>
                </w:tcPr>
                <w:p w14:paraId="4493887F">
                  <w:pPr>
                    <w:pStyle w:val="71"/>
                    <w:bidi w:val="0"/>
                    <w:rPr>
                      <w:rFonts w:hint="default" w:ascii="Times New Roman" w:hAnsi="Times New Roman" w:cs="Times New Roman"/>
                    </w:rPr>
                  </w:pPr>
                  <w:r>
                    <w:rPr>
                      <w:rFonts w:hint="default" w:ascii="Times New Roman" w:hAnsi="Times New Roman" w:cs="Times New Roman"/>
                    </w:rPr>
                    <w:t>≥90</w:t>
                  </w:r>
                </w:p>
              </w:tc>
              <w:tc>
                <w:tcPr>
                  <w:tcW w:w="550" w:type="pct"/>
                  <w:tcBorders>
                    <w:tl2br w:val="nil"/>
                    <w:tr2bl w:val="nil"/>
                  </w:tcBorders>
                  <w:shd w:val="clear" w:color="auto" w:fill="FFFFFF"/>
                  <w:noWrap w:val="0"/>
                  <w:vAlign w:val="center"/>
                </w:tcPr>
                <w:p w14:paraId="03B0DB7F">
                  <w:pPr>
                    <w:pStyle w:val="71"/>
                    <w:bidi w:val="0"/>
                    <w:rPr>
                      <w:rFonts w:hint="default" w:ascii="Times New Roman" w:hAnsi="Times New Roman" w:cs="Times New Roman"/>
                    </w:rPr>
                  </w:pPr>
                  <w:r>
                    <w:rPr>
                      <w:rFonts w:hint="default" w:ascii="Times New Roman" w:hAnsi="Times New Roman" w:cs="Times New Roman"/>
                    </w:rPr>
                    <w:t>≥95</w:t>
                  </w:r>
                </w:p>
              </w:tc>
              <w:tc>
                <w:tcPr>
                  <w:tcW w:w="667" w:type="pct"/>
                  <w:tcBorders>
                    <w:tl2br w:val="nil"/>
                    <w:tr2bl w:val="nil"/>
                  </w:tcBorders>
                  <w:shd w:val="clear" w:color="auto" w:fill="FFFFFF"/>
                  <w:noWrap w:val="0"/>
                  <w:vAlign w:val="center"/>
                </w:tcPr>
                <w:p w14:paraId="294DC9A3">
                  <w:pPr>
                    <w:pStyle w:val="71"/>
                    <w:bidi w:val="0"/>
                    <w:rPr>
                      <w:rFonts w:hint="default" w:ascii="Times New Roman" w:hAnsi="Times New Roman" w:cs="Times New Roman"/>
                    </w:rPr>
                  </w:pPr>
                  <w:r>
                    <w:rPr>
                      <w:rFonts w:hint="default" w:ascii="Times New Roman" w:hAnsi="Times New Roman" w:cs="Times New Roman"/>
                    </w:rPr>
                    <w:t>≥99</w:t>
                  </w:r>
                </w:p>
              </w:tc>
              <w:tc>
                <w:tcPr>
                  <w:tcW w:w="1205" w:type="pct"/>
                  <w:tcBorders>
                    <w:tl2br w:val="nil"/>
                    <w:tr2bl w:val="nil"/>
                  </w:tcBorders>
                  <w:shd w:val="clear" w:color="auto" w:fill="FFFFFF"/>
                  <w:noWrap w:val="0"/>
                  <w:tcMar>
                    <w:top w:w="15" w:type="dxa"/>
                    <w:left w:w="15" w:type="dxa"/>
                    <w:bottom w:w="15" w:type="dxa"/>
                    <w:right w:w="15" w:type="dxa"/>
                  </w:tcMar>
                  <w:vAlign w:val="center"/>
                </w:tcPr>
                <w:p w14:paraId="06B13190">
                  <w:pPr>
                    <w:pStyle w:val="71"/>
                    <w:bidi w:val="0"/>
                    <w:rPr>
                      <w:rFonts w:hint="default" w:ascii="Times New Roman" w:hAnsi="Times New Roman" w:cs="Times New Roman"/>
                    </w:rPr>
                  </w:pPr>
                  <w:r>
                    <w:rPr>
                      <w:rFonts w:hint="default" w:ascii="Times New Roman" w:hAnsi="Times New Roman" w:cs="Times New Roman"/>
                    </w:rPr>
                    <w:t>≥90</w:t>
                  </w:r>
                </w:p>
              </w:tc>
            </w:tr>
            <w:tr w14:paraId="5E0A7D6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pct"/>
                  <w:tcBorders>
                    <w:tl2br w:val="nil"/>
                    <w:tr2bl w:val="nil"/>
                  </w:tcBorders>
                  <w:shd w:val="clear" w:color="auto" w:fill="FFFFFF"/>
                  <w:noWrap w:val="0"/>
                  <w:tcMar>
                    <w:top w:w="15" w:type="dxa"/>
                    <w:left w:w="15" w:type="dxa"/>
                    <w:bottom w:w="15" w:type="dxa"/>
                    <w:right w:w="15" w:type="dxa"/>
                  </w:tcMar>
                  <w:vAlign w:val="center"/>
                </w:tcPr>
                <w:p w14:paraId="2ECCAA5C">
                  <w:pPr>
                    <w:pStyle w:val="71"/>
                    <w:bidi w:val="0"/>
                    <w:rPr>
                      <w:rFonts w:hint="default" w:ascii="Times New Roman" w:hAnsi="Times New Roman" w:cs="Times New Roman"/>
                    </w:rPr>
                  </w:pPr>
                  <w:r>
                    <w:rPr>
                      <w:rFonts w:hint="default" w:ascii="Times New Roman" w:hAnsi="Times New Roman" w:cs="Times New Roman"/>
                    </w:rPr>
                    <w:t>《膜分离法污水处理工程技术规范》（HJ 579-2010）中反渗透去除率%</w:t>
                  </w:r>
                </w:p>
              </w:tc>
              <w:tc>
                <w:tcPr>
                  <w:tcW w:w="457" w:type="pct"/>
                  <w:tcBorders>
                    <w:tl2br w:val="nil"/>
                    <w:tr2bl w:val="nil"/>
                  </w:tcBorders>
                  <w:shd w:val="clear" w:color="auto" w:fill="FFFFFF"/>
                  <w:noWrap w:val="0"/>
                  <w:tcMar>
                    <w:top w:w="15" w:type="dxa"/>
                    <w:left w:w="15" w:type="dxa"/>
                    <w:bottom w:w="15" w:type="dxa"/>
                    <w:right w:w="15" w:type="dxa"/>
                  </w:tcMar>
                  <w:vAlign w:val="center"/>
                </w:tcPr>
                <w:p w14:paraId="5ACF42A9">
                  <w:pPr>
                    <w:pStyle w:val="71"/>
                    <w:bidi w:val="0"/>
                    <w:rPr>
                      <w:rFonts w:hint="default" w:ascii="Times New Roman" w:hAnsi="Times New Roman" w:cs="Times New Roman"/>
                    </w:rPr>
                  </w:pPr>
                  <w:r>
                    <w:rPr>
                      <w:rFonts w:hint="default" w:ascii="Times New Roman" w:hAnsi="Times New Roman" w:cs="Times New Roman"/>
                    </w:rPr>
                    <w:t>≥99</w:t>
                  </w:r>
                </w:p>
              </w:tc>
              <w:tc>
                <w:tcPr>
                  <w:tcW w:w="550" w:type="pct"/>
                  <w:tcBorders>
                    <w:tl2br w:val="nil"/>
                    <w:tr2bl w:val="nil"/>
                  </w:tcBorders>
                  <w:shd w:val="clear" w:color="auto" w:fill="FFFFFF"/>
                  <w:noWrap w:val="0"/>
                  <w:vAlign w:val="center"/>
                </w:tcPr>
                <w:p w14:paraId="1BBDF740">
                  <w:pPr>
                    <w:pStyle w:val="71"/>
                    <w:bidi w:val="0"/>
                    <w:rPr>
                      <w:rFonts w:hint="default" w:ascii="Times New Roman" w:hAnsi="Times New Roman" w:cs="Times New Roman"/>
                    </w:rPr>
                  </w:pPr>
                  <w:r>
                    <w:rPr>
                      <w:rFonts w:hint="default" w:ascii="Times New Roman" w:hAnsi="Times New Roman" w:cs="Times New Roman"/>
                    </w:rPr>
                    <w:t>≥99</w:t>
                  </w:r>
                </w:p>
              </w:tc>
              <w:tc>
                <w:tcPr>
                  <w:tcW w:w="667" w:type="pct"/>
                  <w:tcBorders>
                    <w:tl2br w:val="nil"/>
                    <w:tr2bl w:val="nil"/>
                  </w:tcBorders>
                  <w:shd w:val="clear" w:color="auto" w:fill="FFFFFF"/>
                  <w:noWrap w:val="0"/>
                  <w:vAlign w:val="center"/>
                </w:tcPr>
                <w:p w14:paraId="421B7834">
                  <w:pPr>
                    <w:pStyle w:val="71"/>
                    <w:bidi w:val="0"/>
                    <w:rPr>
                      <w:rFonts w:hint="default" w:ascii="Times New Roman" w:hAnsi="Times New Roman" w:cs="Times New Roman"/>
                    </w:rPr>
                  </w:pPr>
                  <w:r>
                    <w:rPr>
                      <w:rFonts w:hint="default" w:ascii="Times New Roman" w:hAnsi="Times New Roman" w:cs="Times New Roman"/>
                    </w:rPr>
                    <w:t>≥99</w:t>
                  </w:r>
                </w:p>
              </w:tc>
              <w:tc>
                <w:tcPr>
                  <w:tcW w:w="1205" w:type="pct"/>
                  <w:tcBorders>
                    <w:tl2br w:val="nil"/>
                    <w:tr2bl w:val="nil"/>
                  </w:tcBorders>
                  <w:shd w:val="clear" w:color="auto" w:fill="FFFFFF"/>
                  <w:noWrap w:val="0"/>
                  <w:tcMar>
                    <w:top w:w="15" w:type="dxa"/>
                    <w:left w:w="15" w:type="dxa"/>
                    <w:bottom w:w="15" w:type="dxa"/>
                    <w:right w:w="15" w:type="dxa"/>
                  </w:tcMar>
                  <w:vAlign w:val="center"/>
                </w:tcPr>
                <w:p w14:paraId="2621840F">
                  <w:pPr>
                    <w:pStyle w:val="71"/>
                    <w:bidi w:val="0"/>
                    <w:rPr>
                      <w:rFonts w:hint="default" w:ascii="Times New Roman" w:hAnsi="Times New Roman" w:cs="Times New Roman"/>
                    </w:rPr>
                  </w:pPr>
                  <w:r>
                    <w:rPr>
                      <w:rFonts w:hint="default" w:ascii="Times New Roman" w:hAnsi="Times New Roman" w:cs="Times New Roman"/>
                    </w:rPr>
                    <w:t>≥99</w:t>
                  </w:r>
                </w:p>
              </w:tc>
            </w:tr>
            <w:tr w14:paraId="71E903B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pct"/>
                  <w:tcBorders>
                    <w:tl2br w:val="nil"/>
                    <w:tr2bl w:val="nil"/>
                  </w:tcBorders>
                  <w:shd w:val="clear" w:color="auto" w:fill="FFFFFF"/>
                  <w:noWrap w:val="0"/>
                  <w:tcMar>
                    <w:top w:w="15" w:type="dxa"/>
                    <w:left w:w="15" w:type="dxa"/>
                    <w:bottom w:w="15" w:type="dxa"/>
                    <w:right w:w="15" w:type="dxa"/>
                  </w:tcMar>
                  <w:vAlign w:val="center"/>
                </w:tcPr>
                <w:p w14:paraId="714CBF39">
                  <w:pPr>
                    <w:pStyle w:val="71"/>
                    <w:bidi w:val="0"/>
                    <w:rPr>
                      <w:rFonts w:hint="default" w:ascii="Times New Roman" w:hAnsi="Times New Roman" w:cs="Times New Roman"/>
                    </w:rPr>
                  </w:pPr>
                  <w:r>
                    <w:rPr>
                      <w:rFonts w:hint="default" w:ascii="Times New Roman" w:hAnsi="Times New Roman" w:cs="Times New Roman"/>
                    </w:rPr>
                    <w:t>出水水质</w:t>
                  </w:r>
                </w:p>
              </w:tc>
              <w:tc>
                <w:tcPr>
                  <w:tcW w:w="457" w:type="pct"/>
                  <w:tcBorders>
                    <w:tl2br w:val="nil"/>
                    <w:tr2bl w:val="nil"/>
                  </w:tcBorders>
                  <w:shd w:val="clear" w:color="auto" w:fill="FFFFFF"/>
                  <w:noWrap w:val="0"/>
                  <w:tcMar>
                    <w:top w:w="15" w:type="dxa"/>
                    <w:left w:w="15" w:type="dxa"/>
                    <w:bottom w:w="15" w:type="dxa"/>
                    <w:right w:w="15" w:type="dxa"/>
                  </w:tcMar>
                  <w:vAlign w:val="center"/>
                </w:tcPr>
                <w:p w14:paraId="5A2C5B64">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52</w:t>
                  </w:r>
                </w:p>
              </w:tc>
              <w:tc>
                <w:tcPr>
                  <w:tcW w:w="550" w:type="pct"/>
                  <w:tcBorders>
                    <w:tl2br w:val="nil"/>
                    <w:tr2bl w:val="nil"/>
                  </w:tcBorders>
                  <w:shd w:val="clear" w:color="auto" w:fill="FFFFFF"/>
                  <w:noWrap w:val="0"/>
                  <w:vAlign w:val="center"/>
                </w:tcPr>
                <w:p w14:paraId="2A621EC5">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13.5</w:t>
                  </w:r>
                </w:p>
              </w:tc>
              <w:tc>
                <w:tcPr>
                  <w:tcW w:w="667" w:type="pct"/>
                  <w:tcBorders>
                    <w:tl2br w:val="nil"/>
                    <w:tr2bl w:val="nil"/>
                  </w:tcBorders>
                  <w:shd w:val="clear" w:color="auto" w:fill="FFFFFF"/>
                  <w:noWrap w:val="0"/>
                  <w:vAlign w:val="center"/>
                </w:tcPr>
                <w:p w14:paraId="03EF209F">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19.2</w:t>
                  </w:r>
                </w:p>
              </w:tc>
              <w:tc>
                <w:tcPr>
                  <w:tcW w:w="1205" w:type="pct"/>
                  <w:tcBorders>
                    <w:tl2br w:val="nil"/>
                    <w:tr2bl w:val="nil"/>
                  </w:tcBorders>
                  <w:shd w:val="clear" w:color="auto" w:fill="FFFFFF"/>
                  <w:noWrap w:val="0"/>
                  <w:tcMar>
                    <w:top w:w="15" w:type="dxa"/>
                    <w:left w:w="15" w:type="dxa"/>
                    <w:bottom w:w="15" w:type="dxa"/>
                    <w:right w:w="15" w:type="dxa"/>
                  </w:tcMar>
                  <w:vAlign w:val="center"/>
                </w:tcPr>
                <w:p w14:paraId="6DD99E4C">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12</w:t>
                  </w:r>
                </w:p>
              </w:tc>
            </w:tr>
            <w:tr w14:paraId="158C18D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9" w:type="pct"/>
                  <w:tcBorders>
                    <w:tl2br w:val="nil"/>
                    <w:tr2bl w:val="nil"/>
                  </w:tcBorders>
                  <w:shd w:val="clear" w:color="auto" w:fill="FFFFFF"/>
                  <w:noWrap w:val="0"/>
                  <w:tcMar>
                    <w:top w:w="15" w:type="dxa"/>
                    <w:left w:w="15" w:type="dxa"/>
                    <w:bottom w:w="15" w:type="dxa"/>
                    <w:right w:w="15" w:type="dxa"/>
                  </w:tcMar>
                  <w:vAlign w:val="center"/>
                </w:tcPr>
                <w:p w14:paraId="7A1B35E9">
                  <w:pPr>
                    <w:pStyle w:val="71"/>
                    <w:bidi w:val="0"/>
                    <w:rPr>
                      <w:rFonts w:hint="default" w:ascii="Times New Roman" w:hAnsi="Times New Roman" w:cs="Times New Roman"/>
                    </w:rPr>
                  </w:pPr>
                  <w:r>
                    <w:rPr>
                      <w:rFonts w:hint="default" w:ascii="Times New Roman" w:hAnsi="Times New Roman" w:cs="Times New Roman"/>
                    </w:rPr>
                    <w:t>《生活垃圾填埋场污染控制标准》（</w:t>
                  </w:r>
                  <w:r>
                    <w:rPr>
                      <w:rFonts w:hint="default" w:ascii="Times New Roman" w:hAnsi="Times New Roman" w:eastAsia="Times New Roman" w:cs="Times New Roman"/>
                    </w:rPr>
                    <w:t>GB 16889-2008</w:t>
                  </w:r>
                  <w:r>
                    <w:rPr>
                      <w:rFonts w:hint="default" w:ascii="Times New Roman" w:hAnsi="Times New Roman" w:cs="Times New Roman"/>
                    </w:rPr>
                    <w:t>）</w:t>
                  </w:r>
                  <w:r>
                    <w:rPr>
                      <w:rFonts w:hint="default" w:ascii="Times New Roman" w:hAnsi="Times New Roman" w:cs="Times New Roman"/>
                      <w:spacing w:val="-30"/>
                    </w:rPr>
                    <w:t xml:space="preserve">表 </w:t>
                  </w:r>
                  <w:r>
                    <w:rPr>
                      <w:rFonts w:hint="default" w:ascii="Times New Roman" w:hAnsi="Times New Roman" w:eastAsia="Times New Roman" w:cs="Times New Roman"/>
                    </w:rPr>
                    <w:t xml:space="preserve">2 </w:t>
                  </w:r>
                  <w:r>
                    <w:rPr>
                      <w:rFonts w:hint="default" w:ascii="Times New Roman" w:hAnsi="Times New Roman" w:cs="Times New Roman"/>
                    </w:rPr>
                    <w:t>中规定的排放标准</w:t>
                  </w:r>
                </w:p>
              </w:tc>
              <w:tc>
                <w:tcPr>
                  <w:tcW w:w="457" w:type="pct"/>
                  <w:tcBorders>
                    <w:tl2br w:val="nil"/>
                    <w:tr2bl w:val="nil"/>
                  </w:tcBorders>
                  <w:shd w:val="clear" w:color="auto" w:fill="FFFFFF"/>
                  <w:noWrap w:val="0"/>
                  <w:tcMar>
                    <w:top w:w="15" w:type="dxa"/>
                    <w:left w:w="15" w:type="dxa"/>
                    <w:bottom w:w="15" w:type="dxa"/>
                    <w:right w:w="15" w:type="dxa"/>
                  </w:tcMar>
                  <w:vAlign w:val="center"/>
                </w:tcPr>
                <w:p w14:paraId="02897E98">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100</w:t>
                  </w:r>
                </w:p>
              </w:tc>
              <w:tc>
                <w:tcPr>
                  <w:tcW w:w="550" w:type="pct"/>
                  <w:tcBorders>
                    <w:tl2br w:val="nil"/>
                    <w:tr2bl w:val="nil"/>
                  </w:tcBorders>
                  <w:shd w:val="clear" w:color="auto" w:fill="FFFFFF"/>
                  <w:noWrap w:val="0"/>
                  <w:vAlign w:val="center"/>
                </w:tcPr>
                <w:p w14:paraId="550B08D6">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c>
                <w:tcPr>
                  <w:tcW w:w="667" w:type="pct"/>
                  <w:tcBorders>
                    <w:tl2br w:val="nil"/>
                    <w:tr2bl w:val="nil"/>
                  </w:tcBorders>
                  <w:shd w:val="clear" w:color="auto" w:fill="FFFFFF"/>
                  <w:noWrap w:val="0"/>
                  <w:vAlign w:val="center"/>
                </w:tcPr>
                <w:p w14:paraId="5B0E64C3">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c>
                <w:tcPr>
                  <w:tcW w:w="1205" w:type="pct"/>
                  <w:tcBorders>
                    <w:tl2br w:val="nil"/>
                    <w:tr2bl w:val="nil"/>
                  </w:tcBorders>
                  <w:shd w:val="clear" w:color="auto" w:fill="FFFFFF"/>
                  <w:noWrap w:val="0"/>
                  <w:tcMar>
                    <w:top w:w="15" w:type="dxa"/>
                    <w:left w:w="15" w:type="dxa"/>
                    <w:bottom w:w="15" w:type="dxa"/>
                    <w:right w:w="15" w:type="dxa"/>
                  </w:tcMar>
                  <w:vAlign w:val="center"/>
                </w:tcPr>
                <w:p w14:paraId="062F8D9E">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25</w:t>
                  </w:r>
                </w:p>
              </w:tc>
            </w:tr>
          </w:tbl>
          <w:p w14:paraId="5707F9C4">
            <w:pPr>
              <w:pStyle w:val="3"/>
              <w:bidi w:val="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val="en-US" w:eastAsia="zh-CN"/>
              </w:rPr>
              <w:t>上</w:t>
            </w:r>
            <w:r>
              <w:rPr>
                <w:rFonts w:hint="default" w:ascii="Times New Roman" w:hAnsi="Times New Roman" w:cs="Times New Roman"/>
              </w:rPr>
              <w:t>表以及工程规范可知，项目出水水质满足各类污染物浓度很小，水质满足《生活垃圾填埋场污染控制标准》（GB 16889-2008）表 2中规定的排放标准要求，所以本项目废水控制措施有效。</w:t>
            </w:r>
          </w:p>
          <w:p w14:paraId="7202B7F4">
            <w:pPr>
              <w:pStyle w:val="3"/>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废水污染物排放量核算</w:t>
            </w:r>
          </w:p>
          <w:p w14:paraId="06AF4519">
            <w:pPr>
              <w:pStyle w:val="3"/>
              <w:bidi w:val="0"/>
              <w:rPr>
                <w:rFonts w:hint="default" w:ascii="Times New Roman" w:hAnsi="Times New Roman" w:cs="Times New Roman"/>
              </w:rPr>
            </w:pPr>
            <w:r>
              <w:rPr>
                <w:rFonts w:hint="default" w:ascii="Times New Roman" w:hAnsi="Times New Roman" w:cs="Times New Roman"/>
              </w:rPr>
              <w:t>本项目废水污染物排放量核算见下表：</w:t>
            </w:r>
          </w:p>
          <w:p w14:paraId="54E88F3C">
            <w:pPr>
              <w:pStyle w:val="3"/>
              <w:bidi w:val="0"/>
              <w:rPr>
                <w:rFonts w:hint="default" w:ascii="Times New Roman" w:hAnsi="Times New Roman" w:cs="Times New Roman"/>
              </w:rPr>
            </w:pPr>
            <w:r>
              <w:rPr>
                <w:rFonts w:hint="default" w:ascii="Times New Roman" w:hAnsi="Times New Roman" w:cs="Times New Roman"/>
              </w:rPr>
              <w:t>①废水类别、污染物及污染治理设施信息表：</w:t>
            </w:r>
          </w:p>
          <w:p w14:paraId="0D4D9899">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9</w:t>
            </w:r>
            <w:r>
              <w:rPr>
                <w:rFonts w:hint="default" w:ascii="Times New Roman" w:hAnsi="Times New Roman" w:cs="Times New Roman"/>
                <w:lang w:val="en-US" w:eastAsia="zh-CN"/>
              </w:rPr>
              <w:t>废水类别、污染物及污染治理设施信息表</w:t>
            </w:r>
          </w:p>
          <w:tbl>
            <w:tblPr>
              <w:tblStyle w:val="27"/>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99"/>
              <w:gridCol w:w="656"/>
              <w:gridCol w:w="808"/>
              <w:gridCol w:w="501"/>
              <w:gridCol w:w="519"/>
              <w:gridCol w:w="649"/>
              <w:gridCol w:w="825"/>
              <w:gridCol w:w="1250"/>
              <w:gridCol w:w="498"/>
              <w:gridCol w:w="668"/>
              <w:gridCol w:w="1079"/>
            </w:tblGrid>
            <w:tr w14:paraId="317FCA2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restart"/>
                  <w:tcBorders>
                    <w:tl2br w:val="nil"/>
                    <w:tr2bl w:val="nil"/>
                  </w:tcBorders>
                  <w:noWrap w:val="0"/>
                  <w:vAlign w:val="center"/>
                </w:tcPr>
                <w:p w14:paraId="027455F3">
                  <w:pPr>
                    <w:pStyle w:val="71"/>
                    <w:bidi w:val="0"/>
                    <w:jc w:val="center"/>
                    <w:rPr>
                      <w:rFonts w:hint="default" w:ascii="Times New Roman" w:hAnsi="Times New Roman" w:cs="Times New Roman"/>
                    </w:rPr>
                  </w:pPr>
                  <w:r>
                    <w:rPr>
                      <w:rFonts w:hint="default" w:ascii="Times New Roman" w:hAnsi="Times New Roman" w:cs="Times New Roman"/>
                    </w:rPr>
                    <w:t>序号</w:t>
                  </w:r>
                </w:p>
              </w:tc>
              <w:tc>
                <w:tcPr>
                  <w:tcW w:w="417" w:type="pct"/>
                  <w:vMerge w:val="restart"/>
                  <w:tcBorders>
                    <w:tl2br w:val="nil"/>
                    <w:tr2bl w:val="nil"/>
                  </w:tcBorders>
                  <w:noWrap w:val="0"/>
                  <w:vAlign w:val="center"/>
                </w:tcPr>
                <w:p w14:paraId="2CA18C51">
                  <w:pPr>
                    <w:pStyle w:val="71"/>
                    <w:bidi w:val="0"/>
                    <w:jc w:val="center"/>
                    <w:rPr>
                      <w:rFonts w:hint="default" w:ascii="Times New Roman" w:hAnsi="Times New Roman" w:cs="Times New Roman"/>
                    </w:rPr>
                  </w:pPr>
                  <w:r>
                    <w:rPr>
                      <w:rFonts w:hint="default" w:ascii="Times New Roman" w:hAnsi="Times New Roman" w:cs="Times New Roman"/>
                    </w:rPr>
                    <w:t>废水类别</w:t>
                  </w:r>
                </w:p>
              </w:tc>
              <w:tc>
                <w:tcPr>
                  <w:tcW w:w="514" w:type="pct"/>
                  <w:vMerge w:val="restart"/>
                  <w:tcBorders>
                    <w:tl2br w:val="nil"/>
                    <w:tr2bl w:val="nil"/>
                  </w:tcBorders>
                  <w:noWrap w:val="0"/>
                  <w:vAlign w:val="center"/>
                </w:tcPr>
                <w:p w14:paraId="62C603F8">
                  <w:pPr>
                    <w:pStyle w:val="71"/>
                    <w:bidi w:val="0"/>
                    <w:jc w:val="center"/>
                    <w:rPr>
                      <w:rFonts w:hint="default" w:ascii="Times New Roman" w:hAnsi="Times New Roman" w:cs="Times New Roman"/>
                    </w:rPr>
                  </w:pPr>
                  <w:r>
                    <w:rPr>
                      <w:rFonts w:hint="default" w:ascii="Times New Roman" w:hAnsi="Times New Roman" w:cs="Times New Roman"/>
                    </w:rPr>
                    <w:t>污染物种类</w:t>
                  </w:r>
                </w:p>
              </w:tc>
              <w:tc>
                <w:tcPr>
                  <w:tcW w:w="319" w:type="pct"/>
                  <w:vMerge w:val="restart"/>
                  <w:tcBorders>
                    <w:tl2br w:val="nil"/>
                    <w:tr2bl w:val="nil"/>
                  </w:tcBorders>
                  <w:noWrap w:val="0"/>
                  <w:vAlign w:val="center"/>
                </w:tcPr>
                <w:p w14:paraId="42A8AA4E">
                  <w:pPr>
                    <w:pStyle w:val="71"/>
                    <w:bidi w:val="0"/>
                    <w:jc w:val="center"/>
                    <w:rPr>
                      <w:rFonts w:hint="default" w:ascii="Times New Roman" w:hAnsi="Times New Roman" w:cs="Times New Roman"/>
                    </w:rPr>
                  </w:pPr>
                  <w:r>
                    <w:rPr>
                      <w:rFonts w:hint="default" w:ascii="Times New Roman" w:hAnsi="Times New Roman" w:cs="Times New Roman"/>
                    </w:rPr>
                    <w:t>排放去向</w:t>
                  </w:r>
                </w:p>
              </w:tc>
              <w:tc>
                <w:tcPr>
                  <w:tcW w:w="330" w:type="pct"/>
                  <w:vMerge w:val="restart"/>
                  <w:tcBorders>
                    <w:tl2br w:val="nil"/>
                    <w:tr2bl w:val="nil"/>
                  </w:tcBorders>
                  <w:noWrap w:val="0"/>
                  <w:vAlign w:val="center"/>
                </w:tcPr>
                <w:p w14:paraId="1197342A">
                  <w:pPr>
                    <w:pStyle w:val="71"/>
                    <w:bidi w:val="0"/>
                    <w:jc w:val="center"/>
                    <w:rPr>
                      <w:rFonts w:hint="default" w:ascii="Times New Roman" w:hAnsi="Times New Roman" w:cs="Times New Roman"/>
                    </w:rPr>
                  </w:pPr>
                  <w:r>
                    <w:rPr>
                      <w:rFonts w:hint="default" w:ascii="Times New Roman" w:hAnsi="Times New Roman" w:cs="Times New Roman"/>
                    </w:rPr>
                    <w:t>排放</w:t>
                  </w:r>
                </w:p>
                <w:p w14:paraId="6F4EB785">
                  <w:pPr>
                    <w:pStyle w:val="71"/>
                    <w:bidi w:val="0"/>
                    <w:jc w:val="center"/>
                    <w:rPr>
                      <w:rFonts w:hint="default" w:ascii="Times New Roman" w:hAnsi="Times New Roman" w:cs="Times New Roman"/>
                    </w:rPr>
                  </w:pPr>
                  <w:r>
                    <w:rPr>
                      <w:rFonts w:hint="default" w:ascii="Times New Roman" w:hAnsi="Times New Roman" w:cs="Times New Roman"/>
                    </w:rPr>
                    <w:t>规律</w:t>
                  </w:r>
                </w:p>
              </w:tc>
              <w:tc>
                <w:tcPr>
                  <w:tcW w:w="1733" w:type="pct"/>
                  <w:gridSpan w:val="3"/>
                  <w:tcBorders>
                    <w:tl2br w:val="nil"/>
                    <w:tr2bl w:val="nil"/>
                  </w:tcBorders>
                  <w:noWrap w:val="0"/>
                  <w:vAlign w:val="center"/>
                </w:tcPr>
                <w:p w14:paraId="09A73F65">
                  <w:pPr>
                    <w:pStyle w:val="71"/>
                    <w:bidi w:val="0"/>
                    <w:jc w:val="center"/>
                    <w:rPr>
                      <w:rFonts w:hint="default" w:ascii="Times New Roman" w:hAnsi="Times New Roman" w:cs="Times New Roman"/>
                    </w:rPr>
                  </w:pPr>
                  <w:r>
                    <w:rPr>
                      <w:rFonts w:hint="default" w:ascii="Times New Roman" w:hAnsi="Times New Roman" w:cs="Times New Roman"/>
                    </w:rPr>
                    <w:t>污染治理设施</w:t>
                  </w:r>
                </w:p>
              </w:tc>
              <w:tc>
                <w:tcPr>
                  <w:tcW w:w="317" w:type="pct"/>
                  <w:vMerge w:val="restart"/>
                  <w:tcBorders>
                    <w:tl2br w:val="nil"/>
                    <w:tr2bl w:val="nil"/>
                  </w:tcBorders>
                  <w:noWrap w:val="0"/>
                  <w:vAlign w:val="center"/>
                </w:tcPr>
                <w:p w14:paraId="6E4512F4">
                  <w:pPr>
                    <w:pStyle w:val="71"/>
                    <w:bidi w:val="0"/>
                    <w:jc w:val="center"/>
                    <w:rPr>
                      <w:rFonts w:hint="default" w:ascii="Times New Roman" w:hAnsi="Times New Roman" w:cs="Times New Roman"/>
                    </w:rPr>
                  </w:pPr>
                  <w:r>
                    <w:rPr>
                      <w:rFonts w:hint="default" w:ascii="Times New Roman" w:hAnsi="Times New Roman" w:cs="Times New Roman"/>
                    </w:rPr>
                    <w:t>排放口编号</w:t>
                  </w:r>
                </w:p>
              </w:tc>
              <w:tc>
                <w:tcPr>
                  <w:tcW w:w="425" w:type="pct"/>
                  <w:vMerge w:val="restart"/>
                  <w:tcBorders>
                    <w:tl2br w:val="nil"/>
                    <w:tr2bl w:val="nil"/>
                  </w:tcBorders>
                  <w:noWrap w:val="0"/>
                  <w:vAlign w:val="center"/>
                </w:tcPr>
                <w:p w14:paraId="305A5742">
                  <w:pPr>
                    <w:pStyle w:val="71"/>
                    <w:bidi w:val="0"/>
                    <w:jc w:val="center"/>
                    <w:rPr>
                      <w:rFonts w:hint="default" w:ascii="Times New Roman" w:hAnsi="Times New Roman" w:cs="Times New Roman"/>
                    </w:rPr>
                  </w:pPr>
                  <w:r>
                    <w:rPr>
                      <w:rFonts w:hint="default" w:ascii="Times New Roman" w:hAnsi="Times New Roman" w:cs="Times New Roman"/>
                    </w:rPr>
                    <w:t>排放口设施是否符合要求</w:t>
                  </w:r>
                </w:p>
              </w:tc>
              <w:tc>
                <w:tcPr>
                  <w:tcW w:w="686" w:type="pct"/>
                  <w:vMerge w:val="restart"/>
                  <w:tcBorders>
                    <w:tl2br w:val="nil"/>
                    <w:tr2bl w:val="nil"/>
                  </w:tcBorders>
                  <w:noWrap w:val="0"/>
                  <w:vAlign w:val="center"/>
                </w:tcPr>
                <w:p w14:paraId="35BFB618">
                  <w:pPr>
                    <w:pStyle w:val="71"/>
                    <w:bidi w:val="0"/>
                    <w:jc w:val="center"/>
                    <w:rPr>
                      <w:rFonts w:hint="default" w:ascii="Times New Roman" w:hAnsi="Times New Roman" w:cs="Times New Roman"/>
                    </w:rPr>
                  </w:pPr>
                  <w:r>
                    <w:rPr>
                      <w:rFonts w:hint="default" w:ascii="Times New Roman" w:hAnsi="Times New Roman" w:cs="Times New Roman"/>
                    </w:rPr>
                    <w:t>排放口类型</w:t>
                  </w:r>
                </w:p>
              </w:tc>
            </w:tr>
            <w:tr w14:paraId="5FFA7F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vMerge w:val="continue"/>
                  <w:tcBorders>
                    <w:tl2br w:val="nil"/>
                    <w:tr2bl w:val="nil"/>
                  </w:tcBorders>
                  <w:noWrap w:val="0"/>
                  <w:vAlign w:val="center"/>
                </w:tcPr>
                <w:p w14:paraId="3507F42B">
                  <w:pPr>
                    <w:pStyle w:val="71"/>
                    <w:bidi w:val="0"/>
                    <w:jc w:val="center"/>
                    <w:rPr>
                      <w:rFonts w:hint="default" w:ascii="Times New Roman" w:hAnsi="Times New Roman" w:cs="Times New Roman"/>
                    </w:rPr>
                  </w:pPr>
                </w:p>
              </w:tc>
              <w:tc>
                <w:tcPr>
                  <w:tcW w:w="417" w:type="pct"/>
                  <w:vMerge w:val="continue"/>
                  <w:tcBorders>
                    <w:tl2br w:val="nil"/>
                    <w:tr2bl w:val="nil"/>
                  </w:tcBorders>
                  <w:noWrap w:val="0"/>
                  <w:vAlign w:val="center"/>
                </w:tcPr>
                <w:p w14:paraId="79B2D359">
                  <w:pPr>
                    <w:pStyle w:val="71"/>
                    <w:bidi w:val="0"/>
                    <w:jc w:val="center"/>
                    <w:rPr>
                      <w:rFonts w:hint="default" w:ascii="Times New Roman" w:hAnsi="Times New Roman" w:cs="Times New Roman"/>
                    </w:rPr>
                  </w:pPr>
                </w:p>
              </w:tc>
              <w:tc>
                <w:tcPr>
                  <w:tcW w:w="514" w:type="pct"/>
                  <w:vMerge w:val="continue"/>
                  <w:tcBorders>
                    <w:tl2br w:val="nil"/>
                    <w:tr2bl w:val="nil"/>
                  </w:tcBorders>
                  <w:noWrap w:val="0"/>
                  <w:vAlign w:val="center"/>
                </w:tcPr>
                <w:p w14:paraId="1BA7B715">
                  <w:pPr>
                    <w:pStyle w:val="71"/>
                    <w:bidi w:val="0"/>
                    <w:jc w:val="center"/>
                    <w:rPr>
                      <w:rFonts w:hint="default" w:ascii="Times New Roman" w:hAnsi="Times New Roman" w:cs="Times New Roman"/>
                    </w:rPr>
                  </w:pPr>
                </w:p>
              </w:tc>
              <w:tc>
                <w:tcPr>
                  <w:tcW w:w="319" w:type="pct"/>
                  <w:vMerge w:val="continue"/>
                  <w:tcBorders>
                    <w:tl2br w:val="nil"/>
                    <w:tr2bl w:val="nil"/>
                  </w:tcBorders>
                  <w:noWrap w:val="0"/>
                  <w:vAlign w:val="center"/>
                </w:tcPr>
                <w:p w14:paraId="575DE459">
                  <w:pPr>
                    <w:pStyle w:val="71"/>
                    <w:bidi w:val="0"/>
                    <w:jc w:val="center"/>
                    <w:rPr>
                      <w:rFonts w:hint="default" w:ascii="Times New Roman" w:hAnsi="Times New Roman" w:cs="Times New Roman"/>
                    </w:rPr>
                  </w:pPr>
                </w:p>
              </w:tc>
              <w:tc>
                <w:tcPr>
                  <w:tcW w:w="330" w:type="pct"/>
                  <w:vMerge w:val="continue"/>
                  <w:tcBorders>
                    <w:tl2br w:val="nil"/>
                    <w:tr2bl w:val="nil"/>
                  </w:tcBorders>
                  <w:noWrap w:val="0"/>
                  <w:vAlign w:val="center"/>
                </w:tcPr>
                <w:p w14:paraId="55EF6BB2">
                  <w:pPr>
                    <w:pStyle w:val="71"/>
                    <w:bidi w:val="0"/>
                    <w:jc w:val="center"/>
                    <w:rPr>
                      <w:rFonts w:hint="default" w:ascii="Times New Roman" w:hAnsi="Times New Roman" w:cs="Times New Roman"/>
                    </w:rPr>
                  </w:pPr>
                </w:p>
              </w:tc>
              <w:tc>
                <w:tcPr>
                  <w:tcW w:w="413" w:type="pct"/>
                  <w:tcBorders>
                    <w:tl2br w:val="nil"/>
                    <w:tr2bl w:val="nil"/>
                  </w:tcBorders>
                  <w:noWrap w:val="0"/>
                  <w:vAlign w:val="center"/>
                </w:tcPr>
                <w:p w14:paraId="118E5C93">
                  <w:pPr>
                    <w:pStyle w:val="71"/>
                    <w:bidi w:val="0"/>
                    <w:jc w:val="center"/>
                    <w:rPr>
                      <w:rFonts w:hint="default" w:ascii="Times New Roman" w:hAnsi="Times New Roman" w:cs="Times New Roman"/>
                    </w:rPr>
                  </w:pPr>
                  <w:r>
                    <w:rPr>
                      <w:rFonts w:hint="default" w:ascii="Times New Roman" w:hAnsi="Times New Roman" w:cs="Times New Roman"/>
                    </w:rPr>
                    <w:t>污染治理设施编号</w:t>
                  </w:r>
                </w:p>
              </w:tc>
              <w:tc>
                <w:tcPr>
                  <w:tcW w:w="525" w:type="pct"/>
                  <w:tcBorders>
                    <w:tl2br w:val="nil"/>
                    <w:tr2bl w:val="nil"/>
                  </w:tcBorders>
                  <w:noWrap w:val="0"/>
                  <w:vAlign w:val="center"/>
                </w:tcPr>
                <w:p w14:paraId="19B28774">
                  <w:pPr>
                    <w:pStyle w:val="71"/>
                    <w:bidi w:val="0"/>
                    <w:jc w:val="center"/>
                    <w:rPr>
                      <w:rFonts w:hint="default" w:ascii="Times New Roman" w:hAnsi="Times New Roman" w:cs="Times New Roman"/>
                    </w:rPr>
                  </w:pPr>
                  <w:r>
                    <w:rPr>
                      <w:rFonts w:hint="default" w:ascii="Times New Roman" w:hAnsi="Times New Roman" w:cs="Times New Roman"/>
                    </w:rPr>
                    <w:t>污染治理设施名称</w:t>
                  </w:r>
                </w:p>
              </w:tc>
              <w:tc>
                <w:tcPr>
                  <w:tcW w:w="794" w:type="pct"/>
                  <w:tcBorders>
                    <w:tl2br w:val="nil"/>
                    <w:tr2bl w:val="nil"/>
                  </w:tcBorders>
                  <w:noWrap w:val="0"/>
                  <w:vAlign w:val="center"/>
                </w:tcPr>
                <w:p w14:paraId="2C1307F0">
                  <w:pPr>
                    <w:pStyle w:val="71"/>
                    <w:bidi w:val="0"/>
                    <w:jc w:val="center"/>
                    <w:rPr>
                      <w:rFonts w:hint="default" w:ascii="Times New Roman" w:hAnsi="Times New Roman" w:cs="Times New Roman"/>
                    </w:rPr>
                  </w:pPr>
                  <w:r>
                    <w:rPr>
                      <w:rFonts w:hint="default" w:ascii="Times New Roman" w:hAnsi="Times New Roman" w:cs="Times New Roman"/>
                    </w:rPr>
                    <w:t>污染治理设施工艺</w:t>
                  </w:r>
                </w:p>
              </w:tc>
              <w:tc>
                <w:tcPr>
                  <w:tcW w:w="317" w:type="pct"/>
                  <w:vMerge w:val="continue"/>
                  <w:tcBorders>
                    <w:tl2br w:val="nil"/>
                    <w:tr2bl w:val="nil"/>
                  </w:tcBorders>
                  <w:noWrap w:val="0"/>
                  <w:vAlign w:val="center"/>
                </w:tcPr>
                <w:p w14:paraId="5DF99295">
                  <w:pPr>
                    <w:pStyle w:val="71"/>
                    <w:bidi w:val="0"/>
                    <w:jc w:val="center"/>
                    <w:rPr>
                      <w:rFonts w:hint="default" w:ascii="Times New Roman" w:hAnsi="Times New Roman" w:cs="Times New Roman"/>
                    </w:rPr>
                  </w:pPr>
                </w:p>
              </w:tc>
              <w:tc>
                <w:tcPr>
                  <w:tcW w:w="425" w:type="pct"/>
                  <w:vMerge w:val="continue"/>
                  <w:tcBorders>
                    <w:tl2br w:val="nil"/>
                    <w:tr2bl w:val="nil"/>
                  </w:tcBorders>
                  <w:noWrap w:val="0"/>
                  <w:vAlign w:val="center"/>
                </w:tcPr>
                <w:p w14:paraId="4962CB3E">
                  <w:pPr>
                    <w:pStyle w:val="71"/>
                    <w:bidi w:val="0"/>
                    <w:jc w:val="center"/>
                    <w:rPr>
                      <w:rFonts w:hint="default" w:ascii="Times New Roman" w:hAnsi="Times New Roman" w:cs="Times New Roman"/>
                    </w:rPr>
                  </w:pPr>
                </w:p>
              </w:tc>
              <w:tc>
                <w:tcPr>
                  <w:tcW w:w="686" w:type="pct"/>
                  <w:vMerge w:val="continue"/>
                  <w:tcBorders>
                    <w:tl2br w:val="nil"/>
                    <w:tr2bl w:val="nil"/>
                  </w:tcBorders>
                  <w:noWrap w:val="0"/>
                  <w:vAlign w:val="center"/>
                </w:tcPr>
                <w:p w14:paraId="7C8F019A">
                  <w:pPr>
                    <w:pStyle w:val="71"/>
                    <w:bidi w:val="0"/>
                    <w:jc w:val="center"/>
                    <w:rPr>
                      <w:rFonts w:hint="default" w:ascii="Times New Roman" w:hAnsi="Times New Roman" w:cs="Times New Roman"/>
                    </w:rPr>
                  </w:pPr>
                </w:p>
              </w:tc>
            </w:tr>
            <w:tr w14:paraId="2BF705F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4" w:type="pct"/>
                  <w:tcBorders>
                    <w:tl2br w:val="nil"/>
                    <w:tr2bl w:val="nil"/>
                  </w:tcBorders>
                  <w:noWrap w:val="0"/>
                  <w:vAlign w:val="center"/>
                </w:tcPr>
                <w:p w14:paraId="00DB5B2F">
                  <w:pPr>
                    <w:pStyle w:val="71"/>
                    <w:bidi w:val="0"/>
                    <w:jc w:val="center"/>
                    <w:rPr>
                      <w:rFonts w:hint="default" w:ascii="Times New Roman" w:hAnsi="Times New Roman" w:cs="Times New Roman"/>
                    </w:rPr>
                  </w:pPr>
                  <w:r>
                    <w:rPr>
                      <w:rFonts w:hint="default" w:ascii="Times New Roman" w:hAnsi="Times New Roman" w:cs="Times New Roman"/>
                    </w:rPr>
                    <w:t>1</w:t>
                  </w:r>
                </w:p>
              </w:tc>
              <w:tc>
                <w:tcPr>
                  <w:tcW w:w="417" w:type="pct"/>
                  <w:tcBorders>
                    <w:tl2br w:val="nil"/>
                    <w:tr2bl w:val="nil"/>
                  </w:tcBorders>
                  <w:noWrap w:val="0"/>
                  <w:vAlign w:val="center"/>
                </w:tcPr>
                <w:p w14:paraId="2FEE827E">
                  <w:pPr>
                    <w:pStyle w:val="71"/>
                    <w:bidi w:val="0"/>
                    <w:jc w:val="center"/>
                    <w:rPr>
                      <w:rFonts w:hint="default" w:ascii="Times New Roman" w:hAnsi="Times New Roman" w:eastAsia="宋体" w:cs="Times New Roman"/>
                      <w:lang w:eastAsia="zh-CN"/>
                    </w:rPr>
                  </w:pPr>
                  <w:r>
                    <w:rPr>
                      <w:rFonts w:hint="default" w:ascii="Times New Roman" w:hAnsi="Times New Roman" w:cs="Times New Roman"/>
                    </w:rPr>
                    <w:t>渗滤液</w:t>
                  </w:r>
                  <w:r>
                    <w:rPr>
                      <w:rFonts w:hint="default" w:ascii="Times New Roman" w:hAnsi="Times New Roman" w:cs="Times New Roman"/>
                      <w:lang w:eastAsia="zh-CN"/>
                    </w:rPr>
                    <w:t>处理站废水</w:t>
                  </w:r>
                </w:p>
              </w:tc>
              <w:tc>
                <w:tcPr>
                  <w:tcW w:w="514" w:type="pct"/>
                  <w:tcBorders>
                    <w:tl2br w:val="nil"/>
                    <w:tr2bl w:val="nil"/>
                  </w:tcBorders>
                  <w:noWrap w:val="0"/>
                  <w:vAlign w:val="center"/>
                </w:tcPr>
                <w:p w14:paraId="11371F9D">
                  <w:pPr>
                    <w:pStyle w:val="71"/>
                    <w:bidi w:val="0"/>
                    <w:jc w:val="center"/>
                    <w:rPr>
                      <w:rFonts w:hint="default" w:ascii="Times New Roman" w:hAnsi="Times New Roman" w:cs="Times New Roman"/>
                    </w:rPr>
                  </w:pPr>
                  <w:r>
                    <w:rPr>
                      <w:rFonts w:hint="default" w:ascii="Times New Roman" w:hAnsi="Times New Roman" w:cs="Times New Roman"/>
                    </w:rPr>
                    <w:t>COD、BOD</w:t>
                  </w:r>
                  <w:r>
                    <w:rPr>
                      <w:rFonts w:hint="default" w:ascii="Times New Roman" w:hAnsi="Times New Roman" w:cs="Times New Roman"/>
                      <w:vertAlign w:val="subscript"/>
                    </w:rPr>
                    <w:t>5</w:t>
                  </w:r>
                  <w:r>
                    <w:rPr>
                      <w:rFonts w:hint="default" w:ascii="Times New Roman" w:hAnsi="Times New Roman" w:cs="Times New Roman"/>
                    </w:rPr>
                    <w:t>、SS、氨氮</w:t>
                  </w:r>
                </w:p>
              </w:tc>
              <w:tc>
                <w:tcPr>
                  <w:tcW w:w="319" w:type="pct"/>
                  <w:tcBorders>
                    <w:tl2br w:val="nil"/>
                    <w:tr2bl w:val="nil"/>
                  </w:tcBorders>
                  <w:noWrap w:val="0"/>
                  <w:vAlign w:val="center"/>
                </w:tcPr>
                <w:p w14:paraId="1D7006B1">
                  <w:pPr>
                    <w:pStyle w:val="71"/>
                    <w:bidi w:val="0"/>
                    <w:jc w:val="center"/>
                    <w:rPr>
                      <w:rFonts w:hint="default" w:ascii="Times New Roman" w:hAnsi="Times New Roman" w:cs="Times New Roman"/>
                    </w:rPr>
                  </w:pPr>
                  <w:r>
                    <w:rPr>
                      <w:rFonts w:hint="default" w:ascii="Times New Roman" w:hAnsi="Times New Roman" w:cs="Times New Roman"/>
                    </w:rPr>
                    <w:t>处理后</w:t>
                  </w:r>
                  <w:r>
                    <w:rPr>
                      <w:rFonts w:hint="default" w:ascii="Times New Roman" w:hAnsi="Times New Roman" w:cs="Times New Roman"/>
                      <w:lang w:eastAsia="zh-CN"/>
                    </w:rPr>
                    <w:t>外排周边沟渠</w:t>
                  </w:r>
                </w:p>
              </w:tc>
              <w:tc>
                <w:tcPr>
                  <w:tcW w:w="330" w:type="pct"/>
                  <w:tcBorders>
                    <w:tl2br w:val="nil"/>
                    <w:tr2bl w:val="nil"/>
                  </w:tcBorders>
                  <w:noWrap w:val="0"/>
                  <w:vAlign w:val="center"/>
                </w:tcPr>
                <w:p w14:paraId="6C90AA59">
                  <w:pPr>
                    <w:pStyle w:val="71"/>
                    <w:bidi w:val="0"/>
                    <w:jc w:val="center"/>
                    <w:rPr>
                      <w:rFonts w:hint="default" w:ascii="Times New Roman" w:hAnsi="Times New Roman" w:cs="Times New Roman"/>
                    </w:rPr>
                  </w:pPr>
                  <w:r>
                    <w:rPr>
                      <w:rFonts w:hint="default" w:ascii="Times New Roman" w:hAnsi="Times New Roman" w:cs="Times New Roman"/>
                    </w:rPr>
                    <w:t>间断排放流量稳定</w:t>
                  </w:r>
                </w:p>
              </w:tc>
              <w:tc>
                <w:tcPr>
                  <w:tcW w:w="413" w:type="pct"/>
                  <w:tcBorders>
                    <w:tl2br w:val="nil"/>
                    <w:tr2bl w:val="nil"/>
                  </w:tcBorders>
                  <w:noWrap w:val="0"/>
                  <w:vAlign w:val="center"/>
                </w:tcPr>
                <w:p w14:paraId="46FFD25E">
                  <w:pPr>
                    <w:pStyle w:val="71"/>
                    <w:bidi w:val="0"/>
                    <w:jc w:val="center"/>
                    <w:rPr>
                      <w:rFonts w:hint="default" w:ascii="Times New Roman" w:hAnsi="Times New Roman" w:cs="Times New Roman"/>
                    </w:rPr>
                  </w:pPr>
                  <w:r>
                    <w:rPr>
                      <w:rFonts w:hint="default" w:ascii="Times New Roman" w:hAnsi="Times New Roman" w:cs="Times New Roman"/>
                    </w:rPr>
                    <w:t>TW001</w:t>
                  </w:r>
                </w:p>
              </w:tc>
              <w:tc>
                <w:tcPr>
                  <w:tcW w:w="525" w:type="pct"/>
                  <w:tcBorders>
                    <w:tl2br w:val="nil"/>
                    <w:tr2bl w:val="nil"/>
                  </w:tcBorders>
                  <w:noWrap w:val="0"/>
                  <w:vAlign w:val="center"/>
                </w:tcPr>
                <w:p w14:paraId="485FE3C0">
                  <w:pPr>
                    <w:pStyle w:val="71"/>
                    <w:bidi w:val="0"/>
                    <w:jc w:val="center"/>
                    <w:rPr>
                      <w:rFonts w:hint="default" w:ascii="Times New Roman" w:hAnsi="Times New Roman" w:cs="Times New Roman"/>
                    </w:rPr>
                  </w:pPr>
                  <w:r>
                    <w:rPr>
                      <w:rFonts w:hint="default" w:ascii="Times New Roman" w:hAnsi="Times New Roman" w:cs="Times New Roman"/>
                    </w:rPr>
                    <w:t>渗滤液处理工程</w:t>
                  </w:r>
                </w:p>
              </w:tc>
              <w:tc>
                <w:tcPr>
                  <w:tcW w:w="794" w:type="pct"/>
                  <w:tcBorders>
                    <w:tl2br w:val="nil"/>
                    <w:tr2bl w:val="nil"/>
                  </w:tcBorders>
                  <w:noWrap w:val="0"/>
                  <w:vAlign w:val="center"/>
                </w:tcPr>
                <w:p w14:paraId="39EF76FC">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预处理+短程强化生+NF+RO+去氨氮保障系统</w:t>
                  </w:r>
                </w:p>
              </w:tc>
              <w:tc>
                <w:tcPr>
                  <w:tcW w:w="317" w:type="pct"/>
                  <w:tcBorders>
                    <w:tl2br w:val="nil"/>
                    <w:tr2bl w:val="nil"/>
                  </w:tcBorders>
                  <w:noWrap w:val="0"/>
                  <w:vAlign w:val="center"/>
                </w:tcPr>
                <w:p w14:paraId="363861C7">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425" w:type="pct"/>
                  <w:tcBorders>
                    <w:tl2br w:val="nil"/>
                    <w:tr2bl w:val="nil"/>
                  </w:tcBorders>
                  <w:noWrap w:val="0"/>
                  <w:vAlign w:val="center"/>
                </w:tcPr>
                <w:p w14:paraId="239E9B7E">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是</w:t>
                  </w:r>
                </w:p>
              </w:tc>
              <w:tc>
                <w:tcPr>
                  <w:tcW w:w="686" w:type="pct"/>
                  <w:tcBorders>
                    <w:tl2br w:val="nil"/>
                    <w:tr2bl w:val="nil"/>
                  </w:tcBorders>
                  <w:noWrap w:val="0"/>
                  <w:vAlign w:val="center"/>
                </w:tcPr>
                <w:p w14:paraId="57D6C070">
                  <w:pPr>
                    <w:pStyle w:val="71"/>
                    <w:bidi w:val="0"/>
                    <w:jc w:val="center"/>
                    <w:rPr>
                      <w:rFonts w:hint="default" w:ascii="Times New Roman" w:hAnsi="Times New Roman" w:cs="Times New Roman"/>
                    </w:rPr>
                  </w:pPr>
                  <w:r>
                    <w:rPr>
                      <w:rFonts w:hint="default" w:ascii="Times New Roman" w:hAnsi="Times New Roman" w:cs="Times New Roman"/>
                    </w:rPr>
                    <w:t>企业总排</w:t>
                  </w:r>
                </w:p>
                <w:p w14:paraId="0AF4E1FC">
                  <w:pPr>
                    <w:pStyle w:val="71"/>
                    <w:bidi w:val="0"/>
                    <w:jc w:val="center"/>
                    <w:rPr>
                      <w:rFonts w:hint="default" w:ascii="Times New Roman" w:hAnsi="Times New Roman" w:cs="Times New Roman"/>
                    </w:rPr>
                  </w:pPr>
                </w:p>
              </w:tc>
            </w:tr>
          </w:tbl>
          <w:p w14:paraId="6112F521">
            <w:pPr>
              <w:pStyle w:val="3"/>
              <w:bidi w:val="0"/>
              <w:rPr>
                <w:rFonts w:hint="default" w:ascii="Times New Roman" w:hAnsi="Times New Roman" w:cs="Times New Roman"/>
              </w:rPr>
            </w:pPr>
            <w:r>
              <w:rPr>
                <w:rFonts w:hint="default" w:ascii="Times New Roman" w:hAnsi="Times New Roman" w:eastAsia="宋体" w:cs="Times New Roman"/>
              </w:rPr>
              <w:t>②</w:t>
            </w:r>
            <w:r>
              <w:rPr>
                <w:rFonts w:hint="default" w:ascii="Times New Roman" w:hAnsi="Times New Roman" w:cs="Times New Roman"/>
              </w:rPr>
              <w:t>废水</w:t>
            </w:r>
            <w:r>
              <w:rPr>
                <w:rFonts w:hint="default" w:ascii="Times New Roman" w:hAnsi="Times New Roman" w:cs="Times New Roman"/>
                <w:lang w:eastAsia="zh-CN"/>
              </w:rPr>
              <w:t>直</w:t>
            </w:r>
            <w:r>
              <w:rPr>
                <w:rFonts w:hint="default" w:ascii="Times New Roman" w:hAnsi="Times New Roman" w:cs="Times New Roman"/>
              </w:rPr>
              <w:t>接排放口基本情况表：</w:t>
            </w:r>
          </w:p>
          <w:p w14:paraId="48A11407">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ascii="Times New Roman" w:hAnsi="Times New Roman" w:cs="Times New Roman"/>
                <w:lang w:val="en-US" w:eastAsia="zh-CN"/>
              </w:rPr>
              <w:t>0</w:t>
            </w:r>
            <w:r>
              <w:rPr>
                <w:rFonts w:hint="default" w:ascii="Times New Roman" w:hAnsi="Times New Roman" w:cs="Times New Roman"/>
                <w:lang w:val="en-US" w:eastAsia="zh-CN"/>
              </w:rPr>
              <w:t>废水直接排放口基本情况表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578"/>
              <w:gridCol w:w="751"/>
              <w:gridCol w:w="737"/>
              <w:gridCol w:w="639"/>
              <w:gridCol w:w="652"/>
              <w:gridCol w:w="543"/>
              <w:gridCol w:w="519"/>
              <w:gridCol w:w="693"/>
              <w:gridCol w:w="1042"/>
              <w:gridCol w:w="650"/>
              <w:gridCol w:w="617"/>
            </w:tblGrid>
            <w:tr w14:paraId="7967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2" w:type="pct"/>
                  <w:vMerge w:val="restart"/>
                  <w:tcBorders>
                    <w:tl2br w:val="nil"/>
                    <w:tr2bl w:val="nil"/>
                  </w:tcBorders>
                  <w:noWrap w:val="0"/>
                  <w:vAlign w:val="center"/>
                </w:tcPr>
                <w:p w14:paraId="1B715119">
                  <w:pPr>
                    <w:pStyle w:val="71"/>
                    <w:bidi w:val="0"/>
                    <w:jc w:val="center"/>
                    <w:rPr>
                      <w:rFonts w:hint="default" w:ascii="Times New Roman" w:hAnsi="Times New Roman" w:cs="Times New Roman"/>
                    </w:rPr>
                  </w:pPr>
                  <w:r>
                    <w:rPr>
                      <w:rFonts w:hint="default" w:ascii="Times New Roman" w:hAnsi="Times New Roman" w:cs="Times New Roman"/>
                    </w:rPr>
                    <w:t>序号</w:t>
                  </w:r>
                </w:p>
              </w:tc>
              <w:tc>
                <w:tcPr>
                  <w:tcW w:w="367" w:type="pct"/>
                  <w:vMerge w:val="restart"/>
                  <w:tcBorders>
                    <w:tl2br w:val="nil"/>
                    <w:tr2bl w:val="nil"/>
                  </w:tcBorders>
                  <w:noWrap w:val="0"/>
                  <w:vAlign w:val="center"/>
                </w:tcPr>
                <w:p w14:paraId="49C590E4">
                  <w:pPr>
                    <w:pStyle w:val="71"/>
                    <w:bidi w:val="0"/>
                    <w:jc w:val="center"/>
                    <w:rPr>
                      <w:rFonts w:hint="default" w:ascii="Times New Roman" w:hAnsi="Times New Roman" w:cs="Times New Roman"/>
                    </w:rPr>
                  </w:pPr>
                  <w:r>
                    <w:rPr>
                      <w:rFonts w:hint="default" w:ascii="Times New Roman" w:hAnsi="Times New Roman" w:cs="Times New Roman"/>
                    </w:rPr>
                    <w:t>排放口编号</w:t>
                  </w:r>
                </w:p>
              </w:tc>
              <w:tc>
                <w:tcPr>
                  <w:tcW w:w="945" w:type="pct"/>
                  <w:gridSpan w:val="2"/>
                  <w:vMerge w:val="restart"/>
                  <w:tcBorders>
                    <w:tl2br w:val="nil"/>
                    <w:tr2bl w:val="nil"/>
                  </w:tcBorders>
                  <w:noWrap w:val="0"/>
                  <w:vAlign w:val="center"/>
                </w:tcPr>
                <w:p w14:paraId="7A4E04CC">
                  <w:pPr>
                    <w:pStyle w:val="71"/>
                    <w:bidi w:val="0"/>
                    <w:jc w:val="center"/>
                    <w:rPr>
                      <w:rFonts w:hint="default" w:ascii="Times New Roman" w:hAnsi="Times New Roman" w:cs="Times New Roman"/>
                    </w:rPr>
                  </w:pPr>
                  <w:r>
                    <w:rPr>
                      <w:rFonts w:hint="default" w:ascii="Times New Roman" w:hAnsi="Times New Roman" w:cs="Times New Roman"/>
                    </w:rPr>
                    <w:t>排放口地理坐标</w:t>
                  </w:r>
                </w:p>
              </w:tc>
              <w:tc>
                <w:tcPr>
                  <w:tcW w:w="406" w:type="pct"/>
                  <w:vMerge w:val="restart"/>
                  <w:tcBorders>
                    <w:tl2br w:val="nil"/>
                    <w:tr2bl w:val="nil"/>
                  </w:tcBorders>
                  <w:noWrap w:val="0"/>
                  <w:vAlign w:val="center"/>
                </w:tcPr>
                <w:p w14:paraId="513D9354">
                  <w:pPr>
                    <w:pStyle w:val="71"/>
                    <w:bidi w:val="0"/>
                    <w:jc w:val="center"/>
                    <w:rPr>
                      <w:rFonts w:hint="default" w:ascii="Times New Roman" w:hAnsi="Times New Roman" w:cs="Times New Roman"/>
                    </w:rPr>
                  </w:pPr>
                  <w:r>
                    <w:rPr>
                      <w:rFonts w:hint="default" w:ascii="Times New Roman" w:hAnsi="Times New Roman" w:cs="Times New Roman"/>
                    </w:rPr>
                    <w:t>废水排放量/（t/d</w:t>
                  </w:r>
                </w:p>
              </w:tc>
              <w:tc>
                <w:tcPr>
                  <w:tcW w:w="414" w:type="pct"/>
                  <w:vMerge w:val="restart"/>
                  <w:tcBorders>
                    <w:tl2br w:val="nil"/>
                    <w:tr2bl w:val="nil"/>
                  </w:tcBorders>
                  <w:noWrap w:val="0"/>
                  <w:vAlign w:val="center"/>
                </w:tcPr>
                <w:p w14:paraId="6EC4CB69">
                  <w:pPr>
                    <w:pStyle w:val="71"/>
                    <w:bidi w:val="0"/>
                    <w:jc w:val="center"/>
                    <w:rPr>
                      <w:rFonts w:hint="default" w:ascii="Times New Roman" w:hAnsi="Times New Roman" w:cs="Times New Roman"/>
                    </w:rPr>
                  </w:pPr>
                  <w:r>
                    <w:rPr>
                      <w:rFonts w:hint="default" w:ascii="Times New Roman" w:hAnsi="Times New Roman" w:cs="Times New Roman"/>
                    </w:rPr>
                    <w:t>排放去向</w:t>
                  </w:r>
                </w:p>
              </w:tc>
              <w:tc>
                <w:tcPr>
                  <w:tcW w:w="345" w:type="pct"/>
                  <w:vMerge w:val="restart"/>
                  <w:tcBorders>
                    <w:tl2br w:val="nil"/>
                    <w:tr2bl w:val="nil"/>
                  </w:tcBorders>
                  <w:noWrap w:val="0"/>
                  <w:vAlign w:val="center"/>
                </w:tcPr>
                <w:p w14:paraId="24D67480">
                  <w:pPr>
                    <w:pStyle w:val="71"/>
                    <w:bidi w:val="0"/>
                    <w:jc w:val="center"/>
                    <w:rPr>
                      <w:rFonts w:hint="default" w:ascii="Times New Roman" w:hAnsi="Times New Roman" w:cs="Times New Roman"/>
                    </w:rPr>
                  </w:pPr>
                  <w:r>
                    <w:rPr>
                      <w:rFonts w:hint="default" w:ascii="Times New Roman" w:hAnsi="Times New Roman" w:cs="Times New Roman"/>
                    </w:rPr>
                    <w:t>排放规律</w:t>
                  </w:r>
                </w:p>
              </w:tc>
              <w:tc>
                <w:tcPr>
                  <w:tcW w:w="330" w:type="pct"/>
                  <w:vMerge w:val="restart"/>
                  <w:tcBorders>
                    <w:tl2br w:val="nil"/>
                    <w:tr2bl w:val="nil"/>
                  </w:tcBorders>
                  <w:noWrap w:val="0"/>
                  <w:vAlign w:val="center"/>
                </w:tcPr>
                <w:p w14:paraId="48785155">
                  <w:pPr>
                    <w:pStyle w:val="71"/>
                    <w:bidi w:val="0"/>
                    <w:jc w:val="center"/>
                    <w:rPr>
                      <w:rFonts w:hint="default" w:ascii="Times New Roman" w:hAnsi="Times New Roman" w:cs="Times New Roman"/>
                    </w:rPr>
                  </w:pPr>
                  <w:r>
                    <w:rPr>
                      <w:rFonts w:hint="default" w:ascii="Times New Roman" w:hAnsi="Times New Roman" w:cs="Times New Roman"/>
                    </w:rPr>
                    <w:t>间歇排放时段</w:t>
                  </w:r>
                </w:p>
              </w:tc>
              <w:tc>
                <w:tcPr>
                  <w:tcW w:w="1102" w:type="pct"/>
                  <w:gridSpan w:val="2"/>
                  <w:vMerge w:val="restart"/>
                  <w:tcBorders>
                    <w:tl2br w:val="nil"/>
                    <w:tr2bl w:val="nil"/>
                  </w:tcBorders>
                  <w:noWrap w:val="0"/>
                  <w:vAlign w:val="center"/>
                </w:tcPr>
                <w:p w14:paraId="0A381F7C">
                  <w:pPr>
                    <w:pStyle w:val="71"/>
                    <w:bidi w:val="0"/>
                    <w:jc w:val="center"/>
                    <w:rPr>
                      <w:rFonts w:hint="default" w:ascii="Times New Roman" w:hAnsi="Times New Roman" w:cs="Times New Roman"/>
                    </w:rPr>
                  </w:pPr>
                  <w:r>
                    <w:rPr>
                      <w:rFonts w:hint="default" w:ascii="Times New Roman" w:hAnsi="Times New Roman" w:cs="Times New Roman"/>
                    </w:rPr>
                    <w:t>受纳</w:t>
                  </w:r>
                  <w:r>
                    <w:rPr>
                      <w:rFonts w:hint="default" w:ascii="Times New Roman" w:hAnsi="Times New Roman" w:cs="Times New Roman"/>
                      <w:lang w:eastAsia="zh-CN"/>
                    </w:rPr>
                    <w:t>自然</w:t>
                  </w:r>
                  <w:r>
                    <w:rPr>
                      <w:rFonts w:hint="default" w:ascii="Times New Roman" w:hAnsi="Times New Roman" w:cs="Times New Roman"/>
                    </w:rPr>
                    <w:t>水</w:t>
                  </w:r>
                  <w:r>
                    <w:rPr>
                      <w:rFonts w:hint="default" w:ascii="Times New Roman" w:hAnsi="Times New Roman" w:cs="Times New Roman"/>
                      <w:lang w:eastAsia="zh-CN"/>
                    </w:rPr>
                    <w:t>体</w:t>
                  </w:r>
                  <w:r>
                    <w:rPr>
                      <w:rFonts w:hint="default" w:ascii="Times New Roman" w:hAnsi="Times New Roman" w:cs="Times New Roman"/>
                    </w:rPr>
                    <w:t>信息</w:t>
                  </w:r>
                </w:p>
              </w:tc>
              <w:tc>
                <w:tcPr>
                  <w:tcW w:w="805" w:type="pct"/>
                  <w:gridSpan w:val="2"/>
                  <w:vMerge w:val="restart"/>
                  <w:tcBorders>
                    <w:tl2br w:val="nil"/>
                    <w:tr2bl w:val="nil"/>
                  </w:tcBorders>
                  <w:noWrap w:val="0"/>
                  <w:vAlign w:val="center"/>
                </w:tcPr>
                <w:p w14:paraId="13C0916B">
                  <w:pPr>
                    <w:pStyle w:val="71"/>
                    <w:bidi w:val="0"/>
                    <w:jc w:val="center"/>
                    <w:rPr>
                      <w:rFonts w:hint="default" w:ascii="Times New Roman" w:hAnsi="Times New Roman" w:cs="Times New Roman"/>
                      <w:lang w:eastAsia="zh-CN"/>
                    </w:rPr>
                  </w:pPr>
                  <w:r>
                    <w:rPr>
                      <w:rFonts w:hint="default" w:ascii="Times New Roman" w:hAnsi="Times New Roman" w:cs="Times New Roman"/>
                      <w:lang w:eastAsia="zh-CN"/>
                    </w:rPr>
                    <w:t>汇入</w:t>
                  </w:r>
                  <w:r>
                    <w:rPr>
                      <w:rFonts w:hint="default" w:ascii="Times New Roman" w:hAnsi="Times New Roman" w:cs="Times New Roman"/>
                    </w:rPr>
                    <w:t>受纳</w:t>
                  </w:r>
                  <w:r>
                    <w:rPr>
                      <w:rFonts w:hint="default" w:ascii="Times New Roman" w:hAnsi="Times New Roman" w:cs="Times New Roman"/>
                      <w:lang w:eastAsia="zh-CN"/>
                    </w:rPr>
                    <w:t>自然</w:t>
                  </w:r>
                  <w:r>
                    <w:rPr>
                      <w:rFonts w:hint="default" w:ascii="Times New Roman" w:hAnsi="Times New Roman" w:cs="Times New Roman"/>
                    </w:rPr>
                    <w:t>水</w:t>
                  </w:r>
                  <w:r>
                    <w:rPr>
                      <w:rFonts w:hint="default" w:ascii="Times New Roman" w:hAnsi="Times New Roman" w:cs="Times New Roman"/>
                      <w:lang w:eastAsia="zh-CN"/>
                    </w:rPr>
                    <w:t>体处地理坐标</w:t>
                  </w:r>
                </w:p>
              </w:tc>
            </w:tr>
            <w:tr w14:paraId="7AD0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2" w:type="pct"/>
                  <w:vMerge w:val="continue"/>
                  <w:tcBorders>
                    <w:tl2br w:val="nil"/>
                    <w:tr2bl w:val="nil"/>
                  </w:tcBorders>
                  <w:noWrap w:val="0"/>
                  <w:vAlign w:val="center"/>
                </w:tcPr>
                <w:p w14:paraId="48537AA6">
                  <w:pPr>
                    <w:pStyle w:val="71"/>
                    <w:bidi w:val="0"/>
                    <w:jc w:val="center"/>
                    <w:rPr>
                      <w:rFonts w:hint="default" w:ascii="Times New Roman" w:hAnsi="Times New Roman" w:cs="Times New Roman"/>
                    </w:rPr>
                  </w:pPr>
                </w:p>
              </w:tc>
              <w:tc>
                <w:tcPr>
                  <w:tcW w:w="367" w:type="pct"/>
                  <w:vMerge w:val="continue"/>
                  <w:tcBorders>
                    <w:tl2br w:val="nil"/>
                    <w:tr2bl w:val="nil"/>
                  </w:tcBorders>
                  <w:noWrap w:val="0"/>
                  <w:vAlign w:val="center"/>
                </w:tcPr>
                <w:p w14:paraId="4D19F1DB">
                  <w:pPr>
                    <w:pStyle w:val="71"/>
                    <w:bidi w:val="0"/>
                    <w:jc w:val="center"/>
                    <w:rPr>
                      <w:rFonts w:hint="default" w:ascii="Times New Roman" w:hAnsi="Times New Roman" w:cs="Times New Roman"/>
                    </w:rPr>
                  </w:pPr>
                </w:p>
              </w:tc>
              <w:tc>
                <w:tcPr>
                  <w:tcW w:w="945" w:type="pct"/>
                  <w:gridSpan w:val="2"/>
                  <w:vMerge w:val="continue"/>
                  <w:tcBorders>
                    <w:tl2br w:val="nil"/>
                    <w:tr2bl w:val="nil"/>
                  </w:tcBorders>
                  <w:noWrap w:val="0"/>
                  <w:vAlign w:val="center"/>
                </w:tcPr>
                <w:p w14:paraId="55E0DFD6">
                  <w:pPr>
                    <w:pStyle w:val="71"/>
                    <w:bidi w:val="0"/>
                    <w:jc w:val="center"/>
                    <w:rPr>
                      <w:rFonts w:hint="default" w:ascii="Times New Roman" w:hAnsi="Times New Roman" w:cs="Times New Roman"/>
                    </w:rPr>
                  </w:pPr>
                </w:p>
              </w:tc>
              <w:tc>
                <w:tcPr>
                  <w:tcW w:w="406" w:type="pct"/>
                  <w:vMerge w:val="continue"/>
                  <w:tcBorders>
                    <w:tl2br w:val="nil"/>
                    <w:tr2bl w:val="nil"/>
                  </w:tcBorders>
                  <w:noWrap w:val="0"/>
                  <w:vAlign w:val="center"/>
                </w:tcPr>
                <w:p w14:paraId="53256E6B">
                  <w:pPr>
                    <w:pStyle w:val="71"/>
                    <w:bidi w:val="0"/>
                    <w:jc w:val="center"/>
                    <w:rPr>
                      <w:rFonts w:hint="default" w:ascii="Times New Roman" w:hAnsi="Times New Roman" w:cs="Times New Roman"/>
                    </w:rPr>
                  </w:pPr>
                </w:p>
              </w:tc>
              <w:tc>
                <w:tcPr>
                  <w:tcW w:w="414" w:type="pct"/>
                  <w:vMerge w:val="continue"/>
                  <w:tcBorders>
                    <w:tl2br w:val="nil"/>
                    <w:tr2bl w:val="nil"/>
                  </w:tcBorders>
                  <w:noWrap w:val="0"/>
                  <w:vAlign w:val="center"/>
                </w:tcPr>
                <w:p w14:paraId="41AB83FC">
                  <w:pPr>
                    <w:pStyle w:val="71"/>
                    <w:bidi w:val="0"/>
                    <w:jc w:val="center"/>
                    <w:rPr>
                      <w:rFonts w:hint="default" w:ascii="Times New Roman" w:hAnsi="Times New Roman" w:cs="Times New Roman"/>
                    </w:rPr>
                  </w:pPr>
                </w:p>
              </w:tc>
              <w:tc>
                <w:tcPr>
                  <w:tcW w:w="345" w:type="pct"/>
                  <w:vMerge w:val="continue"/>
                  <w:tcBorders>
                    <w:tl2br w:val="nil"/>
                    <w:tr2bl w:val="nil"/>
                  </w:tcBorders>
                  <w:noWrap w:val="0"/>
                  <w:vAlign w:val="center"/>
                </w:tcPr>
                <w:p w14:paraId="5E7548FF">
                  <w:pPr>
                    <w:pStyle w:val="71"/>
                    <w:bidi w:val="0"/>
                    <w:jc w:val="center"/>
                    <w:rPr>
                      <w:rFonts w:hint="default" w:ascii="Times New Roman" w:hAnsi="Times New Roman" w:cs="Times New Roman"/>
                    </w:rPr>
                  </w:pPr>
                </w:p>
              </w:tc>
              <w:tc>
                <w:tcPr>
                  <w:tcW w:w="330" w:type="pct"/>
                  <w:vMerge w:val="continue"/>
                  <w:tcBorders>
                    <w:tl2br w:val="nil"/>
                    <w:tr2bl w:val="nil"/>
                  </w:tcBorders>
                  <w:noWrap w:val="0"/>
                  <w:vAlign w:val="center"/>
                </w:tcPr>
                <w:p w14:paraId="1D63D32F">
                  <w:pPr>
                    <w:pStyle w:val="71"/>
                    <w:bidi w:val="0"/>
                    <w:jc w:val="center"/>
                    <w:rPr>
                      <w:rFonts w:hint="default" w:ascii="Times New Roman" w:hAnsi="Times New Roman" w:cs="Times New Roman"/>
                    </w:rPr>
                  </w:pPr>
                </w:p>
              </w:tc>
              <w:tc>
                <w:tcPr>
                  <w:tcW w:w="1102" w:type="pct"/>
                  <w:gridSpan w:val="2"/>
                  <w:vMerge w:val="continue"/>
                  <w:tcBorders>
                    <w:tl2br w:val="nil"/>
                    <w:tr2bl w:val="nil"/>
                  </w:tcBorders>
                  <w:noWrap w:val="0"/>
                  <w:vAlign w:val="center"/>
                </w:tcPr>
                <w:p w14:paraId="2D900CF6">
                  <w:pPr>
                    <w:pStyle w:val="71"/>
                    <w:bidi w:val="0"/>
                    <w:jc w:val="center"/>
                    <w:rPr>
                      <w:rFonts w:hint="default" w:ascii="Times New Roman" w:hAnsi="Times New Roman" w:cs="Times New Roman"/>
                    </w:rPr>
                  </w:pPr>
                </w:p>
              </w:tc>
              <w:tc>
                <w:tcPr>
                  <w:tcW w:w="805" w:type="pct"/>
                  <w:gridSpan w:val="2"/>
                  <w:vMerge w:val="continue"/>
                  <w:tcBorders>
                    <w:tl2br w:val="nil"/>
                    <w:tr2bl w:val="nil"/>
                  </w:tcBorders>
                  <w:noWrap w:val="0"/>
                  <w:vAlign w:val="center"/>
                </w:tcPr>
                <w:p w14:paraId="26CFF6AE">
                  <w:pPr>
                    <w:pStyle w:val="71"/>
                    <w:bidi w:val="0"/>
                    <w:jc w:val="center"/>
                    <w:rPr>
                      <w:rFonts w:hint="default" w:ascii="Times New Roman" w:hAnsi="Times New Roman" w:cs="Times New Roman"/>
                    </w:rPr>
                  </w:pPr>
                </w:p>
              </w:tc>
            </w:tr>
            <w:tr w14:paraId="3032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2" w:type="pct"/>
                  <w:vMerge w:val="continue"/>
                  <w:tcBorders>
                    <w:tl2br w:val="nil"/>
                    <w:tr2bl w:val="nil"/>
                  </w:tcBorders>
                  <w:noWrap w:val="0"/>
                  <w:vAlign w:val="center"/>
                </w:tcPr>
                <w:p w14:paraId="4E0477A9">
                  <w:pPr>
                    <w:pStyle w:val="71"/>
                    <w:bidi w:val="0"/>
                    <w:jc w:val="center"/>
                    <w:rPr>
                      <w:rFonts w:hint="default" w:ascii="Times New Roman" w:hAnsi="Times New Roman" w:cs="Times New Roman"/>
                    </w:rPr>
                  </w:pPr>
                </w:p>
              </w:tc>
              <w:tc>
                <w:tcPr>
                  <w:tcW w:w="367" w:type="pct"/>
                  <w:vMerge w:val="continue"/>
                  <w:tcBorders>
                    <w:tl2br w:val="nil"/>
                    <w:tr2bl w:val="nil"/>
                  </w:tcBorders>
                  <w:noWrap w:val="0"/>
                  <w:vAlign w:val="center"/>
                </w:tcPr>
                <w:p w14:paraId="7D69473A">
                  <w:pPr>
                    <w:pStyle w:val="71"/>
                    <w:bidi w:val="0"/>
                    <w:jc w:val="center"/>
                    <w:rPr>
                      <w:rFonts w:hint="default" w:ascii="Times New Roman" w:hAnsi="Times New Roman" w:cs="Times New Roman"/>
                    </w:rPr>
                  </w:pPr>
                </w:p>
              </w:tc>
              <w:tc>
                <w:tcPr>
                  <w:tcW w:w="945" w:type="pct"/>
                  <w:gridSpan w:val="2"/>
                  <w:vMerge w:val="continue"/>
                  <w:tcBorders>
                    <w:tl2br w:val="nil"/>
                    <w:tr2bl w:val="nil"/>
                  </w:tcBorders>
                  <w:noWrap w:val="0"/>
                  <w:vAlign w:val="center"/>
                </w:tcPr>
                <w:p w14:paraId="7DF2662D">
                  <w:pPr>
                    <w:pStyle w:val="71"/>
                    <w:bidi w:val="0"/>
                    <w:jc w:val="center"/>
                    <w:rPr>
                      <w:rFonts w:hint="default" w:ascii="Times New Roman" w:hAnsi="Times New Roman" w:cs="Times New Roman"/>
                    </w:rPr>
                  </w:pPr>
                </w:p>
              </w:tc>
              <w:tc>
                <w:tcPr>
                  <w:tcW w:w="406" w:type="pct"/>
                  <w:vMerge w:val="continue"/>
                  <w:tcBorders>
                    <w:tl2br w:val="nil"/>
                    <w:tr2bl w:val="nil"/>
                  </w:tcBorders>
                  <w:noWrap w:val="0"/>
                  <w:vAlign w:val="center"/>
                </w:tcPr>
                <w:p w14:paraId="391F5119">
                  <w:pPr>
                    <w:pStyle w:val="71"/>
                    <w:bidi w:val="0"/>
                    <w:jc w:val="center"/>
                    <w:rPr>
                      <w:rFonts w:hint="default" w:ascii="Times New Roman" w:hAnsi="Times New Roman" w:cs="Times New Roman"/>
                    </w:rPr>
                  </w:pPr>
                </w:p>
              </w:tc>
              <w:tc>
                <w:tcPr>
                  <w:tcW w:w="414" w:type="pct"/>
                  <w:vMerge w:val="continue"/>
                  <w:tcBorders>
                    <w:tl2br w:val="nil"/>
                    <w:tr2bl w:val="nil"/>
                  </w:tcBorders>
                  <w:noWrap w:val="0"/>
                  <w:vAlign w:val="center"/>
                </w:tcPr>
                <w:p w14:paraId="4A214F42">
                  <w:pPr>
                    <w:pStyle w:val="71"/>
                    <w:bidi w:val="0"/>
                    <w:jc w:val="center"/>
                    <w:rPr>
                      <w:rFonts w:hint="default" w:ascii="Times New Roman" w:hAnsi="Times New Roman" w:cs="Times New Roman"/>
                    </w:rPr>
                  </w:pPr>
                </w:p>
              </w:tc>
              <w:tc>
                <w:tcPr>
                  <w:tcW w:w="345" w:type="pct"/>
                  <w:vMerge w:val="continue"/>
                  <w:tcBorders>
                    <w:tl2br w:val="nil"/>
                    <w:tr2bl w:val="nil"/>
                  </w:tcBorders>
                  <w:noWrap w:val="0"/>
                  <w:vAlign w:val="center"/>
                </w:tcPr>
                <w:p w14:paraId="21AB85C5">
                  <w:pPr>
                    <w:pStyle w:val="71"/>
                    <w:bidi w:val="0"/>
                    <w:jc w:val="center"/>
                    <w:rPr>
                      <w:rFonts w:hint="default" w:ascii="Times New Roman" w:hAnsi="Times New Roman" w:cs="Times New Roman"/>
                    </w:rPr>
                  </w:pPr>
                </w:p>
              </w:tc>
              <w:tc>
                <w:tcPr>
                  <w:tcW w:w="330" w:type="pct"/>
                  <w:vMerge w:val="continue"/>
                  <w:tcBorders>
                    <w:tl2br w:val="nil"/>
                    <w:tr2bl w:val="nil"/>
                  </w:tcBorders>
                  <w:noWrap w:val="0"/>
                  <w:vAlign w:val="center"/>
                </w:tcPr>
                <w:p w14:paraId="7BCED295">
                  <w:pPr>
                    <w:pStyle w:val="71"/>
                    <w:bidi w:val="0"/>
                    <w:jc w:val="center"/>
                    <w:rPr>
                      <w:rFonts w:hint="default" w:ascii="Times New Roman" w:hAnsi="Times New Roman" w:cs="Times New Roman"/>
                    </w:rPr>
                  </w:pPr>
                </w:p>
              </w:tc>
              <w:tc>
                <w:tcPr>
                  <w:tcW w:w="440" w:type="pct"/>
                  <w:vMerge w:val="restart"/>
                  <w:tcBorders>
                    <w:tl2br w:val="nil"/>
                    <w:tr2bl w:val="nil"/>
                  </w:tcBorders>
                  <w:noWrap w:val="0"/>
                  <w:vAlign w:val="center"/>
                </w:tcPr>
                <w:p w14:paraId="616F973C">
                  <w:pPr>
                    <w:pStyle w:val="71"/>
                    <w:bidi w:val="0"/>
                    <w:jc w:val="center"/>
                    <w:rPr>
                      <w:rFonts w:hint="default" w:ascii="Times New Roman" w:hAnsi="Times New Roman" w:cs="Times New Roman"/>
                    </w:rPr>
                  </w:pPr>
                  <w:r>
                    <w:rPr>
                      <w:rFonts w:hint="default" w:ascii="Times New Roman" w:hAnsi="Times New Roman" w:cs="Times New Roman"/>
                    </w:rPr>
                    <w:t>名称</w:t>
                  </w:r>
                </w:p>
              </w:tc>
              <w:tc>
                <w:tcPr>
                  <w:tcW w:w="661" w:type="pct"/>
                  <w:vMerge w:val="restart"/>
                  <w:tcBorders>
                    <w:tl2br w:val="nil"/>
                    <w:tr2bl w:val="nil"/>
                  </w:tcBorders>
                  <w:noWrap w:val="0"/>
                  <w:vAlign w:val="center"/>
                </w:tcPr>
                <w:p w14:paraId="4EEB0852">
                  <w:pPr>
                    <w:pStyle w:val="71"/>
                    <w:bidi w:val="0"/>
                    <w:jc w:val="center"/>
                    <w:rPr>
                      <w:rFonts w:hint="default" w:ascii="Times New Roman" w:hAnsi="Times New Roman" w:cs="Times New Roman"/>
                      <w:lang w:eastAsia="zh-CN"/>
                    </w:rPr>
                  </w:pPr>
                  <w:r>
                    <w:rPr>
                      <w:rFonts w:hint="default" w:ascii="Times New Roman" w:hAnsi="Times New Roman" w:cs="Times New Roman"/>
                      <w:lang w:eastAsia="zh-CN"/>
                    </w:rPr>
                    <w:t>受纳水体功能目标</w:t>
                  </w:r>
                </w:p>
              </w:tc>
              <w:tc>
                <w:tcPr>
                  <w:tcW w:w="413" w:type="pct"/>
                  <w:vMerge w:val="restart"/>
                  <w:tcBorders>
                    <w:tl2br w:val="nil"/>
                    <w:tr2bl w:val="nil"/>
                  </w:tcBorders>
                  <w:noWrap w:val="0"/>
                  <w:vAlign w:val="center"/>
                </w:tcPr>
                <w:p w14:paraId="24B2A284">
                  <w:pPr>
                    <w:pStyle w:val="71"/>
                    <w:bidi w:val="0"/>
                    <w:jc w:val="center"/>
                    <w:rPr>
                      <w:rFonts w:hint="default" w:ascii="Times New Roman" w:hAnsi="Times New Roman" w:cs="Times New Roman"/>
                    </w:rPr>
                  </w:pPr>
                  <w:r>
                    <w:rPr>
                      <w:rFonts w:hint="default" w:ascii="Times New Roman" w:hAnsi="Times New Roman" w:cs="Times New Roman"/>
                    </w:rPr>
                    <w:t>经度</w:t>
                  </w:r>
                </w:p>
              </w:tc>
              <w:tc>
                <w:tcPr>
                  <w:tcW w:w="392" w:type="pct"/>
                  <w:vMerge w:val="restart"/>
                  <w:tcBorders>
                    <w:tl2br w:val="nil"/>
                    <w:tr2bl w:val="nil"/>
                  </w:tcBorders>
                  <w:noWrap w:val="0"/>
                  <w:vAlign w:val="center"/>
                </w:tcPr>
                <w:p w14:paraId="37BD29BA">
                  <w:pPr>
                    <w:pStyle w:val="71"/>
                    <w:bidi w:val="0"/>
                    <w:jc w:val="center"/>
                    <w:rPr>
                      <w:rFonts w:hint="default" w:ascii="Times New Roman" w:hAnsi="Times New Roman" w:cs="Times New Roman"/>
                    </w:rPr>
                  </w:pPr>
                  <w:r>
                    <w:rPr>
                      <w:rFonts w:hint="default" w:ascii="Times New Roman" w:hAnsi="Times New Roman" w:cs="Times New Roman"/>
                    </w:rPr>
                    <w:t>纬度</w:t>
                  </w:r>
                </w:p>
              </w:tc>
            </w:tr>
            <w:tr w14:paraId="4E4F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82" w:type="pct"/>
                  <w:vMerge w:val="continue"/>
                  <w:tcBorders>
                    <w:tl2br w:val="nil"/>
                    <w:tr2bl w:val="nil"/>
                  </w:tcBorders>
                  <w:noWrap w:val="0"/>
                  <w:vAlign w:val="center"/>
                </w:tcPr>
                <w:p w14:paraId="4B97FC4E">
                  <w:pPr>
                    <w:pStyle w:val="71"/>
                    <w:bidi w:val="0"/>
                    <w:jc w:val="center"/>
                    <w:rPr>
                      <w:rFonts w:hint="default" w:ascii="Times New Roman" w:hAnsi="Times New Roman" w:cs="Times New Roman"/>
                    </w:rPr>
                  </w:pPr>
                </w:p>
              </w:tc>
              <w:tc>
                <w:tcPr>
                  <w:tcW w:w="367" w:type="pct"/>
                  <w:vMerge w:val="continue"/>
                  <w:tcBorders>
                    <w:tl2br w:val="nil"/>
                    <w:tr2bl w:val="nil"/>
                  </w:tcBorders>
                  <w:noWrap w:val="0"/>
                  <w:vAlign w:val="center"/>
                </w:tcPr>
                <w:p w14:paraId="50212A2D">
                  <w:pPr>
                    <w:pStyle w:val="71"/>
                    <w:bidi w:val="0"/>
                    <w:jc w:val="center"/>
                    <w:rPr>
                      <w:rFonts w:hint="default" w:ascii="Times New Roman" w:hAnsi="Times New Roman" w:cs="Times New Roman"/>
                    </w:rPr>
                  </w:pPr>
                </w:p>
              </w:tc>
              <w:tc>
                <w:tcPr>
                  <w:tcW w:w="477" w:type="pct"/>
                  <w:tcBorders>
                    <w:tl2br w:val="nil"/>
                    <w:tr2bl w:val="nil"/>
                  </w:tcBorders>
                  <w:noWrap w:val="0"/>
                  <w:vAlign w:val="center"/>
                </w:tcPr>
                <w:p w14:paraId="44E85A81">
                  <w:pPr>
                    <w:pStyle w:val="71"/>
                    <w:bidi w:val="0"/>
                    <w:jc w:val="center"/>
                    <w:rPr>
                      <w:rFonts w:hint="default" w:ascii="Times New Roman" w:hAnsi="Times New Roman" w:cs="Times New Roman"/>
                    </w:rPr>
                  </w:pPr>
                  <w:r>
                    <w:rPr>
                      <w:rFonts w:hint="default" w:ascii="Times New Roman" w:hAnsi="Times New Roman" w:cs="Times New Roman"/>
                    </w:rPr>
                    <w:t>经度</w:t>
                  </w:r>
                </w:p>
              </w:tc>
              <w:tc>
                <w:tcPr>
                  <w:tcW w:w="468" w:type="pct"/>
                  <w:tcBorders>
                    <w:tl2br w:val="nil"/>
                    <w:tr2bl w:val="nil"/>
                  </w:tcBorders>
                  <w:noWrap w:val="0"/>
                  <w:vAlign w:val="center"/>
                </w:tcPr>
                <w:p w14:paraId="6FA94AB5">
                  <w:pPr>
                    <w:pStyle w:val="71"/>
                    <w:bidi w:val="0"/>
                    <w:jc w:val="center"/>
                    <w:rPr>
                      <w:rFonts w:hint="default" w:ascii="Times New Roman" w:hAnsi="Times New Roman" w:cs="Times New Roman"/>
                    </w:rPr>
                  </w:pPr>
                  <w:r>
                    <w:rPr>
                      <w:rFonts w:hint="default" w:ascii="Times New Roman" w:hAnsi="Times New Roman" w:cs="Times New Roman"/>
                    </w:rPr>
                    <w:t>纬度</w:t>
                  </w:r>
                </w:p>
              </w:tc>
              <w:tc>
                <w:tcPr>
                  <w:tcW w:w="406" w:type="pct"/>
                  <w:vMerge w:val="continue"/>
                  <w:tcBorders>
                    <w:tl2br w:val="nil"/>
                    <w:tr2bl w:val="nil"/>
                  </w:tcBorders>
                  <w:noWrap w:val="0"/>
                  <w:vAlign w:val="center"/>
                </w:tcPr>
                <w:p w14:paraId="79966745">
                  <w:pPr>
                    <w:pStyle w:val="71"/>
                    <w:bidi w:val="0"/>
                    <w:jc w:val="center"/>
                    <w:rPr>
                      <w:rFonts w:hint="default" w:ascii="Times New Roman" w:hAnsi="Times New Roman" w:cs="Times New Roman"/>
                    </w:rPr>
                  </w:pPr>
                </w:p>
              </w:tc>
              <w:tc>
                <w:tcPr>
                  <w:tcW w:w="414" w:type="pct"/>
                  <w:vMerge w:val="continue"/>
                  <w:tcBorders>
                    <w:tl2br w:val="nil"/>
                    <w:tr2bl w:val="nil"/>
                  </w:tcBorders>
                  <w:noWrap w:val="0"/>
                  <w:vAlign w:val="center"/>
                </w:tcPr>
                <w:p w14:paraId="6E331555">
                  <w:pPr>
                    <w:pStyle w:val="71"/>
                    <w:bidi w:val="0"/>
                    <w:jc w:val="center"/>
                    <w:rPr>
                      <w:rFonts w:hint="default" w:ascii="Times New Roman" w:hAnsi="Times New Roman" w:cs="Times New Roman"/>
                    </w:rPr>
                  </w:pPr>
                </w:p>
              </w:tc>
              <w:tc>
                <w:tcPr>
                  <w:tcW w:w="345" w:type="pct"/>
                  <w:vMerge w:val="continue"/>
                  <w:tcBorders>
                    <w:tl2br w:val="nil"/>
                    <w:tr2bl w:val="nil"/>
                  </w:tcBorders>
                  <w:noWrap w:val="0"/>
                  <w:vAlign w:val="center"/>
                </w:tcPr>
                <w:p w14:paraId="263B710C">
                  <w:pPr>
                    <w:pStyle w:val="71"/>
                    <w:bidi w:val="0"/>
                    <w:jc w:val="center"/>
                    <w:rPr>
                      <w:rFonts w:hint="default" w:ascii="Times New Roman" w:hAnsi="Times New Roman" w:cs="Times New Roman"/>
                    </w:rPr>
                  </w:pPr>
                </w:p>
              </w:tc>
              <w:tc>
                <w:tcPr>
                  <w:tcW w:w="330" w:type="pct"/>
                  <w:vMerge w:val="continue"/>
                  <w:tcBorders>
                    <w:tl2br w:val="nil"/>
                    <w:tr2bl w:val="nil"/>
                  </w:tcBorders>
                  <w:noWrap w:val="0"/>
                  <w:vAlign w:val="center"/>
                </w:tcPr>
                <w:p w14:paraId="6050E2B0">
                  <w:pPr>
                    <w:pStyle w:val="71"/>
                    <w:bidi w:val="0"/>
                    <w:jc w:val="center"/>
                    <w:rPr>
                      <w:rFonts w:hint="default" w:ascii="Times New Roman" w:hAnsi="Times New Roman" w:cs="Times New Roman"/>
                    </w:rPr>
                  </w:pPr>
                </w:p>
              </w:tc>
              <w:tc>
                <w:tcPr>
                  <w:tcW w:w="440" w:type="pct"/>
                  <w:vMerge w:val="continue"/>
                  <w:tcBorders>
                    <w:tl2br w:val="nil"/>
                    <w:tr2bl w:val="nil"/>
                  </w:tcBorders>
                  <w:noWrap w:val="0"/>
                  <w:vAlign w:val="center"/>
                </w:tcPr>
                <w:p w14:paraId="71E53564">
                  <w:pPr>
                    <w:pStyle w:val="71"/>
                    <w:bidi w:val="0"/>
                    <w:jc w:val="center"/>
                    <w:rPr>
                      <w:rFonts w:hint="default" w:ascii="Times New Roman" w:hAnsi="Times New Roman" w:cs="Times New Roman"/>
                    </w:rPr>
                  </w:pPr>
                </w:p>
              </w:tc>
              <w:tc>
                <w:tcPr>
                  <w:tcW w:w="661" w:type="pct"/>
                  <w:vMerge w:val="continue"/>
                  <w:tcBorders>
                    <w:tl2br w:val="nil"/>
                    <w:tr2bl w:val="nil"/>
                  </w:tcBorders>
                  <w:noWrap w:val="0"/>
                  <w:vAlign w:val="center"/>
                </w:tcPr>
                <w:p w14:paraId="4340098E">
                  <w:pPr>
                    <w:pStyle w:val="71"/>
                    <w:bidi w:val="0"/>
                    <w:jc w:val="center"/>
                    <w:rPr>
                      <w:rFonts w:hint="default" w:ascii="Times New Roman" w:hAnsi="Times New Roman" w:cs="Times New Roman"/>
                    </w:rPr>
                  </w:pPr>
                </w:p>
              </w:tc>
              <w:tc>
                <w:tcPr>
                  <w:tcW w:w="413" w:type="pct"/>
                  <w:vMerge w:val="continue"/>
                  <w:tcBorders>
                    <w:tl2br w:val="nil"/>
                    <w:tr2bl w:val="nil"/>
                  </w:tcBorders>
                  <w:noWrap w:val="0"/>
                  <w:vAlign w:val="center"/>
                </w:tcPr>
                <w:p w14:paraId="035EB696">
                  <w:pPr>
                    <w:pStyle w:val="71"/>
                    <w:bidi w:val="0"/>
                    <w:jc w:val="center"/>
                    <w:rPr>
                      <w:rFonts w:hint="default" w:ascii="Times New Roman" w:hAnsi="Times New Roman" w:cs="Times New Roman"/>
                    </w:rPr>
                  </w:pPr>
                </w:p>
              </w:tc>
              <w:tc>
                <w:tcPr>
                  <w:tcW w:w="392" w:type="pct"/>
                  <w:vMerge w:val="continue"/>
                  <w:tcBorders>
                    <w:tl2br w:val="nil"/>
                    <w:tr2bl w:val="nil"/>
                  </w:tcBorders>
                  <w:noWrap w:val="0"/>
                  <w:vAlign w:val="center"/>
                </w:tcPr>
                <w:p w14:paraId="51D7B25D">
                  <w:pPr>
                    <w:pStyle w:val="71"/>
                    <w:bidi w:val="0"/>
                    <w:jc w:val="center"/>
                    <w:rPr>
                      <w:rFonts w:hint="default" w:ascii="Times New Roman" w:hAnsi="Times New Roman" w:cs="Times New Roman"/>
                    </w:rPr>
                  </w:pPr>
                </w:p>
              </w:tc>
            </w:tr>
            <w:tr w14:paraId="3A4C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82" w:type="pct"/>
                  <w:tcBorders>
                    <w:tl2br w:val="nil"/>
                    <w:tr2bl w:val="nil"/>
                  </w:tcBorders>
                  <w:noWrap w:val="0"/>
                  <w:vAlign w:val="center"/>
                </w:tcPr>
                <w:p w14:paraId="6FBF21D3">
                  <w:pPr>
                    <w:pStyle w:val="71"/>
                    <w:bidi w:val="0"/>
                    <w:jc w:val="center"/>
                    <w:rPr>
                      <w:rFonts w:hint="default" w:ascii="Times New Roman" w:hAnsi="Times New Roman" w:cs="Times New Roman"/>
                    </w:rPr>
                  </w:pPr>
                  <w:r>
                    <w:rPr>
                      <w:rFonts w:hint="default" w:ascii="Times New Roman" w:hAnsi="Times New Roman" w:cs="Times New Roman"/>
                    </w:rPr>
                    <w:t>1</w:t>
                  </w:r>
                </w:p>
              </w:tc>
              <w:tc>
                <w:tcPr>
                  <w:tcW w:w="367" w:type="pct"/>
                  <w:tcBorders>
                    <w:tl2br w:val="nil"/>
                    <w:tr2bl w:val="nil"/>
                  </w:tcBorders>
                  <w:noWrap w:val="0"/>
                  <w:vAlign w:val="center"/>
                </w:tcPr>
                <w:p w14:paraId="32D93DD8">
                  <w:pPr>
                    <w:pStyle w:val="71"/>
                    <w:bidi w:val="0"/>
                    <w:jc w:val="center"/>
                    <w:rPr>
                      <w:rFonts w:hint="default" w:ascii="Times New Roman" w:hAnsi="Times New Roman" w:cs="Times New Roman"/>
                    </w:rPr>
                  </w:pPr>
                  <w:r>
                    <w:rPr>
                      <w:rFonts w:hint="default" w:ascii="Times New Roman" w:hAnsi="Times New Roman" w:cs="Times New Roman"/>
                    </w:rPr>
                    <w:t>DW001</w:t>
                  </w:r>
                </w:p>
              </w:tc>
              <w:tc>
                <w:tcPr>
                  <w:tcW w:w="477" w:type="pct"/>
                  <w:tcBorders>
                    <w:tl2br w:val="nil"/>
                    <w:tr2bl w:val="nil"/>
                  </w:tcBorders>
                  <w:noWrap w:val="0"/>
                  <w:vAlign w:val="center"/>
                </w:tcPr>
                <w:p w14:paraId="1398C837">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98.60633433</w:t>
                  </w:r>
                </w:p>
              </w:tc>
              <w:tc>
                <w:tcPr>
                  <w:tcW w:w="468" w:type="pct"/>
                  <w:tcBorders>
                    <w:tl2br w:val="nil"/>
                    <w:tr2bl w:val="nil"/>
                  </w:tcBorders>
                  <w:noWrap w:val="0"/>
                  <w:vAlign w:val="center"/>
                </w:tcPr>
                <w:p w14:paraId="0FCD7861">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 xml:space="preserve"> 24.46765358</w:t>
                  </w:r>
                </w:p>
              </w:tc>
              <w:tc>
                <w:tcPr>
                  <w:tcW w:w="406" w:type="pct"/>
                  <w:tcBorders>
                    <w:tl2br w:val="nil"/>
                    <w:tr2bl w:val="nil"/>
                  </w:tcBorders>
                  <w:noWrap w:val="0"/>
                  <w:vAlign w:val="center"/>
                </w:tcPr>
                <w:p w14:paraId="37F2FAE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59.2</w:t>
                  </w:r>
                </w:p>
              </w:tc>
              <w:tc>
                <w:tcPr>
                  <w:tcW w:w="414" w:type="pct"/>
                  <w:tcBorders>
                    <w:tl2br w:val="nil"/>
                    <w:tr2bl w:val="nil"/>
                  </w:tcBorders>
                  <w:noWrap w:val="0"/>
                  <w:vAlign w:val="center"/>
                </w:tcPr>
                <w:p w14:paraId="15E2CCB5">
                  <w:pPr>
                    <w:pStyle w:val="71"/>
                    <w:bidi w:val="0"/>
                    <w:jc w:val="center"/>
                    <w:rPr>
                      <w:rFonts w:hint="default" w:ascii="Times New Roman" w:hAnsi="Times New Roman" w:cs="Times New Roman"/>
                    </w:rPr>
                  </w:pPr>
                  <w:r>
                    <w:rPr>
                      <w:rFonts w:hint="default" w:ascii="Times New Roman" w:hAnsi="Times New Roman" w:cs="Times New Roman"/>
                      <w:lang w:eastAsia="zh-CN"/>
                    </w:rPr>
                    <w:t>周边沟渠</w:t>
                  </w:r>
                </w:p>
              </w:tc>
              <w:tc>
                <w:tcPr>
                  <w:tcW w:w="345" w:type="pct"/>
                  <w:tcBorders>
                    <w:tl2br w:val="nil"/>
                    <w:tr2bl w:val="nil"/>
                  </w:tcBorders>
                  <w:noWrap w:val="0"/>
                  <w:vAlign w:val="center"/>
                </w:tcPr>
                <w:p w14:paraId="114ADB61">
                  <w:pPr>
                    <w:pStyle w:val="71"/>
                    <w:bidi w:val="0"/>
                    <w:jc w:val="center"/>
                    <w:rPr>
                      <w:rFonts w:hint="default" w:ascii="Times New Roman" w:hAnsi="Times New Roman" w:cs="Times New Roman"/>
                      <w:lang w:eastAsia="zh-CN"/>
                    </w:rPr>
                  </w:pPr>
                  <w:r>
                    <w:rPr>
                      <w:rFonts w:hint="default" w:ascii="Times New Roman" w:hAnsi="Times New Roman" w:cs="Times New Roman"/>
                    </w:rPr>
                    <w:t>间断排放流量稳定</w:t>
                  </w:r>
                </w:p>
              </w:tc>
              <w:tc>
                <w:tcPr>
                  <w:tcW w:w="330" w:type="pct"/>
                  <w:tcBorders>
                    <w:tl2br w:val="nil"/>
                    <w:tr2bl w:val="nil"/>
                  </w:tcBorders>
                  <w:noWrap w:val="0"/>
                  <w:vAlign w:val="center"/>
                </w:tcPr>
                <w:p w14:paraId="75807EAF">
                  <w:pPr>
                    <w:pStyle w:val="71"/>
                    <w:bidi w:val="0"/>
                    <w:jc w:val="center"/>
                    <w:rPr>
                      <w:rFonts w:hint="default" w:ascii="Times New Roman" w:hAnsi="Times New Roman" w:cs="Times New Roman"/>
                    </w:rPr>
                  </w:pPr>
                  <w:r>
                    <w:rPr>
                      <w:rFonts w:hint="default" w:ascii="Times New Roman" w:hAnsi="Times New Roman" w:cs="Times New Roman"/>
                    </w:rPr>
                    <w:t>/</w:t>
                  </w:r>
                </w:p>
              </w:tc>
              <w:tc>
                <w:tcPr>
                  <w:tcW w:w="440" w:type="pct"/>
                  <w:tcBorders>
                    <w:tl2br w:val="nil"/>
                    <w:tr2bl w:val="nil"/>
                  </w:tcBorders>
                  <w:noWrap w:val="0"/>
                  <w:vAlign w:val="center"/>
                </w:tcPr>
                <w:p w14:paraId="6C7A958C">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芒市河</w:t>
                  </w:r>
                </w:p>
              </w:tc>
              <w:tc>
                <w:tcPr>
                  <w:tcW w:w="661" w:type="pct"/>
                  <w:tcBorders>
                    <w:tl2br w:val="nil"/>
                    <w:tr2bl w:val="nil"/>
                  </w:tcBorders>
                  <w:noWrap w:val="0"/>
                  <w:vAlign w:val="center"/>
                </w:tcPr>
                <w:p w14:paraId="4F4EFF58">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r>
                    <w:rPr>
                      <w:rFonts w:hint="default" w:ascii="Times New Roman" w:hAnsi="Times New Roman" w:cs="Times New Roman"/>
                    </w:rPr>
                    <w:t>《地表水环境质量标准》（GB3838-2002）Ⅲ类标准</w:t>
                  </w:r>
                </w:p>
              </w:tc>
              <w:tc>
                <w:tcPr>
                  <w:tcW w:w="413" w:type="pct"/>
                  <w:tcBorders>
                    <w:tl2br w:val="nil"/>
                    <w:tr2bl w:val="nil"/>
                  </w:tcBorders>
                  <w:noWrap w:val="0"/>
                  <w:vAlign w:val="center"/>
                </w:tcPr>
                <w:p w14:paraId="31450C51">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98.59423757</w:t>
                  </w:r>
                </w:p>
              </w:tc>
              <w:tc>
                <w:tcPr>
                  <w:tcW w:w="392" w:type="pct"/>
                  <w:tcBorders>
                    <w:tl2br w:val="nil"/>
                    <w:tr2bl w:val="nil"/>
                  </w:tcBorders>
                  <w:noWrap w:val="0"/>
                  <w:vAlign w:val="center"/>
                </w:tcPr>
                <w:p w14:paraId="6E3529D4">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 xml:space="preserve"> 24.46877171</w:t>
                  </w:r>
                </w:p>
              </w:tc>
            </w:tr>
          </w:tbl>
          <w:p w14:paraId="291847F0">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ascii="Times New Roman" w:hAnsi="Times New Roman" w:cs="Times New Roman"/>
                <w:lang w:val="en-US" w:eastAsia="zh-CN"/>
              </w:rPr>
              <w:t>1</w:t>
            </w:r>
            <w:r>
              <w:rPr>
                <w:rFonts w:hint="default" w:ascii="Times New Roman" w:hAnsi="Times New Roman" w:cs="Times New Roman"/>
                <w:lang w:val="en-US" w:eastAsia="zh-CN"/>
              </w:rPr>
              <w:t>废水污染物排放执行标准表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779"/>
              <w:gridCol w:w="1248"/>
              <w:gridCol w:w="3263"/>
              <w:gridCol w:w="2068"/>
            </w:tblGrid>
            <w:tr w14:paraId="2FBA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21" w:type="pct"/>
                  <w:vMerge w:val="restart"/>
                  <w:noWrap w:val="0"/>
                  <w:vAlign w:val="center"/>
                </w:tcPr>
                <w:p w14:paraId="0278F6B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序号</w:t>
                  </w:r>
                </w:p>
              </w:tc>
              <w:tc>
                <w:tcPr>
                  <w:tcW w:w="495" w:type="pct"/>
                  <w:vMerge w:val="restart"/>
                  <w:noWrap w:val="0"/>
                  <w:vAlign w:val="center"/>
                </w:tcPr>
                <w:p w14:paraId="346154CC">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排放口编号</w:t>
                  </w:r>
                </w:p>
              </w:tc>
              <w:tc>
                <w:tcPr>
                  <w:tcW w:w="793" w:type="pct"/>
                  <w:vMerge w:val="restart"/>
                  <w:noWrap w:val="0"/>
                  <w:vAlign w:val="center"/>
                </w:tcPr>
                <w:p w14:paraId="6F101E97">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污染物种类</w:t>
                  </w:r>
                </w:p>
              </w:tc>
              <w:tc>
                <w:tcPr>
                  <w:tcW w:w="3390" w:type="pct"/>
                  <w:gridSpan w:val="2"/>
                  <w:noWrap w:val="0"/>
                  <w:vAlign w:val="center"/>
                </w:tcPr>
                <w:p w14:paraId="399EABE6">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国家或地方污染物排放标准及其他按规定商定的排放协议</w:t>
                  </w:r>
                </w:p>
              </w:tc>
            </w:tr>
            <w:tr w14:paraId="6879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21" w:type="pct"/>
                  <w:vMerge w:val="continue"/>
                  <w:noWrap w:val="0"/>
                  <w:vAlign w:val="center"/>
                </w:tcPr>
                <w:p w14:paraId="20D6E34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495" w:type="pct"/>
                  <w:vMerge w:val="continue"/>
                  <w:noWrap w:val="0"/>
                  <w:vAlign w:val="center"/>
                </w:tcPr>
                <w:p w14:paraId="36475FD5">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793" w:type="pct"/>
                  <w:vMerge w:val="continue"/>
                  <w:noWrap w:val="0"/>
                  <w:vAlign w:val="center"/>
                </w:tcPr>
                <w:p w14:paraId="0734B1ED">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2075" w:type="pct"/>
                  <w:noWrap w:val="0"/>
                  <w:vAlign w:val="center"/>
                </w:tcPr>
                <w:p w14:paraId="30292ABA">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名称</w:t>
                  </w:r>
                </w:p>
              </w:tc>
              <w:tc>
                <w:tcPr>
                  <w:tcW w:w="1315" w:type="pct"/>
                  <w:noWrap w:val="0"/>
                  <w:vAlign w:val="center"/>
                </w:tcPr>
                <w:p w14:paraId="46E2E1EA">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浓度限值（mg/L）</w:t>
                  </w:r>
                </w:p>
              </w:tc>
            </w:tr>
            <w:tr w14:paraId="4687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21" w:type="pct"/>
                  <w:vMerge w:val="restart"/>
                  <w:noWrap w:val="0"/>
                  <w:vAlign w:val="center"/>
                </w:tcPr>
                <w:p w14:paraId="23642F5D">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1</w:t>
                  </w:r>
                </w:p>
              </w:tc>
              <w:tc>
                <w:tcPr>
                  <w:tcW w:w="495" w:type="pct"/>
                  <w:vMerge w:val="restart"/>
                  <w:noWrap w:val="0"/>
                  <w:vAlign w:val="center"/>
                </w:tcPr>
                <w:p w14:paraId="7FE93691">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DW001</w:t>
                  </w:r>
                </w:p>
              </w:tc>
              <w:tc>
                <w:tcPr>
                  <w:tcW w:w="793" w:type="pct"/>
                  <w:noWrap w:val="0"/>
                  <w:vAlign w:val="center"/>
                </w:tcPr>
                <w:p w14:paraId="6BEB6F30">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COD</w:t>
                  </w:r>
                </w:p>
              </w:tc>
              <w:tc>
                <w:tcPr>
                  <w:tcW w:w="2075" w:type="pct"/>
                  <w:vMerge w:val="restart"/>
                  <w:noWrap w:val="0"/>
                  <w:vAlign w:val="center"/>
                </w:tcPr>
                <w:p w14:paraId="441E40A9">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color w:val="000000"/>
                      <w:szCs w:val="24"/>
                    </w:rPr>
                    <w:t>《</w:t>
                  </w:r>
                  <w:r>
                    <w:rPr>
                      <w:rFonts w:hint="default" w:ascii="Times New Roman" w:hAnsi="Times New Roman" w:cs="Times New Roman"/>
                      <w:szCs w:val="22"/>
                    </w:rPr>
                    <w:t>生活垃圾填埋场污染控制标准》（GB16889-2008）</w:t>
                  </w:r>
                </w:p>
              </w:tc>
              <w:tc>
                <w:tcPr>
                  <w:tcW w:w="1315" w:type="pct"/>
                  <w:noWrap w:val="0"/>
                  <w:vAlign w:val="center"/>
                </w:tcPr>
                <w:p w14:paraId="26893B39">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100</w:t>
                  </w:r>
                </w:p>
              </w:tc>
            </w:tr>
            <w:tr w14:paraId="43DA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21" w:type="pct"/>
                  <w:vMerge w:val="continue"/>
                  <w:noWrap w:val="0"/>
                  <w:vAlign w:val="center"/>
                </w:tcPr>
                <w:p w14:paraId="072CD10B">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495" w:type="pct"/>
                  <w:vMerge w:val="continue"/>
                  <w:noWrap w:val="0"/>
                  <w:vAlign w:val="center"/>
                </w:tcPr>
                <w:p w14:paraId="4E9A1C71">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793" w:type="pct"/>
                  <w:noWrap w:val="0"/>
                  <w:vAlign w:val="center"/>
                </w:tcPr>
                <w:p w14:paraId="2F9058A4">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2075" w:type="pct"/>
                  <w:vMerge w:val="continue"/>
                  <w:noWrap w:val="0"/>
                  <w:vAlign w:val="center"/>
                </w:tcPr>
                <w:p w14:paraId="7A4F6BE6">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1315" w:type="pct"/>
                  <w:noWrap w:val="0"/>
                  <w:vAlign w:val="center"/>
                </w:tcPr>
                <w:p w14:paraId="50C0230D">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r>
            <w:tr w14:paraId="4A9C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21" w:type="pct"/>
                  <w:vMerge w:val="continue"/>
                  <w:noWrap w:val="0"/>
                  <w:vAlign w:val="center"/>
                </w:tcPr>
                <w:p w14:paraId="136550F1">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495" w:type="pct"/>
                  <w:vMerge w:val="continue"/>
                  <w:noWrap w:val="0"/>
                  <w:vAlign w:val="center"/>
                </w:tcPr>
                <w:p w14:paraId="323FE6B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793" w:type="pct"/>
                  <w:noWrap w:val="0"/>
                  <w:vAlign w:val="center"/>
                </w:tcPr>
                <w:p w14:paraId="4B8C1A25">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氨氮</w:t>
                  </w:r>
                </w:p>
              </w:tc>
              <w:tc>
                <w:tcPr>
                  <w:tcW w:w="2075" w:type="pct"/>
                  <w:vMerge w:val="continue"/>
                  <w:noWrap w:val="0"/>
                  <w:vAlign w:val="center"/>
                </w:tcPr>
                <w:p w14:paraId="2BBF181B">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1315" w:type="pct"/>
                  <w:noWrap w:val="0"/>
                  <w:vAlign w:val="center"/>
                </w:tcPr>
                <w:p w14:paraId="292F81CF">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25</w:t>
                  </w:r>
                </w:p>
              </w:tc>
            </w:tr>
            <w:tr w14:paraId="4405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321" w:type="pct"/>
                  <w:vMerge w:val="continue"/>
                  <w:noWrap w:val="0"/>
                  <w:vAlign w:val="center"/>
                </w:tcPr>
                <w:p w14:paraId="0864FBF7">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495" w:type="pct"/>
                  <w:vMerge w:val="continue"/>
                  <w:noWrap w:val="0"/>
                  <w:vAlign w:val="center"/>
                </w:tcPr>
                <w:p w14:paraId="42FBD79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793" w:type="pct"/>
                  <w:noWrap w:val="0"/>
                  <w:vAlign w:val="center"/>
                </w:tcPr>
                <w:p w14:paraId="4B4CA569">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SS</w:t>
                  </w:r>
                </w:p>
              </w:tc>
              <w:tc>
                <w:tcPr>
                  <w:tcW w:w="2075" w:type="pct"/>
                  <w:vMerge w:val="continue"/>
                  <w:noWrap w:val="0"/>
                  <w:vAlign w:val="center"/>
                </w:tcPr>
                <w:p w14:paraId="7DB0BCCF">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1315" w:type="pct"/>
                  <w:noWrap w:val="0"/>
                  <w:vAlign w:val="center"/>
                </w:tcPr>
                <w:p w14:paraId="09E447A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r>
          </w:tbl>
          <w:p w14:paraId="1281B5A8">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w:t>
            </w:r>
            <w:r>
              <w:rPr>
                <w:rFonts w:hint="default" w:ascii="Times New Roman" w:hAnsi="Times New Roman" w:cs="Times New Roman"/>
                <w:lang w:val="en-US" w:eastAsia="zh-CN"/>
              </w:rPr>
              <w:t>1</w:t>
            </w:r>
            <w:r>
              <w:rPr>
                <w:rFonts w:hint="eastAsia" w:ascii="Times New Roman" w:hAnsi="Times New Roman" w:cs="Times New Roman"/>
                <w:lang w:val="en-US" w:eastAsia="zh-CN"/>
              </w:rPr>
              <w:t>2</w:t>
            </w:r>
            <w:r>
              <w:rPr>
                <w:rFonts w:hint="default" w:ascii="Times New Roman" w:hAnsi="Times New Roman" w:cs="Times New Roman"/>
                <w:lang w:val="en-US" w:eastAsia="zh-CN"/>
              </w:rPr>
              <w:t>废水污染物排放信息表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966"/>
              <w:gridCol w:w="930"/>
              <w:gridCol w:w="1140"/>
              <w:gridCol w:w="1140"/>
              <w:gridCol w:w="1215"/>
              <w:gridCol w:w="1081"/>
              <w:gridCol w:w="873"/>
            </w:tblGrid>
            <w:tr w14:paraId="0E86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noWrap w:val="0"/>
                  <w:vAlign w:val="center"/>
                </w:tcPr>
                <w:p w14:paraId="14339E26">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序号</w:t>
                  </w:r>
                </w:p>
              </w:tc>
              <w:tc>
                <w:tcPr>
                  <w:tcW w:w="614" w:type="pct"/>
                  <w:tcBorders>
                    <w:tl2br w:val="nil"/>
                    <w:tr2bl w:val="nil"/>
                  </w:tcBorders>
                  <w:noWrap w:val="0"/>
                  <w:vAlign w:val="center"/>
                </w:tcPr>
                <w:p w14:paraId="62978D65">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排放口编号</w:t>
                  </w:r>
                </w:p>
              </w:tc>
              <w:tc>
                <w:tcPr>
                  <w:tcW w:w="591" w:type="pct"/>
                  <w:tcBorders>
                    <w:tl2br w:val="nil"/>
                    <w:tr2bl w:val="nil"/>
                  </w:tcBorders>
                  <w:noWrap w:val="0"/>
                  <w:vAlign w:val="center"/>
                </w:tcPr>
                <w:p w14:paraId="71E44894">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eastAsia="zh-CN"/>
                    </w:rPr>
                  </w:pPr>
                  <w:r>
                    <w:rPr>
                      <w:rFonts w:hint="default" w:ascii="Times New Roman" w:hAnsi="Times New Roman" w:cs="Times New Roman"/>
                    </w:rPr>
                    <w:t>污染物</w:t>
                  </w:r>
                  <w:r>
                    <w:rPr>
                      <w:rFonts w:hint="default" w:ascii="Times New Roman" w:hAnsi="Times New Roman" w:cs="Times New Roman"/>
                      <w:lang w:eastAsia="zh-CN"/>
                    </w:rPr>
                    <w:t>种类</w:t>
                  </w:r>
                </w:p>
              </w:tc>
              <w:tc>
                <w:tcPr>
                  <w:tcW w:w="724" w:type="pct"/>
                  <w:tcBorders>
                    <w:tl2br w:val="nil"/>
                    <w:tr2bl w:val="nil"/>
                  </w:tcBorders>
                  <w:noWrap w:val="0"/>
                  <w:vAlign w:val="center"/>
                </w:tcPr>
                <w:p w14:paraId="2B97754E">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排放浓度/（mg/L）</w:t>
                  </w:r>
                </w:p>
              </w:tc>
              <w:tc>
                <w:tcPr>
                  <w:tcW w:w="724" w:type="pct"/>
                  <w:tcBorders>
                    <w:tl2br w:val="nil"/>
                    <w:tr2bl w:val="nil"/>
                  </w:tcBorders>
                  <w:noWrap w:val="0"/>
                  <w:vAlign w:val="center"/>
                </w:tcPr>
                <w:p w14:paraId="6E76869D">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新增日排放量/（t/d）</w:t>
                  </w:r>
                </w:p>
              </w:tc>
              <w:tc>
                <w:tcPr>
                  <w:tcW w:w="772" w:type="pct"/>
                  <w:tcBorders>
                    <w:tl2br w:val="nil"/>
                    <w:tr2bl w:val="nil"/>
                  </w:tcBorders>
                  <w:noWrap w:val="0"/>
                  <w:vAlign w:val="center"/>
                </w:tcPr>
                <w:p w14:paraId="73C4486C">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全厂日排放量/（t/d）</w:t>
                  </w:r>
                </w:p>
              </w:tc>
              <w:tc>
                <w:tcPr>
                  <w:tcW w:w="687" w:type="pct"/>
                  <w:tcBorders>
                    <w:tl2br w:val="nil"/>
                    <w:tr2bl w:val="nil"/>
                  </w:tcBorders>
                  <w:noWrap w:val="0"/>
                  <w:vAlign w:val="center"/>
                </w:tcPr>
                <w:p w14:paraId="75ED643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新增年排放量/（t/a）</w:t>
                  </w:r>
                </w:p>
              </w:tc>
              <w:tc>
                <w:tcPr>
                  <w:tcW w:w="555" w:type="pct"/>
                  <w:tcBorders>
                    <w:tl2br w:val="nil"/>
                    <w:tr2bl w:val="nil"/>
                  </w:tcBorders>
                  <w:noWrap w:val="0"/>
                  <w:vAlign w:val="center"/>
                </w:tcPr>
                <w:p w14:paraId="2C77BEDD">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全厂年排放量/（t/a）</w:t>
                  </w:r>
                </w:p>
              </w:tc>
            </w:tr>
            <w:tr w14:paraId="0804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29" w:type="pct"/>
                  <w:vMerge w:val="restart"/>
                  <w:tcBorders>
                    <w:tl2br w:val="nil"/>
                    <w:tr2bl w:val="nil"/>
                  </w:tcBorders>
                  <w:noWrap w:val="0"/>
                  <w:vAlign w:val="center"/>
                </w:tcPr>
                <w:p w14:paraId="5A5187F6">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1</w:t>
                  </w:r>
                </w:p>
              </w:tc>
              <w:tc>
                <w:tcPr>
                  <w:tcW w:w="614" w:type="pct"/>
                  <w:vMerge w:val="restart"/>
                  <w:tcBorders>
                    <w:tl2br w:val="nil"/>
                    <w:tr2bl w:val="nil"/>
                  </w:tcBorders>
                  <w:noWrap w:val="0"/>
                  <w:vAlign w:val="center"/>
                </w:tcPr>
                <w:p w14:paraId="2ADE7C8F">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DW001</w:t>
                  </w:r>
                </w:p>
              </w:tc>
              <w:tc>
                <w:tcPr>
                  <w:tcW w:w="591" w:type="pct"/>
                  <w:tcBorders>
                    <w:tl2br w:val="nil"/>
                    <w:tr2bl w:val="nil"/>
                  </w:tcBorders>
                  <w:noWrap w:val="0"/>
                  <w:vAlign w:val="center"/>
                </w:tcPr>
                <w:p w14:paraId="141D9601">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COD</w:t>
                  </w:r>
                </w:p>
              </w:tc>
              <w:tc>
                <w:tcPr>
                  <w:tcW w:w="724" w:type="pct"/>
                  <w:tcBorders>
                    <w:tl2br w:val="nil"/>
                    <w:tr2bl w:val="nil"/>
                  </w:tcBorders>
                  <w:noWrap w:val="0"/>
                  <w:vAlign w:val="center"/>
                </w:tcPr>
                <w:p w14:paraId="6BF254E4">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52</w:t>
                  </w:r>
                </w:p>
              </w:tc>
              <w:tc>
                <w:tcPr>
                  <w:tcW w:w="724" w:type="pct"/>
                  <w:tcBorders>
                    <w:tl2br w:val="nil"/>
                    <w:tr2bl w:val="nil"/>
                  </w:tcBorders>
                  <w:noWrap w:val="0"/>
                  <w:vAlign w:val="center"/>
                </w:tcPr>
                <w:p w14:paraId="2BB87A9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+0.004</w:t>
                  </w:r>
                </w:p>
              </w:tc>
              <w:tc>
                <w:tcPr>
                  <w:tcW w:w="772" w:type="pct"/>
                  <w:tcBorders>
                    <w:tl2br w:val="nil"/>
                    <w:tr2bl w:val="nil"/>
                  </w:tcBorders>
                  <w:noWrap w:val="0"/>
                  <w:vAlign w:val="center"/>
                </w:tcPr>
                <w:p w14:paraId="5EE4301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0.0078</w:t>
                  </w:r>
                </w:p>
              </w:tc>
              <w:tc>
                <w:tcPr>
                  <w:tcW w:w="687" w:type="pct"/>
                  <w:tcBorders>
                    <w:tl2br w:val="nil"/>
                    <w:tr2bl w:val="nil"/>
                  </w:tcBorders>
                  <w:noWrap w:val="0"/>
                  <w:vAlign w:val="center"/>
                </w:tcPr>
                <w:p w14:paraId="29DD7DC1">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+1.407</w:t>
                  </w:r>
                </w:p>
              </w:tc>
              <w:tc>
                <w:tcPr>
                  <w:tcW w:w="555" w:type="pct"/>
                  <w:tcBorders>
                    <w:tl2br w:val="nil"/>
                    <w:tr2bl w:val="nil"/>
                  </w:tcBorders>
                  <w:noWrap w:val="0"/>
                  <w:vAlign w:val="center"/>
                </w:tcPr>
                <w:p w14:paraId="264E5E8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2.73</w:t>
                  </w:r>
                </w:p>
              </w:tc>
            </w:tr>
            <w:tr w14:paraId="2F3C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29" w:type="pct"/>
                  <w:vMerge w:val="continue"/>
                  <w:tcBorders>
                    <w:tl2br w:val="nil"/>
                    <w:tr2bl w:val="nil"/>
                  </w:tcBorders>
                  <w:noWrap w:val="0"/>
                  <w:vAlign w:val="center"/>
                </w:tcPr>
                <w:p w14:paraId="3533F2CC">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614" w:type="pct"/>
                  <w:vMerge w:val="continue"/>
                  <w:tcBorders>
                    <w:tl2br w:val="nil"/>
                    <w:tr2bl w:val="nil"/>
                  </w:tcBorders>
                  <w:noWrap w:val="0"/>
                  <w:vAlign w:val="center"/>
                </w:tcPr>
                <w:p w14:paraId="18ED30B6">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591" w:type="pct"/>
                  <w:tcBorders>
                    <w:tl2br w:val="nil"/>
                    <w:tr2bl w:val="nil"/>
                  </w:tcBorders>
                  <w:noWrap w:val="0"/>
                  <w:vAlign w:val="center"/>
                </w:tcPr>
                <w:p w14:paraId="3913900E">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氨氮</w:t>
                  </w:r>
                </w:p>
              </w:tc>
              <w:tc>
                <w:tcPr>
                  <w:tcW w:w="724" w:type="pct"/>
                  <w:tcBorders>
                    <w:tl2br w:val="nil"/>
                    <w:tr2bl w:val="nil"/>
                  </w:tcBorders>
                  <w:noWrap w:val="0"/>
                  <w:vAlign w:val="center"/>
                </w:tcPr>
                <w:p w14:paraId="359156B9">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724" w:type="pct"/>
                  <w:tcBorders>
                    <w:tl2br w:val="nil"/>
                    <w:tr2bl w:val="nil"/>
                  </w:tcBorders>
                  <w:noWrap w:val="0"/>
                  <w:vAlign w:val="center"/>
                </w:tcPr>
                <w:p w14:paraId="7C4F9C6C">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+0.0007</w:t>
                  </w:r>
                </w:p>
              </w:tc>
              <w:tc>
                <w:tcPr>
                  <w:tcW w:w="772" w:type="pct"/>
                  <w:tcBorders>
                    <w:tl2br w:val="nil"/>
                    <w:tr2bl w:val="nil"/>
                  </w:tcBorders>
                  <w:noWrap w:val="0"/>
                  <w:vAlign w:val="center"/>
                </w:tcPr>
                <w:p w14:paraId="4049318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0.0018</w:t>
                  </w:r>
                </w:p>
              </w:tc>
              <w:tc>
                <w:tcPr>
                  <w:tcW w:w="687" w:type="pct"/>
                  <w:tcBorders>
                    <w:tl2br w:val="nil"/>
                    <w:tr2bl w:val="nil"/>
                  </w:tcBorders>
                  <w:noWrap w:val="0"/>
                  <w:vAlign w:val="center"/>
                </w:tcPr>
                <w:p w14:paraId="4B6E8D1E">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+0.251</w:t>
                  </w:r>
                </w:p>
              </w:tc>
              <w:tc>
                <w:tcPr>
                  <w:tcW w:w="555" w:type="pct"/>
                  <w:tcBorders>
                    <w:tl2br w:val="nil"/>
                    <w:tr2bl w:val="nil"/>
                  </w:tcBorders>
                  <w:noWrap w:val="0"/>
                  <w:vAlign w:val="center"/>
                </w:tcPr>
                <w:p w14:paraId="249409D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0.63</w:t>
                  </w:r>
                </w:p>
              </w:tc>
            </w:tr>
            <w:tr w14:paraId="6BA0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4" w:type="pct"/>
                  <w:gridSpan w:val="2"/>
                  <w:vMerge w:val="restart"/>
                  <w:tcBorders>
                    <w:tl2br w:val="nil"/>
                    <w:tr2bl w:val="nil"/>
                  </w:tcBorders>
                  <w:noWrap w:val="0"/>
                  <w:vAlign w:val="center"/>
                </w:tcPr>
                <w:p w14:paraId="2DEF8FE5">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r>
                    <w:rPr>
                      <w:rFonts w:hint="default" w:ascii="Times New Roman" w:hAnsi="Times New Roman" w:cs="Times New Roman"/>
                    </w:rPr>
                    <w:t>全厂排放口合计</w:t>
                  </w:r>
                </w:p>
              </w:tc>
              <w:tc>
                <w:tcPr>
                  <w:tcW w:w="2813" w:type="pct"/>
                  <w:gridSpan w:val="4"/>
                  <w:tcBorders>
                    <w:tl2br w:val="nil"/>
                    <w:tr2bl w:val="nil"/>
                  </w:tcBorders>
                  <w:noWrap w:val="0"/>
                  <w:vAlign w:val="center"/>
                </w:tcPr>
                <w:p w14:paraId="5F1B2DC7">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COD</w:t>
                  </w:r>
                </w:p>
              </w:tc>
              <w:tc>
                <w:tcPr>
                  <w:tcW w:w="687" w:type="pct"/>
                  <w:tcBorders>
                    <w:tl2br w:val="nil"/>
                    <w:tr2bl w:val="nil"/>
                  </w:tcBorders>
                  <w:noWrap w:val="0"/>
                  <w:vAlign w:val="center"/>
                </w:tcPr>
                <w:p w14:paraId="3167C83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+1.407</w:t>
                  </w:r>
                </w:p>
              </w:tc>
              <w:tc>
                <w:tcPr>
                  <w:tcW w:w="555" w:type="pct"/>
                  <w:tcBorders>
                    <w:tl2br w:val="nil"/>
                    <w:tr2bl w:val="nil"/>
                  </w:tcBorders>
                  <w:noWrap w:val="0"/>
                  <w:vAlign w:val="center"/>
                </w:tcPr>
                <w:p w14:paraId="3F5BA373">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2.73</w:t>
                  </w:r>
                </w:p>
              </w:tc>
            </w:tr>
            <w:tr w14:paraId="2B37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4" w:type="pct"/>
                  <w:gridSpan w:val="2"/>
                  <w:vMerge w:val="continue"/>
                  <w:tcBorders>
                    <w:tl2br w:val="nil"/>
                    <w:tr2bl w:val="nil"/>
                  </w:tcBorders>
                  <w:noWrap w:val="0"/>
                  <w:vAlign w:val="center"/>
                </w:tcPr>
                <w:p w14:paraId="335739EF">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cs="Times New Roman"/>
                    </w:rPr>
                  </w:pPr>
                </w:p>
              </w:tc>
              <w:tc>
                <w:tcPr>
                  <w:tcW w:w="2813" w:type="pct"/>
                  <w:gridSpan w:val="4"/>
                  <w:tcBorders>
                    <w:tl2br w:val="nil"/>
                    <w:tr2bl w:val="nil"/>
                  </w:tcBorders>
                  <w:noWrap w:val="0"/>
                  <w:vAlign w:val="center"/>
                </w:tcPr>
                <w:p w14:paraId="6EBA2192">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氨氮</w:t>
                  </w:r>
                </w:p>
              </w:tc>
              <w:tc>
                <w:tcPr>
                  <w:tcW w:w="687" w:type="pct"/>
                  <w:tcBorders>
                    <w:tl2br w:val="nil"/>
                    <w:tr2bl w:val="nil"/>
                  </w:tcBorders>
                  <w:noWrap w:val="0"/>
                  <w:vAlign w:val="center"/>
                </w:tcPr>
                <w:p w14:paraId="348119C0">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+0.251</w:t>
                  </w:r>
                </w:p>
              </w:tc>
              <w:tc>
                <w:tcPr>
                  <w:tcW w:w="555" w:type="pct"/>
                  <w:tcBorders>
                    <w:tl2br w:val="nil"/>
                    <w:tr2bl w:val="nil"/>
                  </w:tcBorders>
                  <w:noWrap w:val="0"/>
                  <w:vAlign w:val="center"/>
                </w:tcPr>
                <w:p w14:paraId="1BAB9F78">
                  <w:pPr>
                    <w:pStyle w:val="71"/>
                    <w:keepNext w:val="0"/>
                    <w:keepLines w:val="0"/>
                    <w:pageBreakBefore w:val="0"/>
                    <w:widowControl w:val="0"/>
                    <w:tabs>
                      <w:tab w:val="left" w:pos="1021"/>
                    </w:tabs>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0.63</w:t>
                  </w:r>
                </w:p>
              </w:tc>
            </w:tr>
          </w:tbl>
          <w:p w14:paraId="2FE68F90">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③雨水规范化排口</w:t>
            </w:r>
          </w:p>
          <w:p w14:paraId="13B6194F">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项目雨天会产生地表径流，项目区内设置雨水沟，后期雨水经雨水沟收集后排放至周边雨水沟渠，建设单位在项目区雨水排放口设置标识标牌，并定期进行监测，确保雨水达标排放。</w:t>
            </w:r>
          </w:p>
          <w:p w14:paraId="275F8331">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④规范化标识标牌</w:t>
            </w:r>
          </w:p>
          <w:p w14:paraId="6B0D56B2">
            <w:pPr>
              <w:pStyle w:val="3"/>
              <w:bidi w:val="0"/>
              <w:rPr>
                <w:rFonts w:hint="default" w:ascii="Times New Roman" w:hAnsi="Times New Roman" w:cs="Times New Roman"/>
              </w:rPr>
            </w:pPr>
            <w:r>
              <w:rPr>
                <w:rFonts w:hint="default" w:ascii="Times New Roman" w:hAnsi="Times New Roman" w:cs="Times New Roman"/>
                <w:lang w:val="en-US" w:eastAsia="zh-CN"/>
              </w:rPr>
              <w:t>建设单位按照环保要求在污水处理站、收集池、中水池等设置醒目的标识标牌，标识标牌需要标明池子名称、尺寸、容积、处理规模等。</w:t>
            </w:r>
          </w:p>
          <w:p w14:paraId="34B7AEF3">
            <w:pPr>
              <w:pStyle w:val="3"/>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地表水环境影响评价</w:t>
            </w:r>
          </w:p>
          <w:p w14:paraId="07671C76">
            <w:pPr>
              <w:pStyle w:val="3"/>
              <w:bidi w:val="0"/>
              <w:rPr>
                <w:rFonts w:hint="default" w:ascii="Times New Roman" w:hAnsi="Times New Roman" w:cs="Times New Roman"/>
                <w:lang w:val="en-US"/>
              </w:rPr>
            </w:pPr>
            <w:r>
              <w:rPr>
                <w:rFonts w:hint="default" w:ascii="Times New Roman" w:hAnsi="Times New Roman" w:cs="Times New Roman"/>
                <w:lang w:val="en-US"/>
              </w:rPr>
              <w:t>本项目实施后，填埋场污废水各污染物的排放量均较实施前有大幅度的减小，环境正效益明显。污染物在场内得到较大程度的消减，减小了渗滤液排放对</w:t>
            </w:r>
            <w:r>
              <w:rPr>
                <w:rFonts w:hint="default" w:ascii="Times New Roman" w:hAnsi="Times New Roman" w:cs="Times New Roman"/>
                <w:lang w:val="en-US" w:eastAsia="zh-CN"/>
              </w:rPr>
              <w:t>地表水的</w:t>
            </w:r>
            <w:r>
              <w:rPr>
                <w:rFonts w:hint="default" w:ascii="Times New Roman" w:hAnsi="Times New Roman" w:cs="Times New Roman"/>
                <w:lang w:val="en-US"/>
              </w:rPr>
              <w:t>影响。</w:t>
            </w:r>
            <w:r>
              <w:rPr>
                <w:rFonts w:hint="default" w:ascii="Times New Roman" w:hAnsi="Times New Roman" w:cs="Times New Roman"/>
                <w:lang w:val="en-US" w:eastAsia="zh-CN"/>
              </w:rPr>
              <w:t>项目渗滤液处理后达标排放，</w:t>
            </w:r>
            <w:r>
              <w:rPr>
                <w:rFonts w:hint="default" w:ascii="Times New Roman" w:hAnsi="Times New Roman" w:cs="Times New Roman"/>
                <w:lang w:val="en-US"/>
              </w:rPr>
              <w:t>对地表水体影响较小。</w:t>
            </w:r>
          </w:p>
          <w:p w14:paraId="561799F7">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（6）监测要求</w:t>
            </w:r>
          </w:p>
          <w:p w14:paraId="1FAF9C34">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依据《排污单位自行监测技术指南 总则》(HJ819-2017)和本项目废水排放情况，对本项目废水的监测要求见下表：</w:t>
            </w:r>
          </w:p>
          <w:p w14:paraId="0F171B17">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项目废水监测要求</w:t>
            </w:r>
          </w:p>
          <w:tbl>
            <w:tblPr>
              <w:tblStyle w:val="27"/>
              <w:tblW w:w="498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
              <w:gridCol w:w="1496"/>
              <w:gridCol w:w="4074"/>
              <w:gridCol w:w="1223"/>
            </w:tblGrid>
            <w:tr w14:paraId="3657F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4474EB6">
                  <w:pPr>
                    <w:pStyle w:val="71"/>
                    <w:bidi w:val="0"/>
                    <w:rPr>
                      <w:rFonts w:hint="default" w:ascii="Times New Roman" w:hAnsi="Times New Roman" w:cs="Times New Roman"/>
                    </w:rPr>
                  </w:pPr>
                  <w:r>
                    <w:rPr>
                      <w:rFonts w:hint="default" w:ascii="Times New Roman" w:hAnsi="Times New Roman" w:cs="Times New Roman"/>
                    </w:rPr>
                    <w:t>类别</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5D083804">
                  <w:pPr>
                    <w:pStyle w:val="71"/>
                    <w:bidi w:val="0"/>
                    <w:rPr>
                      <w:rFonts w:hint="default" w:ascii="Times New Roman" w:hAnsi="Times New Roman" w:cs="Times New Roman"/>
                    </w:rPr>
                  </w:pPr>
                  <w:r>
                    <w:rPr>
                      <w:rFonts w:hint="default" w:ascii="Times New Roman" w:hAnsi="Times New Roman" w:cs="Times New Roman"/>
                    </w:rPr>
                    <w:t>监测点位置</w:t>
                  </w:r>
                </w:p>
              </w:tc>
              <w:tc>
                <w:tcPr>
                  <w:tcW w:w="2601" w:type="pct"/>
                  <w:tcBorders>
                    <w:top w:val="single" w:color="auto" w:sz="4" w:space="0"/>
                    <w:left w:val="single" w:color="auto" w:sz="4" w:space="0"/>
                    <w:bottom w:val="single" w:color="auto" w:sz="4" w:space="0"/>
                    <w:right w:val="single" w:color="auto" w:sz="4" w:space="0"/>
                  </w:tcBorders>
                  <w:noWrap w:val="0"/>
                  <w:vAlign w:val="center"/>
                </w:tcPr>
                <w:p w14:paraId="28BF5EE9">
                  <w:pPr>
                    <w:pStyle w:val="71"/>
                    <w:bidi w:val="0"/>
                    <w:rPr>
                      <w:rFonts w:hint="default" w:ascii="Times New Roman" w:hAnsi="Times New Roman" w:cs="Times New Roman"/>
                    </w:rPr>
                  </w:pPr>
                  <w:r>
                    <w:rPr>
                      <w:rFonts w:hint="default" w:ascii="Times New Roman" w:hAnsi="Times New Roman" w:cs="Times New Roman"/>
                    </w:rPr>
                    <w:t>监测项目</w:t>
                  </w:r>
                </w:p>
              </w:tc>
              <w:tc>
                <w:tcPr>
                  <w:tcW w:w="780" w:type="pct"/>
                  <w:tcBorders>
                    <w:top w:val="single" w:color="auto" w:sz="4" w:space="0"/>
                    <w:left w:val="single" w:color="auto" w:sz="4" w:space="0"/>
                    <w:bottom w:val="single" w:color="auto" w:sz="4" w:space="0"/>
                    <w:right w:val="single" w:color="auto" w:sz="4" w:space="0"/>
                  </w:tcBorders>
                  <w:noWrap w:val="0"/>
                  <w:vAlign w:val="center"/>
                </w:tcPr>
                <w:p w14:paraId="0C4B1C9E">
                  <w:pPr>
                    <w:pStyle w:val="71"/>
                    <w:bidi w:val="0"/>
                    <w:rPr>
                      <w:rFonts w:hint="default" w:ascii="Times New Roman" w:hAnsi="Times New Roman" w:cs="Times New Roman"/>
                    </w:rPr>
                  </w:pPr>
                  <w:r>
                    <w:rPr>
                      <w:rFonts w:hint="default" w:ascii="Times New Roman" w:hAnsi="Times New Roman" w:cs="Times New Roman"/>
                    </w:rPr>
                    <w:t>监测频次</w:t>
                  </w:r>
                </w:p>
              </w:tc>
            </w:tr>
            <w:tr w14:paraId="31611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1CBC148D">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7ED41D20">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2601" w:type="pct"/>
                  <w:tcBorders>
                    <w:top w:val="single" w:color="auto" w:sz="4" w:space="0"/>
                    <w:left w:val="single" w:color="auto" w:sz="4" w:space="0"/>
                    <w:bottom w:val="single" w:color="auto" w:sz="4" w:space="0"/>
                    <w:right w:val="single" w:color="auto" w:sz="4" w:space="0"/>
                  </w:tcBorders>
                  <w:noWrap w:val="0"/>
                  <w:vAlign w:val="center"/>
                </w:tcPr>
                <w:p w14:paraId="4794E375">
                  <w:pPr>
                    <w:pStyle w:val="71"/>
                    <w:bidi w:val="0"/>
                    <w:rPr>
                      <w:rFonts w:hint="default" w:ascii="Times New Roman" w:hAnsi="Times New Roman" w:eastAsia="宋体" w:cs="Times New Roman"/>
                      <w:lang w:eastAsia="zh-CN"/>
                    </w:rPr>
                  </w:pPr>
                  <w:r>
                    <w:rPr>
                      <w:rFonts w:hint="default" w:ascii="Times New Roman" w:hAnsi="Times New Roman" w:cs="Times New Roman"/>
                    </w:rPr>
                    <w:t>化学需氧量、氨氮、悬浮物、汞、铅、镉、五日生化需氧量、六价铬、色度、总氮、总磷、粪大肠菌群、总铬、砷</w:t>
                  </w:r>
                </w:p>
              </w:tc>
              <w:tc>
                <w:tcPr>
                  <w:tcW w:w="780" w:type="pct"/>
                  <w:tcBorders>
                    <w:top w:val="single" w:color="auto" w:sz="4" w:space="0"/>
                    <w:left w:val="single" w:color="auto" w:sz="4" w:space="0"/>
                    <w:bottom w:val="single" w:color="auto" w:sz="4" w:space="0"/>
                    <w:right w:val="single" w:color="auto" w:sz="4" w:space="0"/>
                  </w:tcBorders>
                  <w:noWrap w:val="0"/>
                  <w:vAlign w:val="center"/>
                </w:tcPr>
                <w:p w14:paraId="55832AD6">
                  <w:pPr>
                    <w:pStyle w:val="71"/>
                    <w:bidi w:val="0"/>
                    <w:rPr>
                      <w:rFonts w:hint="default" w:ascii="Times New Roman" w:hAnsi="Times New Roman" w:cs="Times New Roman"/>
                    </w:rPr>
                  </w:pPr>
                  <w:r>
                    <w:rPr>
                      <w:rFonts w:hint="default" w:ascii="Times New Roman" w:hAnsi="Times New Roman" w:cs="Times New Roman"/>
                      <w:color w:val="auto"/>
                      <w:sz w:val="21"/>
                      <w:szCs w:val="21"/>
                      <w:u w:val="none"/>
                      <w:vertAlign w:val="baseline"/>
                      <w:lang w:eastAsia="zh-CN"/>
                    </w:rPr>
                    <w:t>每</w:t>
                  </w:r>
                  <w:r>
                    <w:rPr>
                      <w:rFonts w:hint="default" w:ascii="Times New Roman" w:hAnsi="Times New Roman" w:cs="Times New Roman"/>
                      <w:color w:val="auto"/>
                      <w:sz w:val="21"/>
                      <w:szCs w:val="21"/>
                      <w:u w:val="none"/>
                      <w:vertAlign w:val="baseline"/>
                      <w:lang w:val="en-US" w:eastAsia="zh-CN"/>
                    </w:rPr>
                    <w:t>季</w:t>
                  </w:r>
                  <w:r>
                    <w:rPr>
                      <w:rFonts w:hint="default" w:ascii="Times New Roman" w:hAnsi="Times New Roman" w:cs="Times New Roman"/>
                      <w:color w:val="auto"/>
                      <w:sz w:val="21"/>
                      <w:szCs w:val="21"/>
                      <w:u w:val="none"/>
                      <w:vertAlign w:val="baseline"/>
                      <w:lang w:eastAsia="zh-CN"/>
                    </w:rPr>
                    <w:t>一次</w:t>
                  </w:r>
                </w:p>
              </w:tc>
            </w:tr>
          </w:tbl>
          <w:p w14:paraId="200E7C75">
            <w:pPr>
              <w:pStyle w:val="3"/>
              <w:ind w:firstLine="48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color w:val="auto"/>
              </w:rPr>
              <w:t>噪声源强</w:t>
            </w:r>
          </w:p>
          <w:p w14:paraId="3376875D">
            <w:pPr>
              <w:pStyle w:val="3"/>
              <w:bidi w:val="0"/>
              <w:rPr>
                <w:rFonts w:hint="default" w:ascii="Times New Roman" w:hAnsi="Times New Roman" w:eastAsia="宋体" w:cs="Times New Roman"/>
                <w:lang w:val="en-US" w:eastAsia="zh-CN"/>
              </w:rPr>
            </w:pPr>
            <w:r>
              <w:rPr>
                <w:rFonts w:hint="default" w:ascii="Times New Roman" w:hAnsi="Times New Roman" w:cs="Times New Roman"/>
                <w:lang w:val="en-US"/>
              </w:rPr>
              <w:t>本项目运营期噪声主要来自渗滤液处理厂水泵、搅拌机、压滤机、风机，其中风机位于风机房内，水泵、压滤机位于设备间内，搅拌机置于水下。机械设备经过水体及建筑物隔音后，到达厂界贡献值较小。本工程项目所使用的机械产生的噪声值见</w:t>
            </w:r>
            <w:r>
              <w:rPr>
                <w:rFonts w:hint="default" w:ascii="Times New Roman" w:hAnsi="Times New Roman" w:cs="Times New Roman"/>
                <w:lang w:val="en-US" w:eastAsia="zh-CN"/>
              </w:rPr>
              <w:t>下</w:t>
            </w:r>
            <w:r>
              <w:rPr>
                <w:rFonts w:hint="default" w:ascii="Times New Roman" w:hAnsi="Times New Roman" w:cs="Times New Roman"/>
                <w:lang w:val="en-US"/>
              </w:rPr>
              <w:t>表</w:t>
            </w:r>
            <w:r>
              <w:rPr>
                <w:rFonts w:hint="default" w:ascii="Times New Roman" w:hAnsi="Times New Roman" w:cs="Times New Roman"/>
                <w:lang w:val="en-US" w:eastAsia="zh-CN"/>
              </w:rPr>
              <w:t>。</w:t>
            </w:r>
          </w:p>
          <w:p w14:paraId="7024D202">
            <w:pPr>
              <w:pStyle w:val="72"/>
              <w:bidi w:val="0"/>
              <w:rPr>
                <w:rFonts w:hint="default" w:ascii="Times New Roman" w:hAnsi="Times New Roman" w:cs="Times New Roman"/>
                <w:lang w:val="zh-CN" w:eastAsia="zh-CN"/>
              </w:rPr>
            </w:pPr>
            <w:r>
              <w:rPr>
                <w:rFonts w:hint="default" w:ascii="Times New Roman" w:hAnsi="Times New Roman" w:cs="Times New Roman"/>
                <w:lang w:val="zh-CN" w:eastAsia="zh-CN"/>
              </w:rPr>
              <w:t>表</w:t>
            </w:r>
            <w:r>
              <w:rPr>
                <w:rFonts w:hint="default" w:ascii="Times New Roman" w:hAnsi="Times New Roman" w:cs="Times New Roman"/>
                <w:lang w:val="en-US" w:eastAsia="zh-CN"/>
              </w:rPr>
              <w:t>4-1</w:t>
            </w:r>
            <w:r>
              <w:rPr>
                <w:rFonts w:hint="eastAsia" w:ascii="Times New Roman" w:hAnsi="Times New Roman" w:cs="Times New Roman"/>
                <w:lang w:val="en-US" w:eastAsia="zh-CN"/>
              </w:rPr>
              <w:t>4</w:t>
            </w:r>
            <w:r>
              <w:rPr>
                <w:rFonts w:hint="default" w:ascii="Times New Roman" w:hAnsi="Times New Roman" w:cs="Times New Roman"/>
                <w:lang w:val="zh-CN" w:eastAsia="zh-CN"/>
              </w:rPr>
              <w:t>项目主要噪声源及防治措施一览表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573"/>
              <w:gridCol w:w="1573"/>
              <w:gridCol w:w="1573"/>
              <w:gridCol w:w="1573"/>
            </w:tblGrid>
            <w:tr w14:paraId="14B5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06520CF8">
                  <w:pPr>
                    <w:pStyle w:val="71"/>
                    <w:bidi w:val="0"/>
                    <w:rPr>
                      <w:rFonts w:hint="default" w:ascii="Times New Roman" w:hAnsi="Times New Roman" w:cs="Times New Roman"/>
                    </w:rPr>
                  </w:pPr>
                  <w:r>
                    <w:rPr>
                      <w:rFonts w:hint="default" w:ascii="Times New Roman" w:hAnsi="Times New Roman" w:cs="Times New Roman"/>
                    </w:rPr>
                    <w:t>声源</w:t>
                  </w:r>
                </w:p>
              </w:tc>
              <w:tc>
                <w:tcPr>
                  <w:tcW w:w="1000" w:type="pct"/>
                  <w:noWrap w:val="0"/>
                  <w:vAlign w:val="center"/>
                </w:tcPr>
                <w:p w14:paraId="7BDEB013">
                  <w:pPr>
                    <w:pStyle w:val="71"/>
                    <w:bidi w:val="0"/>
                    <w:rPr>
                      <w:rFonts w:hint="default" w:ascii="Times New Roman" w:hAnsi="Times New Roman" w:cs="Times New Roman"/>
                    </w:rPr>
                  </w:pPr>
                  <w:r>
                    <w:rPr>
                      <w:rFonts w:hint="default" w:ascii="Times New Roman" w:hAnsi="Times New Roman" w:cs="Times New Roman"/>
                    </w:rPr>
                    <w:t>数量</w:t>
                  </w:r>
                </w:p>
              </w:tc>
              <w:tc>
                <w:tcPr>
                  <w:tcW w:w="1000" w:type="pct"/>
                  <w:noWrap w:val="0"/>
                  <w:vAlign w:val="center"/>
                </w:tcPr>
                <w:p w14:paraId="1E0FF4F6">
                  <w:pPr>
                    <w:pStyle w:val="71"/>
                    <w:bidi w:val="0"/>
                    <w:rPr>
                      <w:rFonts w:hint="default" w:ascii="Times New Roman" w:hAnsi="Times New Roman" w:cs="Times New Roman"/>
                    </w:rPr>
                  </w:pPr>
                  <w:r>
                    <w:rPr>
                      <w:rFonts w:hint="default" w:ascii="Times New Roman" w:hAnsi="Times New Roman" w:cs="Times New Roman"/>
                    </w:rPr>
                    <w:t>噪声源强dB（A）</w:t>
                  </w:r>
                </w:p>
              </w:tc>
              <w:tc>
                <w:tcPr>
                  <w:tcW w:w="1000" w:type="pct"/>
                  <w:noWrap w:val="0"/>
                  <w:vAlign w:val="center"/>
                </w:tcPr>
                <w:p w14:paraId="69C9CBC6">
                  <w:pPr>
                    <w:pStyle w:val="71"/>
                    <w:bidi w:val="0"/>
                    <w:rPr>
                      <w:rFonts w:hint="default" w:ascii="Times New Roman" w:hAnsi="Times New Roman" w:cs="Times New Roman"/>
                    </w:rPr>
                  </w:pPr>
                  <w:r>
                    <w:rPr>
                      <w:rFonts w:hint="default" w:ascii="Times New Roman" w:hAnsi="Times New Roman" w:cs="Times New Roman"/>
                    </w:rPr>
                    <w:t>防治措施</w:t>
                  </w:r>
                </w:p>
              </w:tc>
              <w:tc>
                <w:tcPr>
                  <w:tcW w:w="1000" w:type="pct"/>
                  <w:noWrap w:val="0"/>
                  <w:vAlign w:val="center"/>
                </w:tcPr>
                <w:p w14:paraId="5CD00507">
                  <w:pPr>
                    <w:pStyle w:val="71"/>
                    <w:bidi w:val="0"/>
                    <w:rPr>
                      <w:rFonts w:hint="default" w:ascii="Times New Roman" w:hAnsi="Times New Roman" w:cs="Times New Roman"/>
                    </w:rPr>
                  </w:pPr>
                  <w:r>
                    <w:rPr>
                      <w:rFonts w:hint="default" w:ascii="Times New Roman" w:hAnsi="Times New Roman" w:cs="Times New Roman"/>
                    </w:rPr>
                    <w:t>排放强度dB（A）</w:t>
                  </w:r>
                </w:p>
              </w:tc>
            </w:tr>
            <w:tr w14:paraId="7F09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50EF4622">
                  <w:pPr>
                    <w:pStyle w:val="71"/>
                    <w:bidi w:val="0"/>
                    <w:rPr>
                      <w:rFonts w:hint="default" w:ascii="Times New Roman" w:hAnsi="Times New Roman" w:eastAsia="宋体" w:cs="Times New Roman"/>
                      <w:lang w:eastAsia="zh-CN"/>
                    </w:rPr>
                  </w:pPr>
                  <w:r>
                    <w:rPr>
                      <w:rFonts w:hint="default" w:ascii="Times New Roman" w:hAnsi="Times New Roman" w:cs="Times New Roman"/>
                      <w:lang w:eastAsia="zh-CN"/>
                    </w:rPr>
                    <w:t>水泵</w:t>
                  </w:r>
                </w:p>
              </w:tc>
              <w:tc>
                <w:tcPr>
                  <w:tcW w:w="1000" w:type="pct"/>
                  <w:noWrap w:val="0"/>
                  <w:vAlign w:val="center"/>
                </w:tcPr>
                <w:p w14:paraId="13FF0776">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21</w:t>
                  </w:r>
                </w:p>
              </w:tc>
              <w:tc>
                <w:tcPr>
                  <w:tcW w:w="1000" w:type="pct"/>
                  <w:noWrap w:val="0"/>
                  <w:vAlign w:val="center"/>
                </w:tcPr>
                <w:p w14:paraId="6603022B">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70</w:t>
                  </w:r>
                </w:p>
              </w:tc>
              <w:tc>
                <w:tcPr>
                  <w:tcW w:w="1000" w:type="pct"/>
                  <w:vMerge w:val="restart"/>
                  <w:noWrap w:val="0"/>
                  <w:vAlign w:val="center"/>
                </w:tcPr>
                <w:p w14:paraId="497B0D94">
                  <w:pPr>
                    <w:pStyle w:val="71"/>
                    <w:bidi w:val="0"/>
                    <w:rPr>
                      <w:rFonts w:hint="default" w:ascii="Times New Roman" w:hAnsi="Times New Roman" w:eastAsia="宋体" w:cs="Times New Roman"/>
                      <w:lang w:val="en-US" w:eastAsia="zh-CN"/>
                    </w:rPr>
                  </w:pPr>
                  <w:r>
                    <w:rPr>
                      <w:rFonts w:hint="default" w:ascii="Times New Roman" w:hAnsi="Times New Roman" w:cs="Times New Roman"/>
                      <w:color w:val="000000"/>
                      <w:spacing w:val="0"/>
                      <w:w w:val="100"/>
                      <w:position w:val="0"/>
                    </w:rPr>
                    <w:t>选用低噪声设备</w:t>
                  </w:r>
                  <w:r>
                    <w:rPr>
                      <w:rFonts w:hint="default" w:ascii="Times New Roman" w:hAnsi="Times New Roman" w:cs="Times New Roman"/>
                      <w:color w:val="000000"/>
                      <w:spacing w:val="0"/>
                      <w:w w:val="100"/>
                      <w:position w:val="0"/>
                      <w:lang w:eastAsia="zh-CN"/>
                    </w:rPr>
                    <w:t>，</w:t>
                  </w:r>
                  <w:r>
                    <w:rPr>
                      <w:rFonts w:hint="default" w:ascii="Times New Roman" w:hAnsi="Times New Roman" w:cs="Times New Roman"/>
                      <w:szCs w:val="21"/>
                    </w:rPr>
                    <w:t>建筑隔声，基础减震，</w:t>
                  </w:r>
                  <w:r>
                    <w:rPr>
                      <w:rFonts w:hint="default" w:ascii="Times New Roman" w:hAnsi="Times New Roman" w:cs="Times New Roman"/>
                      <w:sz w:val="21"/>
                      <w:szCs w:val="24"/>
                    </w:rPr>
                    <w:t>加强设备的保养和维护</w:t>
                  </w:r>
                  <w:r>
                    <w:rPr>
                      <w:rFonts w:hint="default" w:ascii="Times New Roman" w:hAnsi="Times New Roman" w:cs="Times New Roman"/>
                      <w:sz w:val="21"/>
                      <w:szCs w:val="24"/>
                      <w:lang w:eastAsia="zh-CN"/>
                    </w:rPr>
                    <w:t>后降低</w:t>
                  </w:r>
                  <w:r>
                    <w:rPr>
                      <w:rFonts w:hint="default" w:ascii="Times New Roman" w:hAnsi="Times New Roman" w:cs="Times New Roman"/>
                      <w:sz w:val="21"/>
                      <w:szCs w:val="24"/>
                      <w:lang w:val="en-US" w:eastAsia="zh-CN"/>
                    </w:rPr>
                    <w:t>20</w:t>
                  </w:r>
                  <w:r>
                    <w:rPr>
                      <w:rFonts w:hint="default" w:ascii="Times New Roman" w:hAnsi="Times New Roman" w:cs="Times New Roman"/>
                    </w:rPr>
                    <w:t>dB（A）</w:t>
                  </w:r>
                </w:p>
              </w:tc>
              <w:tc>
                <w:tcPr>
                  <w:tcW w:w="1000" w:type="pct"/>
                  <w:noWrap w:val="0"/>
                  <w:vAlign w:val="center"/>
                </w:tcPr>
                <w:p w14:paraId="29AA84E5">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63</w:t>
                  </w:r>
                </w:p>
              </w:tc>
            </w:tr>
            <w:tr w14:paraId="2861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195AEF39">
                  <w:pPr>
                    <w:pStyle w:val="71"/>
                    <w:bidi w:val="0"/>
                    <w:rPr>
                      <w:rFonts w:hint="default" w:ascii="Times New Roman" w:hAnsi="Times New Roman" w:eastAsia="宋体" w:cs="Times New Roman"/>
                      <w:lang w:eastAsia="zh-CN"/>
                    </w:rPr>
                  </w:pPr>
                  <w:r>
                    <w:rPr>
                      <w:rFonts w:hint="default" w:ascii="Times New Roman" w:hAnsi="Times New Roman" w:cs="Times New Roman"/>
                      <w:lang w:eastAsia="zh-CN"/>
                    </w:rPr>
                    <w:t>风机</w:t>
                  </w:r>
                </w:p>
              </w:tc>
              <w:tc>
                <w:tcPr>
                  <w:tcW w:w="1000" w:type="pct"/>
                  <w:noWrap w:val="0"/>
                  <w:vAlign w:val="center"/>
                </w:tcPr>
                <w:p w14:paraId="7B66F159">
                  <w:pPr>
                    <w:pStyle w:val="71"/>
                    <w:bidi w:val="0"/>
                    <w:rPr>
                      <w:rFonts w:hint="default" w:ascii="Times New Roman" w:hAnsi="Times New Roman" w:eastAsia="宋体" w:cs="Times New Roman"/>
                      <w:lang w:eastAsia="zh-CN"/>
                    </w:rPr>
                  </w:pPr>
                  <w:r>
                    <w:rPr>
                      <w:rFonts w:hint="default" w:ascii="Times New Roman" w:hAnsi="Times New Roman" w:cs="Times New Roman"/>
                      <w:lang w:val="en-US" w:eastAsia="zh-CN"/>
                    </w:rPr>
                    <w:t>7</w:t>
                  </w:r>
                </w:p>
              </w:tc>
              <w:tc>
                <w:tcPr>
                  <w:tcW w:w="1000" w:type="pct"/>
                  <w:noWrap w:val="0"/>
                  <w:vAlign w:val="center"/>
                </w:tcPr>
                <w:p w14:paraId="67F3820F">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85</w:t>
                  </w:r>
                </w:p>
              </w:tc>
              <w:tc>
                <w:tcPr>
                  <w:tcW w:w="1000" w:type="pct"/>
                  <w:vMerge w:val="continue"/>
                  <w:noWrap w:val="0"/>
                  <w:vAlign w:val="center"/>
                </w:tcPr>
                <w:p w14:paraId="0D1524CB">
                  <w:pPr>
                    <w:pStyle w:val="71"/>
                    <w:bidi w:val="0"/>
                    <w:rPr>
                      <w:rFonts w:hint="default" w:ascii="Times New Roman" w:hAnsi="Times New Roman" w:cs="Times New Roman"/>
                    </w:rPr>
                  </w:pPr>
                </w:p>
              </w:tc>
              <w:tc>
                <w:tcPr>
                  <w:tcW w:w="1000" w:type="pct"/>
                  <w:noWrap w:val="0"/>
                  <w:vAlign w:val="center"/>
                </w:tcPr>
                <w:p w14:paraId="4ABC9526">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73</w:t>
                  </w:r>
                </w:p>
              </w:tc>
            </w:tr>
            <w:tr w14:paraId="6168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07A8A632">
                  <w:pPr>
                    <w:pStyle w:val="71"/>
                    <w:bidi w:val="0"/>
                    <w:rPr>
                      <w:rFonts w:hint="default" w:ascii="Times New Roman" w:hAnsi="Times New Roman" w:eastAsia="宋体" w:cs="Times New Roman"/>
                      <w:lang w:eastAsia="zh-CN"/>
                    </w:rPr>
                  </w:pPr>
                  <w:r>
                    <w:rPr>
                      <w:rFonts w:hint="default" w:ascii="Times New Roman" w:hAnsi="Times New Roman" w:cs="Times New Roman"/>
                      <w:lang w:eastAsia="zh-CN"/>
                    </w:rPr>
                    <w:t>搅拌机</w:t>
                  </w:r>
                </w:p>
              </w:tc>
              <w:tc>
                <w:tcPr>
                  <w:tcW w:w="1000" w:type="pct"/>
                  <w:noWrap w:val="0"/>
                  <w:vAlign w:val="center"/>
                </w:tcPr>
                <w:p w14:paraId="54C299AE">
                  <w:pPr>
                    <w:pStyle w:val="71"/>
                    <w:bidi w:val="0"/>
                    <w:rPr>
                      <w:rFonts w:hint="default" w:ascii="Times New Roman" w:hAnsi="Times New Roman" w:eastAsia="宋体" w:cs="Times New Roman"/>
                      <w:lang w:eastAsia="zh-CN"/>
                    </w:rPr>
                  </w:pPr>
                  <w:r>
                    <w:rPr>
                      <w:rFonts w:hint="default" w:ascii="Times New Roman" w:hAnsi="Times New Roman" w:cs="Times New Roman"/>
                      <w:lang w:val="en-US" w:eastAsia="zh-CN"/>
                    </w:rPr>
                    <w:t>7</w:t>
                  </w:r>
                </w:p>
              </w:tc>
              <w:tc>
                <w:tcPr>
                  <w:tcW w:w="1000" w:type="pct"/>
                  <w:noWrap w:val="0"/>
                  <w:vAlign w:val="center"/>
                </w:tcPr>
                <w:p w14:paraId="3AEB9010">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1000" w:type="pct"/>
                  <w:vMerge w:val="continue"/>
                  <w:noWrap w:val="0"/>
                  <w:vAlign w:val="center"/>
                </w:tcPr>
                <w:p w14:paraId="682BE0A0">
                  <w:pPr>
                    <w:pStyle w:val="71"/>
                    <w:bidi w:val="0"/>
                    <w:rPr>
                      <w:rFonts w:hint="default" w:ascii="Times New Roman" w:hAnsi="Times New Roman" w:cs="Times New Roman"/>
                    </w:rPr>
                  </w:pPr>
                </w:p>
              </w:tc>
              <w:tc>
                <w:tcPr>
                  <w:tcW w:w="1000" w:type="pct"/>
                  <w:noWrap w:val="0"/>
                  <w:vAlign w:val="center"/>
                </w:tcPr>
                <w:p w14:paraId="6D823911">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63</w:t>
                  </w:r>
                </w:p>
              </w:tc>
            </w:tr>
            <w:tr w14:paraId="67BB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noWrap w:val="0"/>
                  <w:vAlign w:val="center"/>
                </w:tcPr>
                <w:p w14:paraId="05A4FA10">
                  <w:pPr>
                    <w:pStyle w:val="71"/>
                    <w:bidi w:val="0"/>
                    <w:rPr>
                      <w:rFonts w:hint="default" w:ascii="Times New Roman" w:hAnsi="Times New Roman" w:eastAsia="宋体" w:cs="Times New Roman"/>
                      <w:lang w:eastAsia="zh-CN"/>
                    </w:rPr>
                  </w:pPr>
                  <w:r>
                    <w:rPr>
                      <w:rFonts w:hint="default" w:ascii="Times New Roman" w:hAnsi="Times New Roman" w:cs="Times New Roman"/>
                      <w:lang w:eastAsia="zh-CN"/>
                    </w:rPr>
                    <w:t>压滤机</w:t>
                  </w:r>
                </w:p>
              </w:tc>
              <w:tc>
                <w:tcPr>
                  <w:tcW w:w="1000" w:type="pct"/>
                  <w:noWrap w:val="0"/>
                  <w:vAlign w:val="center"/>
                </w:tcPr>
                <w:p w14:paraId="6C190C76">
                  <w:pPr>
                    <w:pStyle w:val="71"/>
                    <w:bidi w:val="0"/>
                    <w:rPr>
                      <w:rFonts w:hint="default" w:ascii="Times New Roman" w:hAnsi="Times New Roman" w:cs="Times New Roman"/>
                    </w:rPr>
                  </w:pPr>
                  <w:r>
                    <w:rPr>
                      <w:rFonts w:hint="default" w:ascii="Times New Roman" w:hAnsi="Times New Roman" w:cs="Times New Roman"/>
                    </w:rPr>
                    <w:t>1</w:t>
                  </w:r>
                </w:p>
              </w:tc>
              <w:tc>
                <w:tcPr>
                  <w:tcW w:w="1000" w:type="pct"/>
                  <w:noWrap w:val="0"/>
                  <w:vAlign w:val="center"/>
                </w:tcPr>
                <w:p w14:paraId="178C43A5">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80</w:t>
                  </w:r>
                </w:p>
              </w:tc>
              <w:tc>
                <w:tcPr>
                  <w:tcW w:w="1000" w:type="pct"/>
                  <w:vMerge w:val="continue"/>
                  <w:noWrap w:val="0"/>
                  <w:vAlign w:val="center"/>
                </w:tcPr>
                <w:p w14:paraId="2279B242">
                  <w:pPr>
                    <w:pStyle w:val="71"/>
                    <w:bidi w:val="0"/>
                    <w:rPr>
                      <w:rFonts w:hint="default" w:ascii="Times New Roman" w:hAnsi="Times New Roman" w:cs="Times New Roman"/>
                    </w:rPr>
                  </w:pPr>
                </w:p>
              </w:tc>
              <w:tc>
                <w:tcPr>
                  <w:tcW w:w="1000" w:type="pct"/>
                  <w:noWrap w:val="0"/>
                  <w:vAlign w:val="center"/>
                </w:tcPr>
                <w:p w14:paraId="69C3A941">
                  <w:pPr>
                    <w:pStyle w:val="71"/>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60</w:t>
                  </w:r>
                </w:p>
              </w:tc>
            </w:tr>
          </w:tbl>
          <w:p w14:paraId="74A98F16">
            <w:pPr>
              <w:pStyle w:val="2"/>
              <w:pageBreakBefore w:val="0"/>
              <w:kinsoku/>
              <w:wordWrap/>
              <w:overflowPunct/>
              <w:topLinePunct w:val="0"/>
              <w:autoSpaceDE/>
              <w:autoSpaceDN/>
              <w:bidi w:val="0"/>
              <w:spacing w:line="360" w:lineRule="auto"/>
              <w:ind w:right="0" w:rightChars="0" w:firstLine="480" w:firstLineChars="200"/>
              <w:rPr>
                <w:rFonts w:hint="default" w:ascii="Times New Roman" w:hAnsi="Times New Roman" w:cs="Times New Roman"/>
                <w:szCs w:val="21"/>
              </w:rPr>
            </w:pPr>
            <w:r>
              <w:rPr>
                <w:rFonts w:hint="default" w:ascii="Times New Roman" w:hAnsi="Times New Roman" w:cs="Times New Roman"/>
                <w:szCs w:val="21"/>
              </w:rPr>
              <w:t>噪声源设备都摆放在封闭的车间内，厂界噪声通过选用低噪声设备</w:t>
            </w:r>
            <w:r>
              <w:rPr>
                <w:rFonts w:hint="default" w:ascii="Times New Roman" w:hAnsi="Times New Roman" w:cs="Times New Roman"/>
                <w:szCs w:val="21"/>
                <w:lang w:eastAsia="zh-CN"/>
              </w:rPr>
              <w:t>，</w:t>
            </w:r>
            <w:r>
              <w:rPr>
                <w:rFonts w:hint="default" w:ascii="Times New Roman" w:hAnsi="Times New Roman" w:cs="Times New Roman"/>
                <w:szCs w:val="21"/>
              </w:rPr>
              <w:t>建筑隔声，基础减震，加强设备的保养和维护</w:t>
            </w:r>
            <w:r>
              <w:rPr>
                <w:rFonts w:hint="default" w:ascii="Times New Roman" w:hAnsi="Times New Roman" w:cs="Times New Roman"/>
                <w:szCs w:val="21"/>
                <w:lang w:eastAsia="zh-CN"/>
              </w:rPr>
              <w:t>等</w:t>
            </w:r>
            <w:r>
              <w:rPr>
                <w:rFonts w:hint="default" w:ascii="Times New Roman" w:hAnsi="Times New Roman" w:cs="Times New Roman"/>
                <w:szCs w:val="21"/>
              </w:rPr>
              <w:t>措施后，厂界外噪声将有大程度的减弱，能够达标排放。</w:t>
            </w:r>
          </w:p>
          <w:p w14:paraId="26D13454">
            <w:pPr>
              <w:pStyle w:val="25"/>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lang w:val="en-US"/>
              </w:rPr>
            </w:pPr>
            <w:r>
              <w:rPr>
                <w:rFonts w:hint="default" w:ascii="Times New Roman" w:hAnsi="Times New Roman" w:eastAsia="宋体" w:cs="Times New Roman"/>
                <w:color w:val="auto"/>
                <w:kern w:val="2"/>
                <w:sz w:val="24"/>
                <w:szCs w:val="24"/>
                <w:lang w:val="en-US" w:eastAsia="zh-CN" w:bidi="ar"/>
              </w:rPr>
              <w:t>（1）噪声预测模型</w:t>
            </w:r>
          </w:p>
          <w:p w14:paraId="1540C297">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1）预测模式</w:t>
            </w:r>
          </w:p>
          <w:p w14:paraId="246FA383">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bCs/>
                <w:color w:val="auto"/>
                <w:sz w:val="24"/>
                <w:szCs w:val="24"/>
                <w:lang w:val="en-US"/>
              </w:rPr>
            </w:pPr>
            <w:r>
              <w:rPr>
                <w:rFonts w:hint="default" w:ascii="Times New Roman" w:hAnsi="Times New Roman" w:eastAsia="宋体" w:cs="Times New Roman"/>
                <w:color w:val="auto"/>
                <w:kern w:val="2"/>
                <w:sz w:val="24"/>
                <w:szCs w:val="24"/>
                <w:lang w:val="en-US" w:eastAsia="zh-CN" w:bidi="ar"/>
              </w:rPr>
              <w:t>根据《环境影响评价技术导则声环境》（</w:t>
            </w:r>
            <w:r>
              <w:rPr>
                <w:rFonts w:hint="default" w:ascii="Times New Roman" w:hAnsi="Times New Roman" w:eastAsia="TimesNewRomanPSMT" w:cs="Times New Roman"/>
                <w:color w:val="auto"/>
                <w:kern w:val="2"/>
                <w:sz w:val="24"/>
                <w:szCs w:val="24"/>
                <w:lang w:val="en-US" w:eastAsia="zh-CN" w:bidi="ar"/>
              </w:rPr>
              <w:t>HJ2.4-2021</w:t>
            </w:r>
            <w:r>
              <w:rPr>
                <w:rFonts w:hint="default" w:ascii="Times New Roman" w:hAnsi="Times New Roman" w:eastAsia="宋体" w:cs="Times New Roman"/>
                <w:color w:val="auto"/>
                <w:kern w:val="2"/>
                <w:sz w:val="24"/>
                <w:szCs w:val="24"/>
                <w:lang w:val="en-US" w:eastAsia="zh-CN" w:bidi="ar"/>
              </w:rPr>
              <w:t>）的技术要求，本次评价采取导则推荐模式。</w:t>
            </w:r>
          </w:p>
          <w:p w14:paraId="43E2143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①预测点的预测等效声级（</w:t>
            </w:r>
            <w:r>
              <w:rPr>
                <w:rFonts w:hint="default" w:ascii="Times New Roman" w:hAnsi="Times New Roman" w:eastAsia="宋体" w:cs="Times New Roman"/>
                <w:i/>
                <w:iCs/>
                <w:color w:val="auto"/>
                <w:kern w:val="2"/>
                <w:sz w:val="24"/>
                <w:szCs w:val="24"/>
                <w:lang w:val="en-US" w:eastAsia="zh-CN" w:bidi="ar"/>
              </w:rPr>
              <w:t>Lep</w:t>
            </w:r>
            <w:r>
              <w:rPr>
                <w:rFonts w:hint="default" w:ascii="Times New Roman" w:hAnsi="Times New Roman" w:eastAsia="宋体" w:cs="Times New Roman"/>
                <w:color w:val="auto"/>
                <w:kern w:val="2"/>
                <w:sz w:val="24"/>
                <w:szCs w:val="24"/>
                <w:lang w:val="en-US" w:eastAsia="zh-CN" w:bidi="ar"/>
              </w:rPr>
              <w:t>）计算公式：</w:t>
            </w:r>
          </w:p>
          <w:p w14:paraId="6F41AB88">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2105025" cy="361950"/>
                  <wp:effectExtent l="0" t="0" r="13335" b="381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8"/>
                          <a:stretch>
                            <a:fillRect/>
                          </a:stretch>
                        </pic:blipFill>
                        <pic:spPr>
                          <a:xfrm>
                            <a:off x="0" y="0"/>
                            <a:ext cx="2105025" cy="361950"/>
                          </a:xfrm>
                          <a:prstGeom prst="rect">
                            <a:avLst/>
                          </a:prstGeom>
                          <a:noFill/>
                          <a:ln>
                            <a:noFill/>
                          </a:ln>
                        </pic:spPr>
                      </pic:pic>
                    </a:graphicData>
                  </a:graphic>
                </wp:inline>
              </w:drawing>
            </w:r>
          </w:p>
          <w:p w14:paraId="7BB3085A">
            <w:pPr>
              <w:pStyle w:val="25"/>
              <w:keepNext w:val="0"/>
              <w:keepLines w:val="0"/>
              <w:widowControl w:val="0"/>
              <w:suppressLineNumbers w:val="0"/>
              <w:spacing w:before="0" w:beforeAutospacing="0" w:after="120" w:afterAutospacing="0" w:line="360" w:lineRule="auto"/>
              <w:ind w:left="0" w:leftChars="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w:t>
            </w:r>
            <w:r>
              <w:rPr>
                <w:rFonts w:hint="default" w:ascii="Times New Roman" w:hAnsi="Times New Roman" w:eastAsia="宋体" w:cs="Times New Roman"/>
                <w:color w:val="auto"/>
                <w:kern w:val="2"/>
                <w:sz w:val="21"/>
                <w:szCs w:val="24"/>
                <w:lang w:val="en-US" w:eastAsia="zh-CN" w:bidi="ar"/>
              </w:rPr>
              <w:t xml:space="preserve">： </w:t>
            </w:r>
            <w:r>
              <w:rPr>
                <w:rFonts w:hint="default" w:ascii="Times New Roman" w:hAnsi="Times New Roman" w:eastAsia="宋体" w:cs="Times New Roman"/>
                <w:i/>
                <w:iCs/>
                <w:color w:val="auto"/>
                <w:kern w:val="2"/>
                <w:sz w:val="21"/>
                <w:szCs w:val="24"/>
                <w:lang w:val="en-US" w:eastAsia="zh-CN" w:bidi="ar"/>
              </w:rPr>
              <w:t xml:space="preserve"> </w:t>
            </w:r>
            <w:r>
              <w:rPr>
                <w:rFonts w:hint="default" w:ascii="Times New Roman" w:hAnsi="Times New Roman" w:eastAsia="宋体" w:cs="Times New Roman"/>
                <w:i/>
                <w:iCs/>
                <w:color w:val="auto"/>
                <w:kern w:val="2"/>
                <w:sz w:val="24"/>
                <w:szCs w:val="24"/>
                <w:lang w:val="en-US" w:eastAsia="zh-CN" w:bidi="ar"/>
              </w:rPr>
              <w:t>Leqg</w:t>
            </w:r>
            <w:r>
              <w:rPr>
                <w:rFonts w:hint="default" w:ascii="Times New Roman" w:hAnsi="Times New Roman" w:eastAsia="宋体" w:cs="Times New Roman"/>
                <w:color w:val="auto"/>
                <w:kern w:val="2"/>
                <w:sz w:val="24"/>
                <w:szCs w:val="24"/>
                <w:lang w:val="en-US" w:eastAsia="zh-CN" w:bidi="ar"/>
              </w:rPr>
              <w:t>——建设项目声源在预测点产生的等效声级贡献值，</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宋体" w:cs="Times New Roman"/>
                <w:color w:val="auto"/>
                <w:kern w:val="2"/>
                <w:sz w:val="24"/>
                <w:szCs w:val="24"/>
                <w:lang w:val="en-US" w:eastAsia="zh-CN" w:bidi="ar"/>
              </w:rPr>
              <w:t>）；</w:t>
            </w:r>
          </w:p>
          <w:p w14:paraId="2B5804B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i/>
                <w:iCs/>
                <w:color w:val="auto"/>
                <w:kern w:val="2"/>
                <w:sz w:val="24"/>
                <w:szCs w:val="24"/>
                <w:lang w:val="en-US" w:eastAsia="zh-CN" w:bidi="ar"/>
              </w:rPr>
              <w:t>Leqb</w:t>
            </w:r>
            <w:r>
              <w:rPr>
                <w:rFonts w:hint="default" w:ascii="Times New Roman" w:hAnsi="Times New Roman" w:eastAsia="宋体" w:cs="Times New Roman"/>
                <w:color w:val="auto"/>
                <w:kern w:val="2"/>
                <w:sz w:val="24"/>
                <w:szCs w:val="24"/>
                <w:lang w:val="en-US" w:eastAsia="zh-CN" w:bidi="ar"/>
              </w:rPr>
              <w:t>——预测点的背景值，</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宋体" w:cs="Times New Roman"/>
                <w:color w:val="auto"/>
                <w:kern w:val="2"/>
                <w:sz w:val="24"/>
                <w:szCs w:val="24"/>
                <w:lang w:val="en-US" w:eastAsia="zh-CN" w:bidi="ar"/>
              </w:rPr>
              <w:t>；</w:t>
            </w:r>
          </w:p>
          <w:p w14:paraId="79738A11">
            <w:pPr>
              <w:pStyle w:val="25"/>
              <w:keepNext w:val="0"/>
              <w:keepLines w:val="0"/>
              <w:widowControl w:val="0"/>
              <w:suppressLineNumbers w:val="0"/>
              <w:spacing w:before="0" w:beforeAutospacing="0" w:after="120" w:afterAutospacing="0" w:line="360" w:lineRule="auto"/>
              <w:ind w:left="0" w:right="0" w:firstLine="240" w:firstLineChars="100"/>
              <w:jc w:val="both"/>
              <w:rPr>
                <w:rFonts w:hint="default" w:ascii="Times New Roman" w:hAnsi="Times New Roman" w:cs="Times New Roman"/>
                <w:color w:val="auto"/>
                <w:lang w:val="en-US"/>
              </w:rPr>
            </w:pPr>
            <w:r>
              <w:rPr>
                <w:rFonts w:hint="default" w:ascii="Times New Roman" w:hAnsi="Times New Roman" w:eastAsia="宋体" w:cs="Times New Roman"/>
                <w:color w:val="auto"/>
                <w:kern w:val="2"/>
                <w:sz w:val="24"/>
                <w:szCs w:val="24"/>
                <w:lang w:val="en-US" w:eastAsia="zh-CN" w:bidi="ar"/>
              </w:rPr>
              <w:t xml:space="preserve">②建设项目声源在预测点产生的等效声级贡献值（ </w:t>
            </w:r>
            <w:r>
              <w:rPr>
                <w:rFonts w:hint="default" w:ascii="Times New Roman" w:hAnsi="Times New Roman" w:eastAsia="宋体" w:cs="Times New Roman"/>
                <w:i/>
                <w:iCs/>
                <w:color w:val="auto"/>
                <w:kern w:val="2"/>
                <w:sz w:val="24"/>
                <w:szCs w:val="24"/>
                <w:lang w:val="en-US" w:eastAsia="zh-CN" w:bidi="ar"/>
              </w:rPr>
              <w:t>Leqg</w:t>
            </w:r>
            <w:r>
              <w:rPr>
                <w:rFonts w:hint="default" w:ascii="Times New Roman" w:hAnsi="Times New Roman" w:eastAsia="宋体" w:cs="Times New Roman"/>
                <w:color w:val="auto"/>
                <w:kern w:val="2"/>
                <w:sz w:val="24"/>
                <w:szCs w:val="24"/>
                <w:lang w:val="en-US" w:eastAsia="zh-CN" w:bidi="ar"/>
              </w:rPr>
              <w:t>）计算公式：</w:t>
            </w:r>
          </w:p>
          <w:p w14:paraId="6D79A942">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2266950" cy="542925"/>
                  <wp:effectExtent l="0" t="0" r="3810" b="571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9"/>
                          <a:stretch>
                            <a:fillRect/>
                          </a:stretch>
                        </pic:blipFill>
                        <pic:spPr>
                          <a:xfrm>
                            <a:off x="0" y="0"/>
                            <a:ext cx="2266950" cy="542925"/>
                          </a:xfrm>
                          <a:prstGeom prst="rect">
                            <a:avLst/>
                          </a:prstGeom>
                          <a:noFill/>
                          <a:ln>
                            <a:noFill/>
                          </a:ln>
                        </pic:spPr>
                      </pic:pic>
                    </a:graphicData>
                  </a:graphic>
                </wp:inline>
              </w:drawing>
            </w:r>
          </w:p>
          <w:p w14:paraId="6B35328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A</w:t>
            </w:r>
            <w:r>
              <w:rPr>
                <w:rFonts w:hint="default" w:ascii="Times New Roman" w:hAnsi="Times New Roman" w:eastAsia="宋体" w:cs="Times New Roman"/>
                <w:color w:val="auto"/>
                <w:kern w:val="2"/>
                <w:sz w:val="24"/>
                <w:szCs w:val="24"/>
                <w:vertAlign w:val="subscript"/>
                <w:lang w:val="en-US" w:eastAsia="zh-CN" w:bidi="ar"/>
              </w:rPr>
              <w:t>i</w:t>
            </w:r>
            <w:r>
              <w:rPr>
                <w:rFonts w:hint="default" w:ascii="Times New Roman" w:hAnsi="Times New Roman" w:eastAsia="宋体" w:cs="Times New Roman"/>
                <w:color w:val="auto"/>
                <w:kern w:val="2"/>
                <w:sz w:val="24"/>
                <w:szCs w:val="24"/>
                <w:lang w:val="en-US" w:eastAsia="zh-CN" w:bidi="ar"/>
              </w:rPr>
              <w:t>——声源在预测点产生的</w:t>
            </w:r>
            <w:r>
              <w:rPr>
                <w:rFonts w:hint="default" w:ascii="Times New Roman" w:hAnsi="Times New Roman" w:eastAsia="TimesNewRomanPSMT" w:cs="Times New Roman"/>
                <w:color w:val="auto"/>
                <w:kern w:val="2"/>
                <w:sz w:val="24"/>
                <w:szCs w:val="24"/>
                <w:lang w:val="en-US" w:eastAsia="zh-CN" w:bidi="ar"/>
              </w:rPr>
              <w:t xml:space="preserve">A </w:t>
            </w:r>
            <w:r>
              <w:rPr>
                <w:rFonts w:hint="default" w:ascii="Times New Roman" w:hAnsi="Times New Roman" w:eastAsia="宋体" w:cs="Times New Roman"/>
                <w:color w:val="auto"/>
                <w:kern w:val="2"/>
                <w:sz w:val="24"/>
                <w:szCs w:val="24"/>
                <w:lang w:val="en-US" w:eastAsia="zh-CN" w:bidi="ar"/>
              </w:rPr>
              <w:t>声级，</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宋体" w:cs="Times New Roman"/>
                <w:color w:val="auto"/>
                <w:kern w:val="2"/>
                <w:sz w:val="24"/>
                <w:szCs w:val="24"/>
                <w:lang w:val="en-US" w:eastAsia="zh-CN" w:bidi="ar"/>
              </w:rPr>
              <w:t>）；</w:t>
            </w:r>
          </w:p>
          <w:p w14:paraId="59712391">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T——预测计算的时间段，</w:t>
            </w:r>
            <w:r>
              <w:rPr>
                <w:rFonts w:hint="default" w:ascii="Times New Roman" w:hAnsi="Times New Roman" w:eastAsia="TimesNewRomanPSMT" w:cs="Times New Roman"/>
                <w:color w:val="auto"/>
                <w:kern w:val="2"/>
                <w:sz w:val="24"/>
                <w:szCs w:val="24"/>
                <w:lang w:val="en-US" w:eastAsia="zh-CN" w:bidi="ar"/>
              </w:rPr>
              <w:t>s</w:t>
            </w:r>
            <w:r>
              <w:rPr>
                <w:rFonts w:hint="default" w:ascii="Times New Roman" w:hAnsi="Times New Roman" w:eastAsia="宋体" w:cs="Times New Roman"/>
                <w:color w:val="auto"/>
                <w:kern w:val="2"/>
                <w:sz w:val="24"/>
                <w:szCs w:val="24"/>
                <w:lang w:val="en-US" w:eastAsia="zh-CN" w:bidi="ar"/>
              </w:rPr>
              <w:t>；</w:t>
            </w:r>
          </w:p>
          <w:p w14:paraId="4E5CA5C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 xml:space="preserve">      ti——</w:t>
            </w:r>
            <w:r>
              <w:rPr>
                <w:rFonts w:hint="default" w:ascii="Times New Roman" w:hAnsi="Times New Roman" w:eastAsia="TimesNewRomanPSMT" w:cs="Times New Roman"/>
                <w:color w:val="auto"/>
                <w:kern w:val="2"/>
                <w:sz w:val="24"/>
                <w:szCs w:val="24"/>
                <w:lang w:val="en-US" w:eastAsia="zh-CN" w:bidi="ar"/>
              </w:rPr>
              <w:t xml:space="preserve">i </w:t>
            </w:r>
            <w:r>
              <w:rPr>
                <w:rFonts w:hint="default" w:ascii="Times New Roman" w:hAnsi="Times New Roman" w:eastAsia="宋体" w:cs="Times New Roman"/>
                <w:color w:val="auto"/>
                <w:kern w:val="2"/>
                <w:sz w:val="24"/>
                <w:szCs w:val="24"/>
                <w:lang w:val="en-US" w:eastAsia="zh-CN" w:bidi="ar"/>
              </w:rPr>
              <w:t>声源在</w:t>
            </w:r>
            <w:r>
              <w:rPr>
                <w:rFonts w:hint="default" w:ascii="Times New Roman" w:hAnsi="Times New Roman" w:eastAsia="TimesNewRomanPSMT" w:cs="Times New Roman"/>
                <w:color w:val="auto"/>
                <w:kern w:val="2"/>
                <w:sz w:val="24"/>
                <w:szCs w:val="24"/>
                <w:lang w:val="en-US" w:eastAsia="zh-CN" w:bidi="ar"/>
              </w:rPr>
              <w:t xml:space="preserve">T </w:t>
            </w:r>
            <w:r>
              <w:rPr>
                <w:rFonts w:hint="default" w:ascii="Times New Roman" w:hAnsi="Times New Roman" w:eastAsia="宋体" w:cs="Times New Roman"/>
                <w:color w:val="auto"/>
                <w:kern w:val="2"/>
                <w:sz w:val="24"/>
                <w:szCs w:val="24"/>
                <w:lang w:val="en-US" w:eastAsia="zh-CN" w:bidi="ar"/>
              </w:rPr>
              <w:t>时段内的运行时间，</w:t>
            </w:r>
            <w:r>
              <w:rPr>
                <w:rFonts w:hint="default" w:ascii="Times New Roman" w:hAnsi="Times New Roman" w:eastAsia="TimesNewRomanPSMT" w:cs="Times New Roman"/>
                <w:color w:val="auto"/>
                <w:kern w:val="2"/>
                <w:sz w:val="24"/>
                <w:szCs w:val="24"/>
                <w:lang w:val="en-US" w:eastAsia="zh-CN" w:bidi="ar"/>
              </w:rPr>
              <w:t>s</w:t>
            </w:r>
            <w:r>
              <w:rPr>
                <w:rFonts w:hint="default" w:ascii="Times New Roman" w:hAnsi="Times New Roman" w:eastAsia="宋体" w:cs="Times New Roman"/>
                <w:color w:val="auto"/>
                <w:kern w:val="2"/>
                <w:sz w:val="24"/>
                <w:szCs w:val="24"/>
                <w:lang w:val="en-US" w:eastAsia="zh-CN" w:bidi="ar"/>
              </w:rPr>
              <w:t>。</w:t>
            </w:r>
          </w:p>
          <w:p w14:paraId="32521441">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③预测点的</w:t>
            </w: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宋体" w:cs="Times New Roman"/>
                <w:color w:val="auto"/>
                <w:kern w:val="2"/>
                <w:sz w:val="24"/>
                <w:szCs w:val="24"/>
                <w:lang w:val="en-US" w:eastAsia="zh-CN" w:bidi="ar"/>
              </w:rPr>
              <w:t>声级</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A</w:t>
            </w:r>
            <w:r>
              <w:rPr>
                <w:rFonts w:hint="default" w:ascii="Times New Roman" w:hAnsi="Times New Roman" w:eastAsia="宋体" w:cs="Times New Roman"/>
                <w:i/>
                <w:iCs/>
                <w:color w:val="auto"/>
                <w:kern w:val="2"/>
                <w:sz w:val="24"/>
                <w:szCs w:val="24"/>
                <w:lang w:val="en-US" w:eastAsia="zh-CN" w:bidi="ar"/>
              </w:rPr>
              <w:t>(r)</w:t>
            </w:r>
            <w:r>
              <w:rPr>
                <w:rFonts w:hint="default" w:ascii="Times New Roman" w:hAnsi="Times New Roman" w:eastAsia="TimesNewRomanPS-ItalicMT" w:cs="Times New Roman"/>
                <w:i/>
                <w:iCs w:val="0"/>
                <w:color w:val="auto"/>
                <w:kern w:val="2"/>
                <w:sz w:val="24"/>
                <w:szCs w:val="24"/>
                <w:lang w:val="en-US" w:eastAsia="zh-CN" w:bidi="ar"/>
              </w:rPr>
              <w:t xml:space="preserve"> </w:t>
            </w:r>
            <w:r>
              <w:rPr>
                <w:rFonts w:hint="default" w:ascii="Times New Roman" w:hAnsi="Times New Roman" w:eastAsia="宋体" w:cs="Times New Roman"/>
                <w:color w:val="auto"/>
                <w:kern w:val="2"/>
                <w:sz w:val="24"/>
                <w:szCs w:val="24"/>
                <w:lang w:val="en-US" w:eastAsia="zh-CN" w:bidi="ar"/>
              </w:rPr>
              <w:t>可按下式计算，即将</w:t>
            </w:r>
            <w:r>
              <w:rPr>
                <w:rFonts w:hint="default" w:ascii="Times New Roman" w:hAnsi="Times New Roman" w:eastAsia="TimesNewRomanPSMT" w:cs="Times New Roman"/>
                <w:color w:val="auto"/>
                <w:kern w:val="2"/>
                <w:sz w:val="24"/>
                <w:szCs w:val="24"/>
                <w:lang w:val="en-US" w:eastAsia="zh-CN" w:bidi="ar"/>
              </w:rPr>
              <w:t>8</w:t>
            </w:r>
            <w:r>
              <w:rPr>
                <w:rFonts w:hint="default" w:ascii="Times New Roman" w:hAnsi="Times New Roman" w:eastAsia="宋体" w:cs="Times New Roman"/>
                <w:color w:val="auto"/>
                <w:kern w:val="2"/>
                <w:sz w:val="24"/>
                <w:szCs w:val="24"/>
                <w:lang w:val="en-US" w:eastAsia="zh-CN" w:bidi="ar"/>
              </w:rPr>
              <w:t>个倍频带声压级合成，计算出预测点的</w:t>
            </w: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宋体" w:cs="Times New Roman"/>
                <w:color w:val="auto"/>
                <w:kern w:val="2"/>
                <w:sz w:val="24"/>
                <w:szCs w:val="24"/>
                <w:lang w:val="en-US" w:eastAsia="zh-CN" w:bidi="ar"/>
              </w:rPr>
              <w:t>声级</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A</w:t>
            </w:r>
            <w:r>
              <w:rPr>
                <w:rFonts w:hint="default" w:ascii="Times New Roman" w:hAnsi="Times New Roman" w:eastAsia="宋体" w:cs="Times New Roman"/>
                <w:i/>
                <w:iCs/>
                <w:color w:val="auto"/>
                <w:kern w:val="2"/>
                <w:sz w:val="24"/>
                <w:szCs w:val="24"/>
                <w:lang w:val="en-US" w:eastAsia="zh-CN" w:bidi="ar"/>
              </w:rPr>
              <w:t>(r)</w:t>
            </w:r>
            <w:r>
              <w:rPr>
                <w:rFonts w:hint="default" w:ascii="Times New Roman" w:hAnsi="Times New Roman" w:eastAsia="宋体" w:cs="Times New Roman"/>
                <w:color w:val="auto"/>
                <w:kern w:val="2"/>
                <w:sz w:val="24"/>
                <w:szCs w:val="24"/>
                <w:lang w:val="en-US" w:eastAsia="zh-CN" w:bidi="ar"/>
              </w:rPr>
              <w:t>：</w:t>
            </w:r>
          </w:p>
          <w:p w14:paraId="15CC3731">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1971675" cy="561975"/>
                  <wp:effectExtent l="0" t="0" r="9525" b="190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0"/>
                          <a:stretch>
                            <a:fillRect/>
                          </a:stretch>
                        </pic:blipFill>
                        <pic:spPr>
                          <a:xfrm>
                            <a:off x="0" y="0"/>
                            <a:ext cx="1971675" cy="561975"/>
                          </a:xfrm>
                          <a:prstGeom prst="rect">
                            <a:avLst/>
                          </a:prstGeom>
                          <a:noFill/>
                          <a:ln>
                            <a:noFill/>
                          </a:ln>
                        </pic:spPr>
                      </pic:pic>
                    </a:graphicData>
                  </a:graphic>
                </wp:inline>
              </w:drawing>
            </w:r>
          </w:p>
          <w:p w14:paraId="1B9C8486">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w:t>
            </w:r>
            <w:r>
              <w:rPr>
                <w:rFonts w:hint="default" w:ascii="Times New Roman" w:hAnsi="Times New Roman" w:eastAsia="宋体" w:cs="Times New Roman"/>
                <w:i/>
                <w:iCs/>
                <w:color w:val="auto"/>
                <w:kern w:val="2"/>
                <w:sz w:val="24"/>
                <w:szCs w:val="24"/>
                <w:lang w:val="en-US" w:eastAsia="zh-CN" w:bidi="ar"/>
              </w:rPr>
              <w:t>L</w:t>
            </w:r>
            <w:r>
              <w:rPr>
                <w:rFonts w:hint="default" w:ascii="Times New Roman" w:hAnsi="Times New Roman" w:eastAsia="宋体" w:cs="Times New Roman"/>
                <w:i/>
                <w:iCs/>
                <w:color w:val="auto"/>
                <w:kern w:val="2"/>
                <w:sz w:val="24"/>
                <w:szCs w:val="24"/>
                <w:vertAlign w:val="subscript"/>
                <w:lang w:val="en-US" w:eastAsia="zh-CN" w:bidi="ar"/>
              </w:rPr>
              <w:t>pr</w:t>
            </w:r>
            <w:r>
              <w:rPr>
                <w:rFonts w:hint="default" w:ascii="Times New Roman" w:hAnsi="Times New Roman" w:eastAsia="宋体" w:cs="Times New Roman"/>
                <w:i/>
                <w:iCs/>
                <w:color w:val="auto"/>
                <w:kern w:val="2"/>
                <w:sz w:val="24"/>
                <w:szCs w:val="24"/>
                <w:lang w:val="en-US" w:eastAsia="zh-CN" w:bidi="ar"/>
              </w:rPr>
              <w:t>(r)</w:t>
            </w:r>
            <w:r>
              <w:rPr>
                <w:rFonts w:hint="default" w:ascii="Times New Roman" w:hAnsi="Times New Roman" w:eastAsia="TimesNewRomanPS-ItalicMT" w:cs="Times New Roman"/>
                <w:i/>
                <w:iCs w:val="0"/>
                <w:color w:val="auto"/>
                <w:kern w:val="2"/>
                <w:sz w:val="25"/>
                <w:szCs w:val="24"/>
                <w:lang w:val="en-US" w:eastAsia="zh-CN" w:bidi="ar"/>
              </w:rPr>
              <w:t xml:space="preserve"> ——</w:t>
            </w:r>
            <w:r>
              <w:rPr>
                <w:rFonts w:hint="default" w:ascii="Times New Roman" w:hAnsi="Times New Roman" w:eastAsia="宋体" w:cs="Times New Roman"/>
                <w:color w:val="auto"/>
                <w:kern w:val="2"/>
                <w:sz w:val="24"/>
                <w:szCs w:val="24"/>
                <w:lang w:val="en-US" w:eastAsia="zh-CN" w:bidi="ar"/>
              </w:rPr>
              <w:t>预测点</w:t>
            </w:r>
            <w:r>
              <w:rPr>
                <w:rFonts w:hint="default" w:ascii="Times New Roman" w:hAnsi="Times New Roman" w:eastAsia="TimesNewRomanPSMT" w:cs="Times New Roman"/>
                <w:color w:val="auto"/>
                <w:kern w:val="2"/>
                <w:sz w:val="24"/>
                <w:szCs w:val="24"/>
                <w:lang w:val="en-US" w:eastAsia="zh-CN" w:bidi="ar"/>
              </w:rPr>
              <w:t xml:space="preserve">r </w:t>
            </w:r>
            <w:r>
              <w:rPr>
                <w:rFonts w:hint="default" w:ascii="Times New Roman" w:hAnsi="Times New Roman" w:eastAsia="宋体" w:cs="Times New Roman"/>
                <w:color w:val="auto"/>
                <w:kern w:val="2"/>
                <w:sz w:val="24"/>
                <w:szCs w:val="24"/>
                <w:lang w:val="en-US" w:eastAsia="zh-CN" w:bidi="ar"/>
              </w:rPr>
              <w:t>处，第</w:t>
            </w:r>
            <w:r>
              <w:rPr>
                <w:rFonts w:hint="default" w:ascii="Times New Roman" w:hAnsi="Times New Roman" w:eastAsia="TimesNewRomanPSMT" w:cs="Times New Roman"/>
                <w:color w:val="auto"/>
                <w:kern w:val="2"/>
                <w:sz w:val="24"/>
                <w:szCs w:val="24"/>
                <w:lang w:val="en-US" w:eastAsia="zh-CN" w:bidi="ar"/>
              </w:rPr>
              <w:t xml:space="preserve">i </w:t>
            </w:r>
            <w:r>
              <w:rPr>
                <w:rFonts w:hint="default" w:ascii="Times New Roman" w:hAnsi="Times New Roman" w:eastAsia="宋体" w:cs="Times New Roman"/>
                <w:color w:val="auto"/>
                <w:kern w:val="2"/>
                <w:sz w:val="24"/>
                <w:szCs w:val="24"/>
                <w:lang w:val="en-US" w:eastAsia="zh-CN" w:bidi="ar"/>
              </w:rPr>
              <w:t>倍频带声压级，</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336357E4">
            <w:pPr>
              <w:keepNext w:val="0"/>
              <w:keepLines w:val="0"/>
              <w:widowControl w:val="0"/>
              <w:suppressLineNumbers w:val="0"/>
              <w:spacing w:before="0" w:beforeAutospacing="0" w:after="0" w:afterAutospacing="0" w:line="360" w:lineRule="auto"/>
              <w:ind w:left="0" w:right="0" w:firstLine="30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ItalicMT" w:cs="Times New Roman"/>
                <w:i/>
                <w:iCs w:val="0"/>
                <w:color w:val="auto"/>
                <w:kern w:val="2"/>
                <w:sz w:val="15"/>
                <w:szCs w:val="24"/>
                <w:lang w:val="en-US" w:eastAsia="zh-CN" w:bidi="ar"/>
              </w:rPr>
              <w:t>△</w:t>
            </w:r>
            <w:r>
              <w:rPr>
                <w:rFonts w:hint="default" w:ascii="Times New Roman" w:hAnsi="Times New Roman" w:eastAsia="TimesNewRomanPS-ItalicMT" w:cs="Times New Roman"/>
                <w:i/>
                <w:iCs w:val="0"/>
                <w:color w:val="auto"/>
                <w:kern w:val="2"/>
                <w:sz w:val="26"/>
                <w:szCs w:val="24"/>
                <w:lang w:val="en-US" w:eastAsia="zh-CN" w:bidi="ar"/>
              </w:rPr>
              <w:t xml:space="preserve">Li </w:t>
            </w:r>
            <w:r>
              <w:rPr>
                <w:rFonts w:hint="default" w:ascii="Times New Roman" w:hAnsi="Times New Roman" w:eastAsia="TimesNewRomanPSMT"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 xml:space="preserve">第 </w:t>
            </w:r>
            <w:r>
              <w:rPr>
                <w:rFonts w:hint="default" w:ascii="Times New Roman" w:hAnsi="Times New Roman" w:eastAsia="TimesNewRomanPSMT" w:cs="Times New Roman"/>
                <w:color w:val="auto"/>
                <w:kern w:val="2"/>
                <w:sz w:val="24"/>
                <w:szCs w:val="24"/>
                <w:lang w:val="en-US" w:eastAsia="zh-CN" w:bidi="ar"/>
              </w:rPr>
              <w:t>i</w:t>
            </w:r>
            <w:r>
              <w:rPr>
                <w:rFonts w:hint="default" w:ascii="Times New Roman" w:hAnsi="Times New Roman" w:eastAsia="宋体" w:cs="Times New Roman"/>
                <w:color w:val="auto"/>
                <w:kern w:val="2"/>
                <w:sz w:val="24"/>
                <w:szCs w:val="24"/>
                <w:lang w:val="en-US" w:eastAsia="zh-CN" w:bidi="ar"/>
              </w:rPr>
              <w:t xml:space="preserve">倍频带的 </w:t>
            </w:r>
            <w:r>
              <w:rPr>
                <w:rFonts w:hint="default" w:ascii="Times New Roman" w:hAnsi="Times New Roman" w:eastAsia="TimesNewRomanPSMT" w:cs="Times New Roman"/>
                <w:color w:val="auto"/>
                <w:kern w:val="2"/>
                <w:sz w:val="24"/>
                <w:szCs w:val="24"/>
                <w:lang w:val="en-US" w:eastAsia="zh-CN" w:bidi="ar"/>
              </w:rPr>
              <w:t xml:space="preserve">A </w:t>
            </w:r>
            <w:r>
              <w:rPr>
                <w:rFonts w:hint="default" w:ascii="Times New Roman" w:hAnsi="Times New Roman" w:eastAsia="宋体" w:cs="Times New Roman"/>
                <w:color w:val="auto"/>
                <w:kern w:val="2"/>
                <w:sz w:val="24"/>
                <w:szCs w:val="24"/>
                <w:lang w:val="en-US" w:eastAsia="zh-CN" w:bidi="ar"/>
              </w:rPr>
              <w:t>计权网格修正值，</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5D8B962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④预测点</w:t>
            </w:r>
            <w:r>
              <w:rPr>
                <w:rFonts w:hint="default" w:ascii="Times New Roman" w:hAnsi="Times New Roman" w:eastAsia="TimesNewRomanPSMT" w:cs="Times New Roman"/>
                <w:color w:val="auto"/>
                <w:kern w:val="2"/>
                <w:sz w:val="24"/>
                <w:szCs w:val="24"/>
                <w:lang w:val="en-US" w:eastAsia="zh-CN" w:bidi="ar"/>
              </w:rPr>
              <w:t xml:space="preserve">8 </w:t>
            </w:r>
            <w:r>
              <w:rPr>
                <w:rFonts w:hint="default" w:ascii="Times New Roman" w:hAnsi="Times New Roman" w:eastAsia="宋体" w:cs="Times New Roman"/>
                <w:color w:val="auto"/>
                <w:kern w:val="2"/>
                <w:sz w:val="24"/>
                <w:szCs w:val="24"/>
                <w:lang w:val="en-US" w:eastAsia="zh-CN" w:bidi="ar"/>
              </w:rPr>
              <w:t>个倍频带声压级公式为：</w:t>
            </w:r>
          </w:p>
          <w:p w14:paraId="30FC6BA2">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3028950" cy="200025"/>
                  <wp:effectExtent l="0" t="0" r="3810" b="1333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1"/>
                          <a:stretch>
                            <a:fillRect/>
                          </a:stretch>
                        </pic:blipFill>
                        <pic:spPr>
                          <a:xfrm>
                            <a:off x="0" y="0"/>
                            <a:ext cx="3028950" cy="200025"/>
                          </a:xfrm>
                          <a:prstGeom prst="rect">
                            <a:avLst/>
                          </a:prstGeom>
                          <a:noFill/>
                          <a:ln>
                            <a:noFill/>
                          </a:ln>
                        </pic:spPr>
                      </pic:pic>
                    </a:graphicData>
                  </a:graphic>
                </wp:inline>
              </w:drawing>
            </w:r>
          </w:p>
          <w:p w14:paraId="04B88C43">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w:t>
            </w:r>
            <w:r>
              <w:rPr>
                <w:rFonts w:hint="default" w:ascii="Times New Roman" w:hAnsi="Times New Roman" w:eastAsia="TimesNewRomanPSMT" w:cs="Times New Roman"/>
                <w:color w:val="auto"/>
                <w:kern w:val="2"/>
                <w:sz w:val="24"/>
                <w:szCs w:val="24"/>
                <w:lang w:val="en-US" w:eastAsia="zh-CN" w:bidi="ar"/>
              </w:rPr>
              <w:t>L</w:t>
            </w:r>
            <w:r>
              <w:rPr>
                <w:rFonts w:hint="default" w:ascii="Times New Roman" w:hAnsi="Times New Roman" w:eastAsia="TimesNewRomanPSMT" w:cs="Times New Roman"/>
                <w:color w:val="auto"/>
                <w:kern w:val="2"/>
                <w:sz w:val="16"/>
                <w:szCs w:val="24"/>
                <w:lang w:val="en-US" w:eastAsia="zh-CN" w:bidi="ar"/>
              </w:rPr>
              <w:t>p</w:t>
            </w:r>
            <w:r>
              <w:rPr>
                <w:rFonts w:hint="default" w:ascii="Times New Roman" w:hAnsi="Times New Roman" w:eastAsia="TimesNewRomanPSMT" w:cs="Times New Roman"/>
                <w:color w:val="auto"/>
                <w:kern w:val="2"/>
                <w:sz w:val="24"/>
                <w:szCs w:val="24"/>
                <w:lang w:val="en-US" w:eastAsia="zh-CN" w:bidi="ar"/>
              </w:rPr>
              <w:t>(r)</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距离声源</w:t>
            </w:r>
            <w:r>
              <w:rPr>
                <w:rFonts w:hint="default" w:ascii="Times New Roman" w:hAnsi="Times New Roman" w:eastAsia="TimesNewRomanPSMT" w:cs="Times New Roman"/>
                <w:color w:val="auto"/>
                <w:kern w:val="2"/>
                <w:sz w:val="24"/>
                <w:szCs w:val="24"/>
                <w:lang w:val="en-US" w:eastAsia="zh-CN" w:bidi="ar"/>
              </w:rPr>
              <w:t xml:space="preserve">r </w:t>
            </w:r>
            <w:r>
              <w:rPr>
                <w:rFonts w:hint="default" w:ascii="Times New Roman" w:hAnsi="Times New Roman" w:eastAsia="宋体" w:cs="Times New Roman"/>
                <w:color w:val="auto"/>
                <w:kern w:val="2"/>
                <w:sz w:val="24"/>
                <w:szCs w:val="24"/>
                <w:lang w:val="en-US" w:eastAsia="zh-CN" w:bidi="ar"/>
              </w:rPr>
              <w:t>处的倍频带声压级，</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0D0EB45B">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Lp (r</w:t>
            </w:r>
            <w:r>
              <w:rPr>
                <w:rFonts w:hint="default" w:ascii="Times New Roman" w:hAnsi="Times New Roman" w:eastAsia="TimesNewRomanPSMT" w:cs="Times New Roman"/>
                <w:color w:val="auto"/>
                <w:kern w:val="2"/>
                <w:sz w:val="16"/>
                <w:szCs w:val="24"/>
                <w:lang w:val="en-US" w:eastAsia="zh-CN" w:bidi="ar"/>
              </w:rPr>
              <w:t>0</w:t>
            </w:r>
            <w:r>
              <w:rPr>
                <w:rFonts w:hint="default" w:ascii="Times New Roman" w:hAnsi="Times New Roman" w:eastAsia="TimesNewRomanPSMT" w:cs="Times New Roman"/>
                <w:color w:val="auto"/>
                <w:kern w:val="2"/>
                <w:sz w:val="24"/>
                <w:szCs w:val="24"/>
                <w:lang w:val="en-US" w:eastAsia="zh-CN" w:bidi="ar"/>
              </w:rPr>
              <w:t>)</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参考位置</w:t>
            </w:r>
            <w:r>
              <w:rPr>
                <w:rFonts w:hint="default" w:ascii="Times New Roman" w:hAnsi="Times New Roman" w:eastAsia="TimesNewRomanPSMT" w:cs="Times New Roman"/>
                <w:color w:val="auto"/>
                <w:kern w:val="2"/>
                <w:sz w:val="24"/>
                <w:szCs w:val="24"/>
                <w:lang w:val="en-US" w:eastAsia="zh-CN" w:bidi="ar"/>
              </w:rPr>
              <w:t>r</w:t>
            </w:r>
            <w:r>
              <w:rPr>
                <w:rFonts w:hint="default" w:ascii="Times New Roman" w:hAnsi="Times New Roman" w:eastAsia="TimesNewRomanPSMT" w:cs="Times New Roman"/>
                <w:color w:val="auto"/>
                <w:kern w:val="2"/>
                <w:sz w:val="16"/>
                <w:szCs w:val="24"/>
                <w:lang w:val="en-US" w:eastAsia="zh-CN" w:bidi="ar"/>
              </w:rPr>
              <w:t xml:space="preserve">0 </w:t>
            </w:r>
            <w:r>
              <w:rPr>
                <w:rFonts w:hint="default" w:ascii="Times New Roman" w:hAnsi="Times New Roman" w:eastAsia="宋体" w:cs="Times New Roman"/>
                <w:color w:val="auto"/>
                <w:kern w:val="2"/>
                <w:sz w:val="24"/>
                <w:szCs w:val="24"/>
                <w:lang w:val="en-US" w:eastAsia="zh-CN" w:bidi="ar"/>
              </w:rPr>
              <w:t>处的倍频带声压级，</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6AF77ECE">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div</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声波几何发散引起的倍频带衰减，</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23F419D1">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atm</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空气吸收引起的倍频带衰减，</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399F0510">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bar</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屏障引起的倍频带衰减，</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134AA537">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gr</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地面效应引起的倍频带衰减，</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7205AE0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TimesNewRomanPSMT" w:cs="Times New Roman"/>
                <w:color w:val="auto"/>
                <w:kern w:val="2"/>
                <w:sz w:val="16"/>
                <w:szCs w:val="24"/>
                <w:lang w:val="en-US" w:eastAsia="zh-CN" w:bidi="ar"/>
              </w:rPr>
              <w:t>misc</w:t>
            </w:r>
            <w:r>
              <w:rPr>
                <w:rFonts w:hint="default" w:ascii="Times New Roman" w:hAnsi="Times New Roman" w:eastAsia="TimesNewRomanPS-ItalicMT" w:cs="Times New Roman"/>
                <w:i/>
                <w:iCs w:val="0"/>
                <w:color w:val="auto"/>
                <w:kern w:val="2"/>
                <w:sz w:val="25"/>
                <w:szCs w:val="24"/>
                <w:lang w:val="en-US" w:eastAsia="zh-CN" w:bidi="ar"/>
              </w:rPr>
              <w:t>——</w:t>
            </w:r>
            <w:r>
              <w:rPr>
                <w:rFonts w:hint="default" w:ascii="Times New Roman" w:hAnsi="Times New Roman" w:eastAsia="宋体" w:cs="Times New Roman"/>
                <w:color w:val="auto"/>
                <w:kern w:val="2"/>
                <w:sz w:val="24"/>
                <w:szCs w:val="24"/>
                <w:lang w:val="en-US" w:eastAsia="zh-CN" w:bidi="ar"/>
              </w:rPr>
              <w:t>其他多方面效应引起的倍频带衰减，</w:t>
            </w:r>
            <w:r>
              <w:rPr>
                <w:rFonts w:hint="default" w:ascii="Times New Roman" w:hAnsi="Times New Roman" w:eastAsia="TimesNewRomanPSMT" w:cs="Times New Roman"/>
                <w:color w:val="auto"/>
                <w:kern w:val="2"/>
                <w:sz w:val="24"/>
                <w:szCs w:val="24"/>
                <w:lang w:val="en-US" w:eastAsia="zh-CN" w:bidi="ar"/>
              </w:rPr>
              <w:t>dB</w:t>
            </w:r>
            <w:r>
              <w:rPr>
                <w:rFonts w:hint="default" w:ascii="Times New Roman" w:hAnsi="Times New Roman" w:eastAsia="宋体" w:cs="Times New Roman"/>
                <w:color w:val="auto"/>
                <w:kern w:val="2"/>
                <w:sz w:val="24"/>
                <w:szCs w:val="24"/>
                <w:lang w:val="en-US" w:eastAsia="zh-CN" w:bidi="ar"/>
              </w:rPr>
              <w:t>；</w:t>
            </w:r>
          </w:p>
          <w:p w14:paraId="7670322B">
            <w:pPr>
              <w:keepNext w:val="0"/>
              <w:keepLines w:val="0"/>
              <w:widowControl w:val="0"/>
              <w:numPr>
                <w:ilvl w:val="0"/>
                <w:numId w:val="7"/>
              </w:numPr>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无指向性点声源几何发散衰减公式：</w:t>
            </w:r>
          </w:p>
          <w:p w14:paraId="6E61814A">
            <w:pPr>
              <w:keepNext w:val="0"/>
              <w:keepLines w:val="0"/>
              <w:widowControl w:val="0"/>
              <w:suppressLineNumbers w:val="0"/>
              <w:spacing w:before="0" w:beforeAutospacing="0" w:after="0" w:afterAutospacing="0" w:line="360" w:lineRule="auto"/>
              <w:ind w:left="0" w:right="0" w:firstLine="2880" w:firstLineChars="1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Adiv=20lg（r/r0）</w:t>
            </w:r>
          </w:p>
          <w:p w14:paraId="2E1FBF6D">
            <w:pPr>
              <w:keepNext w:val="0"/>
              <w:keepLines w:val="0"/>
              <w:widowControl w:val="0"/>
              <w:numPr>
                <w:ilvl w:val="0"/>
                <w:numId w:val="7"/>
              </w:numPr>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空气吸收引起的衰减</w:t>
            </w:r>
          </w:p>
          <w:p w14:paraId="15A32801">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1285875" cy="476250"/>
                  <wp:effectExtent l="0" t="0" r="9525" b="1143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2"/>
                          <a:stretch>
                            <a:fillRect/>
                          </a:stretch>
                        </pic:blipFill>
                        <pic:spPr>
                          <a:xfrm>
                            <a:off x="0" y="0"/>
                            <a:ext cx="1285875" cy="476250"/>
                          </a:xfrm>
                          <a:prstGeom prst="rect">
                            <a:avLst/>
                          </a:prstGeom>
                          <a:noFill/>
                          <a:ln>
                            <a:noFill/>
                          </a:ln>
                        </pic:spPr>
                      </pic:pic>
                    </a:graphicData>
                  </a:graphic>
                </wp:inline>
              </w:drawing>
            </w:r>
          </w:p>
          <w:p w14:paraId="52974680">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w:t>
            </w:r>
            <w:r>
              <w:rPr>
                <w:rFonts w:hint="default" w:ascii="Times New Roman" w:hAnsi="Times New Roman" w:eastAsia="TimesNewRomanPSMT" w:cs="Times New Roman"/>
                <w:color w:val="auto"/>
                <w:kern w:val="2"/>
                <w:sz w:val="24"/>
                <w:szCs w:val="24"/>
                <w:lang w:val="en-US" w:eastAsia="zh-CN" w:bidi="ar"/>
              </w:rPr>
              <w:t>a</w:t>
            </w:r>
            <w:r>
              <w:rPr>
                <w:rFonts w:hint="default" w:ascii="Times New Roman" w:hAnsi="Times New Roman" w:eastAsia="宋体" w:cs="Times New Roman"/>
                <w:color w:val="auto"/>
                <w:kern w:val="2"/>
                <w:sz w:val="24"/>
                <w:szCs w:val="24"/>
                <w:lang w:val="en-US" w:eastAsia="zh-CN" w:bidi="ar"/>
              </w:rPr>
              <w:t>为大气吸收衰减系统，为温度、湿度和声波频率的函数。</w:t>
            </w:r>
          </w:p>
          <w:p w14:paraId="27DBECAF">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地面效应衰减</w:t>
            </w:r>
          </w:p>
          <w:p w14:paraId="401F1551">
            <w:pPr>
              <w:keepNext w:val="0"/>
              <w:keepLines w:val="0"/>
              <w:widowControl w:val="0"/>
              <w:suppressLineNumbers w:val="0"/>
              <w:spacing w:before="0" w:beforeAutospacing="0" w:after="0" w:afterAutospacing="0" w:line="360" w:lineRule="auto"/>
              <w:ind w:left="420" w:leftChars="200" w:right="0"/>
              <w:jc w:val="center"/>
              <w:rPr>
                <w:rFonts w:hint="default" w:ascii="Times New Roman" w:hAnsi="Times New Roman" w:cs="Times New Roman"/>
                <w:color w:val="auto"/>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1962150" cy="419100"/>
                  <wp:effectExtent l="0" t="0" r="3810" b="762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3"/>
                          <a:stretch>
                            <a:fillRect/>
                          </a:stretch>
                        </pic:blipFill>
                        <pic:spPr>
                          <a:xfrm>
                            <a:off x="0" y="0"/>
                            <a:ext cx="1962150" cy="419100"/>
                          </a:xfrm>
                          <a:prstGeom prst="rect">
                            <a:avLst/>
                          </a:prstGeom>
                          <a:noFill/>
                          <a:ln>
                            <a:noFill/>
                          </a:ln>
                        </pic:spPr>
                      </pic:pic>
                    </a:graphicData>
                  </a:graphic>
                </wp:inline>
              </w:drawing>
            </w:r>
          </w:p>
          <w:p w14:paraId="32C5CF0D">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式中：</w:t>
            </w:r>
            <w:r>
              <w:rPr>
                <w:rFonts w:hint="default" w:ascii="Times New Roman" w:hAnsi="Times New Roman" w:eastAsia="TimesNewRomanPSMT" w:cs="Times New Roman"/>
                <w:color w:val="auto"/>
                <w:kern w:val="2"/>
                <w:sz w:val="24"/>
                <w:szCs w:val="24"/>
                <w:lang w:val="en-US" w:eastAsia="zh-CN" w:bidi="ar"/>
              </w:rPr>
              <w:t>r—</w:t>
            </w:r>
            <w:r>
              <w:rPr>
                <w:rFonts w:hint="default" w:ascii="Times New Roman" w:hAnsi="Times New Roman" w:eastAsia="宋体" w:cs="Times New Roman"/>
                <w:color w:val="auto"/>
                <w:kern w:val="2"/>
                <w:sz w:val="24"/>
                <w:szCs w:val="24"/>
                <w:lang w:val="en-US" w:eastAsia="zh-CN" w:bidi="ar"/>
              </w:rPr>
              <w:t>声源到预测点的距离，</w:t>
            </w:r>
            <w:r>
              <w:rPr>
                <w:rFonts w:hint="default" w:ascii="Times New Roman" w:hAnsi="Times New Roman" w:eastAsia="TimesNewRomanPSMT"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lang w:val="en-US" w:eastAsia="zh-CN" w:bidi="ar"/>
              </w:rPr>
              <w:t>；</w:t>
            </w:r>
          </w:p>
          <w:p w14:paraId="3022C977">
            <w:pPr>
              <w:keepNext w:val="0"/>
              <w:keepLines w:val="0"/>
              <w:widowControl w:val="0"/>
              <w:suppressLineNumbers w:val="0"/>
              <w:spacing w:before="0" w:beforeAutospacing="0" w:after="0" w:afterAutospacing="0" w:line="360" w:lineRule="auto"/>
              <w:ind w:left="420" w:leftChars="200" w:right="0"/>
              <w:jc w:val="both"/>
              <w:rPr>
                <w:rFonts w:hint="default" w:ascii="Times New Roman" w:hAnsi="Times New Roman" w:cs="Times New Roman"/>
                <w:color w:val="auto"/>
                <w:sz w:val="24"/>
                <w:szCs w:val="24"/>
                <w:lang w:val="en-US"/>
              </w:rPr>
            </w:pPr>
            <w:r>
              <w:rPr>
                <w:rFonts w:hint="default" w:ascii="Times New Roman" w:hAnsi="Times New Roman" w:eastAsia="TimesNewRomanPSMT" w:cs="Times New Roman"/>
                <w:color w:val="auto"/>
                <w:kern w:val="2"/>
                <w:sz w:val="24"/>
                <w:szCs w:val="24"/>
                <w:lang w:val="en-US" w:eastAsia="zh-CN" w:bidi="ar"/>
              </w:rPr>
              <w:t>H</w:t>
            </w:r>
            <w:r>
              <w:rPr>
                <w:rFonts w:hint="default" w:ascii="Times New Roman" w:hAnsi="Times New Roman" w:eastAsia="TimesNewRomanPSMT" w:cs="Times New Roman"/>
                <w:color w:val="auto"/>
                <w:kern w:val="2"/>
                <w:sz w:val="16"/>
                <w:szCs w:val="24"/>
                <w:lang w:val="en-US" w:eastAsia="zh-CN" w:bidi="ar"/>
              </w:rPr>
              <w:t>m</w:t>
            </w:r>
            <w:r>
              <w:rPr>
                <w:rFonts w:hint="default" w:ascii="Times New Roman" w:hAnsi="Times New Roman" w:eastAsia="TimesNewRomanPSMT"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传播路径的平均离地高度，</w:t>
            </w:r>
            <w:r>
              <w:rPr>
                <w:rFonts w:hint="default" w:ascii="Times New Roman" w:hAnsi="Times New Roman" w:eastAsia="TimesNewRomanPSMT"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lang w:val="en-US" w:eastAsia="zh-CN" w:bidi="ar"/>
              </w:rPr>
              <w:t>。</w:t>
            </w:r>
          </w:p>
          <w:p w14:paraId="563E2178">
            <w:pPr>
              <w:keepNext w:val="0"/>
              <w:keepLines w:val="0"/>
              <w:widowControl w:val="0"/>
              <w:numPr>
                <w:ilvl w:val="0"/>
                <w:numId w:val="7"/>
              </w:numPr>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4"/>
                <w:szCs w:val="24"/>
                <w:lang w:val="en-US" w:eastAsia="zh-CN" w:bidi="ar"/>
              </w:rPr>
              <w:t>屏障引起的衰减</w:t>
            </w:r>
          </w:p>
          <w:p w14:paraId="47CB9EBD">
            <w:pPr>
              <w:keepNext w:val="0"/>
              <w:keepLines w:val="0"/>
              <w:widowControl w:val="0"/>
              <w:suppressLineNumbers w:val="0"/>
              <w:spacing w:before="0" w:beforeAutospacing="0" w:after="0" w:afterAutospacing="0" w:line="360" w:lineRule="auto"/>
              <w:ind w:left="420" w:leftChars="200" w:right="0"/>
              <w:jc w:val="center"/>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2"/>
                <w:sz w:val="21"/>
                <w:szCs w:val="24"/>
                <w:lang w:val="en-US" w:eastAsia="zh-CN" w:bidi="ar"/>
              </w:rPr>
              <w:drawing>
                <wp:inline distT="0" distB="0" distL="114300" distR="114300">
                  <wp:extent cx="2581275" cy="381000"/>
                  <wp:effectExtent l="0" t="0" r="9525"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2581275" cy="381000"/>
                          </a:xfrm>
                          <a:prstGeom prst="rect">
                            <a:avLst/>
                          </a:prstGeom>
                          <a:noFill/>
                          <a:ln>
                            <a:noFill/>
                          </a:ln>
                        </pic:spPr>
                      </pic:pic>
                    </a:graphicData>
                  </a:graphic>
                </wp:inline>
              </w:drawing>
            </w:r>
          </w:p>
          <w:p w14:paraId="63E8F260">
            <w:pPr>
              <w:keepNext w:val="0"/>
              <w:keepLines w:val="0"/>
              <w:widowControl/>
              <w:suppressLineNumbers w:val="0"/>
              <w:spacing w:before="0" w:beforeAutospacing="0" w:after="0" w:afterAutospacing="0"/>
              <w:ind w:left="0" w:right="0" w:firstLine="240" w:firstLineChars="100"/>
              <w:jc w:val="left"/>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
              </w:rPr>
              <w:t>2）项目噪声源源强调查清单</w:t>
            </w:r>
          </w:p>
          <w:p w14:paraId="4FD590F0">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工业企业噪声室内声源源强调查清单</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8"/>
              <w:gridCol w:w="405"/>
              <w:gridCol w:w="851"/>
              <w:gridCol w:w="676"/>
              <w:gridCol w:w="1142"/>
              <w:gridCol w:w="1016"/>
              <w:gridCol w:w="721"/>
              <w:gridCol w:w="643"/>
              <w:gridCol w:w="423"/>
              <w:gridCol w:w="618"/>
              <w:gridCol w:w="993"/>
            </w:tblGrid>
            <w:tr w14:paraId="5FE7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9" w:hRule="atLeast"/>
                <w:jc w:val="center"/>
              </w:trPr>
              <w:tc>
                <w:tcPr>
                  <w:tcW w:w="44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E148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序号</w:t>
                  </w:r>
                </w:p>
              </w:tc>
              <w:tc>
                <w:tcPr>
                  <w:tcW w:w="4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1B5A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建筑物名称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866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声源名称</w:t>
                  </w:r>
                </w:p>
              </w:tc>
              <w:tc>
                <w:tcPr>
                  <w:tcW w:w="6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912C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型号</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36314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声源源强</w:t>
                  </w:r>
                </w:p>
              </w:tc>
              <w:tc>
                <w:tcPr>
                  <w:tcW w:w="10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31A1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声源控制措施</w:t>
                  </w:r>
                </w:p>
              </w:tc>
              <w:tc>
                <w:tcPr>
                  <w:tcW w:w="178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11B77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相对位置/m</w:t>
                  </w:r>
                  <w:r>
                    <w:rPr>
                      <w:rFonts w:hint="default" w:ascii="Times New Roman" w:hAnsi="Times New Roman" w:eastAsia="宋体" w:cs="Times New Roman"/>
                      <w:b/>
                      <w:bCs/>
                      <w:color w:val="auto"/>
                      <w:kern w:val="2"/>
                      <w:sz w:val="21"/>
                      <w:szCs w:val="24"/>
                      <w:lang w:val="en-US" w:eastAsia="zh-CN" w:bidi="ar"/>
                    </w:rPr>
                    <w:t>原点位于项目区中心</w:t>
                  </w:r>
                </w:p>
              </w:tc>
              <w:tc>
                <w:tcPr>
                  <w:tcW w:w="6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6EF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运行时段h</w:t>
                  </w:r>
                </w:p>
                <w:p w14:paraId="3111D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26B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建筑物插入损失/dB（A）</w:t>
                  </w:r>
                </w:p>
              </w:tc>
            </w:tr>
            <w:tr w14:paraId="5FB4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4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4659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4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662D0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C7AF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6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C4D4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39D1A1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声功率级/dB（A）</w:t>
                  </w:r>
                </w:p>
              </w:tc>
              <w:tc>
                <w:tcPr>
                  <w:tcW w:w="10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391A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2FF214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X</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4C030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Y</w:t>
                  </w:r>
                </w:p>
              </w:tc>
              <w:tc>
                <w:tcPr>
                  <w:tcW w:w="423" w:type="dxa"/>
                  <w:tcBorders>
                    <w:top w:val="single" w:color="auto" w:sz="4" w:space="0"/>
                    <w:left w:val="single" w:color="auto" w:sz="4" w:space="0"/>
                    <w:bottom w:val="single" w:color="auto" w:sz="4" w:space="0"/>
                    <w:right w:val="single" w:color="auto" w:sz="4" w:space="0"/>
                  </w:tcBorders>
                  <w:shd w:val="clear" w:color="auto" w:fill="auto"/>
                  <w:vAlign w:val="center"/>
                </w:tcPr>
                <w:p w14:paraId="339834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Z</w:t>
                  </w:r>
                </w:p>
              </w:tc>
              <w:tc>
                <w:tcPr>
                  <w:tcW w:w="6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51F2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8FC66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r>
            <w:tr w14:paraId="290D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14:paraId="5A992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7" w:leftChars="-51" w:right="-107" w:rightChars="-51"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color w:val="auto"/>
                      <w:kern w:val="2"/>
                      <w:sz w:val="21"/>
                      <w:szCs w:val="21"/>
                      <w:lang w:val="en-US" w:eastAsia="zh-CN" w:bidi="ar"/>
                    </w:rPr>
                    <w:t>1</w:t>
                  </w:r>
                </w:p>
              </w:tc>
              <w:tc>
                <w:tcPr>
                  <w:tcW w:w="4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472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Cs w:val="21"/>
                      <w:lang w:val="en-US" w:eastAsia="zh-CN"/>
                    </w:rPr>
                  </w:pPr>
                  <w:r>
                    <w:rPr>
                      <w:rFonts w:hint="default" w:ascii="Times New Roman" w:hAnsi="Times New Roman" w:cs="Times New Roman"/>
                      <w:lang w:val="en-US"/>
                    </w:rPr>
                    <w:t>渗滤液处理厂</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11A933A">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eastAsia="zh-CN"/>
                    </w:rPr>
                    <w:t>水泵</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0E075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b/>
                      <w:bCs w:val="0"/>
                      <w:color w:val="auto"/>
                      <w:kern w:val="2"/>
                      <w:sz w:val="21"/>
                      <w:szCs w:val="21"/>
                      <w:lang w:val="en-US" w:eastAsia="zh-CN" w:bidi="ar"/>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47504E0B">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val="en-US" w:eastAsia="zh-CN"/>
                    </w:rPr>
                    <w:t>60-70</w:t>
                  </w:r>
                </w:p>
              </w:tc>
              <w:tc>
                <w:tcPr>
                  <w:tcW w:w="1016" w:type="dxa"/>
                  <w:vMerge w:val="restart"/>
                  <w:tcBorders>
                    <w:top w:val="single" w:color="auto" w:sz="4" w:space="0"/>
                    <w:left w:val="single" w:color="auto" w:sz="4" w:space="0"/>
                    <w:right w:val="single" w:color="auto" w:sz="4" w:space="0"/>
                  </w:tcBorders>
                  <w:shd w:val="clear" w:color="auto" w:fill="auto"/>
                  <w:vAlign w:val="center"/>
                </w:tcPr>
                <w:p w14:paraId="36ACA3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color w:val="auto"/>
                      <w:kern w:val="2"/>
                      <w:sz w:val="21"/>
                      <w:szCs w:val="21"/>
                      <w:lang w:val="en-US" w:eastAsia="zh-CN" w:bidi="ar"/>
                    </w:rPr>
                    <w:t>基础减震、厂房隔声、风机安装消音器、距离衰减（削减值取15~20dB(A)</w:t>
                  </w: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7844EF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40</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C065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31.1</w:t>
                  </w:r>
                </w:p>
              </w:tc>
              <w:tc>
                <w:tcPr>
                  <w:tcW w:w="423" w:type="dxa"/>
                  <w:tcBorders>
                    <w:top w:val="single" w:color="auto" w:sz="4" w:space="0"/>
                    <w:left w:val="single" w:color="auto" w:sz="4" w:space="0"/>
                    <w:bottom w:val="single" w:color="auto" w:sz="4" w:space="0"/>
                    <w:right w:val="single" w:color="auto" w:sz="4" w:space="0"/>
                  </w:tcBorders>
                  <w:shd w:val="clear" w:color="auto" w:fill="auto"/>
                  <w:vAlign w:val="center"/>
                </w:tcPr>
                <w:p w14:paraId="21FB8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18" w:type="dxa"/>
                  <w:vMerge w:val="restart"/>
                  <w:tcBorders>
                    <w:top w:val="single" w:color="auto" w:sz="4" w:space="0"/>
                    <w:left w:val="single" w:color="auto" w:sz="4" w:space="0"/>
                    <w:right w:val="single" w:color="auto" w:sz="4" w:space="0"/>
                  </w:tcBorders>
                  <w:shd w:val="clear" w:color="auto" w:fill="auto"/>
                  <w:vAlign w:val="center"/>
                </w:tcPr>
                <w:p w14:paraId="3C4FD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cs="Times New Roman"/>
                      <w:bCs/>
                      <w:color w:val="auto"/>
                      <w:kern w:val="2"/>
                      <w:sz w:val="21"/>
                      <w:szCs w:val="21"/>
                      <w:lang w:val="en-US" w:eastAsia="zh-CN" w:bidi="ar"/>
                    </w:rPr>
                    <w:t>8</w:t>
                  </w:r>
                  <w:r>
                    <w:rPr>
                      <w:rFonts w:hint="default" w:ascii="Times New Roman" w:hAnsi="Times New Roman" w:eastAsia="宋体" w:cs="Times New Roman"/>
                      <w:bCs/>
                      <w:color w:val="auto"/>
                      <w:kern w:val="2"/>
                      <w:sz w:val="21"/>
                      <w:szCs w:val="21"/>
                      <w:lang w:val="en-US" w:eastAsia="zh-CN" w:bidi="ar"/>
                    </w:rPr>
                    <w:t>h</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64BBF5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14:paraId="636F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14:paraId="19987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7" w:leftChars="-51" w:right="-107" w:rightChars="-51"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color w:val="auto"/>
                      <w:kern w:val="2"/>
                      <w:sz w:val="21"/>
                      <w:szCs w:val="21"/>
                      <w:lang w:val="en-US" w:eastAsia="zh-CN" w:bidi="ar"/>
                    </w:rPr>
                    <w:t>2</w:t>
                  </w:r>
                </w:p>
              </w:tc>
              <w:tc>
                <w:tcPr>
                  <w:tcW w:w="4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95B8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FAD6608">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eastAsia="zh-CN"/>
                    </w:rPr>
                    <w:t>风机</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3A44F0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Cs w:val="21"/>
                      <w:lang w:val="en-US" w:eastAsia="zh-CN"/>
                    </w:rPr>
                  </w:pPr>
                  <w:r>
                    <w:rPr>
                      <w:rFonts w:hint="default" w:ascii="Times New Roman" w:hAnsi="Times New Roman" w:cs="Times New Roman"/>
                      <w:b/>
                      <w:bCs w:val="0"/>
                      <w:color w:val="auto"/>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692BEF48">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val="en-US" w:eastAsia="zh-CN"/>
                    </w:rPr>
                    <w:t>70-85</w:t>
                  </w:r>
                </w:p>
              </w:tc>
              <w:tc>
                <w:tcPr>
                  <w:tcW w:w="1016" w:type="dxa"/>
                  <w:vMerge w:val="continue"/>
                  <w:tcBorders>
                    <w:left w:val="single" w:color="auto" w:sz="4" w:space="0"/>
                    <w:right w:val="single" w:color="auto" w:sz="4" w:space="0"/>
                  </w:tcBorders>
                  <w:shd w:val="clear" w:color="auto" w:fill="auto"/>
                  <w:vAlign w:val="center"/>
                </w:tcPr>
                <w:p w14:paraId="472C9E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2112DE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12.5</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ED34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-26.8</w:t>
                  </w:r>
                </w:p>
              </w:tc>
              <w:tc>
                <w:tcPr>
                  <w:tcW w:w="423" w:type="dxa"/>
                  <w:tcBorders>
                    <w:top w:val="single" w:color="auto" w:sz="4" w:space="0"/>
                    <w:left w:val="single" w:color="auto" w:sz="4" w:space="0"/>
                    <w:bottom w:val="single" w:color="auto" w:sz="4" w:space="0"/>
                    <w:right w:val="single" w:color="auto" w:sz="4" w:space="0"/>
                  </w:tcBorders>
                  <w:shd w:val="clear" w:color="auto" w:fill="auto"/>
                  <w:vAlign w:val="center"/>
                </w:tcPr>
                <w:p w14:paraId="4BD1D3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18" w:type="dxa"/>
                  <w:vMerge w:val="continue"/>
                  <w:tcBorders>
                    <w:left w:val="single" w:color="auto" w:sz="4" w:space="0"/>
                    <w:right w:val="single" w:color="auto" w:sz="4" w:space="0"/>
                  </w:tcBorders>
                  <w:shd w:val="clear" w:color="auto" w:fill="auto"/>
                  <w:vAlign w:val="center"/>
                </w:tcPr>
                <w:p w14:paraId="0D3C9E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F04B9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14:paraId="2EE2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14:paraId="43A45D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7" w:leftChars="-51" w:right="-107" w:rightChars="-51"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color w:val="auto"/>
                      <w:kern w:val="2"/>
                      <w:sz w:val="21"/>
                      <w:szCs w:val="21"/>
                      <w:lang w:val="en-US" w:eastAsia="zh-CN" w:bidi="ar"/>
                    </w:rPr>
                    <w:t>3</w:t>
                  </w:r>
                </w:p>
              </w:tc>
              <w:tc>
                <w:tcPr>
                  <w:tcW w:w="4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769C2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4106F52">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eastAsia="zh-CN"/>
                    </w:rPr>
                    <w:t>搅拌机</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78C1A0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Cs w:val="21"/>
                      <w:lang w:val="en-US" w:eastAsia="zh-CN"/>
                    </w:rPr>
                  </w:pPr>
                  <w:r>
                    <w:rPr>
                      <w:rFonts w:hint="default" w:ascii="Times New Roman" w:hAnsi="Times New Roman" w:cs="Times New Roman"/>
                      <w:b/>
                      <w:bCs w:val="0"/>
                      <w:color w:val="auto"/>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2E3B7F46">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val="en-US" w:eastAsia="zh-CN"/>
                    </w:rPr>
                    <w:t>65-75</w:t>
                  </w:r>
                </w:p>
              </w:tc>
              <w:tc>
                <w:tcPr>
                  <w:tcW w:w="1016" w:type="dxa"/>
                  <w:vMerge w:val="continue"/>
                  <w:tcBorders>
                    <w:left w:val="single" w:color="auto" w:sz="4" w:space="0"/>
                    <w:right w:val="single" w:color="auto" w:sz="4" w:space="0"/>
                  </w:tcBorders>
                  <w:shd w:val="clear" w:color="auto" w:fill="auto"/>
                  <w:vAlign w:val="center"/>
                </w:tcPr>
                <w:p w14:paraId="722AA3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66B6B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26.6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9B4F0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5</w:t>
                  </w:r>
                </w:p>
              </w:tc>
              <w:tc>
                <w:tcPr>
                  <w:tcW w:w="423" w:type="dxa"/>
                  <w:tcBorders>
                    <w:top w:val="single" w:color="auto" w:sz="4" w:space="0"/>
                    <w:left w:val="single" w:color="auto" w:sz="4" w:space="0"/>
                    <w:bottom w:val="single" w:color="auto" w:sz="4" w:space="0"/>
                    <w:right w:val="single" w:color="auto" w:sz="4" w:space="0"/>
                  </w:tcBorders>
                  <w:shd w:val="clear" w:color="auto" w:fill="auto"/>
                  <w:vAlign w:val="center"/>
                </w:tcPr>
                <w:p w14:paraId="425C3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18" w:type="dxa"/>
                  <w:vMerge w:val="continue"/>
                  <w:tcBorders>
                    <w:left w:val="single" w:color="auto" w:sz="4" w:space="0"/>
                    <w:right w:val="single" w:color="auto" w:sz="4" w:space="0"/>
                  </w:tcBorders>
                  <w:shd w:val="clear" w:color="auto" w:fill="auto"/>
                  <w:vAlign w:val="center"/>
                </w:tcPr>
                <w:p w14:paraId="61007ED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1F399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r w14:paraId="103C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8" w:type="dxa"/>
                  <w:tcBorders>
                    <w:top w:val="single" w:color="auto" w:sz="4" w:space="0"/>
                    <w:left w:val="single" w:color="auto" w:sz="4" w:space="0"/>
                    <w:bottom w:val="single" w:color="auto" w:sz="4" w:space="0"/>
                    <w:right w:val="single" w:color="auto" w:sz="4" w:space="0"/>
                  </w:tcBorders>
                  <w:shd w:val="clear" w:color="auto" w:fill="auto"/>
                  <w:vAlign w:val="center"/>
                </w:tcPr>
                <w:p w14:paraId="1E8209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07" w:leftChars="-51" w:right="-107" w:rightChars="-51" w:firstLine="0" w:firstLineChars="0"/>
                    <w:jc w:val="center"/>
                    <w:textAlignment w:val="auto"/>
                    <w:rPr>
                      <w:rFonts w:hint="default" w:ascii="Times New Roman" w:hAnsi="Times New Roman" w:cs="Times New Roman"/>
                      <w:b/>
                      <w:bCs w:val="0"/>
                      <w:color w:val="auto"/>
                      <w:szCs w:val="21"/>
                      <w:lang w:val="en-US"/>
                    </w:rPr>
                  </w:pPr>
                  <w:r>
                    <w:rPr>
                      <w:rFonts w:hint="default" w:ascii="Times New Roman" w:hAnsi="Times New Roman" w:eastAsia="宋体" w:cs="Times New Roman"/>
                      <w:color w:val="auto"/>
                      <w:kern w:val="2"/>
                      <w:sz w:val="21"/>
                      <w:szCs w:val="21"/>
                      <w:lang w:val="en-US" w:eastAsia="zh-CN" w:bidi="ar"/>
                    </w:rPr>
                    <w:t>4</w:t>
                  </w:r>
                </w:p>
              </w:tc>
              <w:tc>
                <w:tcPr>
                  <w:tcW w:w="40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4BE9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D0FD99B">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eastAsia="zh-CN"/>
                    </w:rPr>
                    <w:t>压滤机</w:t>
                  </w:r>
                </w:p>
              </w:tc>
              <w:tc>
                <w:tcPr>
                  <w:tcW w:w="676" w:type="dxa"/>
                  <w:tcBorders>
                    <w:top w:val="single" w:color="auto" w:sz="4" w:space="0"/>
                    <w:left w:val="single" w:color="auto" w:sz="4" w:space="0"/>
                    <w:bottom w:val="single" w:color="auto" w:sz="4" w:space="0"/>
                    <w:right w:val="single" w:color="auto" w:sz="4" w:space="0"/>
                  </w:tcBorders>
                  <w:shd w:val="clear" w:color="auto" w:fill="auto"/>
                  <w:vAlign w:val="center"/>
                </w:tcPr>
                <w:p w14:paraId="2B344A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Cs w:val="21"/>
                      <w:lang w:val="en-US" w:eastAsia="zh-CN"/>
                    </w:rPr>
                  </w:pPr>
                  <w:r>
                    <w:rPr>
                      <w:rFonts w:hint="default" w:ascii="Times New Roman" w:hAnsi="Times New Roman" w:cs="Times New Roman"/>
                      <w:b/>
                      <w:bCs w:val="0"/>
                      <w:color w:val="auto"/>
                      <w:szCs w:val="21"/>
                      <w:lang w:val="en-US" w:eastAsia="zh-CN"/>
                    </w:rPr>
                    <w:t>/</w:t>
                  </w:r>
                </w:p>
              </w:tc>
              <w:tc>
                <w:tcPr>
                  <w:tcW w:w="1142" w:type="dxa"/>
                  <w:tcBorders>
                    <w:top w:val="single" w:color="auto" w:sz="4" w:space="0"/>
                    <w:left w:val="single" w:color="auto" w:sz="4" w:space="0"/>
                    <w:bottom w:val="single" w:color="auto" w:sz="4" w:space="0"/>
                    <w:right w:val="single" w:color="auto" w:sz="4" w:space="0"/>
                  </w:tcBorders>
                  <w:shd w:val="clear" w:color="auto" w:fill="auto"/>
                  <w:vAlign w:val="center"/>
                </w:tcPr>
                <w:p w14:paraId="0C640F0F">
                  <w:pPr>
                    <w:pStyle w:val="71"/>
                    <w:bidi w:val="0"/>
                    <w:rPr>
                      <w:rFonts w:hint="default" w:ascii="Times New Roman" w:hAnsi="Times New Roman" w:cs="Times New Roman"/>
                      <w:b/>
                      <w:bCs w:val="0"/>
                      <w:color w:val="auto"/>
                      <w:sz w:val="21"/>
                      <w:szCs w:val="21"/>
                      <w:lang w:val="en-US"/>
                    </w:rPr>
                  </w:pPr>
                  <w:r>
                    <w:rPr>
                      <w:rFonts w:hint="default" w:ascii="Times New Roman" w:hAnsi="Times New Roman" w:cs="Times New Roman"/>
                      <w:lang w:val="en-US" w:eastAsia="zh-CN"/>
                    </w:rPr>
                    <w:t>70-80</w:t>
                  </w:r>
                </w:p>
              </w:tc>
              <w:tc>
                <w:tcPr>
                  <w:tcW w:w="1016" w:type="dxa"/>
                  <w:vMerge w:val="continue"/>
                  <w:tcBorders>
                    <w:left w:val="single" w:color="auto" w:sz="4" w:space="0"/>
                    <w:right w:val="single" w:color="auto" w:sz="4" w:space="0"/>
                  </w:tcBorders>
                  <w:shd w:val="clear" w:color="auto" w:fill="auto"/>
                  <w:vAlign w:val="center"/>
                </w:tcPr>
                <w:p w14:paraId="310DD3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18E211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29.4</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C8C3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eastAsia="宋体" w:cs="Times New Roman"/>
                      <w:bCs/>
                      <w:color w:val="auto"/>
                      <w:kern w:val="2"/>
                      <w:sz w:val="21"/>
                      <w:szCs w:val="21"/>
                      <w:lang w:val="en-US" w:eastAsia="zh-CN" w:bidi="ar"/>
                    </w:rPr>
                    <w:t>-26.2</w:t>
                  </w:r>
                </w:p>
              </w:tc>
              <w:tc>
                <w:tcPr>
                  <w:tcW w:w="423" w:type="dxa"/>
                  <w:tcBorders>
                    <w:top w:val="single" w:color="auto" w:sz="4" w:space="0"/>
                    <w:left w:val="single" w:color="auto" w:sz="4" w:space="0"/>
                    <w:bottom w:val="single" w:color="auto" w:sz="4" w:space="0"/>
                    <w:right w:val="single" w:color="auto" w:sz="4" w:space="0"/>
                  </w:tcBorders>
                  <w:shd w:val="clear" w:color="auto" w:fill="auto"/>
                  <w:vAlign w:val="center"/>
                </w:tcPr>
                <w:p w14:paraId="33728D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1</w:t>
                  </w:r>
                </w:p>
              </w:tc>
              <w:tc>
                <w:tcPr>
                  <w:tcW w:w="618" w:type="dxa"/>
                  <w:vMerge w:val="continue"/>
                  <w:tcBorders>
                    <w:left w:val="single" w:color="auto" w:sz="4" w:space="0"/>
                    <w:right w:val="single" w:color="auto" w:sz="4" w:space="0"/>
                  </w:tcBorders>
                  <w:shd w:val="clear" w:color="auto" w:fill="auto"/>
                  <w:vAlign w:val="center"/>
                </w:tcPr>
                <w:p w14:paraId="4742BD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AF3AB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Cs w:val="21"/>
                      <w:lang w:val="en-US"/>
                    </w:rPr>
                  </w:pPr>
                  <w:r>
                    <w:rPr>
                      <w:rFonts w:hint="default" w:ascii="Times New Roman" w:hAnsi="Times New Roman" w:eastAsia="宋体" w:cs="Times New Roman"/>
                      <w:bCs/>
                      <w:color w:val="auto"/>
                      <w:kern w:val="2"/>
                      <w:sz w:val="21"/>
                      <w:szCs w:val="21"/>
                      <w:lang w:val="en-US" w:eastAsia="zh-CN" w:bidi="ar"/>
                    </w:rPr>
                    <w:t>20</w:t>
                  </w:r>
                </w:p>
              </w:tc>
            </w:tr>
          </w:tbl>
          <w:p w14:paraId="49E1A074">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3）预测范围及预测点</w:t>
            </w:r>
          </w:p>
          <w:p w14:paraId="2E2CFE44">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厂界外50m范无声环境保护目标，本次环评噪声预测主要对项目区厂界噪声进行预测。</w:t>
            </w:r>
          </w:p>
          <w:p w14:paraId="6976599A">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4）预测结果及评价</w:t>
            </w:r>
          </w:p>
          <w:p w14:paraId="364EC911">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本次声环境影响评价使用“噪声环境评价系统（OnlineV4）”软件进行预测。项目工作制度为8小时，本环评对项目运营期昼间进行预测。本项目厂界噪声排放贡献值预测结果见表4-1</w:t>
            </w:r>
            <w:r>
              <w:rPr>
                <w:rFonts w:hint="eastAsia" w:ascii="Times New Roman" w:hAnsi="Times New Roman" w:cs="Times New Roman"/>
                <w:lang w:val="en-US" w:eastAsia="zh-CN"/>
              </w:rPr>
              <w:t>6</w:t>
            </w:r>
            <w:r>
              <w:rPr>
                <w:rFonts w:hint="default" w:ascii="Times New Roman" w:hAnsi="Times New Roman" w:cs="Times New Roman"/>
                <w:lang w:val="en-US" w:eastAsia="zh-CN"/>
              </w:rPr>
              <w:t>。</w:t>
            </w:r>
          </w:p>
          <w:p w14:paraId="7B90536B">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ascii="Times New Roman" w:hAnsi="Times New Roman" w:cs="Times New Roman"/>
                <w:lang w:val="en-US" w:eastAsia="zh-CN"/>
              </w:rPr>
              <w:t>6</w:t>
            </w:r>
            <w:r>
              <w:rPr>
                <w:rFonts w:hint="default" w:ascii="Times New Roman" w:hAnsi="Times New Roman" w:cs="Times New Roman"/>
                <w:lang w:val="en-US" w:eastAsia="zh-CN"/>
              </w:rPr>
              <w:t xml:space="preserve">   各噪声源在厂界处的贡献值</w:t>
            </w:r>
          </w:p>
          <w:tbl>
            <w:tblPr>
              <w:tblStyle w:val="27"/>
              <w:tblW w:w="7996" w:type="dxa"/>
              <w:tblInd w:w="-1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251"/>
              <w:gridCol w:w="972"/>
              <w:gridCol w:w="965"/>
              <w:gridCol w:w="958"/>
              <w:gridCol w:w="972"/>
              <w:gridCol w:w="973"/>
              <w:gridCol w:w="958"/>
              <w:gridCol w:w="947"/>
            </w:tblGrid>
            <w:tr w14:paraId="1A7222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58" w:hRule="atLeast"/>
              </w:trPr>
              <w:tc>
                <w:tcPr>
                  <w:tcW w:w="125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1150C511">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预测方位</w:t>
                  </w:r>
                </w:p>
              </w:tc>
              <w:tc>
                <w:tcPr>
                  <w:tcW w:w="2895" w:type="dxa"/>
                  <w:gridSpan w:val="3"/>
                  <w:tcBorders>
                    <w:top w:val="single" w:color="auto" w:sz="2" w:space="0"/>
                    <w:left w:val="single" w:color="auto" w:sz="2" w:space="0"/>
                    <w:bottom w:val="single" w:color="auto" w:sz="4" w:space="0"/>
                    <w:right w:val="single" w:color="auto" w:sz="2" w:space="0"/>
                  </w:tcBorders>
                  <w:shd w:val="clear" w:color="auto" w:fill="auto"/>
                  <w:vAlign w:val="center"/>
                </w:tcPr>
                <w:p w14:paraId="5572F533">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相对位置/m</w:t>
                  </w:r>
                </w:p>
              </w:tc>
              <w:tc>
                <w:tcPr>
                  <w:tcW w:w="972"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6F6F43D0">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时段</w:t>
                  </w:r>
                </w:p>
              </w:tc>
              <w:tc>
                <w:tcPr>
                  <w:tcW w:w="973"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3C848259">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贡献值（dB（A）</w:t>
                  </w:r>
                </w:p>
              </w:tc>
              <w:tc>
                <w:tcPr>
                  <w:tcW w:w="958"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5E44EF49">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标准限值（dB（A）</w:t>
                  </w:r>
                </w:p>
              </w:tc>
              <w:tc>
                <w:tcPr>
                  <w:tcW w:w="947"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034D9BDD">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达标情况</w:t>
                  </w:r>
                </w:p>
              </w:tc>
            </w:tr>
            <w:tr w14:paraId="3D83F1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9" w:hRule="atLeast"/>
              </w:trPr>
              <w:tc>
                <w:tcPr>
                  <w:tcW w:w="12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48A4D0D0">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p>
              </w:tc>
              <w:tc>
                <w:tcPr>
                  <w:tcW w:w="972" w:type="dxa"/>
                  <w:tcBorders>
                    <w:top w:val="single" w:color="auto" w:sz="4" w:space="0"/>
                    <w:left w:val="single" w:color="auto" w:sz="2" w:space="0"/>
                    <w:bottom w:val="single" w:color="auto" w:sz="2" w:space="0"/>
                    <w:right w:val="single" w:color="auto" w:sz="2" w:space="0"/>
                  </w:tcBorders>
                  <w:shd w:val="clear" w:color="auto" w:fill="auto"/>
                  <w:vAlign w:val="center"/>
                </w:tcPr>
                <w:p w14:paraId="095E6015">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965" w:type="dxa"/>
                  <w:tcBorders>
                    <w:top w:val="single" w:color="auto" w:sz="4" w:space="0"/>
                    <w:left w:val="single" w:color="auto" w:sz="2" w:space="0"/>
                    <w:bottom w:val="single" w:color="auto" w:sz="2" w:space="0"/>
                    <w:right w:val="single" w:color="auto" w:sz="2" w:space="0"/>
                  </w:tcBorders>
                  <w:shd w:val="clear" w:color="auto" w:fill="auto"/>
                  <w:vAlign w:val="center"/>
                </w:tcPr>
                <w:p w14:paraId="2BE4CB2B">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958" w:type="dxa"/>
                  <w:tcBorders>
                    <w:top w:val="single" w:color="auto" w:sz="4" w:space="0"/>
                    <w:left w:val="single" w:color="auto" w:sz="2" w:space="0"/>
                    <w:bottom w:val="single" w:color="auto" w:sz="2" w:space="0"/>
                    <w:right w:val="single" w:color="auto" w:sz="2" w:space="0"/>
                  </w:tcBorders>
                  <w:shd w:val="clear" w:color="auto" w:fill="auto"/>
                  <w:vAlign w:val="center"/>
                </w:tcPr>
                <w:p w14:paraId="4C42AA77">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972"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4970FA6">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p>
              </w:tc>
              <w:tc>
                <w:tcPr>
                  <w:tcW w:w="973"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9820629">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p>
              </w:tc>
              <w:tc>
                <w:tcPr>
                  <w:tcW w:w="958"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C0EDBF9">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p>
              </w:tc>
              <w:tc>
                <w:tcPr>
                  <w:tcW w:w="947"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19C33641">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p>
              </w:tc>
            </w:tr>
            <w:tr w14:paraId="51798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58" w:hRule="atLeast"/>
              </w:trPr>
              <w:tc>
                <w:tcPr>
                  <w:tcW w:w="1251" w:type="dxa"/>
                  <w:tcBorders>
                    <w:top w:val="single" w:color="auto" w:sz="2" w:space="0"/>
                    <w:left w:val="single" w:color="auto" w:sz="2" w:space="0"/>
                    <w:bottom w:val="single" w:color="auto" w:sz="2" w:space="0"/>
                    <w:right w:val="single" w:color="auto" w:sz="2" w:space="0"/>
                  </w:tcBorders>
                  <w:shd w:val="clear" w:color="auto" w:fill="auto"/>
                  <w:vAlign w:val="center"/>
                </w:tcPr>
                <w:p w14:paraId="53737D0C">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西边界</w:t>
                  </w:r>
                </w:p>
              </w:tc>
              <w:tc>
                <w:tcPr>
                  <w:tcW w:w="972" w:type="dxa"/>
                  <w:tcBorders>
                    <w:top w:val="single" w:color="auto" w:sz="2" w:space="0"/>
                    <w:left w:val="single" w:color="auto" w:sz="2" w:space="0"/>
                    <w:bottom w:val="single" w:color="auto" w:sz="2" w:space="0"/>
                    <w:right w:val="single" w:color="auto" w:sz="2" w:space="0"/>
                  </w:tcBorders>
                  <w:shd w:val="clear" w:color="auto" w:fill="auto"/>
                  <w:vAlign w:val="center"/>
                </w:tcPr>
                <w:p w14:paraId="4C14B380">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60.4</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3445BBC4">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-22.9</w:t>
                  </w:r>
                </w:p>
              </w:tc>
              <w:tc>
                <w:tcPr>
                  <w:tcW w:w="958" w:type="dxa"/>
                  <w:tcBorders>
                    <w:top w:val="single" w:color="auto" w:sz="2" w:space="0"/>
                    <w:left w:val="single" w:color="auto" w:sz="2" w:space="0"/>
                    <w:bottom w:val="single" w:color="auto" w:sz="2" w:space="0"/>
                    <w:right w:val="single" w:color="auto" w:sz="2" w:space="0"/>
                  </w:tcBorders>
                  <w:shd w:val="clear" w:color="auto" w:fill="auto"/>
                  <w:vAlign w:val="center"/>
                </w:tcPr>
                <w:p w14:paraId="5D160F6C">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72" w:type="dxa"/>
                  <w:tcBorders>
                    <w:top w:val="single" w:color="auto" w:sz="2" w:space="0"/>
                    <w:left w:val="single" w:color="auto" w:sz="2" w:space="0"/>
                    <w:bottom w:val="single" w:color="auto" w:sz="4" w:space="0"/>
                    <w:right w:val="single" w:color="auto" w:sz="2" w:space="0"/>
                  </w:tcBorders>
                  <w:shd w:val="clear" w:color="auto" w:fill="auto"/>
                  <w:vAlign w:val="center"/>
                </w:tcPr>
                <w:p w14:paraId="7F94CE26">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973" w:type="dxa"/>
                  <w:tcBorders>
                    <w:top w:val="single" w:color="auto" w:sz="2" w:space="0"/>
                    <w:left w:val="single" w:color="auto" w:sz="2" w:space="0"/>
                    <w:bottom w:val="single" w:color="auto" w:sz="2" w:space="0"/>
                    <w:right w:val="single" w:color="auto" w:sz="2" w:space="0"/>
                  </w:tcBorders>
                  <w:shd w:val="clear" w:color="auto" w:fill="auto"/>
                  <w:vAlign w:val="center"/>
                </w:tcPr>
                <w:p w14:paraId="51149F31">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46.9</w:t>
                  </w:r>
                </w:p>
              </w:tc>
              <w:tc>
                <w:tcPr>
                  <w:tcW w:w="958" w:type="dxa"/>
                  <w:tcBorders>
                    <w:top w:val="single" w:color="auto" w:sz="2" w:space="0"/>
                    <w:left w:val="single" w:color="auto" w:sz="2" w:space="0"/>
                    <w:bottom w:val="single" w:color="auto" w:sz="4" w:space="0"/>
                    <w:right w:val="single" w:color="auto" w:sz="2" w:space="0"/>
                  </w:tcBorders>
                  <w:shd w:val="clear" w:color="auto" w:fill="auto"/>
                  <w:vAlign w:val="center"/>
                </w:tcPr>
                <w:p w14:paraId="5518DD45">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947" w:type="dxa"/>
                  <w:tcBorders>
                    <w:top w:val="single" w:color="auto" w:sz="2" w:space="0"/>
                    <w:left w:val="single" w:color="auto" w:sz="2" w:space="0"/>
                    <w:bottom w:val="single" w:color="auto" w:sz="2" w:space="0"/>
                    <w:right w:val="single" w:color="auto" w:sz="2" w:space="0"/>
                  </w:tcBorders>
                  <w:shd w:val="clear" w:color="auto" w:fill="auto"/>
                  <w:vAlign w:val="center"/>
                </w:tcPr>
                <w:p w14:paraId="20965868">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6E0E6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3" w:hRule="atLeast"/>
              </w:trPr>
              <w:tc>
                <w:tcPr>
                  <w:tcW w:w="1251" w:type="dxa"/>
                  <w:tcBorders>
                    <w:top w:val="single" w:color="auto" w:sz="2" w:space="0"/>
                    <w:left w:val="single" w:color="auto" w:sz="2" w:space="0"/>
                    <w:bottom w:val="single" w:color="auto" w:sz="2" w:space="0"/>
                    <w:right w:val="single" w:color="auto" w:sz="2" w:space="0"/>
                  </w:tcBorders>
                  <w:shd w:val="clear" w:color="auto" w:fill="auto"/>
                  <w:vAlign w:val="center"/>
                </w:tcPr>
                <w:p w14:paraId="21A785D0">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东边界</w:t>
                  </w:r>
                </w:p>
              </w:tc>
              <w:tc>
                <w:tcPr>
                  <w:tcW w:w="972" w:type="dxa"/>
                  <w:tcBorders>
                    <w:top w:val="single" w:color="auto" w:sz="2" w:space="0"/>
                    <w:left w:val="single" w:color="auto" w:sz="2" w:space="0"/>
                    <w:bottom w:val="single" w:color="auto" w:sz="2" w:space="0"/>
                    <w:right w:val="single" w:color="auto" w:sz="2" w:space="0"/>
                  </w:tcBorders>
                  <w:shd w:val="clear" w:color="auto" w:fill="auto"/>
                  <w:vAlign w:val="center"/>
                </w:tcPr>
                <w:p w14:paraId="5B5D271B">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30.9</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3CBDBF35">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-51</w:t>
                  </w:r>
                </w:p>
              </w:tc>
              <w:tc>
                <w:tcPr>
                  <w:tcW w:w="958" w:type="dxa"/>
                  <w:tcBorders>
                    <w:top w:val="single" w:color="auto" w:sz="2" w:space="0"/>
                    <w:left w:val="single" w:color="auto" w:sz="2" w:space="0"/>
                    <w:bottom w:val="single" w:color="auto" w:sz="2" w:space="0"/>
                    <w:right w:val="single" w:color="auto" w:sz="2" w:space="0"/>
                  </w:tcBorders>
                  <w:shd w:val="clear" w:color="auto" w:fill="auto"/>
                  <w:vAlign w:val="center"/>
                </w:tcPr>
                <w:p w14:paraId="6D4CFFF1">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72" w:type="dxa"/>
                  <w:tcBorders>
                    <w:top w:val="single" w:color="auto" w:sz="2" w:space="0"/>
                    <w:left w:val="single" w:color="auto" w:sz="2" w:space="0"/>
                    <w:bottom w:val="single" w:color="auto" w:sz="4" w:space="0"/>
                    <w:right w:val="single" w:color="auto" w:sz="2" w:space="0"/>
                  </w:tcBorders>
                  <w:shd w:val="clear" w:color="auto" w:fill="auto"/>
                  <w:vAlign w:val="center"/>
                </w:tcPr>
                <w:p w14:paraId="3B216008">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973" w:type="dxa"/>
                  <w:tcBorders>
                    <w:top w:val="single" w:color="auto" w:sz="2" w:space="0"/>
                    <w:left w:val="single" w:color="auto" w:sz="2" w:space="0"/>
                    <w:bottom w:val="single" w:color="auto" w:sz="2" w:space="0"/>
                    <w:right w:val="single" w:color="auto" w:sz="2" w:space="0"/>
                  </w:tcBorders>
                  <w:shd w:val="clear" w:color="auto" w:fill="auto"/>
                  <w:vAlign w:val="center"/>
                </w:tcPr>
                <w:p w14:paraId="7467136D">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46.7</w:t>
                  </w:r>
                </w:p>
              </w:tc>
              <w:tc>
                <w:tcPr>
                  <w:tcW w:w="958" w:type="dxa"/>
                  <w:tcBorders>
                    <w:top w:val="single" w:color="auto" w:sz="2" w:space="0"/>
                    <w:left w:val="single" w:color="auto" w:sz="2" w:space="0"/>
                    <w:bottom w:val="single" w:color="auto" w:sz="4" w:space="0"/>
                    <w:right w:val="single" w:color="auto" w:sz="2" w:space="0"/>
                  </w:tcBorders>
                  <w:shd w:val="clear" w:color="auto" w:fill="auto"/>
                  <w:vAlign w:val="center"/>
                </w:tcPr>
                <w:p w14:paraId="54247C39">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947" w:type="dxa"/>
                  <w:tcBorders>
                    <w:top w:val="single" w:color="auto" w:sz="2" w:space="0"/>
                    <w:left w:val="single" w:color="auto" w:sz="2" w:space="0"/>
                    <w:bottom w:val="single" w:color="auto" w:sz="2" w:space="0"/>
                    <w:right w:val="single" w:color="auto" w:sz="2" w:space="0"/>
                  </w:tcBorders>
                  <w:shd w:val="clear" w:color="auto" w:fill="auto"/>
                  <w:vAlign w:val="center"/>
                </w:tcPr>
                <w:p w14:paraId="1DE00282">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15597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trPr>
              <w:tc>
                <w:tcPr>
                  <w:tcW w:w="1251" w:type="dxa"/>
                  <w:tcBorders>
                    <w:top w:val="single" w:color="auto" w:sz="2" w:space="0"/>
                    <w:left w:val="single" w:color="auto" w:sz="2" w:space="0"/>
                    <w:bottom w:val="single" w:color="auto" w:sz="2" w:space="0"/>
                    <w:right w:val="single" w:color="auto" w:sz="2" w:space="0"/>
                  </w:tcBorders>
                  <w:shd w:val="clear" w:color="auto" w:fill="auto"/>
                  <w:vAlign w:val="center"/>
                </w:tcPr>
                <w:p w14:paraId="6B6734AC">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南边界</w:t>
                  </w:r>
                </w:p>
              </w:tc>
              <w:tc>
                <w:tcPr>
                  <w:tcW w:w="972" w:type="dxa"/>
                  <w:tcBorders>
                    <w:top w:val="single" w:color="auto" w:sz="2" w:space="0"/>
                    <w:left w:val="single" w:color="auto" w:sz="2" w:space="0"/>
                    <w:bottom w:val="single" w:color="auto" w:sz="2" w:space="0"/>
                    <w:right w:val="single" w:color="auto" w:sz="2" w:space="0"/>
                  </w:tcBorders>
                  <w:shd w:val="clear" w:color="auto" w:fill="auto"/>
                  <w:vAlign w:val="center"/>
                </w:tcPr>
                <w:p w14:paraId="41C18E22">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-30.6</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691EEB58">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27.8</w:t>
                  </w:r>
                </w:p>
              </w:tc>
              <w:tc>
                <w:tcPr>
                  <w:tcW w:w="958" w:type="dxa"/>
                  <w:tcBorders>
                    <w:top w:val="single" w:color="auto" w:sz="2" w:space="0"/>
                    <w:left w:val="single" w:color="auto" w:sz="2" w:space="0"/>
                    <w:bottom w:val="single" w:color="auto" w:sz="2" w:space="0"/>
                    <w:right w:val="single" w:color="auto" w:sz="2" w:space="0"/>
                  </w:tcBorders>
                  <w:shd w:val="clear" w:color="auto" w:fill="auto"/>
                  <w:vAlign w:val="center"/>
                </w:tcPr>
                <w:p w14:paraId="340DB2D2">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72" w:type="dxa"/>
                  <w:tcBorders>
                    <w:top w:val="single" w:color="auto" w:sz="2" w:space="0"/>
                    <w:left w:val="single" w:color="auto" w:sz="2" w:space="0"/>
                    <w:bottom w:val="single" w:color="auto" w:sz="4" w:space="0"/>
                    <w:right w:val="single" w:color="auto" w:sz="2" w:space="0"/>
                  </w:tcBorders>
                  <w:shd w:val="clear" w:color="auto" w:fill="auto"/>
                  <w:vAlign w:val="center"/>
                </w:tcPr>
                <w:p w14:paraId="4B19D7BF">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973" w:type="dxa"/>
                  <w:tcBorders>
                    <w:top w:val="single" w:color="auto" w:sz="2" w:space="0"/>
                    <w:left w:val="single" w:color="auto" w:sz="2" w:space="0"/>
                    <w:bottom w:val="single" w:color="auto" w:sz="2" w:space="0"/>
                    <w:right w:val="single" w:color="auto" w:sz="2" w:space="0"/>
                  </w:tcBorders>
                  <w:shd w:val="clear" w:color="auto" w:fill="auto"/>
                  <w:vAlign w:val="center"/>
                </w:tcPr>
                <w:p w14:paraId="28A798F1">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44</w:t>
                  </w:r>
                </w:p>
              </w:tc>
              <w:tc>
                <w:tcPr>
                  <w:tcW w:w="958" w:type="dxa"/>
                  <w:tcBorders>
                    <w:top w:val="single" w:color="auto" w:sz="2" w:space="0"/>
                    <w:left w:val="single" w:color="auto" w:sz="2" w:space="0"/>
                    <w:bottom w:val="single" w:color="auto" w:sz="4" w:space="0"/>
                    <w:right w:val="single" w:color="auto" w:sz="2" w:space="0"/>
                  </w:tcBorders>
                  <w:shd w:val="clear" w:color="auto" w:fill="auto"/>
                  <w:vAlign w:val="center"/>
                </w:tcPr>
                <w:p w14:paraId="40933786">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947" w:type="dxa"/>
                  <w:tcBorders>
                    <w:top w:val="single" w:color="auto" w:sz="2" w:space="0"/>
                    <w:left w:val="single" w:color="auto" w:sz="2" w:space="0"/>
                    <w:bottom w:val="single" w:color="auto" w:sz="2" w:space="0"/>
                    <w:right w:val="single" w:color="auto" w:sz="2" w:space="0"/>
                  </w:tcBorders>
                  <w:shd w:val="clear" w:color="auto" w:fill="auto"/>
                  <w:vAlign w:val="center"/>
                </w:tcPr>
                <w:p w14:paraId="217F6F5A">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r w14:paraId="30B6F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trPr>
              <w:tc>
                <w:tcPr>
                  <w:tcW w:w="1251" w:type="dxa"/>
                  <w:tcBorders>
                    <w:top w:val="single" w:color="auto" w:sz="2" w:space="0"/>
                    <w:left w:val="single" w:color="auto" w:sz="2" w:space="0"/>
                    <w:bottom w:val="single" w:color="auto" w:sz="2" w:space="0"/>
                    <w:right w:val="single" w:color="auto" w:sz="2" w:space="0"/>
                  </w:tcBorders>
                  <w:shd w:val="clear" w:color="auto" w:fill="auto"/>
                  <w:vAlign w:val="center"/>
                </w:tcPr>
                <w:p w14:paraId="5A6EDDC5">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北边界</w:t>
                  </w:r>
                </w:p>
              </w:tc>
              <w:tc>
                <w:tcPr>
                  <w:tcW w:w="972" w:type="dxa"/>
                  <w:tcBorders>
                    <w:top w:val="single" w:color="auto" w:sz="2" w:space="0"/>
                    <w:left w:val="single" w:color="auto" w:sz="2" w:space="0"/>
                    <w:bottom w:val="single" w:color="auto" w:sz="2" w:space="0"/>
                    <w:right w:val="single" w:color="auto" w:sz="2" w:space="0"/>
                  </w:tcBorders>
                  <w:shd w:val="clear" w:color="auto" w:fill="auto"/>
                  <w:vAlign w:val="center"/>
                </w:tcPr>
                <w:p w14:paraId="32E4131A">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965" w:type="dxa"/>
                  <w:tcBorders>
                    <w:top w:val="single" w:color="auto" w:sz="2" w:space="0"/>
                    <w:left w:val="single" w:color="auto" w:sz="2" w:space="0"/>
                    <w:bottom w:val="single" w:color="auto" w:sz="2" w:space="0"/>
                    <w:right w:val="single" w:color="auto" w:sz="2" w:space="0"/>
                  </w:tcBorders>
                  <w:shd w:val="clear" w:color="auto" w:fill="auto"/>
                  <w:vAlign w:val="center"/>
                </w:tcPr>
                <w:p w14:paraId="26EE4C7C">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50.1</w:t>
                  </w:r>
                </w:p>
              </w:tc>
              <w:tc>
                <w:tcPr>
                  <w:tcW w:w="958" w:type="dxa"/>
                  <w:tcBorders>
                    <w:top w:val="single" w:color="auto" w:sz="2" w:space="0"/>
                    <w:left w:val="single" w:color="auto" w:sz="2" w:space="0"/>
                    <w:bottom w:val="single" w:color="auto" w:sz="2" w:space="0"/>
                    <w:right w:val="single" w:color="auto" w:sz="2" w:space="0"/>
                  </w:tcBorders>
                  <w:shd w:val="clear" w:color="auto" w:fill="auto"/>
                  <w:vAlign w:val="center"/>
                </w:tcPr>
                <w:p w14:paraId="3FBCB114">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72" w:type="dxa"/>
                  <w:tcBorders>
                    <w:top w:val="single" w:color="auto" w:sz="2" w:space="0"/>
                    <w:left w:val="single" w:color="auto" w:sz="2" w:space="0"/>
                    <w:bottom w:val="single" w:color="auto" w:sz="4" w:space="0"/>
                    <w:right w:val="single" w:color="auto" w:sz="2" w:space="0"/>
                  </w:tcBorders>
                  <w:shd w:val="clear" w:color="auto" w:fill="auto"/>
                  <w:vAlign w:val="center"/>
                </w:tcPr>
                <w:p w14:paraId="167DF03B">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973" w:type="dxa"/>
                  <w:tcBorders>
                    <w:top w:val="single" w:color="auto" w:sz="2" w:space="0"/>
                    <w:left w:val="single" w:color="auto" w:sz="2" w:space="0"/>
                    <w:bottom w:val="single" w:color="auto" w:sz="2" w:space="0"/>
                    <w:right w:val="single" w:color="auto" w:sz="2" w:space="0"/>
                  </w:tcBorders>
                  <w:shd w:val="clear" w:color="auto" w:fill="auto"/>
                  <w:vAlign w:val="center"/>
                </w:tcPr>
                <w:p w14:paraId="59ADCAC5">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46.5</w:t>
                  </w:r>
                </w:p>
              </w:tc>
              <w:tc>
                <w:tcPr>
                  <w:tcW w:w="958" w:type="dxa"/>
                  <w:tcBorders>
                    <w:top w:val="single" w:color="auto" w:sz="4" w:space="0"/>
                    <w:left w:val="single" w:color="auto" w:sz="2" w:space="0"/>
                    <w:bottom w:val="single" w:color="auto" w:sz="4" w:space="0"/>
                    <w:right w:val="single" w:color="auto" w:sz="2" w:space="0"/>
                  </w:tcBorders>
                  <w:shd w:val="clear" w:color="auto" w:fill="auto"/>
                  <w:vAlign w:val="center"/>
                </w:tcPr>
                <w:p w14:paraId="69DB77F6">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947" w:type="dxa"/>
                  <w:tcBorders>
                    <w:top w:val="single" w:color="auto" w:sz="2" w:space="0"/>
                    <w:left w:val="single" w:color="auto" w:sz="2" w:space="0"/>
                    <w:bottom w:val="single" w:color="auto" w:sz="2" w:space="0"/>
                    <w:right w:val="single" w:color="auto" w:sz="2" w:space="0"/>
                  </w:tcBorders>
                  <w:shd w:val="clear" w:color="auto" w:fill="auto"/>
                  <w:vAlign w:val="center"/>
                </w:tcPr>
                <w:p w14:paraId="2D6457E9">
                  <w:pPr>
                    <w:pStyle w:val="6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达标</w:t>
                  </w:r>
                </w:p>
              </w:tc>
            </w:tr>
          </w:tbl>
          <w:p w14:paraId="730D02E5">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根据上表可知，运营期各设备噪声源在厂界处的噪声贡献值均可达《工业企业厂界环境噪声排放标准》（GB12348-2008）2类标准要求（昼间≤60dB（A），夜间≤50dB（A）。运营期噪声排放对项目区周围声环境影响小。</w:t>
            </w:r>
          </w:p>
          <w:p w14:paraId="40E057F7">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（2）声环境保护措施：</w:t>
            </w:r>
          </w:p>
          <w:p w14:paraId="243418E9">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1）加强设备的维护与保养，建立设备定期维护、保养的管理制度，防止设备故障形成的非正常生产噪声。</w:t>
            </w:r>
          </w:p>
          <w:p w14:paraId="7E46F074">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2）设备的安装采用减振处理，设备的固定要防止共振。在满足工艺生产条件前提下，尽可能选用低噪声设备，对高噪声的动力噪声源设置隔声罩、进气口加装消声器。</w:t>
            </w:r>
          </w:p>
          <w:p w14:paraId="2989C799">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（3）小结</w:t>
            </w:r>
          </w:p>
          <w:p w14:paraId="1FDB751C">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通过采取以上噪声治理措施后，有效降低项目生产过程中设备噪声对周边声环境的影响。厂界噪声经预测能够达到《工业企业厂界环境噪声排放标准》（GB12348-2008）2类标准，噪声治理措施有效可行，对周围环境及保护目标的影响较小。</w:t>
            </w:r>
          </w:p>
          <w:p w14:paraId="7F8642E5">
            <w:pPr>
              <w:pStyle w:val="3"/>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监测要求</w:t>
            </w:r>
          </w:p>
          <w:p w14:paraId="111E3858">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表4-1</w:t>
            </w:r>
            <w:r>
              <w:rPr>
                <w:rFonts w:hint="eastAsia" w:ascii="Times New Roman" w:hAnsi="Times New Roman" w:cs="Times New Roman"/>
                <w:lang w:val="en-US" w:eastAsia="zh-CN"/>
              </w:rPr>
              <w:t>7</w:t>
            </w:r>
            <w:r>
              <w:rPr>
                <w:rFonts w:hint="default" w:ascii="Times New Roman" w:hAnsi="Times New Roman" w:cs="Times New Roman"/>
                <w:lang w:val="en-US" w:eastAsia="zh-CN"/>
              </w:rPr>
              <w:t>建设项目噪声监测要求</w:t>
            </w:r>
          </w:p>
          <w:tbl>
            <w:tblPr>
              <w:tblStyle w:val="27"/>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0"/>
              <w:gridCol w:w="2869"/>
              <w:gridCol w:w="2133"/>
              <w:gridCol w:w="1565"/>
            </w:tblGrid>
            <w:tr w14:paraId="679A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op w:val="single" w:color="auto" w:sz="4" w:space="0"/>
                    <w:left w:val="single" w:color="auto" w:sz="4" w:space="0"/>
                    <w:bottom w:val="single" w:color="auto" w:sz="4" w:space="0"/>
                    <w:right w:val="single" w:color="auto" w:sz="4" w:space="0"/>
                  </w:tcBorders>
                  <w:noWrap w:val="0"/>
                  <w:vAlign w:val="center"/>
                </w:tcPr>
                <w:p w14:paraId="70FDDF1D">
                  <w:pPr>
                    <w:pStyle w:val="71"/>
                    <w:rPr>
                      <w:rFonts w:hint="default" w:ascii="Times New Roman" w:hAnsi="Times New Roman" w:cs="Times New Roman"/>
                    </w:rPr>
                  </w:pPr>
                  <w:r>
                    <w:rPr>
                      <w:rFonts w:hint="default" w:ascii="Times New Roman" w:hAnsi="Times New Roman" w:cs="Times New Roman"/>
                    </w:rPr>
                    <w:t>类别</w:t>
                  </w:r>
                </w:p>
              </w:tc>
              <w:tc>
                <w:tcPr>
                  <w:tcW w:w="1825" w:type="pct"/>
                  <w:tcBorders>
                    <w:top w:val="single" w:color="auto" w:sz="4" w:space="0"/>
                    <w:left w:val="single" w:color="auto" w:sz="4" w:space="0"/>
                    <w:bottom w:val="single" w:color="auto" w:sz="4" w:space="0"/>
                    <w:right w:val="single" w:color="auto" w:sz="4" w:space="0"/>
                  </w:tcBorders>
                  <w:noWrap w:val="0"/>
                  <w:vAlign w:val="center"/>
                </w:tcPr>
                <w:p w14:paraId="699252B3">
                  <w:pPr>
                    <w:pStyle w:val="71"/>
                    <w:rPr>
                      <w:rFonts w:hint="default" w:ascii="Times New Roman" w:hAnsi="Times New Roman" w:cs="Times New Roman"/>
                    </w:rPr>
                  </w:pPr>
                  <w:r>
                    <w:rPr>
                      <w:rFonts w:hint="default" w:ascii="Times New Roman" w:hAnsi="Times New Roman" w:cs="Times New Roman"/>
                    </w:rPr>
                    <w:t>监测点位置</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5768C2A4">
                  <w:pPr>
                    <w:pStyle w:val="71"/>
                    <w:rPr>
                      <w:rFonts w:hint="default" w:ascii="Times New Roman" w:hAnsi="Times New Roman" w:cs="Times New Roman"/>
                    </w:rPr>
                  </w:pPr>
                  <w:r>
                    <w:rPr>
                      <w:rFonts w:hint="default" w:ascii="Times New Roman" w:hAnsi="Times New Roman" w:cs="Times New Roman"/>
                    </w:rPr>
                    <w:t>监测项目</w:t>
                  </w:r>
                </w:p>
              </w:tc>
              <w:tc>
                <w:tcPr>
                  <w:tcW w:w="995" w:type="pct"/>
                  <w:tcBorders>
                    <w:top w:val="single" w:color="auto" w:sz="4" w:space="0"/>
                    <w:left w:val="single" w:color="auto" w:sz="4" w:space="0"/>
                    <w:bottom w:val="single" w:color="auto" w:sz="4" w:space="0"/>
                    <w:right w:val="single" w:color="auto" w:sz="4" w:space="0"/>
                  </w:tcBorders>
                  <w:noWrap w:val="0"/>
                  <w:vAlign w:val="center"/>
                </w:tcPr>
                <w:p w14:paraId="451C2487">
                  <w:pPr>
                    <w:pStyle w:val="71"/>
                    <w:rPr>
                      <w:rFonts w:hint="default" w:ascii="Times New Roman" w:hAnsi="Times New Roman" w:cs="Times New Roman"/>
                    </w:rPr>
                  </w:pPr>
                  <w:r>
                    <w:rPr>
                      <w:rFonts w:hint="default" w:ascii="Times New Roman" w:hAnsi="Times New Roman" w:cs="Times New Roman"/>
                    </w:rPr>
                    <w:t>监测频次</w:t>
                  </w:r>
                </w:p>
              </w:tc>
            </w:tr>
            <w:tr w14:paraId="1D870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op w:val="single" w:color="auto" w:sz="4" w:space="0"/>
                    <w:left w:val="single" w:color="auto" w:sz="4" w:space="0"/>
                    <w:bottom w:val="single" w:color="auto" w:sz="4" w:space="0"/>
                    <w:right w:val="single" w:color="auto" w:sz="4" w:space="0"/>
                  </w:tcBorders>
                  <w:noWrap w:val="0"/>
                  <w:vAlign w:val="center"/>
                </w:tcPr>
                <w:p w14:paraId="1064394B">
                  <w:pPr>
                    <w:pStyle w:val="71"/>
                    <w:rPr>
                      <w:rFonts w:hint="default" w:ascii="Times New Roman" w:hAnsi="Times New Roman" w:cs="Times New Roman"/>
                    </w:rPr>
                  </w:pPr>
                  <w:r>
                    <w:rPr>
                      <w:rFonts w:hint="default" w:ascii="Times New Roman" w:hAnsi="Times New Roman" w:cs="Times New Roman"/>
                    </w:rPr>
                    <w:t>噪声</w:t>
                  </w:r>
                </w:p>
              </w:tc>
              <w:tc>
                <w:tcPr>
                  <w:tcW w:w="1825" w:type="pct"/>
                  <w:tcBorders>
                    <w:top w:val="single" w:color="auto" w:sz="4" w:space="0"/>
                    <w:left w:val="single" w:color="auto" w:sz="4" w:space="0"/>
                    <w:bottom w:val="single" w:color="auto" w:sz="4" w:space="0"/>
                    <w:right w:val="single" w:color="auto" w:sz="4" w:space="0"/>
                  </w:tcBorders>
                  <w:noWrap w:val="0"/>
                  <w:vAlign w:val="center"/>
                </w:tcPr>
                <w:p w14:paraId="51BD6C96">
                  <w:pPr>
                    <w:pStyle w:val="71"/>
                    <w:rPr>
                      <w:rFonts w:hint="default" w:ascii="Times New Roman" w:hAnsi="Times New Roman" w:cs="Times New Roman"/>
                    </w:rPr>
                  </w:pPr>
                  <w:r>
                    <w:rPr>
                      <w:rFonts w:hint="default" w:ascii="Times New Roman" w:hAnsi="Times New Roman" w:cs="Times New Roman"/>
                    </w:rPr>
                    <w:t>厂界四周外1m处</w:t>
                  </w:r>
                </w:p>
              </w:tc>
              <w:tc>
                <w:tcPr>
                  <w:tcW w:w="1357" w:type="pct"/>
                  <w:tcBorders>
                    <w:top w:val="single" w:color="auto" w:sz="4" w:space="0"/>
                    <w:left w:val="single" w:color="auto" w:sz="4" w:space="0"/>
                    <w:bottom w:val="single" w:color="auto" w:sz="4" w:space="0"/>
                    <w:right w:val="single" w:color="auto" w:sz="4" w:space="0"/>
                  </w:tcBorders>
                  <w:noWrap w:val="0"/>
                  <w:vAlign w:val="center"/>
                </w:tcPr>
                <w:p w14:paraId="30519567">
                  <w:pPr>
                    <w:pStyle w:val="71"/>
                    <w:rPr>
                      <w:rFonts w:hint="default" w:ascii="Times New Roman" w:hAnsi="Times New Roman" w:cs="Times New Roman"/>
                    </w:rPr>
                  </w:pPr>
                  <w:r>
                    <w:rPr>
                      <w:rFonts w:hint="default" w:ascii="Times New Roman" w:hAnsi="Times New Roman" w:cs="Times New Roman"/>
                    </w:rPr>
                    <w:t>厂界噪声</w:t>
                  </w:r>
                </w:p>
              </w:tc>
              <w:tc>
                <w:tcPr>
                  <w:tcW w:w="995" w:type="pct"/>
                  <w:tcBorders>
                    <w:top w:val="single" w:color="auto" w:sz="4" w:space="0"/>
                    <w:left w:val="single" w:color="auto" w:sz="4" w:space="0"/>
                    <w:bottom w:val="single" w:color="auto" w:sz="4" w:space="0"/>
                    <w:right w:val="single" w:color="auto" w:sz="4" w:space="0"/>
                  </w:tcBorders>
                  <w:noWrap w:val="0"/>
                  <w:vAlign w:val="center"/>
                </w:tcPr>
                <w:p w14:paraId="6F5DD37B">
                  <w:pPr>
                    <w:pStyle w:val="71"/>
                    <w:rPr>
                      <w:rFonts w:hint="default" w:ascii="Times New Roman" w:hAnsi="Times New Roman" w:cs="Times New Roman"/>
                    </w:rPr>
                  </w:pPr>
                  <w:r>
                    <w:rPr>
                      <w:rFonts w:hint="default" w:ascii="Times New Roman" w:hAnsi="Times New Roman" w:cs="Times New Roman"/>
                    </w:rPr>
                    <w:t>半一次</w:t>
                  </w:r>
                </w:p>
              </w:tc>
            </w:tr>
          </w:tbl>
          <w:p w14:paraId="72D56118">
            <w:pPr>
              <w:pStyle w:val="3"/>
              <w:ind w:firstLine="48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固废</w:t>
            </w:r>
          </w:p>
          <w:p w14:paraId="48ABDF8C">
            <w:pPr>
              <w:pStyle w:val="3"/>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固体废物产生情况及处置情况</w:t>
            </w:r>
          </w:p>
          <w:p w14:paraId="0F56B052">
            <w:pPr>
              <w:pStyle w:val="3"/>
              <w:ind w:firstLine="480"/>
              <w:rPr>
                <w:rFonts w:hint="default" w:ascii="Times New Roman" w:hAnsi="Times New Roman" w:cs="Times New Roman"/>
                <w:lang w:eastAsia="zh-CN"/>
              </w:rPr>
            </w:pPr>
            <w:r>
              <w:rPr>
                <w:rFonts w:hint="default" w:ascii="Times New Roman" w:hAnsi="Times New Roman" w:cs="Times New Roman"/>
                <w:lang w:val="en-US"/>
              </w:rPr>
              <w:t>项目固体废物主要为生活垃圾、污泥、废滤膜</w:t>
            </w:r>
            <w:r>
              <w:rPr>
                <w:rFonts w:hint="default" w:ascii="Times New Roman" w:hAnsi="Times New Roman" w:cs="Times New Roman"/>
                <w:lang w:val="en-US" w:eastAsia="zh-CN"/>
              </w:rPr>
              <w:t>、</w:t>
            </w:r>
            <w:r>
              <w:rPr>
                <w:rFonts w:hint="default" w:ascii="Times New Roman" w:hAnsi="Times New Roman" w:cs="Times New Roman"/>
                <w:lang w:val="en-US"/>
              </w:rPr>
              <w:t>废化学品包装容器</w:t>
            </w:r>
            <w:r>
              <w:rPr>
                <w:rFonts w:hint="default" w:ascii="Times New Roman" w:hAnsi="Times New Roman" w:cs="Times New Roman"/>
                <w:lang w:val="en-US" w:eastAsia="zh-CN"/>
              </w:rPr>
              <w:t>、废油</w:t>
            </w:r>
            <w:r>
              <w:rPr>
                <w:rFonts w:hint="default" w:ascii="Times New Roman" w:hAnsi="Times New Roman" w:cs="Times New Roman"/>
                <w:lang w:eastAsia="zh-CN"/>
              </w:rPr>
              <w:t>。</w:t>
            </w:r>
          </w:p>
          <w:p w14:paraId="199E498E">
            <w:pPr>
              <w:pStyle w:val="3"/>
              <w:ind w:firstLine="480"/>
              <w:rPr>
                <w:rFonts w:hint="default" w:ascii="Times New Roman" w:hAnsi="Times New Roman" w:cs="Times New Roman"/>
                <w:lang w:val="en-US"/>
              </w:rPr>
            </w:pPr>
            <w:r>
              <w:rPr>
                <w:rFonts w:hint="default" w:ascii="Times New Roman" w:hAnsi="Times New Roman" w:cs="Times New Roman"/>
                <w:lang w:val="en-US"/>
              </w:rPr>
              <w:t>1）生活垃圾</w:t>
            </w:r>
          </w:p>
          <w:p w14:paraId="5830F76E">
            <w:pPr>
              <w:pStyle w:val="3"/>
              <w:ind w:firstLine="480"/>
              <w:rPr>
                <w:rFonts w:hint="default" w:ascii="Times New Roman" w:hAnsi="Times New Roman" w:cs="Times New Roman"/>
                <w:lang w:val="en-US"/>
              </w:rPr>
            </w:pPr>
            <w:r>
              <w:rPr>
                <w:rFonts w:hint="default" w:ascii="Times New Roman" w:hAnsi="Times New Roman" w:cs="Times New Roman"/>
                <w:lang w:val="en-US"/>
              </w:rPr>
              <w:t>项目劳动定员</w:t>
            </w:r>
            <w:r>
              <w:rPr>
                <w:rFonts w:hint="default" w:ascii="Times New Roman" w:hAnsi="Times New Roman" w:cs="Times New Roman"/>
                <w:lang w:val="en-US" w:eastAsia="zh-CN"/>
              </w:rPr>
              <w:t>2</w:t>
            </w:r>
            <w:r>
              <w:rPr>
                <w:rFonts w:hint="default" w:ascii="Times New Roman" w:hAnsi="Times New Roman" w:cs="Times New Roman"/>
                <w:lang w:val="en-US"/>
              </w:rPr>
              <w:t>人，人均垃圾产生量按0.5kg/d计算，则项目生活垃圾产生量为</w:t>
            </w:r>
            <w:r>
              <w:rPr>
                <w:rFonts w:hint="default" w:ascii="Times New Roman" w:hAnsi="Times New Roman" w:cs="Times New Roman"/>
                <w:lang w:val="en-US" w:eastAsia="zh-CN"/>
              </w:rPr>
              <w:t>0.1825t</w:t>
            </w:r>
            <w:r>
              <w:rPr>
                <w:rFonts w:hint="default" w:ascii="Times New Roman" w:hAnsi="Times New Roman" w:cs="Times New Roman"/>
                <w:lang w:val="en-US"/>
              </w:rPr>
              <w:t>/a，回填于垃圾填埋场。</w:t>
            </w:r>
          </w:p>
          <w:p w14:paraId="150CBEF6">
            <w:pPr>
              <w:pStyle w:val="3"/>
              <w:bidi w:val="0"/>
              <w:rPr>
                <w:rFonts w:hint="default" w:ascii="Times New Roman" w:hAnsi="Times New Roman" w:cs="Times New Roman"/>
                <w:lang w:val="en-US"/>
              </w:rPr>
            </w:pPr>
            <w:r>
              <w:rPr>
                <w:rFonts w:hint="default" w:ascii="Times New Roman" w:hAnsi="Times New Roman" w:cs="Times New Roman"/>
                <w:lang w:val="en-US"/>
              </w:rPr>
              <w:t>2）污泥</w:t>
            </w:r>
          </w:p>
          <w:p w14:paraId="432A38A9">
            <w:pPr>
              <w:pStyle w:val="3"/>
              <w:bidi w:val="0"/>
              <w:rPr>
                <w:rFonts w:hint="default" w:ascii="Times New Roman" w:hAnsi="Times New Roman" w:cs="Times New Roman"/>
                <w:lang w:val="en-US"/>
              </w:rPr>
            </w:pPr>
            <w:r>
              <w:rPr>
                <w:rFonts w:hint="default" w:ascii="Times New Roman" w:hAnsi="Times New Roman" w:cs="Times New Roman"/>
                <w:lang w:val="en-US"/>
              </w:rPr>
              <w:t>本项目建成后，根据</w:t>
            </w:r>
            <w:r>
              <w:rPr>
                <w:rFonts w:hint="default" w:ascii="Times New Roman" w:hAnsi="Times New Roman" w:cs="Times New Roman"/>
                <w:lang w:val="en-US" w:eastAsia="zh-CN"/>
              </w:rPr>
              <w:t>建设方提供的数据</w:t>
            </w:r>
            <w:r>
              <w:rPr>
                <w:rFonts w:hint="default" w:ascii="Times New Roman" w:hAnsi="Times New Roman" w:cs="Times New Roman"/>
                <w:lang w:val="en-US"/>
              </w:rPr>
              <w:t>，渗滤液处理厂污泥产生量约25.6t/a，属于一般工业固体废物，经压滤机压滤至含水率低于</w:t>
            </w:r>
            <w:r>
              <w:rPr>
                <w:rFonts w:hint="default" w:ascii="Times New Roman" w:hAnsi="Times New Roman" w:cs="Times New Roman"/>
                <w:lang w:val="en-US" w:eastAsia="zh-CN"/>
              </w:rPr>
              <w:t>6</w:t>
            </w:r>
            <w:r>
              <w:rPr>
                <w:rFonts w:hint="default" w:ascii="Times New Roman" w:hAnsi="Times New Roman" w:cs="Times New Roman"/>
                <w:lang w:val="en-US"/>
              </w:rPr>
              <w:t>0%后，回填于垃圾填埋场。</w:t>
            </w:r>
          </w:p>
          <w:p w14:paraId="49572E7C">
            <w:pPr>
              <w:pStyle w:val="3"/>
              <w:bidi w:val="0"/>
              <w:rPr>
                <w:rFonts w:hint="default" w:ascii="Times New Roman" w:hAnsi="Times New Roman" w:cs="Times New Roman"/>
                <w:lang w:val="en-US"/>
              </w:rPr>
            </w:pPr>
            <w:r>
              <w:rPr>
                <w:rFonts w:hint="default" w:ascii="Times New Roman" w:hAnsi="Times New Roman" w:cs="Times New Roman"/>
                <w:lang w:val="en-US"/>
              </w:rPr>
              <w:t>3）废滤膜</w:t>
            </w:r>
          </w:p>
          <w:p w14:paraId="47206C20">
            <w:pPr>
              <w:pStyle w:val="3"/>
              <w:bidi w:val="0"/>
              <w:rPr>
                <w:rFonts w:hint="default" w:ascii="Times New Roman" w:hAnsi="Times New Roman" w:cs="Times New Roman"/>
                <w:lang w:val="en-US"/>
              </w:rPr>
            </w:pPr>
            <w:r>
              <w:rPr>
                <w:rFonts w:hint="default" w:ascii="Times New Roman" w:hAnsi="Times New Roman" w:cs="Times New Roman"/>
                <w:lang w:val="en-US"/>
              </w:rPr>
              <w:t>根据</w:t>
            </w:r>
            <w:r>
              <w:rPr>
                <w:rFonts w:hint="default" w:ascii="Times New Roman" w:hAnsi="Times New Roman" w:cs="Times New Roman"/>
                <w:lang w:val="en-US" w:eastAsia="zh-CN"/>
              </w:rPr>
              <w:t>建设方提供的数据</w:t>
            </w:r>
            <w:r>
              <w:rPr>
                <w:rFonts w:hint="default" w:ascii="Times New Roman" w:hAnsi="Times New Roman" w:cs="Times New Roman"/>
                <w:lang w:val="en-US"/>
              </w:rPr>
              <w:t>，项目采用滤膜设计使用年限为3年，运营期产生的废滤膜约0.08t/a，由厂家回收处理。</w:t>
            </w:r>
          </w:p>
          <w:p w14:paraId="655BF473">
            <w:pPr>
              <w:pStyle w:val="3"/>
              <w:bidi w:val="0"/>
              <w:rPr>
                <w:rFonts w:hint="default" w:ascii="Times New Roman" w:hAnsi="Times New Roman" w:cs="Times New Roman"/>
                <w:lang w:val="en-US"/>
              </w:rPr>
            </w:pPr>
            <w:r>
              <w:rPr>
                <w:rFonts w:hint="default" w:ascii="Times New Roman" w:hAnsi="Times New Roman" w:cs="Times New Roman"/>
                <w:lang w:val="en-US"/>
              </w:rPr>
              <w:t>4）废化学品包装容器</w:t>
            </w:r>
          </w:p>
          <w:p w14:paraId="0850EF0D">
            <w:pPr>
              <w:pStyle w:val="3"/>
              <w:bidi w:val="0"/>
              <w:rPr>
                <w:rFonts w:hint="default" w:ascii="Times New Roman" w:hAnsi="Times New Roman" w:cs="Times New Roman"/>
                <w:lang w:val="en-US"/>
              </w:rPr>
            </w:pPr>
            <w:r>
              <w:rPr>
                <w:rFonts w:hint="default" w:ascii="Times New Roman" w:hAnsi="Times New Roman" w:cs="Times New Roman"/>
                <w:lang w:val="en-US"/>
              </w:rPr>
              <w:t>根据</w:t>
            </w:r>
            <w:r>
              <w:rPr>
                <w:rFonts w:hint="default" w:ascii="Times New Roman" w:hAnsi="Times New Roman" w:cs="Times New Roman"/>
                <w:lang w:val="en-US" w:eastAsia="zh-CN"/>
              </w:rPr>
              <w:t>建设方提供的数据</w:t>
            </w:r>
            <w:r>
              <w:rPr>
                <w:rFonts w:hint="default" w:ascii="Times New Roman" w:hAnsi="Times New Roman" w:cs="Times New Roman"/>
                <w:lang w:val="en-US"/>
              </w:rPr>
              <w:t>，项目药品包装袋产生量约 0.2t/a，属于《国家危险废物名录》（20</w:t>
            </w:r>
            <w:r>
              <w:rPr>
                <w:rFonts w:hint="default" w:ascii="Times New Roman" w:hAnsi="Times New Roman" w:cs="Times New Roman"/>
                <w:lang w:val="en-US" w:eastAsia="zh-CN"/>
              </w:rPr>
              <w:t>21</w:t>
            </w:r>
            <w:r>
              <w:rPr>
                <w:rFonts w:hint="default" w:ascii="Times New Roman" w:hAnsi="Times New Roman" w:cs="Times New Roman"/>
                <w:lang w:val="en-US"/>
              </w:rPr>
              <w:t>版）中</w:t>
            </w:r>
            <w:r>
              <w:rPr>
                <w:rFonts w:hint="default" w:ascii="Times New Roman" w:hAnsi="Times New Roman" w:cs="Times New Roman"/>
                <w:lang w:val="en-US" w:eastAsia="zh-CN"/>
              </w:rPr>
              <w:t>“</w:t>
            </w:r>
            <w:r>
              <w:rPr>
                <w:rFonts w:hint="default" w:ascii="Times New Roman" w:hAnsi="Times New Roman" w:cs="Times New Roman"/>
                <w:lang w:val="en-US"/>
              </w:rPr>
              <w:t>HW49其他废物</w:t>
            </w:r>
            <w:r>
              <w:rPr>
                <w:rFonts w:hint="default" w:ascii="Times New Roman" w:hAnsi="Times New Roman" w:cs="Times New Roman"/>
                <w:lang w:val="en-US" w:eastAsia="zh-CN"/>
              </w:rPr>
              <w:t>”</w:t>
            </w:r>
            <w:r>
              <w:rPr>
                <w:rFonts w:hint="default" w:ascii="Times New Roman" w:hAnsi="Times New Roman" w:cs="Times New Roman"/>
                <w:lang w:val="en-US"/>
              </w:rPr>
              <w:t>类危险废物，废物代码为900-041-49，</w:t>
            </w:r>
            <w:r>
              <w:rPr>
                <w:rFonts w:hint="default" w:ascii="Times New Roman" w:hAnsi="Times New Roman" w:cs="Times New Roman"/>
                <w:lang w:val="en-US" w:eastAsia="zh-CN"/>
              </w:rPr>
              <w:t>暂存于现有</w:t>
            </w:r>
            <w:r>
              <w:rPr>
                <w:rFonts w:hint="default" w:ascii="Times New Roman" w:hAnsi="Times New Roman" w:cs="Times New Roman"/>
              </w:rPr>
              <w:t>危险废物暂存间</w:t>
            </w:r>
            <w:r>
              <w:rPr>
                <w:rFonts w:hint="default" w:ascii="Times New Roman" w:hAnsi="Times New Roman" w:cs="Times New Roman"/>
                <w:lang w:val="en-US"/>
              </w:rPr>
              <w:t>后交由资质单位处理。</w:t>
            </w:r>
          </w:p>
          <w:p w14:paraId="008AB441">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5）废机油</w:t>
            </w:r>
          </w:p>
          <w:p w14:paraId="62B5344D">
            <w:pPr>
              <w:pStyle w:val="3"/>
              <w:bidi w:val="0"/>
              <w:rPr>
                <w:rFonts w:hint="default" w:ascii="Times New Roman" w:hAnsi="Times New Roman" w:cs="Times New Roman"/>
                <w:sz w:val="24"/>
                <w:szCs w:val="24"/>
                <w:lang w:val="en-US" w:eastAsia="zh-CN"/>
              </w:rPr>
            </w:pPr>
            <w:r>
              <w:rPr>
                <w:rFonts w:hint="default" w:ascii="Times New Roman" w:hAnsi="Times New Roman" w:cs="Times New Roman"/>
                <w:lang w:val="en-US" w:eastAsia="zh-CN"/>
              </w:rPr>
              <w:t>本项目各类机械设备维护保养时会产生废机油。根据业主提供信息，本项目废机油产生量共0.01t/a。</w:t>
            </w:r>
            <w:r>
              <w:rPr>
                <w:rFonts w:hint="default" w:ascii="Times New Roman" w:hAnsi="Times New Roman" w:cs="Times New Roman"/>
              </w:rPr>
              <w:t>用专用油桶收集暂存，</w:t>
            </w:r>
            <w:r>
              <w:rPr>
                <w:rFonts w:hint="default" w:ascii="Times New Roman" w:hAnsi="Times New Roman" w:cs="Times New Roman"/>
                <w:lang w:val="en-US" w:eastAsia="zh-CN"/>
              </w:rPr>
              <w:t>暂存于现有</w:t>
            </w:r>
            <w:r>
              <w:rPr>
                <w:rFonts w:hint="default" w:ascii="Times New Roman" w:hAnsi="Times New Roman" w:cs="Times New Roman"/>
              </w:rPr>
              <w:t>危险废物暂存间</w:t>
            </w:r>
            <w:r>
              <w:rPr>
                <w:rFonts w:hint="default" w:ascii="Times New Roman" w:hAnsi="Times New Roman" w:cs="Times New Roman"/>
                <w:lang w:val="en-US"/>
              </w:rPr>
              <w:t>后交由资质单位处理。</w:t>
            </w:r>
            <w:r>
              <w:rPr>
                <w:rFonts w:hint="default" w:ascii="Times New Roman" w:hAnsi="Times New Roman" w:cs="Times New Roman"/>
                <w:sz w:val="24"/>
                <w:szCs w:val="24"/>
                <w:lang w:val="en-US" w:eastAsia="zh-CN"/>
              </w:rPr>
              <w:t>根据《国家危险废物名录》（2021年版）内容，废机油属于HW08废矿物油与含矿物油废物，废物代码为900-217-08。</w:t>
            </w:r>
          </w:p>
          <w:p w14:paraId="1B24A238">
            <w:pPr>
              <w:pStyle w:val="2"/>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b/>
                <w:bCs/>
                <w:sz w:val="21"/>
                <w:szCs w:val="21"/>
                <w:lang w:val="en-US" w:eastAsia="zh-CN"/>
              </w:rPr>
            </w:pPr>
            <w:r>
              <w:rPr>
                <w:rFonts w:hint="default" w:ascii="Times New Roman" w:hAnsi="Times New Roman" w:cs="Times New Roman"/>
                <w:sz w:val="24"/>
                <w:szCs w:val="24"/>
                <w:lang w:val="en-US" w:eastAsia="zh-CN"/>
              </w:rPr>
              <w:t>根据《建设项目危险废物环境影响评价指南》，危险废物分析结果汇总见下表。</w:t>
            </w:r>
          </w:p>
          <w:p w14:paraId="6D1AF5FD">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18</w:t>
            </w:r>
            <w:r>
              <w:rPr>
                <w:rFonts w:hint="default" w:ascii="Times New Roman" w:hAnsi="Times New Roman" w:cs="Times New Roman"/>
                <w:lang w:val="en-US" w:eastAsia="zh-CN"/>
              </w:rPr>
              <w:t xml:space="preserve"> 危险废物分析结果汇总表</w:t>
            </w:r>
          </w:p>
          <w:tbl>
            <w:tblPr>
              <w:tblStyle w:val="28"/>
              <w:tblW w:w="7919"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722"/>
              <w:gridCol w:w="776"/>
              <w:gridCol w:w="1196"/>
              <w:gridCol w:w="740"/>
              <w:gridCol w:w="738"/>
              <w:gridCol w:w="633"/>
              <w:gridCol w:w="633"/>
              <w:gridCol w:w="772"/>
              <w:gridCol w:w="494"/>
              <w:gridCol w:w="673"/>
            </w:tblGrid>
            <w:tr w14:paraId="7AFE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Borders>
                    <w:tl2br w:val="nil"/>
                    <w:tr2bl w:val="nil"/>
                  </w:tcBorders>
                  <w:noWrap w:val="0"/>
                  <w:vAlign w:val="center"/>
                </w:tcPr>
                <w:p w14:paraId="1356819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序号</w:t>
                  </w:r>
                </w:p>
              </w:tc>
              <w:tc>
                <w:tcPr>
                  <w:tcW w:w="722" w:type="dxa"/>
                  <w:tcBorders>
                    <w:tl2br w:val="nil"/>
                    <w:tr2bl w:val="nil"/>
                  </w:tcBorders>
                  <w:noWrap w:val="0"/>
                  <w:vAlign w:val="center"/>
                </w:tcPr>
                <w:p w14:paraId="718C58E3">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危险废物名称</w:t>
                  </w:r>
                </w:p>
              </w:tc>
              <w:tc>
                <w:tcPr>
                  <w:tcW w:w="776" w:type="dxa"/>
                  <w:tcBorders>
                    <w:tl2br w:val="nil"/>
                    <w:tr2bl w:val="nil"/>
                  </w:tcBorders>
                  <w:noWrap w:val="0"/>
                  <w:vAlign w:val="center"/>
                </w:tcPr>
                <w:p w14:paraId="46146A25">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危险废物类别</w:t>
                  </w:r>
                </w:p>
              </w:tc>
              <w:tc>
                <w:tcPr>
                  <w:tcW w:w="1196" w:type="dxa"/>
                  <w:tcBorders>
                    <w:tl2br w:val="nil"/>
                    <w:tr2bl w:val="nil"/>
                  </w:tcBorders>
                  <w:noWrap w:val="0"/>
                  <w:vAlign w:val="center"/>
                </w:tcPr>
                <w:p w14:paraId="3C559315">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危险废物代码</w:t>
                  </w:r>
                </w:p>
              </w:tc>
              <w:tc>
                <w:tcPr>
                  <w:tcW w:w="740" w:type="dxa"/>
                  <w:tcBorders>
                    <w:tl2br w:val="nil"/>
                    <w:tr2bl w:val="nil"/>
                  </w:tcBorders>
                  <w:noWrap w:val="0"/>
                  <w:vAlign w:val="center"/>
                </w:tcPr>
                <w:p w14:paraId="697A59D1">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产生量（t/a）</w:t>
                  </w:r>
                </w:p>
              </w:tc>
              <w:tc>
                <w:tcPr>
                  <w:tcW w:w="738" w:type="dxa"/>
                  <w:tcBorders>
                    <w:tl2br w:val="nil"/>
                    <w:tr2bl w:val="nil"/>
                  </w:tcBorders>
                  <w:noWrap w:val="0"/>
                  <w:vAlign w:val="center"/>
                </w:tcPr>
                <w:p w14:paraId="10005AF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产生工序</w:t>
                  </w:r>
                </w:p>
              </w:tc>
              <w:tc>
                <w:tcPr>
                  <w:tcW w:w="633" w:type="dxa"/>
                  <w:tcBorders>
                    <w:tl2br w:val="nil"/>
                    <w:tr2bl w:val="nil"/>
                  </w:tcBorders>
                  <w:noWrap w:val="0"/>
                  <w:vAlign w:val="center"/>
                </w:tcPr>
                <w:p w14:paraId="04A2DC84">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物理性状</w:t>
                  </w:r>
                </w:p>
              </w:tc>
              <w:tc>
                <w:tcPr>
                  <w:tcW w:w="633" w:type="dxa"/>
                  <w:tcBorders>
                    <w:tl2br w:val="nil"/>
                    <w:tr2bl w:val="nil"/>
                  </w:tcBorders>
                  <w:noWrap w:val="0"/>
                  <w:vAlign w:val="center"/>
                </w:tcPr>
                <w:p w14:paraId="6D76CB60">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主要成分</w:t>
                  </w:r>
                </w:p>
              </w:tc>
              <w:tc>
                <w:tcPr>
                  <w:tcW w:w="772" w:type="dxa"/>
                  <w:tcBorders>
                    <w:tl2br w:val="nil"/>
                    <w:tr2bl w:val="nil"/>
                  </w:tcBorders>
                  <w:noWrap w:val="0"/>
                  <w:vAlign w:val="center"/>
                </w:tcPr>
                <w:p w14:paraId="5E892F9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有毒有害物质</w:t>
                  </w:r>
                </w:p>
              </w:tc>
              <w:tc>
                <w:tcPr>
                  <w:tcW w:w="494" w:type="dxa"/>
                  <w:tcBorders>
                    <w:tl2br w:val="nil"/>
                    <w:tr2bl w:val="nil"/>
                  </w:tcBorders>
                  <w:noWrap w:val="0"/>
                  <w:vAlign w:val="center"/>
                </w:tcPr>
                <w:p w14:paraId="1857D7B2">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产生周期</w:t>
                  </w:r>
                </w:p>
              </w:tc>
              <w:tc>
                <w:tcPr>
                  <w:tcW w:w="673" w:type="dxa"/>
                  <w:tcBorders>
                    <w:tl2br w:val="nil"/>
                    <w:tr2bl w:val="nil"/>
                  </w:tcBorders>
                  <w:noWrap w:val="0"/>
                  <w:vAlign w:val="center"/>
                </w:tcPr>
                <w:p w14:paraId="149BCD3D">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危险特性</w:t>
                  </w:r>
                </w:p>
              </w:tc>
            </w:tr>
            <w:tr w14:paraId="7E49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Borders>
                    <w:tl2br w:val="nil"/>
                    <w:tr2bl w:val="nil"/>
                  </w:tcBorders>
                  <w:noWrap w:val="0"/>
                  <w:vAlign w:val="center"/>
                </w:tcPr>
                <w:p w14:paraId="591328F3">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722" w:type="dxa"/>
                  <w:tcBorders>
                    <w:tl2br w:val="nil"/>
                    <w:tr2bl w:val="nil"/>
                  </w:tcBorders>
                  <w:noWrap w:val="0"/>
                  <w:vAlign w:val="center"/>
                </w:tcPr>
                <w:p w14:paraId="3C372356">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rPr>
                    <w:t>废化学品包装容器</w:t>
                  </w:r>
                </w:p>
              </w:tc>
              <w:tc>
                <w:tcPr>
                  <w:tcW w:w="776" w:type="dxa"/>
                  <w:tcBorders>
                    <w:tl2br w:val="nil"/>
                    <w:tr2bl w:val="nil"/>
                  </w:tcBorders>
                  <w:noWrap w:val="0"/>
                  <w:vAlign w:val="center"/>
                </w:tcPr>
                <w:p w14:paraId="3A337C84">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rPr>
                    <w:t>HW49</w:t>
                  </w:r>
                </w:p>
              </w:tc>
              <w:tc>
                <w:tcPr>
                  <w:tcW w:w="1196" w:type="dxa"/>
                  <w:tcBorders>
                    <w:tl2br w:val="nil"/>
                    <w:tr2bl w:val="nil"/>
                  </w:tcBorders>
                  <w:noWrap w:val="0"/>
                  <w:vAlign w:val="center"/>
                </w:tcPr>
                <w:p w14:paraId="2D4DBA7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rPr>
                    <w:t>900-041-49</w:t>
                  </w:r>
                </w:p>
              </w:tc>
              <w:tc>
                <w:tcPr>
                  <w:tcW w:w="740" w:type="dxa"/>
                  <w:tcBorders>
                    <w:tl2br w:val="nil"/>
                    <w:tr2bl w:val="nil"/>
                  </w:tcBorders>
                  <w:noWrap w:val="0"/>
                  <w:vAlign w:val="center"/>
                </w:tcPr>
                <w:p w14:paraId="1C38F843">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0.2</w:t>
                  </w:r>
                </w:p>
              </w:tc>
              <w:tc>
                <w:tcPr>
                  <w:tcW w:w="738" w:type="dxa"/>
                  <w:tcBorders>
                    <w:tl2br w:val="nil"/>
                    <w:tr2bl w:val="nil"/>
                  </w:tcBorders>
                  <w:noWrap w:val="0"/>
                  <w:vAlign w:val="center"/>
                </w:tcPr>
                <w:p w14:paraId="62631273">
                  <w:pPr>
                    <w:pStyle w:val="71"/>
                    <w:keepNext w:val="0"/>
                    <w:keepLines w:val="0"/>
                    <w:pageBreakBefore w:val="0"/>
                    <w:widowControl w:val="0"/>
                    <w:kinsoku/>
                    <w:wordWrap/>
                    <w:overflowPunct w:val="0"/>
                    <w:topLinePunct w:val="0"/>
                    <w:autoSpaceDE w:val="0"/>
                    <w:autoSpaceDN w:val="0"/>
                    <w:bidi w:val="0"/>
                    <w:adjustRightInd w:val="0"/>
                    <w:snapToGrid w:val="0"/>
                    <w:spacing w:after="0"/>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eastAsia="zh-CN"/>
                    </w:rPr>
                    <w:t>化学品使用</w:t>
                  </w:r>
                </w:p>
              </w:tc>
              <w:tc>
                <w:tcPr>
                  <w:tcW w:w="633" w:type="dxa"/>
                  <w:tcBorders>
                    <w:tl2br w:val="nil"/>
                    <w:tr2bl w:val="nil"/>
                  </w:tcBorders>
                  <w:noWrap w:val="0"/>
                  <w:vAlign w:val="center"/>
                </w:tcPr>
                <w:p w14:paraId="49908803">
                  <w:pPr>
                    <w:pStyle w:val="71"/>
                    <w:keepNext w:val="0"/>
                    <w:keepLines w:val="0"/>
                    <w:pageBreakBefore w:val="0"/>
                    <w:widowControl w:val="0"/>
                    <w:kinsoku/>
                    <w:wordWrap/>
                    <w:overflowPunct w:val="0"/>
                    <w:topLinePunct w:val="0"/>
                    <w:autoSpaceDE w:val="0"/>
                    <w:autoSpaceDN w:val="0"/>
                    <w:bidi w:val="0"/>
                    <w:adjustRightInd w:val="0"/>
                    <w:snapToGrid w:val="0"/>
                    <w:spacing w:after="0"/>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固体</w:t>
                  </w:r>
                </w:p>
              </w:tc>
              <w:tc>
                <w:tcPr>
                  <w:tcW w:w="633" w:type="dxa"/>
                  <w:tcBorders>
                    <w:tl2br w:val="nil"/>
                    <w:tr2bl w:val="nil"/>
                  </w:tcBorders>
                  <w:noWrap w:val="0"/>
                  <w:vAlign w:val="center"/>
                </w:tcPr>
                <w:p w14:paraId="5AE8C21A">
                  <w:pPr>
                    <w:pStyle w:val="71"/>
                    <w:keepNext w:val="0"/>
                    <w:keepLines w:val="0"/>
                    <w:pageBreakBefore w:val="0"/>
                    <w:widowControl w:val="0"/>
                    <w:kinsoku/>
                    <w:wordWrap/>
                    <w:overflowPunct w:val="0"/>
                    <w:topLinePunct w:val="0"/>
                    <w:autoSpaceDE w:val="0"/>
                    <w:autoSpaceDN w:val="0"/>
                    <w:bidi w:val="0"/>
                    <w:adjustRightInd w:val="0"/>
                    <w:snapToGrid w:val="0"/>
                    <w:spacing w:after="0"/>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eastAsia="zh-CN"/>
                    </w:rPr>
                    <w:t>酸、碱</w:t>
                  </w:r>
                </w:p>
              </w:tc>
              <w:tc>
                <w:tcPr>
                  <w:tcW w:w="772" w:type="dxa"/>
                  <w:tcBorders>
                    <w:tl2br w:val="nil"/>
                    <w:tr2bl w:val="nil"/>
                  </w:tcBorders>
                  <w:noWrap w:val="0"/>
                  <w:vAlign w:val="center"/>
                </w:tcPr>
                <w:p w14:paraId="0A75EDC1">
                  <w:pPr>
                    <w:pStyle w:val="71"/>
                    <w:keepNext w:val="0"/>
                    <w:keepLines w:val="0"/>
                    <w:pageBreakBefore w:val="0"/>
                    <w:widowControl w:val="0"/>
                    <w:kinsoku/>
                    <w:wordWrap/>
                    <w:overflowPunct w:val="0"/>
                    <w:topLinePunct w:val="0"/>
                    <w:autoSpaceDE w:val="0"/>
                    <w:autoSpaceDN w:val="0"/>
                    <w:bidi w:val="0"/>
                    <w:adjustRightInd w:val="0"/>
                    <w:snapToGrid w:val="0"/>
                    <w:spacing w:after="0"/>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 xml:space="preserve">1 </w:t>
                  </w:r>
                  <w:r>
                    <w:rPr>
                      <w:rFonts w:hint="default" w:ascii="Times New Roman" w:hAnsi="Times New Roman" w:cs="Times New Roman"/>
                      <w:lang w:eastAsia="zh-CN"/>
                    </w:rPr>
                    <w:t>年</w:t>
                  </w:r>
                </w:p>
              </w:tc>
              <w:tc>
                <w:tcPr>
                  <w:tcW w:w="494" w:type="dxa"/>
                  <w:tcBorders>
                    <w:tl2br w:val="nil"/>
                    <w:tr2bl w:val="nil"/>
                  </w:tcBorders>
                  <w:noWrap w:val="0"/>
                  <w:vAlign w:val="center"/>
                </w:tcPr>
                <w:p w14:paraId="54F0CB4C">
                  <w:pPr>
                    <w:pStyle w:val="71"/>
                    <w:keepNext w:val="0"/>
                    <w:keepLines w:val="0"/>
                    <w:pageBreakBefore w:val="0"/>
                    <w:widowControl w:val="0"/>
                    <w:kinsoku/>
                    <w:wordWrap/>
                    <w:overflowPunct w:val="0"/>
                    <w:topLinePunct w:val="0"/>
                    <w:autoSpaceDE w:val="0"/>
                    <w:autoSpaceDN w:val="0"/>
                    <w:bidi w:val="0"/>
                    <w:adjustRightInd w:val="0"/>
                    <w:snapToGrid w:val="0"/>
                    <w:spacing w:after="0"/>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间歇</w:t>
                  </w:r>
                </w:p>
              </w:tc>
              <w:tc>
                <w:tcPr>
                  <w:tcW w:w="673" w:type="dxa"/>
                  <w:tcBorders>
                    <w:tl2br w:val="nil"/>
                    <w:tr2bl w:val="nil"/>
                  </w:tcBorders>
                  <w:noWrap w:val="0"/>
                  <w:vAlign w:val="center"/>
                </w:tcPr>
                <w:p w14:paraId="3E2638F8">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T</w:t>
                  </w:r>
                </w:p>
              </w:tc>
            </w:tr>
            <w:tr w14:paraId="1AE1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Borders>
                    <w:tl2br w:val="nil"/>
                    <w:tr2bl w:val="nil"/>
                  </w:tcBorders>
                  <w:noWrap w:val="0"/>
                  <w:vAlign w:val="center"/>
                </w:tcPr>
                <w:p w14:paraId="0178EFB6">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722" w:type="dxa"/>
                  <w:tcBorders>
                    <w:tl2br w:val="nil"/>
                    <w:tr2bl w:val="nil"/>
                  </w:tcBorders>
                  <w:noWrap w:val="0"/>
                  <w:vAlign w:val="center"/>
                </w:tcPr>
                <w:p w14:paraId="688C318B">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废机油</w:t>
                  </w:r>
                </w:p>
              </w:tc>
              <w:tc>
                <w:tcPr>
                  <w:tcW w:w="776" w:type="dxa"/>
                  <w:tcBorders>
                    <w:tl2br w:val="nil"/>
                    <w:tr2bl w:val="nil"/>
                  </w:tcBorders>
                  <w:noWrap w:val="0"/>
                  <w:vAlign w:val="center"/>
                </w:tcPr>
                <w:p w14:paraId="3D8FDD23">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HW08</w:t>
                  </w:r>
                </w:p>
              </w:tc>
              <w:tc>
                <w:tcPr>
                  <w:tcW w:w="1196" w:type="dxa"/>
                  <w:tcBorders>
                    <w:tl2br w:val="nil"/>
                    <w:tr2bl w:val="nil"/>
                  </w:tcBorders>
                  <w:noWrap w:val="0"/>
                  <w:vAlign w:val="center"/>
                </w:tcPr>
                <w:p w14:paraId="08C51AF1">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900-217-08</w:t>
                  </w:r>
                </w:p>
              </w:tc>
              <w:tc>
                <w:tcPr>
                  <w:tcW w:w="740" w:type="dxa"/>
                  <w:tcBorders>
                    <w:tl2br w:val="nil"/>
                    <w:tr2bl w:val="nil"/>
                  </w:tcBorders>
                  <w:noWrap w:val="0"/>
                  <w:vAlign w:val="center"/>
                </w:tcPr>
                <w:p w14:paraId="0FD412B8">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0.01</w:t>
                  </w:r>
                </w:p>
              </w:tc>
              <w:tc>
                <w:tcPr>
                  <w:tcW w:w="738" w:type="dxa"/>
                  <w:tcBorders>
                    <w:tl2br w:val="nil"/>
                    <w:tr2bl w:val="nil"/>
                  </w:tcBorders>
                  <w:noWrap w:val="0"/>
                  <w:vAlign w:val="center"/>
                </w:tcPr>
                <w:p w14:paraId="3775EA1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设备维修</w:t>
                  </w:r>
                </w:p>
              </w:tc>
              <w:tc>
                <w:tcPr>
                  <w:tcW w:w="633" w:type="dxa"/>
                  <w:tcBorders>
                    <w:tl2br w:val="nil"/>
                    <w:tr2bl w:val="nil"/>
                  </w:tcBorders>
                  <w:noWrap w:val="0"/>
                  <w:vAlign w:val="center"/>
                </w:tcPr>
                <w:p w14:paraId="6BCB6808">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液态</w:t>
                  </w:r>
                </w:p>
              </w:tc>
              <w:tc>
                <w:tcPr>
                  <w:tcW w:w="633" w:type="dxa"/>
                  <w:tcBorders>
                    <w:tl2br w:val="nil"/>
                    <w:tr2bl w:val="nil"/>
                  </w:tcBorders>
                  <w:noWrap w:val="0"/>
                  <w:vAlign w:val="center"/>
                </w:tcPr>
                <w:p w14:paraId="6AB72672">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废矿物油</w:t>
                  </w:r>
                </w:p>
              </w:tc>
              <w:tc>
                <w:tcPr>
                  <w:tcW w:w="772" w:type="dxa"/>
                  <w:tcBorders>
                    <w:tl2br w:val="nil"/>
                    <w:tr2bl w:val="nil"/>
                  </w:tcBorders>
                  <w:noWrap w:val="0"/>
                  <w:vAlign w:val="center"/>
                </w:tcPr>
                <w:p w14:paraId="4DD99B2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废矿物油</w:t>
                  </w:r>
                </w:p>
              </w:tc>
              <w:tc>
                <w:tcPr>
                  <w:tcW w:w="494" w:type="dxa"/>
                  <w:tcBorders>
                    <w:tl2br w:val="nil"/>
                    <w:tr2bl w:val="nil"/>
                  </w:tcBorders>
                  <w:noWrap w:val="0"/>
                  <w:vAlign w:val="center"/>
                </w:tcPr>
                <w:p w14:paraId="5CE531AE">
                  <w:pPr>
                    <w:pStyle w:val="71"/>
                    <w:bidi w:val="0"/>
                    <w:jc w:val="center"/>
                    <w:rPr>
                      <w:rFonts w:hint="default" w:ascii="Times New Roman" w:hAnsi="Times New Roman" w:cs="Times New Roman"/>
                      <w:lang w:val="en-US" w:eastAsia="zh-CN"/>
                    </w:rPr>
                  </w:pPr>
                  <w:r>
                    <w:rPr>
                      <w:rFonts w:hint="default" w:ascii="Times New Roman" w:hAnsi="Times New Roman" w:eastAsia="宋体" w:cs="Times New Roman"/>
                      <w:kern w:val="0"/>
                      <w:sz w:val="21"/>
                      <w:szCs w:val="21"/>
                      <w:lang w:val="en-US" w:eastAsia="zh-CN" w:bidi="ar-SA"/>
                    </w:rPr>
                    <w:t>间歇</w:t>
                  </w:r>
                </w:p>
              </w:tc>
              <w:tc>
                <w:tcPr>
                  <w:tcW w:w="673" w:type="dxa"/>
                  <w:tcBorders>
                    <w:tl2br w:val="nil"/>
                    <w:tr2bl w:val="nil"/>
                  </w:tcBorders>
                  <w:noWrap w:val="0"/>
                  <w:vAlign w:val="center"/>
                </w:tcPr>
                <w:p w14:paraId="7A9B3A9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T、I</w:t>
                  </w:r>
                </w:p>
              </w:tc>
            </w:tr>
          </w:tbl>
          <w:p w14:paraId="45D2187F">
            <w:pPr>
              <w:ind w:left="420" w:leftChars="200"/>
              <w:rPr>
                <w:rFonts w:hint="default" w:ascii="Times New Roman" w:hAnsi="Times New Roman" w:cs="Times New Roman"/>
                <w:szCs w:val="32"/>
              </w:rPr>
            </w:pPr>
            <w:r>
              <w:rPr>
                <w:rFonts w:hint="default" w:ascii="Times New Roman" w:hAnsi="Times New Roman" w:cs="Times New Roman"/>
              </w:rPr>
              <w:t>建设单位已采取的防治措施，具体产生情况如下表</w:t>
            </w:r>
            <w:r>
              <w:rPr>
                <w:rFonts w:hint="default" w:ascii="Times New Roman" w:hAnsi="Times New Roman" w:cs="Times New Roman"/>
                <w:szCs w:val="32"/>
              </w:rPr>
              <w:t>。</w:t>
            </w:r>
          </w:p>
          <w:p w14:paraId="235B632D">
            <w:pPr>
              <w:pStyle w:val="72"/>
              <w:bidi w:val="0"/>
              <w:rPr>
                <w:rFonts w:hint="default" w:ascii="Times New Roman" w:hAnsi="Times New Roman" w:cs="Times New Roman"/>
                <w:lang w:val="en-US" w:eastAsia="zh-CN"/>
              </w:rPr>
            </w:pPr>
            <w:r>
              <w:rPr>
                <w:rFonts w:hint="default" w:ascii="Times New Roman" w:hAnsi="Times New Roman" w:cs="Times New Roman"/>
                <w:lang w:val="en-US" w:eastAsia="zh-CN"/>
              </w:rPr>
              <w:t>表4-</w:t>
            </w:r>
            <w:r>
              <w:rPr>
                <w:rFonts w:hint="eastAsia" w:ascii="Times New Roman" w:hAnsi="Times New Roman" w:cs="Times New Roman"/>
                <w:lang w:val="en-US" w:eastAsia="zh-CN"/>
              </w:rPr>
              <w:t>19</w:t>
            </w:r>
            <w:r>
              <w:rPr>
                <w:rFonts w:hint="default" w:ascii="Times New Roman" w:hAnsi="Times New Roman" w:cs="Times New Roman"/>
                <w:lang w:val="en-US" w:eastAsia="zh-CN"/>
              </w:rPr>
              <w:t xml:space="preserve"> 固体废物产生及去向情况汇总表</w:t>
            </w:r>
          </w:p>
          <w:tbl>
            <w:tblPr>
              <w:tblStyle w:val="28"/>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968"/>
              <w:gridCol w:w="868"/>
              <w:gridCol w:w="915"/>
              <w:gridCol w:w="765"/>
              <w:gridCol w:w="907"/>
              <w:gridCol w:w="1516"/>
              <w:gridCol w:w="1506"/>
            </w:tblGrid>
            <w:tr w14:paraId="0D0D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7C505223">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序</w:t>
                  </w:r>
                </w:p>
                <w:p w14:paraId="19974C6A">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号</w:t>
                  </w:r>
                </w:p>
              </w:tc>
              <w:tc>
                <w:tcPr>
                  <w:tcW w:w="615" w:type="pct"/>
                  <w:tcBorders>
                    <w:tl2br w:val="nil"/>
                    <w:tr2bl w:val="nil"/>
                  </w:tcBorders>
                  <w:noWrap w:val="0"/>
                  <w:vAlign w:val="center"/>
                </w:tcPr>
                <w:p w14:paraId="4B0CFDAC">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固废名称</w:t>
                  </w:r>
                </w:p>
              </w:tc>
              <w:tc>
                <w:tcPr>
                  <w:tcW w:w="551" w:type="pct"/>
                  <w:tcBorders>
                    <w:tl2br w:val="nil"/>
                    <w:tr2bl w:val="nil"/>
                  </w:tcBorders>
                  <w:noWrap w:val="0"/>
                  <w:vAlign w:val="center"/>
                </w:tcPr>
                <w:p w14:paraId="3D58BEF4">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产生工序</w:t>
                  </w:r>
                </w:p>
              </w:tc>
              <w:tc>
                <w:tcPr>
                  <w:tcW w:w="581" w:type="pct"/>
                  <w:tcBorders>
                    <w:tl2br w:val="nil"/>
                    <w:tr2bl w:val="nil"/>
                  </w:tcBorders>
                  <w:noWrap w:val="0"/>
                  <w:vAlign w:val="center"/>
                </w:tcPr>
                <w:p w14:paraId="1B850520">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形态</w:t>
                  </w:r>
                </w:p>
              </w:tc>
              <w:tc>
                <w:tcPr>
                  <w:tcW w:w="486" w:type="pct"/>
                  <w:tcBorders>
                    <w:tl2br w:val="nil"/>
                    <w:tr2bl w:val="nil"/>
                  </w:tcBorders>
                  <w:noWrap w:val="0"/>
                  <w:vAlign w:val="center"/>
                </w:tcPr>
                <w:p w14:paraId="383BE2F7">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属性</w:t>
                  </w:r>
                </w:p>
              </w:tc>
              <w:tc>
                <w:tcPr>
                  <w:tcW w:w="576" w:type="pct"/>
                  <w:tcBorders>
                    <w:tl2br w:val="nil"/>
                    <w:tr2bl w:val="nil"/>
                  </w:tcBorders>
                  <w:noWrap w:val="0"/>
                  <w:vAlign w:val="center"/>
                </w:tcPr>
                <w:p w14:paraId="4AFD50C1">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产生量</w:t>
                  </w:r>
                </w:p>
                <w:p w14:paraId="1829E17D">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（t/a）</w:t>
                  </w:r>
                </w:p>
              </w:tc>
              <w:tc>
                <w:tcPr>
                  <w:tcW w:w="963" w:type="pct"/>
                  <w:tcBorders>
                    <w:tl2br w:val="nil"/>
                    <w:tr2bl w:val="nil"/>
                  </w:tcBorders>
                  <w:noWrap w:val="0"/>
                  <w:vAlign w:val="center"/>
                </w:tcPr>
                <w:p w14:paraId="76DE047A">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贮存方式</w:t>
                  </w:r>
                </w:p>
              </w:tc>
              <w:tc>
                <w:tcPr>
                  <w:tcW w:w="957" w:type="pct"/>
                  <w:tcBorders>
                    <w:tl2br w:val="nil"/>
                    <w:tr2bl w:val="nil"/>
                  </w:tcBorders>
                  <w:noWrap w:val="0"/>
                  <w:vAlign w:val="center"/>
                </w:tcPr>
                <w:p w14:paraId="53B05A20">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去向或处理情况</w:t>
                  </w:r>
                </w:p>
              </w:tc>
            </w:tr>
            <w:tr w14:paraId="2C98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1D44FF6C">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615" w:type="pct"/>
                  <w:tcBorders>
                    <w:tl2br w:val="nil"/>
                    <w:tr2bl w:val="nil"/>
                  </w:tcBorders>
                  <w:noWrap w:val="0"/>
                  <w:vAlign w:val="center"/>
                </w:tcPr>
                <w:p w14:paraId="4180B018">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551" w:type="pct"/>
                  <w:tcBorders>
                    <w:tl2br w:val="nil"/>
                    <w:tr2bl w:val="nil"/>
                  </w:tcBorders>
                  <w:noWrap w:val="0"/>
                  <w:vAlign w:val="center"/>
                </w:tcPr>
                <w:p w14:paraId="6204D43F">
                  <w:pPr>
                    <w:pStyle w:val="71"/>
                    <w:bidi w:val="0"/>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日常生活</w:t>
                  </w:r>
                </w:p>
              </w:tc>
              <w:tc>
                <w:tcPr>
                  <w:tcW w:w="581" w:type="pct"/>
                  <w:tcBorders>
                    <w:tl2br w:val="nil"/>
                    <w:tr2bl w:val="nil"/>
                  </w:tcBorders>
                  <w:noWrap w:val="0"/>
                  <w:vAlign w:val="center"/>
                </w:tcPr>
                <w:p w14:paraId="56997D6C">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固态</w:t>
                  </w:r>
                </w:p>
              </w:tc>
              <w:tc>
                <w:tcPr>
                  <w:tcW w:w="486" w:type="pct"/>
                  <w:tcBorders>
                    <w:tl2br w:val="nil"/>
                    <w:tr2bl w:val="nil"/>
                  </w:tcBorders>
                  <w:noWrap w:val="0"/>
                  <w:vAlign w:val="center"/>
                </w:tcPr>
                <w:p w14:paraId="2795D2CE">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一般</w:t>
                  </w:r>
                </w:p>
                <w:p w14:paraId="6C0D6887">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固废</w:t>
                  </w:r>
                </w:p>
              </w:tc>
              <w:tc>
                <w:tcPr>
                  <w:tcW w:w="576" w:type="pct"/>
                  <w:tcBorders>
                    <w:tl2br w:val="nil"/>
                    <w:tr2bl w:val="nil"/>
                  </w:tcBorders>
                  <w:noWrap w:val="0"/>
                  <w:vAlign w:val="center"/>
                </w:tcPr>
                <w:p w14:paraId="372785D3">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0.1825</w:t>
                  </w:r>
                </w:p>
              </w:tc>
              <w:tc>
                <w:tcPr>
                  <w:tcW w:w="963" w:type="pct"/>
                  <w:tcBorders>
                    <w:tl2br w:val="nil"/>
                    <w:tr2bl w:val="nil"/>
                  </w:tcBorders>
                  <w:noWrap w:val="0"/>
                  <w:vAlign w:val="center"/>
                </w:tcPr>
                <w:p w14:paraId="01CA069C">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分类后用垃圾桶收集</w:t>
                  </w:r>
                </w:p>
              </w:tc>
              <w:tc>
                <w:tcPr>
                  <w:tcW w:w="957" w:type="pct"/>
                  <w:vMerge w:val="restart"/>
                  <w:tcBorders>
                    <w:tl2br w:val="nil"/>
                    <w:tr2bl w:val="nil"/>
                  </w:tcBorders>
                  <w:noWrap w:val="0"/>
                  <w:vAlign w:val="center"/>
                </w:tcPr>
                <w:p w14:paraId="43356555">
                  <w:pPr>
                    <w:pStyle w:val="71"/>
                    <w:bidi w:val="0"/>
                    <w:rPr>
                      <w:rFonts w:hint="default" w:ascii="Times New Roman" w:hAnsi="Times New Roman" w:cs="Times New Roman"/>
                      <w:lang w:val="en-US" w:eastAsia="zh-CN"/>
                    </w:rPr>
                  </w:pPr>
                  <w:r>
                    <w:rPr>
                      <w:rFonts w:hint="default" w:ascii="Times New Roman" w:hAnsi="Times New Roman" w:cs="Times New Roman"/>
                      <w:lang w:val="en-US"/>
                    </w:rPr>
                    <w:t>回填于垃圾填埋场</w:t>
                  </w:r>
                </w:p>
              </w:tc>
            </w:tr>
            <w:tr w14:paraId="7A99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68" w:type="pct"/>
                  <w:tcBorders>
                    <w:tl2br w:val="nil"/>
                    <w:tr2bl w:val="nil"/>
                  </w:tcBorders>
                  <w:noWrap w:val="0"/>
                  <w:vAlign w:val="center"/>
                </w:tcPr>
                <w:p w14:paraId="496092B1">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615" w:type="pct"/>
                  <w:tcBorders>
                    <w:tl2br w:val="nil"/>
                    <w:tr2bl w:val="nil"/>
                  </w:tcBorders>
                  <w:noWrap w:val="0"/>
                  <w:vAlign w:val="center"/>
                </w:tcPr>
                <w:p w14:paraId="5E2E806E">
                  <w:pPr>
                    <w:pStyle w:val="71"/>
                    <w:bidi w:val="0"/>
                    <w:rPr>
                      <w:rFonts w:hint="default" w:ascii="Times New Roman" w:hAnsi="Times New Roman" w:cs="Times New Roman"/>
                      <w:lang w:val="en-US" w:eastAsia="zh-CN"/>
                    </w:rPr>
                  </w:pPr>
                  <w:r>
                    <w:rPr>
                      <w:rFonts w:hint="default" w:ascii="Times New Roman" w:hAnsi="Times New Roman" w:cs="Times New Roman"/>
                      <w:lang w:val="en-US"/>
                    </w:rPr>
                    <w:t>污泥</w:t>
                  </w:r>
                </w:p>
              </w:tc>
              <w:tc>
                <w:tcPr>
                  <w:tcW w:w="551" w:type="pct"/>
                  <w:tcBorders>
                    <w:tl2br w:val="nil"/>
                    <w:tr2bl w:val="nil"/>
                  </w:tcBorders>
                  <w:noWrap w:val="0"/>
                  <w:vAlign w:val="center"/>
                </w:tcPr>
                <w:p w14:paraId="65E03B72">
                  <w:pPr>
                    <w:pStyle w:val="71"/>
                    <w:bidi w:val="0"/>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渗滤液处理</w:t>
                  </w:r>
                </w:p>
              </w:tc>
              <w:tc>
                <w:tcPr>
                  <w:tcW w:w="581" w:type="pct"/>
                  <w:tcBorders>
                    <w:tl2br w:val="nil"/>
                    <w:tr2bl w:val="nil"/>
                  </w:tcBorders>
                  <w:noWrap w:val="0"/>
                  <w:vAlign w:val="center"/>
                </w:tcPr>
                <w:p w14:paraId="29FE8C05">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固态</w:t>
                  </w:r>
                </w:p>
              </w:tc>
              <w:tc>
                <w:tcPr>
                  <w:tcW w:w="486" w:type="pct"/>
                  <w:tcBorders>
                    <w:tl2br w:val="nil"/>
                    <w:tr2bl w:val="nil"/>
                  </w:tcBorders>
                  <w:noWrap w:val="0"/>
                  <w:vAlign w:val="center"/>
                </w:tcPr>
                <w:p w14:paraId="73DDDA05">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一般</w:t>
                  </w:r>
                </w:p>
                <w:p w14:paraId="4065030F">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固废</w:t>
                  </w:r>
                </w:p>
              </w:tc>
              <w:tc>
                <w:tcPr>
                  <w:tcW w:w="576" w:type="pct"/>
                  <w:tcBorders>
                    <w:tl2br w:val="nil"/>
                    <w:tr2bl w:val="nil"/>
                  </w:tcBorders>
                  <w:noWrap w:val="0"/>
                  <w:vAlign w:val="center"/>
                </w:tcPr>
                <w:p w14:paraId="25435456">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25.6</w:t>
                  </w:r>
                </w:p>
              </w:tc>
              <w:tc>
                <w:tcPr>
                  <w:tcW w:w="963" w:type="pct"/>
                  <w:tcBorders>
                    <w:tl2br w:val="nil"/>
                    <w:tr2bl w:val="nil"/>
                  </w:tcBorders>
                  <w:noWrap w:val="0"/>
                  <w:vAlign w:val="center"/>
                </w:tcPr>
                <w:p w14:paraId="36472054">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957" w:type="pct"/>
                  <w:vMerge w:val="continue"/>
                  <w:tcBorders>
                    <w:tl2br w:val="nil"/>
                    <w:tr2bl w:val="nil"/>
                  </w:tcBorders>
                  <w:noWrap w:val="0"/>
                  <w:vAlign w:val="center"/>
                </w:tcPr>
                <w:p w14:paraId="232304B9">
                  <w:pPr>
                    <w:pStyle w:val="71"/>
                    <w:bidi w:val="0"/>
                    <w:rPr>
                      <w:rFonts w:hint="default" w:ascii="Times New Roman" w:hAnsi="Times New Roman" w:cs="Times New Roman"/>
                      <w:lang w:val="en-US" w:eastAsia="zh-CN"/>
                    </w:rPr>
                  </w:pPr>
                </w:p>
              </w:tc>
            </w:tr>
            <w:tr w14:paraId="4FA3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51C0C9B9">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615" w:type="pct"/>
                  <w:tcBorders>
                    <w:tl2br w:val="nil"/>
                    <w:tr2bl w:val="nil"/>
                  </w:tcBorders>
                  <w:noWrap w:val="0"/>
                  <w:vAlign w:val="center"/>
                </w:tcPr>
                <w:p w14:paraId="3870C807">
                  <w:pPr>
                    <w:pStyle w:val="71"/>
                    <w:bidi w:val="0"/>
                    <w:rPr>
                      <w:rFonts w:hint="default" w:ascii="Times New Roman" w:hAnsi="Times New Roman" w:cs="Times New Roman"/>
                      <w:lang w:val="en-US" w:eastAsia="zh-CN"/>
                    </w:rPr>
                  </w:pPr>
                  <w:r>
                    <w:rPr>
                      <w:rFonts w:hint="default" w:ascii="Times New Roman" w:hAnsi="Times New Roman" w:cs="Times New Roman"/>
                      <w:lang w:val="en-US"/>
                    </w:rPr>
                    <w:t>废滤膜</w:t>
                  </w:r>
                </w:p>
              </w:tc>
              <w:tc>
                <w:tcPr>
                  <w:tcW w:w="551" w:type="pct"/>
                  <w:tcBorders>
                    <w:tl2br w:val="nil"/>
                    <w:tr2bl w:val="nil"/>
                  </w:tcBorders>
                  <w:noWrap w:val="0"/>
                  <w:vAlign w:val="center"/>
                </w:tcPr>
                <w:p w14:paraId="5DC9D6E6">
                  <w:pPr>
                    <w:pStyle w:val="71"/>
                    <w:bidi w:val="0"/>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渗滤液处理</w:t>
                  </w:r>
                </w:p>
              </w:tc>
              <w:tc>
                <w:tcPr>
                  <w:tcW w:w="581" w:type="pct"/>
                  <w:tcBorders>
                    <w:tl2br w:val="nil"/>
                    <w:tr2bl w:val="nil"/>
                  </w:tcBorders>
                  <w:noWrap w:val="0"/>
                  <w:vAlign w:val="center"/>
                </w:tcPr>
                <w:p w14:paraId="68128B84">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固态</w:t>
                  </w:r>
                </w:p>
              </w:tc>
              <w:tc>
                <w:tcPr>
                  <w:tcW w:w="486" w:type="pct"/>
                  <w:tcBorders>
                    <w:tl2br w:val="nil"/>
                    <w:tr2bl w:val="nil"/>
                  </w:tcBorders>
                  <w:noWrap w:val="0"/>
                  <w:vAlign w:val="center"/>
                </w:tcPr>
                <w:p w14:paraId="507B0873">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576" w:type="pct"/>
                  <w:tcBorders>
                    <w:tl2br w:val="nil"/>
                    <w:tr2bl w:val="nil"/>
                  </w:tcBorders>
                  <w:noWrap w:val="0"/>
                  <w:vAlign w:val="center"/>
                </w:tcPr>
                <w:p w14:paraId="4CEE6848">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0.08</w:t>
                  </w:r>
                </w:p>
              </w:tc>
              <w:tc>
                <w:tcPr>
                  <w:tcW w:w="963" w:type="pct"/>
                  <w:tcBorders>
                    <w:tl2br w:val="nil"/>
                    <w:tr2bl w:val="nil"/>
                  </w:tcBorders>
                  <w:noWrap w:val="0"/>
                  <w:vAlign w:val="center"/>
                </w:tcPr>
                <w:p w14:paraId="644E5A61">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957" w:type="pct"/>
                  <w:tcBorders>
                    <w:tl2br w:val="nil"/>
                    <w:tr2bl w:val="nil"/>
                  </w:tcBorders>
                  <w:noWrap w:val="0"/>
                  <w:vAlign w:val="center"/>
                </w:tcPr>
                <w:p w14:paraId="78A38774">
                  <w:pPr>
                    <w:pStyle w:val="71"/>
                    <w:bidi w:val="0"/>
                    <w:rPr>
                      <w:rFonts w:hint="default" w:ascii="Times New Roman" w:hAnsi="Times New Roman" w:cs="Times New Roman"/>
                      <w:lang w:val="en-US" w:eastAsia="zh-CN"/>
                    </w:rPr>
                  </w:pPr>
                  <w:r>
                    <w:rPr>
                      <w:rFonts w:hint="default" w:ascii="Times New Roman" w:hAnsi="Times New Roman" w:cs="Times New Roman"/>
                      <w:lang w:val="en-US"/>
                    </w:rPr>
                    <w:t>由厂家回收处理</w:t>
                  </w:r>
                </w:p>
              </w:tc>
            </w:tr>
            <w:tr w14:paraId="66EE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615756A7">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615" w:type="pct"/>
                  <w:tcBorders>
                    <w:tl2br w:val="nil"/>
                    <w:tr2bl w:val="nil"/>
                  </w:tcBorders>
                  <w:noWrap w:val="0"/>
                  <w:vAlign w:val="center"/>
                </w:tcPr>
                <w:p w14:paraId="2A756EAF">
                  <w:pPr>
                    <w:pStyle w:val="71"/>
                    <w:bidi w:val="0"/>
                    <w:rPr>
                      <w:rFonts w:hint="default" w:ascii="Times New Roman" w:hAnsi="Times New Roman" w:cs="Times New Roman"/>
                      <w:lang w:val="en-US" w:eastAsia="zh-CN"/>
                    </w:rPr>
                  </w:pPr>
                  <w:r>
                    <w:rPr>
                      <w:rFonts w:hint="default" w:ascii="Times New Roman" w:hAnsi="Times New Roman" w:cs="Times New Roman"/>
                      <w:lang w:val="en-US"/>
                    </w:rPr>
                    <w:t>废化学品包装容器</w:t>
                  </w:r>
                </w:p>
              </w:tc>
              <w:tc>
                <w:tcPr>
                  <w:tcW w:w="551" w:type="pct"/>
                  <w:tcBorders>
                    <w:tl2br w:val="nil"/>
                    <w:tr2bl w:val="nil"/>
                  </w:tcBorders>
                  <w:noWrap w:val="0"/>
                  <w:vAlign w:val="center"/>
                </w:tcPr>
                <w:p w14:paraId="594ABA8E">
                  <w:pPr>
                    <w:pStyle w:val="71"/>
                    <w:bidi w:val="0"/>
                    <w:rPr>
                      <w:rFonts w:hint="default" w:ascii="Times New Roman" w:hAnsi="Times New Roman" w:cs="Times New Roman"/>
                      <w:lang w:val="en-US" w:eastAsia="zh-CN"/>
                    </w:rPr>
                  </w:pPr>
                  <w:r>
                    <w:rPr>
                      <w:rFonts w:hint="default" w:ascii="Times New Roman" w:hAnsi="Times New Roman" w:cs="Times New Roman"/>
                      <w:color w:val="auto"/>
                      <w:sz w:val="21"/>
                      <w:szCs w:val="21"/>
                      <w:vertAlign w:val="baseline"/>
                      <w:lang w:val="en-US" w:eastAsia="zh-CN"/>
                    </w:rPr>
                    <w:t>原料包装</w:t>
                  </w:r>
                </w:p>
              </w:tc>
              <w:tc>
                <w:tcPr>
                  <w:tcW w:w="581" w:type="pct"/>
                  <w:tcBorders>
                    <w:tl2br w:val="nil"/>
                    <w:tr2bl w:val="nil"/>
                  </w:tcBorders>
                  <w:noWrap w:val="0"/>
                  <w:vAlign w:val="center"/>
                </w:tcPr>
                <w:p w14:paraId="3F9EFA6E">
                  <w:pPr>
                    <w:pStyle w:val="71"/>
                    <w:bidi w:val="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固态</w:t>
                  </w:r>
                </w:p>
              </w:tc>
              <w:tc>
                <w:tcPr>
                  <w:tcW w:w="486" w:type="pct"/>
                  <w:tcBorders>
                    <w:tl2br w:val="nil"/>
                    <w:tr2bl w:val="nil"/>
                  </w:tcBorders>
                  <w:noWrap w:val="0"/>
                  <w:vAlign w:val="center"/>
                </w:tcPr>
                <w:p w14:paraId="5A908F38">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危险</w:t>
                  </w:r>
                </w:p>
                <w:p w14:paraId="43070AA5">
                  <w:pPr>
                    <w:pStyle w:val="71"/>
                    <w:bidi w:val="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lang w:val="en-US" w:eastAsia="zh-CN"/>
                    </w:rPr>
                    <w:t>废物</w:t>
                  </w:r>
                </w:p>
              </w:tc>
              <w:tc>
                <w:tcPr>
                  <w:tcW w:w="576" w:type="pct"/>
                  <w:tcBorders>
                    <w:tl2br w:val="nil"/>
                    <w:tr2bl w:val="nil"/>
                  </w:tcBorders>
                  <w:noWrap w:val="0"/>
                  <w:vAlign w:val="center"/>
                </w:tcPr>
                <w:p w14:paraId="7504EC1E">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0.2</w:t>
                  </w:r>
                </w:p>
              </w:tc>
              <w:tc>
                <w:tcPr>
                  <w:tcW w:w="963" w:type="pct"/>
                  <w:tcBorders>
                    <w:tl2br w:val="nil"/>
                    <w:tr2bl w:val="nil"/>
                  </w:tcBorders>
                  <w:noWrap w:val="0"/>
                  <w:vAlign w:val="center"/>
                </w:tcPr>
                <w:p w14:paraId="06A15C1E">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暂存于危废暂存间</w:t>
                  </w:r>
                </w:p>
              </w:tc>
              <w:tc>
                <w:tcPr>
                  <w:tcW w:w="957" w:type="pct"/>
                  <w:vMerge w:val="restart"/>
                  <w:tcBorders>
                    <w:tl2br w:val="nil"/>
                    <w:tr2bl w:val="nil"/>
                  </w:tcBorders>
                  <w:noWrap w:val="0"/>
                  <w:vAlign w:val="center"/>
                </w:tcPr>
                <w:p w14:paraId="3E7889C3">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委托有资质单位处理</w:t>
                  </w:r>
                </w:p>
              </w:tc>
            </w:tr>
            <w:tr w14:paraId="2A9C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14:paraId="177E3DF3">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615" w:type="pct"/>
                  <w:tcBorders>
                    <w:tl2br w:val="nil"/>
                    <w:tr2bl w:val="nil"/>
                  </w:tcBorders>
                  <w:noWrap w:val="0"/>
                  <w:vAlign w:val="center"/>
                </w:tcPr>
                <w:p w14:paraId="5390037D">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废机油</w:t>
                  </w:r>
                </w:p>
              </w:tc>
              <w:tc>
                <w:tcPr>
                  <w:tcW w:w="551" w:type="pct"/>
                  <w:tcBorders>
                    <w:tl2br w:val="nil"/>
                    <w:tr2bl w:val="nil"/>
                  </w:tcBorders>
                  <w:noWrap w:val="0"/>
                  <w:vAlign w:val="center"/>
                </w:tcPr>
                <w:p w14:paraId="72CEF0C8">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设备</w:t>
                  </w:r>
                </w:p>
                <w:p w14:paraId="133B5A6D">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维修</w:t>
                  </w:r>
                </w:p>
              </w:tc>
              <w:tc>
                <w:tcPr>
                  <w:tcW w:w="581" w:type="pct"/>
                  <w:tcBorders>
                    <w:tl2br w:val="nil"/>
                    <w:tr2bl w:val="nil"/>
                  </w:tcBorders>
                  <w:noWrap w:val="0"/>
                  <w:vAlign w:val="center"/>
                </w:tcPr>
                <w:p w14:paraId="540436E9">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液态</w:t>
                  </w:r>
                </w:p>
              </w:tc>
              <w:tc>
                <w:tcPr>
                  <w:tcW w:w="486" w:type="pct"/>
                  <w:tcBorders>
                    <w:tl2br w:val="nil"/>
                    <w:tr2bl w:val="nil"/>
                  </w:tcBorders>
                  <w:noWrap w:val="0"/>
                  <w:vAlign w:val="center"/>
                </w:tcPr>
                <w:p w14:paraId="18AB42BD">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危险</w:t>
                  </w:r>
                </w:p>
                <w:p w14:paraId="7BD38D92">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废物</w:t>
                  </w:r>
                </w:p>
              </w:tc>
              <w:tc>
                <w:tcPr>
                  <w:tcW w:w="576" w:type="pct"/>
                  <w:tcBorders>
                    <w:tl2br w:val="nil"/>
                    <w:tr2bl w:val="nil"/>
                  </w:tcBorders>
                  <w:noWrap w:val="0"/>
                  <w:vAlign w:val="center"/>
                </w:tcPr>
                <w:p w14:paraId="3B0F02EB">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0.01</w:t>
                  </w:r>
                </w:p>
              </w:tc>
              <w:tc>
                <w:tcPr>
                  <w:tcW w:w="963" w:type="pct"/>
                  <w:tcBorders>
                    <w:tl2br w:val="nil"/>
                    <w:tr2bl w:val="nil"/>
                  </w:tcBorders>
                  <w:noWrap w:val="0"/>
                  <w:vAlign w:val="center"/>
                </w:tcPr>
                <w:p w14:paraId="745629DB">
                  <w:pPr>
                    <w:pStyle w:val="71"/>
                    <w:bidi w:val="0"/>
                    <w:rPr>
                      <w:rFonts w:hint="default" w:ascii="Times New Roman" w:hAnsi="Times New Roman" w:cs="Times New Roman"/>
                      <w:lang w:val="en-US" w:eastAsia="zh-CN"/>
                    </w:rPr>
                  </w:pPr>
                  <w:r>
                    <w:rPr>
                      <w:rFonts w:hint="default" w:ascii="Times New Roman" w:hAnsi="Times New Roman" w:cs="Times New Roman"/>
                      <w:lang w:val="en-US" w:eastAsia="zh-CN"/>
                    </w:rPr>
                    <w:t>用专用油桶收集，暂存于危废暂存间</w:t>
                  </w:r>
                </w:p>
              </w:tc>
              <w:tc>
                <w:tcPr>
                  <w:tcW w:w="957" w:type="pct"/>
                  <w:vMerge w:val="continue"/>
                  <w:tcBorders>
                    <w:tl2br w:val="nil"/>
                    <w:tr2bl w:val="nil"/>
                  </w:tcBorders>
                  <w:noWrap w:val="0"/>
                  <w:vAlign w:val="center"/>
                </w:tcPr>
                <w:p w14:paraId="1A396355">
                  <w:pPr>
                    <w:pStyle w:val="71"/>
                    <w:bidi w:val="0"/>
                    <w:rPr>
                      <w:rFonts w:hint="default" w:ascii="Times New Roman" w:hAnsi="Times New Roman" w:cs="Times New Roman"/>
                      <w:lang w:val="en-US" w:eastAsia="zh-CN"/>
                    </w:rPr>
                  </w:pPr>
                </w:p>
              </w:tc>
            </w:tr>
          </w:tbl>
          <w:p w14:paraId="4B3C14F9">
            <w:pPr>
              <w:pStyle w:val="3"/>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固体废物环境影响分析</w:t>
            </w:r>
          </w:p>
          <w:p w14:paraId="387DE1E8">
            <w:pPr>
              <w:pStyle w:val="3"/>
              <w:ind w:firstLine="480"/>
              <w:rPr>
                <w:rFonts w:hint="default" w:ascii="Times New Roman" w:hAnsi="Times New Roman" w:cs="Times New Roman"/>
              </w:rPr>
            </w:pPr>
            <w:r>
              <w:rPr>
                <w:rFonts w:hint="default" w:ascii="Times New Roman" w:hAnsi="Times New Roman" w:cs="Times New Roman"/>
                <w:lang w:val="en-US"/>
              </w:rPr>
              <w:t>项目固体废物主要为生活垃圾、污泥、废滤膜</w:t>
            </w:r>
            <w:r>
              <w:rPr>
                <w:rFonts w:hint="default" w:ascii="Times New Roman" w:hAnsi="Times New Roman" w:cs="Times New Roman"/>
                <w:lang w:val="en-US" w:eastAsia="zh-CN"/>
              </w:rPr>
              <w:t>、</w:t>
            </w:r>
            <w:r>
              <w:rPr>
                <w:rFonts w:hint="default" w:ascii="Times New Roman" w:hAnsi="Times New Roman" w:cs="Times New Roman"/>
                <w:lang w:val="en-US"/>
              </w:rPr>
              <w:t>废化学品包装容器</w:t>
            </w:r>
            <w:r>
              <w:rPr>
                <w:rFonts w:hint="default" w:ascii="Times New Roman" w:hAnsi="Times New Roman" w:cs="Times New Roman"/>
                <w:lang w:val="en-US" w:eastAsia="zh-CN"/>
              </w:rPr>
              <w:t>、废油</w:t>
            </w:r>
            <w:r>
              <w:rPr>
                <w:rFonts w:hint="default" w:ascii="Times New Roman" w:hAnsi="Times New Roman" w:cs="Times New Roman"/>
                <w:lang w:val="en-US"/>
              </w:rPr>
              <w:t>。生活垃圾回填</w:t>
            </w:r>
            <w:r>
              <w:rPr>
                <w:rFonts w:hint="default" w:ascii="Times New Roman" w:hAnsi="Times New Roman" w:cs="Times New Roman"/>
                <w:lang w:val="en-US" w:eastAsia="zh-CN"/>
              </w:rPr>
              <w:t>于</w:t>
            </w:r>
            <w:r>
              <w:rPr>
                <w:rFonts w:hint="default" w:ascii="Times New Roman" w:hAnsi="Times New Roman" w:cs="Times New Roman"/>
                <w:lang w:val="en-US"/>
              </w:rPr>
              <w:t>垃圾填埋场。渗滤液处理厂产生的污泥经压滤机压滤后回填</w:t>
            </w:r>
            <w:r>
              <w:rPr>
                <w:rFonts w:hint="default" w:ascii="Times New Roman" w:hAnsi="Times New Roman" w:cs="Times New Roman"/>
                <w:lang w:val="en-US" w:eastAsia="zh-CN"/>
              </w:rPr>
              <w:t>于</w:t>
            </w:r>
            <w:r>
              <w:rPr>
                <w:rFonts w:hint="default" w:ascii="Times New Roman" w:hAnsi="Times New Roman" w:cs="Times New Roman"/>
                <w:lang w:val="en-US"/>
              </w:rPr>
              <w:t>垃圾填埋场。废滤膜由厂家回收处理。废化学品包装容器集中收集后交由有资质单位处理。</w:t>
            </w:r>
            <w:r>
              <w:rPr>
                <w:rFonts w:hint="default" w:ascii="Times New Roman" w:hAnsi="Times New Roman" w:cs="Times New Roman"/>
                <w:lang w:val="en-US" w:eastAsia="zh-CN"/>
              </w:rPr>
              <w:t>废机油用专用油桶收集，暂存于危废暂存间，</w:t>
            </w:r>
            <w:r>
              <w:rPr>
                <w:rFonts w:hint="default" w:ascii="Times New Roman" w:hAnsi="Times New Roman" w:cs="Times New Roman"/>
                <w:lang w:val="en-US"/>
              </w:rPr>
              <w:t>交由有资质单位处理。</w:t>
            </w:r>
          </w:p>
          <w:p w14:paraId="772FC56C">
            <w:pPr>
              <w:pStyle w:val="3"/>
              <w:ind w:firstLine="480"/>
              <w:rPr>
                <w:rFonts w:hint="default" w:ascii="Times New Roman" w:hAnsi="Times New Roman" w:cs="Times New Roman"/>
              </w:rPr>
            </w:pPr>
            <w:r>
              <w:rPr>
                <w:rFonts w:hint="default" w:ascii="Times New Roman" w:hAnsi="Times New Roman" w:cs="Times New Roman"/>
              </w:rPr>
              <w:t>在</w:t>
            </w:r>
            <w:r>
              <w:rPr>
                <w:rFonts w:hint="default" w:ascii="Times New Roman" w:hAnsi="Times New Roman" w:cs="Times New Roman"/>
                <w:lang w:eastAsia="zh-CN"/>
              </w:rPr>
              <w:t>辅助用房有</w:t>
            </w:r>
            <w:r>
              <w:rPr>
                <w:rFonts w:hint="default" w:ascii="Times New Roman" w:hAnsi="Times New Roman" w:cs="Times New Roman"/>
              </w:rPr>
              <w:t>一座危险废物暂存间5m²，</w:t>
            </w:r>
            <w:r>
              <w:rPr>
                <w:rFonts w:hint="default" w:ascii="Times New Roman" w:hAnsi="Times New Roman" w:cs="Times New Roman"/>
                <w:color w:val="000000"/>
              </w:rPr>
              <w:t>危险废物暂存间应按《危险废物贮存污染控制标准》</w:t>
            </w:r>
            <w:r>
              <w:rPr>
                <w:rFonts w:hint="default" w:ascii="Times New Roman" w:hAnsi="Times New Roman" w:cs="Times New Roman"/>
                <w:color w:val="000000"/>
                <w:lang w:bidi="en-US"/>
              </w:rPr>
              <w:t>（GB18597-2001</w:t>
            </w:r>
            <w:r>
              <w:rPr>
                <w:rFonts w:hint="default" w:ascii="Times New Roman" w:hAnsi="Times New Roman" w:eastAsia="Times New Roman" w:cs="Times New Roman"/>
                <w:color w:val="000000"/>
                <w:lang w:bidi="en-US"/>
              </w:rPr>
              <w:t>）</w:t>
            </w:r>
            <w:r>
              <w:rPr>
                <w:rFonts w:hint="default" w:ascii="Times New Roman" w:hAnsi="Times New Roman" w:cs="Times New Roman"/>
                <w:color w:val="000000"/>
              </w:rPr>
              <w:t>的规定，做好防风、防雨、防晒、防渗漏“</w:t>
            </w:r>
            <w:r>
              <w:rPr>
                <w:rFonts w:hint="default" w:ascii="Times New Roman" w:hAnsi="Times New Roman" w:cs="Times New Roman"/>
                <w:color w:val="000000"/>
                <w:lang w:val="zh-CN" w:bidi="zh-CN"/>
              </w:rPr>
              <w:t>四防”</w:t>
            </w:r>
            <w:r>
              <w:rPr>
                <w:rFonts w:hint="default" w:ascii="Times New Roman" w:hAnsi="Times New Roman" w:cs="Times New Roman"/>
                <w:color w:val="000000"/>
              </w:rPr>
              <w:t>措施。</w:t>
            </w:r>
          </w:p>
          <w:p w14:paraId="4153DB3C">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①一般固体废物环境管理要求</w:t>
            </w:r>
          </w:p>
          <w:p w14:paraId="492E7427">
            <w:pPr>
              <w:pStyle w:val="2"/>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企业应严格按照《一般工业固体废物贮存和填埋污染控制标准》（GB18599-2020）、《中华人民共和国固体废物污染环境防治法》的有关规定，建设必要的固体废物分类收集和临时贮存设施，具体要求如下：</w:t>
            </w:r>
          </w:p>
          <w:p w14:paraId="4577814A">
            <w:pPr>
              <w:pStyle w:val="2"/>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A.一般固体废物应分类收集、储存，不能混存；</w:t>
            </w:r>
          </w:p>
          <w:p w14:paraId="76F792DC">
            <w:pPr>
              <w:pStyle w:val="2"/>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B.一般固体废物临时储存点不允许露天堆放，以防雨水冲刷。临时堆放场地为水泥铺设地面，以防渗漏；</w:t>
            </w:r>
          </w:p>
          <w:p w14:paraId="04BCE933">
            <w:pPr>
              <w:pStyle w:val="2"/>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C.应加强临时储存场的管理，并设置环境保护图形标志；</w:t>
            </w:r>
          </w:p>
          <w:p w14:paraId="47AE68A2">
            <w:pPr>
              <w:pStyle w:val="3"/>
              <w:ind w:firstLine="480"/>
              <w:rPr>
                <w:rFonts w:hint="default" w:ascii="Times New Roman" w:hAnsi="Times New Roman" w:cs="Times New Roman"/>
              </w:rPr>
            </w:pPr>
            <w:r>
              <w:rPr>
                <w:rFonts w:hint="default" w:ascii="Times New Roman" w:hAnsi="Times New Roman" w:cs="Times New Roman"/>
                <w:sz w:val="24"/>
                <w:szCs w:val="24"/>
                <w:lang w:val="en-US" w:eastAsia="zh-CN"/>
              </w:rPr>
              <w:t>D.建立档案制度，将临时储存的一般固体废物的种类、数量和外运的一般固体废物的种类、数量详细记录在案，长期保存，供随时查阅</w:t>
            </w:r>
            <w:r>
              <w:rPr>
                <w:rFonts w:hint="default" w:ascii="Times New Roman" w:hAnsi="Times New Roman" w:cs="Times New Roman"/>
              </w:rPr>
              <w:t>。</w:t>
            </w:r>
          </w:p>
          <w:p w14:paraId="25BD7E87">
            <w:pPr>
              <w:pStyle w:val="3"/>
              <w:ind w:firstLine="480"/>
              <w:rPr>
                <w:rFonts w:hint="default" w:ascii="Times New Roman" w:hAnsi="Times New Roman" w:cs="Times New Roman"/>
                <w:lang w:val="en-US" w:eastAsia="zh-CN"/>
              </w:rPr>
            </w:pPr>
            <w:r>
              <w:rPr>
                <w:rFonts w:hint="default" w:ascii="Times New Roman" w:hAnsi="Times New Roman" w:cs="Times New Roman"/>
                <w:lang w:val="en-US" w:eastAsia="zh-CN"/>
              </w:rPr>
              <w:t>本项目不设置一般废物暂存间，</w:t>
            </w:r>
            <w:r>
              <w:rPr>
                <w:rFonts w:hint="default" w:ascii="Times New Roman" w:hAnsi="Times New Roman" w:cs="Times New Roman"/>
                <w:lang w:val="en-US"/>
              </w:rPr>
              <w:t>废滤膜</w:t>
            </w:r>
            <w:r>
              <w:rPr>
                <w:rFonts w:hint="default" w:ascii="Times New Roman" w:hAnsi="Times New Roman" w:cs="Times New Roman"/>
                <w:lang w:val="en-US" w:eastAsia="zh-CN"/>
              </w:rPr>
              <w:t>由厂家更换后回收处理；生活垃圾经垃圾桶收集后直接进入垃圾填埋场填埋；产生的污泥直接进入垃圾填埋场填埋。</w:t>
            </w:r>
          </w:p>
          <w:p w14:paraId="20B88E53">
            <w:pPr>
              <w:pStyle w:val="3"/>
              <w:ind w:firstLine="480"/>
              <w:rPr>
                <w:rFonts w:hint="default" w:ascii="Times New Roman" w:hAnsi="Times New Roman" w:cs="Times New Roman"/>
                <w:lang w:val="en-US" w:eastAsia="zh-CN"/>
              </w:rPr>
            </w:pPr>
            <w:r>
              <w:rPr>
                <w:rFonts w:hint="default" w:ascii="Times New Roman" w:hAnsi="Times New Roman" w:cs="Times New Roman"/>
                <w:lang w:val="en-US" w:eastAsia="zh-CN"/>
              </w:rPr>
              <w:t>②危险废物环境管理要求</w:t>
            </w:r>
          </w:p>
          <w:p w14:paraId="5EC4394D">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A.贮存场所（设施）要求及环境影响分析。企业应按照《危险废物贮存污染控制标准》（GB18597-2001）及其修改单要求设置危废暂存间，远离厂区内外人员活动区以及生活垃圾暂存地。危废暂存间应做好防腐、防渗、防雨“三防”措施，防止二次污染；地面采用坚固、防渗、耐腐蚀的材料建造；危险废物按照类别分置于防渗漏的专用包装物或者密闭的容器内，专用包装物、容器设有明显的警示标识和警示说明。建设单位产生的废机油，即使有少量的泄漏，通过及时的收集处理，对地下水和土壤环境基本不会产生影响。</w:t>
            </w:r>
          </w:p>
          <w:p w14:paraId="490769A6">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B.运输过程要求及环境影响分析。企业在厂内将危废运送至危废暂存间时应防止撒落，意外撒落应做好收集工作。</w:t>
            </w:r>
          </w:p>
          <w:p w14:paraId="13431BD5">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企业必须对在生产运行过程中产生的危险废物进行申报登记，制定定期外运制度，并对危险废物的流向和最终处置进行跟踪，确保危险废物得到有效处置，禁止在转移过程中将危险废物排放至环境中，防止运输过程中危险废物的污染损害是防止危险废物污染损害的主要环节之一。</w:t>
            </w:r>
          </w:p>
          <w:p w14:paraId="28273CEF">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则危废运输过程不会对周边环境产生影响。</w:t>
            </w:r>
          </w:p>
          <w:p w14:paraId="1DFD6625">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C.利用处置阶段环境影响分析。企业应与有相应类别的危废处理资质的单位签订危险废物的委托处理协议，定期委托处理。企业危废如能合理利用处置，则不会对周边环境产生影响。</w:t>
            </w:r>
          </w:p>
          <w:p w14:paraId="401B9683">
            <w:pPr>
              <w:pStyle w:val="3"/>
              <w:bidi w:val="0"/>
              <w:rPr>
                <w:rFonts w:hint="default" w:ascii="Times New Roman" w:hAnsi="Times New Roman" w:cs="Times New Roman"/>
              </w:rPr>
            </w:pPr>
            <w:r>
              <w:rPr>
                <w:rFonts w:hint="default" w:ascii="Times New Roman" w:hAnsi="Times New Roman" w:cs="Times New Roman"/>
                <w:lang w:val="en-US" w:eastAsia="zh-CN"/>
              </w:rPr>
              <w:t>综上，本项目的固废严格遵循“资源化、减量化、无害化”基本原则，通过上述措施妥善安置存放、合理利用处置，则不会对周围环境造成不利影响</w:t>
            </w:r>
            <w:r>
              <w:rPr>
                <w:rFonts w:hint="default" w:ascii="Times New Roman" w:hAnsi="Times New Roman" w:cs="Times New Roman"/>
                <w:szCs w:val="24"/>
                <w:lang w:val="en-US" w:eastAsia="zh-CN"/>
              </w:rPr>
              <w:t>。</w:t>
            </w:r>
            <w:r>
              <w:rPr>
                <w:rFonts w:hint="default" w:ascii="Times New Roman" w:hAnsi="Times New Roman" w:cs="Times New Roman"/>
              </w:rPr>
              <w:t xml:space="preserve"> </w:t>
            </w:r>
          </w:p>
          <w:p w14:paraId="44511983">
            <w:pPr>
              <w:pStyle w:val="3"/>
              <w:ind w:firstLine="48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rPr>
              <w:t>固废影响结论</w:t>
            </w:r>
          </w:p>
          <w:p w14:paraId="146FEE62">
            <w:pPr>
              <w:pStyle w:val="3"/>
              <w:ind w:firstLine="480"/>
              <w:rPr>
                <w:rFonts w:hint="default" w:ascii="Times New Roman" w:hAnsi="Times New Roman" w:cs="Times New Roman"/>
              </w:rPr>
            </w:pPr>
            <w:r>
              <w:rPr>
                <w:rFonts w:hint="default" w:ascii="Times New Roman" w:hAnsi="Times New Roman" w:cs="Times New Roman"/>
              </w:rPr>
              <w:t>本项目营运期产生的固体废物均能够得到安全处置，固体废物处理处置符合《生活垃圾填埋场污染控制标准》（GB16889-2008）、《一般工业固体废物贮存和填埋污染控制标准》（GB18599-2020）和《危险废物贮存污染控制标准》（GB18597-2001）及2013年修改单中的相关规定，采取上述措施后，本项目固体废物可得到妥善的处理，对周围环境造成的影响较小。</w:t>
            </w:r>
          </w:p>
          <w:p w14:paraId="14B86DA7">
            <w:pPr>
              <w:pStyle w:val="3"/>
              <w:ind w:firstLine="480"/>
              <w:rPr>
                <w:rFonts w:hint="default" w:ascii="Times New Roman" w:hAnsi="Times New Roman" w:cs="Times New Roman"/>
              </w:rPr>
            </w:pPr>
            <w:r>
              <w:rPr>
                <w:rFonts w:hint="default" w:ascii="Times New Roman" w:hAnsi="Times New Roman" w:cs="Times New Roman"/>
              </w:rPr>
              <w:t>5.地下水及土壤环境</w:t>
            </w:r>
          </w:p>
          <w:p w14:paraId="792F09EE">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（1）地下水</w:t>
            </w:r>
          </w:p>
          <w:p w14:paraId="7B8A0913">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本项目属于水的生产和供应业，其他类。根据《环境影响评价技术导则 地下水环境》（HJ610-2016）附录A内容，本项目为Ⅳ类建设项目。再结合《环境影响评价技术导则 地下水环境》（HJ610-2016）4.1“Ⅳ类建设项目不开展地下水环境影响评价”内容，本项目不进行地下水内容评价。</w:t>
            </w:r>
          </w:p>
          <w:p w14:paraId="0CBB69C7">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本项目对地下水的污染源为危险废物、渗滤液，主要途径为渗透污染。发生泄漏事故进入土壤，从而污染地下防水层。雨季或长时间放置的生活垃圾会产生液体进入土壤，进而污染地下水。</w:t>
            </w:r>
          </w:p>
          <w:p w14:paraId="6A59ED4B">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（2）土壤</w:t>
            </w:r>
          </w:p>
          <w:p w14:paraId="0EF3E1C6">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本项目属于水的生产和供应业。根据《环境影响评价技术导则 地下水环境》（HJ610-2016）附录A内容，本项目为Ⅳ类建设项目。再结合《环境影响评价技术导则 一土壤环境》（HJ964-2018）4.1“Ⅳ类建设项目不开展土壤环境影响评价”内容，本项目不进行地下水内容评价。</w:t>
            </w:r>
          </w:p>
          <w:p w14:paraId="01067F1C">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（3）防控措施</w:t>
            </w:r>
          </w:p>
          <w:p w14:paraId="522667C5">
            <w:pPr>
              <w:pStyle w:val="3"/>
              <w:bidi w:val="0"/>
              <w:rPr>
                <w:rFonts w:hint="default" w:ascii="Times New Roman" w:hAnsi="Times New Roman" w:cs="Times New Roman"/>
                <w:lang w:val="en-US" w:eastAsia="zh-CN"/>
              </w:rPr>
            </w:pPr>
            <w:r>
              <w:rPr>
                <w:rFonts w:hint="default" w:ascii="Times New Roman" w:hAnsi="Times New Roman" w:cs="Times New Roman"/>
                <w:lang w:val="en-US"/>
              </w:rPr>
              <w:t>为了防止本工程建设影响地下水</w:t>
            </w:r>
            <w:r>
              <w:rPr>
                <w:rFonts w:hint="default" w:ascii="Times New Roman" w:hAnsi="Times New Roman" w:cs="Times New Roman"/>
                <w:lang w:val="en-US" w:eastAsia="zh-CN"/>
              </w:rPr>
              <w:t>、土壤</w:t>
            </w:r>
            <w:r>
              <w:rPr>
                <w:rFonts w:hint="default" w:ascii="Times New Roman" w:hAnsi="Times New Roman" w:cs="Times New Roman"/>
                <w:lang w:val="en-US"/>
              </w:rPr>
              <w:t>环境，按照</w:t>
            </w:r>
            <w:r>
              <w:rPr>
                <w:rFonts w:hint="default" w:ascii="Times New Roman" w:hAnsi="Times New Roman" w:cs="Times New Roman"/>
                <w:lang w:val="en-US" w:eastAsia="zh-CN"/>
              </w:rPr>
              <w:t>“</w:t>
            </w:r>
            <w:r>
              <w:rPr>
                <w:rFonts w:hint="default" w:ascii="Times New Roman" w:hAnsi="Times New Roman" w:cs="Times New Roman"/>
                <w:lang w:val="en-US"/>
              </w:rPr>
              <w:t>源头控制、分区防控、污染监控、应急响应</w:t>
            </w:r>
            <w:r>
              <w:rPr>
                <w:rFonts w:hint="default" w:ascii="Times New Roman" w:hAnsi="Times New Roman" w:cs="Times New Roman"/>
                <w:lang w:val="en-US" w:eastAsia="zh-CN"/>
              </w:rPr>
              <w:t>”</w:t>
            </w:r>
            <w:r>
              <w:rPr>
                <w:rFonts w:hint="default" w:ascii="Times New Roman" w:hAnsi="Times New Roman" w:cs="Times New Roman"/>
                <w:lang w:val="en-US"/>
              </w:rPr>
              <w:t>原则，提出如下措施</w:t>
            </w:r>
            <w:r>
              <w:rPr>
                <w:rFonts w:hint="default" w:ascii="Times New Roman" w:hAnsi="Times New Roman" w:cs="Times New Roman"/>
                <w:lang w:val="en-US" w:eastAsia="zh-CN"/>
              </w:rPr>
              <w:t>：</w:t>
            </w:r>
          </w:p>
          <w:p w14:paraId="43FF7678">
            <w:pPr>
              <w:pStyle w:val="3"/>
              <w:bidi w:val="0"/>
              <w:rPr>
                <w:rFonts w:hint="default" w:ascii="Times New Roman" w:hAnsi="Times New Roman" w:cs="Times New Roman"/>
                <w:lang w:val="en-US"/>
              </w:rPr>
            </w:pPr>
            <w:r>
              <w:rPr>
                <w:rFonts w:hint="default" w:ascii="Times New Roman" w:hAnsi="Times New Roman" w:cs="Times New Roman"/>
                <w:lang w:val="en-US"/>
              </w:rPr>
              <w:t>①源头防渗措施</w:t>
            </w:r>
          </w:p>
          <w:p w14:paraId="68000D37">
            <w:pPr>
              <w:pStyle w:val="3"/>
              <w:bidi w:val="0"/>
              <w:rPr>
                <w:rFonts w:hint="default" w:ascii="Times New Roman" w:hAnsi="Times New Roman" w:cs="Times New Roman"/>
                <w:lang w:val="en-US"/>
              </w:rPr>
            </w:pPr>
            <w:r>
              <w:rPr>
                <w:rFonts w:hint="default" w:ascii="Times New Roman" w:hAnsi="Times New Roman" w:cs="Times New Roman"/>
                <w:lang w:val="en-US"/>
              </w:rPr>
              <w:t>按照</w:t>
            </w:r>
            <w:r>
              <w:rPr>
                <w:rFonts w:hint="default" w:ascii="Times New Roman" w:hAnsi="Times New Roman" w:cs="Times New Roman"/>
                <w:lang w:val="en-US" w:eastAsia="zh-CN"/>
              </w:rPr>
              <w:t>“</w:t>
            </w:r>
            <w:r>
              <w:rPr>
                <w:rFonts w:hint="default" w:ascii="Times New Roman" w:hAnsi="Times New Roman" w:cs="Times New Roman"/>
                <w:lang w:val="en-US"/>
              </w:rPr>
              <w:t>源头控制、分区防治、污染监控、应急响应</w:t>
            </w:r>
            <w:r>
              <w:rPr>
                <w:rFonts w:hint="default" w:ascii="Times New Roman" w:hAnsi="Times New Roman" w:cs="Times New Roman"/>
                <w:lang w:val="en-US" w:eastAsia="zh-CN"/>
              </w:rPr>
              <w:t>”</w:t>
            </w:r>
            <w:r>
              <w:rPr>
                <w:rFonts w:hint="default" w:ascii="Times New Roman" w:hAnsi="Times New Roman" w:cs="Times New Roman"/>
                <w:lang w:val="en-US"/>
              </w:rPr>
              <w:t>相结合的原则，从污染物的产生、入渗、扩散、应急响应全方位进行控制。</w:t>
            </w:r>
          </w:p>
          <w:p w14:paraId="331AC87D">
            <w:pPr>
              <w:pStyle w:val="3"/>
              <w:bidi w:val="0"/>
              <w:rPr>
                <w:rFonts w:hint="default" w:ascii="Times New Roman" w:hAnsi="Times New Roman" w:cs="Times New Roman"/>
                <w:lang w:val="en-US"/>
              </w:rPr>
            </w:pPr>
            <w:r>
              <w:rPr>
                <w:rFonts w:hint="default" w:ascii="Times New Roman" w:hAnsi="Times New Roman" w:cs="Times New Roman"/>
                <w:lang w:val="en-US"/>
              </w:rPr>
              <w:t>严格按照国家相关规范要求，对管道、设备、污水储存及处理构筑物采取相应的措施，以防止和降低污染物的跑、冒、滴、漏，降低风险事故。管线敷设</w:t>
            </w:r>
            <w:r>
              <w:rPr>
                <w:rFonts w:hint="default" w:ascii="Times New Roman" w:hAnsi="Times New Roman" w:cs="Times New Roman"/>
                <w:lang w:val="en-US" w:eastAsia="zh-CN"/>
              </w:rPr>
              <w:t>“</w:t>
            </w:r>
            <w:r>
              <w:rPr>
                <w:rFonts w:hint="default" w:ascii="Times New Roman" w:hAnsi="Times New Roman" w:cs="Times New Roman"/>
                <w:lang w:val="en-US"/>
              </w:rPr>
              <w:t>可视化</w:t>
            </w:r>
            <w:r>
              <w:rPr>
                <w:rFonts w:hint="default" w:ascii="Times New Roman" w:hAnsi="Times New Roman" w:cs="Times New Roman"/>
                <w:lang w:val="en-US" w:eastAsia="zh-CN"/>
              </w:rPr>
              <w:t>”</w:t>
            </w:r>
            <w:r>
              <w:rPr>
                <w:rFonts w:hint="default" w:ascii="Times New Roman" w:hAnsi="Times New Roman" w:cs="Times New Roman"/>
                <w:lang w:val="en-US"/>
              </w:rPr>
              <w:t>，即管道地上敷设，做到污染物</w:t>
            </w:r>
            <w:r>
              <w:rPr>
                <w:rFonts w:hint="default" w:ascii="Times New Roman" w:hAnsi="Times New Roman" w:cs="Times New Roman"/>
                <w:lang w:val="en-US" w:eastAsia="zh-CN"/>
              </w:rPr>
              <w:t>“</w:t>
            </w:r>
            <w:r>
              <w:rPr>
                <w:rFonts w:hint="default" w:ascii="Times New Roman" w:hAnsi="Times New Roman" w:cs="Times New Roman"/>
                <w:lang w:val="en-US"/>
              </w:rPr>
              <w:t>早发现、早处理</w:t>
            </w:r>
            <w:r>
              <w:rPr>
                <w:rFonts w:hint="default" w:ascii="Times New Roman" w:hAnsi="Times New Roman" w:cs="Times New Roman"/>
                <w:lang w:val="en-US" w:eastAsia="zh-CN"/>
              </w:rPr>
              <w:t>”</w:t>
            </w:r>
            <w:r>
              <w:rPr>
                <w:rFonts w:hint="default" w:ascii="Times New Roman" w:hAnsi="Times New Roman" w:cs="Times New Roman"/>
                <w:lang w:val="en-US"/>
              </w:rPr>
              <w:t>，以减少由于埋地管道泄漏而可能造成的地下水污染。</w:t>
            </w:r>
          </w:p>
          <w:p w14:paraId="4A2C51A7">
            <w:pPr>
              <w:pStyle w:val="3"/>
              <w:bidi w:val="0"/>
              <w:rPr>
                <w:rFonts w:hint="default" w:ascii="Times New Roman" w:hAnsi="Times New Roman" w:cs="Times New Roman"/>
                <w:lang w:val="en-US"/>
              </w:rPr>
            </w:pPr>
            <w:r>
              <w:rPr>
                <w:rFonts w:hint="default" w:ascii="Times New Roman" w:hAnsi="Times New Roman" w:cs="Times New Roman"/>
                <w:lang w:val="en-US"/>
              </w:rPr>
              <w:t>②分区控制措施</w:t>
            </w:r>
          </w:p>
          <w:p w14:paraId="449552F1">
            <w:pPr>
              <w:pStyle w:val="3"/>
              <w:bidi w:val="0"/>
              <w:rPr>
                <w:rFonts w:hint="default" w:ascii="Times New Roman" w:hAnsi="Times New Roman" w:cs="Times New Roman"/>
                <w:lang w:val="en-US"/>
              </w:rPr>
            </w:pPr>
            <w:r>
              <w:rPr>
                <w:rFonts w:hint="default" w:ascii="Times New Roman" w:hAnsi="Times New Roman" w:cs="Times New Roman"/>
                <w:lang w:val="en-US"/>
              </w:rPr>
              <w:t>根据可能产生污染的地区，划分为重点污染防治区、一般污染防治区。</w:t>
            </w:r>
          </w:p>
          <w:p w14:paraId="333DD9B6">
            <w:pPr>
              <w:pStyle w:val="3"/>
              <w:bidi w:val="0"/>
              <w:rPr>
                <w:rFonts w:hint="default" w:ascii="Times New Roman" w:hAnsi="Times New Roman" w:cs="Times New Roman"/>
                <w:lang w:val="en-US"/>
              </w:rPr>
            </w:pPr>
            <w:r>
              <w:rPr>
                <w:rFonts w:hint="default" w:ascii="Times New Roman" w:hAnsi="Times New Roman" w:cs="Times New Roman"/>
                <w:lang w:val="en-US"/>
              </w:rPr>
              <w:t>重点防渗区包括</w:t>
            </w:r>
            <w:r>
              <w:rPr>
                <w:rFonts w:hint="default" w:ascii="Times New Roman" w:hAnsi="Times New Roman" w:cs="Times New Roman"/>
                <w:lang w:val="en-US" w:eastAsia="zh-CN"/>
              </w:rPr>
              <w:t>渗滤液处理站所有处理池</w:t>
            </w:r>
            <w:r>
              <w:rPr>
                <w:rFonts w:hint="default" w:ascii="Times New Roman" w:hAnsi="Times New Roman" w:cs="Times New Roman"/>
                <w:lang w:val="en-US"/>
              </w:rPr>
              <w:t>、储药间、污泥脱水间</w:t>
            </w:r>
            <w:r>
              <w:rPr>
                <w:rFonts w:hint="default" w:ascii="Times New Roman" w:hAnsi="Times New Roman" w:cs="Times New Roman"/>
                <w:lang w:val="en-US" w:eastAsia="zh-CN"/>
              </w:rPr>
              <w:t>、危废暂存间</w:t>
            </w:r>
            <w:r>
              <w:rPr>
                <w:rFonts w:hint="default" w:ascii="Times New Roman" w:hAnsi="Times New Roman" w:cs="Times New Roman"/>
                <w:lang w:val="en-US"/>
              </w:rPr>
              <w:t>等，在运行过程中可能发生渗漏，并会对地下水水质造成污染的装置区有必要进行重点防渗，其防渗层要求不低于6.0m 厚渗透系数1×10</w:t>
            </w:r>
            <w:r>
              <w:rPr>
                <w:rFonts w:hint="default" w:ascii="Times New Roman" w:hAnsi="Times New Roman" w:cs="Times New Roman"/>
                <w:vertAlign w:val="superscript"/>
                <w:lang w:val="en-US" w:eastAsia="zh-CN"/>
              </w:rPr>
              <w:t>-7</w:t>
            </w:r>
            <w:r>
              <w:rPr>
                <w:rFonts w:hint="default" w:ascii="Times New Roman" w:hAnsi="Times New Roman" w:cs="Times New Roman"/>
                <w:lang w:val="en-US"/>
              </w:rPr>
              <w:t>cm/s 的等效黏土层的防渗性能。</w:t>
            </w:r>
          </w:p>
          <w:p w14:paraId="5565985D">
            <w:pPr>
              <w:pStyle w:val="3"/>
              <w:bidi w:val="0"/>
              <w:rPr>
                <w:rFonts w:hint="default" w:ascii="Times New Roman" w:hAnsi="Times New Roman" w:cs="Times New Roman"/>
                <w:lang w:val="en-US"/>
              </w:rPr>
            </w:pPr>
            <w:r>
              <w:rPr>
                <w:rFonts w:hint="default" w:ascii="Times New Roman" w:hAnsi="Times New Roman" w:cs="Times New Roman"/>
                <w:lang w:val="en-US"/>
              </w:rPr>
              <w:t>一般防渗区包括加药间、NF设备间等，防渗层要求不低于1.5m厚渗透系数砂1×10</w:t>
            </w:r>
            <w:r>
              <w:rPr>
                <w:rFonts w:hint="default" w:ascii="Times New Roman" w:hAnsi="Times New Roman" w:cs="Times New Roman"/>
                <w:vertAlign w:val="superscript"/>
                <w:lang w:val="en-US"/>
              </w:rPr>
              <w:t>-7</w:t>
            </w:r>
            <w:r>
              <w:rPr>
                <w:rFonts w:hint="default" w:ascii="Times New Roman" w:hAnsi="Times New Roman" w:cs="Times New Roman"/>
                <w:lang w:val="en-US"/>
              </w:rPr>
              <w:t>cm/s 的等效黏土层的防渗性能。</w:t>
            </w:r>
          </w:p>
          <w:p w14:paraId="2E6463A4">
            <w:pPr>
              <w:pStyle w:val="3"/>
              <w:bidi w:val="0"/>
              <w:rPr>
                <w:rFonts w:hint="default" w:ascii="Times New Roman" w:hAnsi="Times New Roman" w:cs="Times New Roman"/>
                <w:lang w:val="en-US"/>
              </w:rPr>
            </w:pPr>
            <w:r>
              <w:rPr>
                <w:rFonts w:hint="default" w:ascii="Times New Roman" w:hAnsi="Times New Roman" w:cs="Times New Roman"/>
                <w:lang w:val="en-US"/>
              </w:rPr>
              <w:t>重点防渗区和一般防渗区之外的区域为简单防渗区，只需要进行一般地面硬化即可。</w:t>
            </w:r>
          </w:p>
          <w:p w14:paraId="6C0A0239">
            <w:pPr>
              <w:pStyle w:val="3"/>
              <w:bidi w:val="0"/>
              <w:rPr>
                <w:rFonts w:hint="default" w:ascii="Times New Roman" w:hAnsi="Times New Roman" w:cs="Times New Roman"/>
                <w:lang w:val="en-US"/>
              </w:rPr>
            </w:pPr>
            <w:r>
              <w:rPr>
                <w:rFonts w:hint="default" w:ascii="Times New Roman" w:hAnsi="Times New Roman" w:cs="Times New Roman"/>
                <w:lang w:val="en-US"/>
              </w:rPr>
              <w:t>③管网设置</w:t>
            </w:r>
          </w:p>
          <w:p w14:paraId="454102C0">
            <w:pPr>
              <w:pStyle w:val="3"/>
              <w:bidi w:val="0"/>
              <w:rPr>
                <w:rFonts w:hint="default" w:ascii="Times New Roman" w:hAnsi="Times New Roman" w:cs="Times New Roman"/>
                <w:lang w:val="en-US"/>
              </w:rPr>
            </w:pPr>
            <w:r>
              <w:rPr>
                <w:rFonts w:hint="default" w:ascii="Times New Roman" w:hAnsi="Times New Roman" w:cs="Times New Roman"/>
                <w:lang w:val="en-US"/>
              </w:rPr>
              <w:t>污水管道采用</w:t>
            </w:r>
            <w:r>
              <w:rPr>
                <w:rFonts w:hint="default" w:ascii="Times New Roman" w:hAnsi="Times New Roman" w:cs="Times New Roman"/>
                <w:lang w:val="en-US" w:eastAsia="zh-CN"/>
              </w:rPr>
              <w:t>“</w:t>
            </w:r>
            <w:r>
              <w:rPr>
                <w:rFonts w:hint="default" w:ascii="Times New Roman" w:hAnsi="Times New Roman" w:cs="Times New Roman"/>
                <w:lang w:val="en-US"/>
              </w:rPr>
              <w:t>可视化</w:t>
            </w:r>
            <w:r>
              <w:rPr>
                <w:rFonts w:hint="default" w:ascii="Times New Roman" w:hAnsi="Times New Roman" w:cs="Times New Roman"/>
                <w:lang w:val="en-US" w:eastAsia="zh-CN"/>
              </w:rPr>
              <w:t>”</w:t>
            </w:r>
            <w:r>
              <w:rPr>
                <w:rFonts w:hint="default" w:ascii="Times New Roman" w:hAnsi="Times New Roman" w:cs="Times New Roman"/>
                <w:lang w:val="en-US"/>
              </w:rPr>
              <w:t>设计，采用明管铺设，并对管道采取防腐处理，对管沟采取防渗硬化处理，在污水管道、膜溶液输送管道能及时发现。</w:t>
            </w:r>
          </w:p>
          <w:p w14:paraId="2BC604A5">
            <w:pPr>
              <w:pStyle w:val="3"/>
              <w:ind w:firstLine="480"/>
              <w:rPr>
                <w:rFonts w:hint="default" w:ascii="Times New Roman" w:hAnsi="Times New Roman" w:cs="Times New Roman"/>
              </w:rPr>
            </w:pPr>
            <w:r>
              <w:rPr>
                <w:rFonts w:hint="default" w:ascii="Times New Roman" w:hAnsi="Times New Roman" w:cs="Times New Roman"/>
                <w:sz w:val="24"/>
                <w:szCs w:val="24"/>
                <w:lang w:val="en-US" w:eastAsia="zh-CN"/>
              </w:rPr>
              <w:t>总之，企业要加强污染物源头控制措施，切实做好建设项目的事故风险防范措施，做好厂内的地面硬化、防渗并加强维护，则对地下水和土壤环境影响不大。同时，本项目不涉及重金属以及难降解有机物，故本评价认为企业在落实上述防护措施后，无需对地下水和土壤进行跟踪监测</w:t>
            </w:r>
            <w:r>
              <w:rPr>
                <w:rFonts w:hint="default" w:ascii="Times New Roman" w:hAnsi="Times New Roman" w:cs="Times New Roman"/>
                <w:color w:val="000000"/>
              </w:rPr>
              <w:t>。</w:t>
            </w:r>
          </w:p>
          <w:p w14:paraId="2EEB9389">
            <w:pPr>
              <w:pStyle w:val="3"/>
              <w:ind w:firstLine="480"/>
              <w:rPr>
                <w:rFonts w:hint="default" w:ascii="Times New Roman" w:hAnsi="Times New Roman" w:cs="Times New Roman"/>
              </w:rPr>
            </w:pPr>
            <w:r>
              <w:rPr>
                <w:rFonts w:hint="default" w:ascii="Times New Roman" w:hAnsi="Times New Roman" w:cs="Times New Roman"/>
              </w:rPr>
              <w:t>6、生态</w:t>
            </w:r>
          </w:p>
          <w:p w14:paraId="380D2CB9">
            <w:pPr>
              <w:pStyle w:val="2"/>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rPr>
            </w:pPr>
            <w:r>
              <w:rPr>
                <w:rFonts w:hint="default" w:ascii="Times New Roman" w:hAnsi="Times New Roman" w:cs="Times New Roman"/>
              </w:rPr>
              <w:t>项目</w:t>
            </w:r>
            <w:r>
              <w:rPr>
                <w:rFonts w:hint="default" w:ascii="Times New Roman" w:hAnsi="Times New Roman" w:cs="Times New Roman"/>
                <w:sz w:val="24"/>
                <w:szCs w:val="24"/>
                <w:lang w:val="en-US" w:eastAsia="zh-CN"/>
              </w:rPr>
              <w:t>不在产业园区内。本项目依托原有用地，不新增用地。本项目不需开展生态环境影响评价</w:t>
            </w:r>
            <w:r>
              <w:rPr>
                <w:rFonts w:hint="default" w:ascii="Times New Roman" w:hAnsi="Times New Roman" w:cs="Times New Roman"/>
              </w:rPr>
              <w:t>。</w:t>
            </w:r>
          </w:p>
          <w:p w14:paraId="68FA13D8">
            <w:pPr>
              <w:pStyle w:val="3"/>
              <w:numPr>
                <w:ilvl w:val="0"/>
                <w:numId w:val="8"/>
              </w:numPr>
              <w:ind w:left="-60" w:leftChars="0" w:firstLine="480" w:firstLineChars="0"/>
              <w:rPr>
                <w:rFonts w:hint="default" w:ascii="Times New Roman" w:hAnsi="Times New Roman" w:cs="Times New Roman"/>
              </w:rPr>
            </w:pPr>
            <w:r>
              <w:rPr>
                <w:rFonts w:hint="default" w:ascii="Times New Roman" w:hAnsi="Times New Roman" w:cs="Times New Roman"/>
              </w:rPr>
              <w:t>环境风险</w:t>
            </w:r>
          </w:p>
          <w:p w14:paraId="0AA1E392">
            <w:pPr>
              <w:pStyle w:val="3"/>
              <w:bidi w:val="0"/>
              <w:rPr>
                <w:rFonts w:hint="default" w:ascii="Times New Roman" w:hAnsi="Times New Roman" w:cs="Times New Roman"/>
              </w:rPr>
            </w:pPr>
            <w:bookmarkStart w:id="28" w:name="_Toc7229"/>
            <w:r>
              <w:rPr>
                <w:rFonts w:hint="default" w:ascii="Times New Roman" w:hAnsi="Times New Roman" w:cs="Times New Roman"/>
              </w:rPr>
              <w:t>根据《建设项目环境风险评价技术导则》（HJ169-2018）附录B可知，本项目在运营过程中风险源有：</w:t>
            </w:r>
            <w:r>
              <w:rPr>
                <w:rFonts w:hint="default" w:ascii="Times New Roman" w:hAnsi="Times New Roman" w:cs="Times New Roman"/>
                <w:lang w:eastAsia="zh-CN"/>
              </w:rPr>
              <w:t>机油、废机油</w:t>
            </w:r>
            <w:r>
              <w:rPr>
                <w:rFonts w:hint="default" w:ascii="Times New Roman" w:hAnsi="Times New Roman" w:cs="Times New Roman"/>
              </w:rPr>
              <w:t>储存和使用过程中的风险等。</w:t>
            </w:r>
          </w:p>
          <w:bookmarkEnd w:id="28"/>
          <w:p w14:paraId="135D5968">
            <w:pPr>
              <w:pStyle w:val="3"/>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环境风险评价等级</w:t>
            </w:r>
          </w:p>
          <w:p w14:paraId="0EF0B5DB">
            <w:pPr>
              <w:pStyle w:val="3"/>
              <w:bidi w:val="0"/>
              <w:rPr>
                <w:rFonts w:hint="default" w:ascii="Times New Roman" w:hAnsi="Times New Roman" w:cs="Times New Roman"/>
              </w:rPr>
            </w:pPr>
            <w:r>
              <w:rPr>
                <w:rFonts w:hint="default" w:ascii="Times New Roman" w:hAnsi="Times New Roman" w:cs="Times New Roman"/>
              </w:rPr>
              <w:t>本项目生产、加工、运输、使用或贮存中涉及名录中的危险物质有</w:t>
            </w:r>
            <w:r>
              <w:rPr>
                <w:rFonts w:hint="default" w:ascii="Times New Roman" w:hAnsi="Times New Roman" w:cs="Times New Roman"/>
                <w:lang w:eastAsia="zh-CN"/>
              </w:rPr>
              <w:t>机油、废机油等</w:t>
            </w:r>
            <w:r>
              <w:rPr>
                <w:rFonts w:hint="default" w:ascii="Times New Roman" w:hAnsi="Times New Roman" w:cs="Times New Roman"/>
              </w:rPr>
              <w:t>。按照《建设项目环境风险评价技术导则》（HJ169-2018）附录B，本项目危险物质的危险性、类别、储存量、储存临界量见下表。</w:t>
            </w:r>
          </w:p>
          <w:p w14:paraId="393F901E">
            <w:pPr>
              <w:ind w:left="420" w:leftChars="200"/>
              <w:jc w:val="center"/>
              <w:rPr>
                <w:rFonts w:hint="default" w:ascii="Times New Roman" w:hAnsi="Times New Roman" w:cs="Times New Roman"/>
                <w:szCs w:val="32"/>
                <w:lang w:val="en-US" w:eastAsia="zh-CN"/>
              </w:rPr>
            </w:pPr>
            <w:r>
              <w:rPr>
                <w:rFonts w:hint="default" w:ascii="Times New Roman" w:hAnsi="Times New Roman" w:cs="Times New Roman"/>
                <w:szCs w:val="32"/>
              </w:rPr>
              <w:t>表</w:t>
            </w:r>
            <w:r>
              <w:rPr>
                <w:rFonts w:hint="default" w:ascii="Times New Roman" w:hAnsi="Times New Roman" w:cs="Times New Roman"/>
                <w:szCs w:val="32"/>
                <w:lang w:val="en-US" w:eastAsia="zh-CN"/>
              </w:rPr>
              <w:t>4-</w:t>
            </w:r>
            <w:r>
              <w:rPr>
                <w:rFonts w:hint="eastAsia" w:ascii="Times New Roman" w:hAnsi="Times New Roman" w:cs="Times New Roman"/>
                <w:szCs w:val="32"/>
                <w:lang w:val="en-US" w:eastAsia="zh-CN"/>
              </w:rPr>
              <w:t>20</w:t>
            </w:r>
            <w:r>
              <w:rPr>
                <w:rFonts w:hint="default" w:ascii="Times New Roman" w:hAnsi="Times New Roman" w:cs="Times New Roman"/>
                <w:szCs w:val="32"/>
                <w:lang w:val="en-US" w:eastAsia="zh-CN"/>
              </w:rPr>
              <w:t>环境风险物质</w:t>
            </w:r>
            <w:r>
              <w:rPr>
                <w:rFonts w:hint="default" w:ascii="Times New Roman" w:hAnsi="Times New Roman" w:cs="Times New Roman"/>
                <w:szCs w:val="32"/>
              </w:rPr>
              <w:t>分布及主要危险物质一览表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1416"/>
              <w:gridCol w:w="1424"/>
              <w:gridCol w:w="1849"/>
              <w:gridCol w:w="1292"/>
              <w:gridCol w:w="1211"/>
            </w:tblGrid>
            <w:tr w14:paraId="395D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7" w:type="pct"/>
                  <w:noWrap w:val="0"/>
                  <w:vAlign w:val="center"/>
                </w:tcPr>
                <w:p w14:paraId="236DED57">
                  <w:pPr>
                    <w:pStyle w:val="71"/>
                    <w:bidi w:val="0"/>
                    <w:jc w:val="center"/>
                    <w:rPr>
                      <w:rFonts w:hint="default" w:ascii="Times New Roman" w:hAnsi="Times New Roman" w:cs="Times New Roman"/>
                    </w:rPr>
                  </w:pPr>
                  <w:r>
                    <w:rPr>
                      <w:rFonts w:hint="default" w:ascii="Times New Roman" w:hAnsi="Times New Roman" w:cs="Times New Roman"/>
                    </w:rPr>
                    <w:t>序号</w:t>
                  </w:r>
                </w:p>
              </w:tc>
              <w:tc>
                <w:tcPr>
                  <w:tcW w:w="900" w:type="pct"/>
                  <w:noWrap w:val="0"/>
                  <w:vAlign w:val="center"/>
                </w:tcPr>
                <w:p w14:paraId="5687008B">
                  <w:pPr>
                    <w:pStyle w:val="71"/>
                    <w:bidi w:val="0"/>
                    <w:jc w:val="center"/>
                    <w:rPr>
                      <w:rFonts w:hint="default" w:ascii="Times New Roman" w:hAnsi="Times New Roman" w:cs="Times New Roman"/>
                    </w:rPr>
                  </w:pPr>
                  <w:r>
                    <w:rPr>
                      <w:rFonts w:hint="default" w:ascii="Times New Roman" w:hAnsi="Times New Roman" w:cs="Times New Roman"/>
                    </w:rPr>
                    <w:t>物料名称</w:t>
                  </w:r>
                </w:p>
              </w:tc>
              <w:tc>
                <w:tcPr>
                  <w:tcW w:w="905" w:type="pct"/>
                  <w:noWrap w:val="0"/>
                  <w:vAlign w:val="center"/>
                </w:tcPr>
                <w:p w14:paraId="0CC407DA">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CAS</w:t>
                  </w:r>
                </w:p>
              </w:tc>
              <w:tc>
                <w:tcPr>
                  <w:tcW w:w="1175" w:type="pct"/>
                  <w:noWrap w:val="0"/>
                  <w:vAlign w:val="center"/>
                </w:tcPr>
                <w:p w14:paraId="2753FCC0">
                  <w:pPr>
                    <w:pStyle w:val="71"/>
                    <w:bidi w:val="0"/>
                    <w:jc w:val="center"/>
                    <w:rPr>
                      <w:rFonts w:hint="default" w:ascii="Times New Roman" w:hAnsi="Times New Roman" w:cs="Times New Roman"/>
                    </w:rPr>
                  </w:pPr>
                  <w:r>
                    <w:rPr>
                      <w:rFonts w:hint="default" w:ascii="Times New Roman" w:hAnsi="Times New Roman" w:cs="Times New Roman"/>
                    </w:rPr>
                    <w:t>最大储存质量（t）</w:t>
                  </w:r>
                </w:p>
              </w:tc>
              <w:tc>
                <w:tcPr>
                  <w:tcW w:w="821" w:type="pct"/>
                  <w:noWrap w:val="0"/>
                  <w:vAlign w:val="center"/>
                </w:tcPr>
                <w:p w14:paraId="66DFB5D4">
                  <w:pPr>
                    <w:pStyle w:val="71"/>
                    <w:bidi w:val="0"/>
                    <w:jc w:val="center"/>
                    <w:rPr>
                      <w:rFonts w:hint="default" w:ascii="Times New Roman" w:hAnsi="Times New Roman" w:cs="Times New Roman"/>
                    </w:rPr>
                  </w:pPr>
                  <w:r>
                    <w:rPr>
                      <w:rFonts w:hint="default" w:ascii="Times New Roman" w:hAnsi="Times New Roman" w:cs="Times New Roman"/>
                    </w:rPr>
                    <w:t>临界量（t）</w:t>
                  </w:r>
                </w:p>
              </w:tc>
              <w:tc>
                <w:tcPr>
                  <w:tcW w:w="769" w:type="pct"/>
                  <w:noWrap w:val="0"/>
                  <w:vAlign w:val="center"/>
                </w:tcPr>
                <w:p w14:paraId="08ECEB22">
                  <w:pPr>
                    <w:pStyle w:val="71"/>
                    <w:bidi w:val="0"/>
                    <w:jc w:val="center"/>
                    <w:rPr>
                      <w:rFonts w:hint="default" w:ascii="Times New Roman" w:hAnsi="Times New Roman" w:cs="Times New Roman"/>
                    </w:rPr>
                  </w:pPr>
                  <w:r>
                    <w:rPr>
                      <w:rFonts w:hint="default" w:ascii="Times New Roman" w:hAnsi="Times New Roman" w:cs="Times New Roman"/>
                    </w:rPr>
                    <w:t>qn/Qn</w:t>
                  </w:r>
                </w:p>
              </w:tc>
            </w:tr>
            <w:tr w14:paraId="59BB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7" w:type="pct"/>
                  <w:noWrap w:val="0"/>
                  <w:vAlign w:val="center"/>
                </w:tcPr>
                <w:p w14:paraId="72951219">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1</w:t>
                  </w:r>
                </w:p>
              </w:tc>
              <w:tc>
                <w:tcPr>
                  <w:tcW w:w="900" w:type="pct"/>
                  <w:noWrap w:val="0"/>
                  <w:vAlign w:val="center"/>
                </w:tcPr>
                <w:p w14:paraId="1B45DFB0">
                  <w:pPr>
                    <w:pStyle w:val="71"/>
                    <w:rPr>
                      <w:rFonts w:hint="default" w:ascii="Times New Roman" w:hAnsi="Times New Roman" w:eastAsia="宋体" w:cs="Times New Roman"/>
                      <w:lang w:eastAsia="zh-CN"/>
                    </w:rPr>
                  </w:pPr>
                  <w:r>
                    <w:rPr>
                      <w:rFonts w:hint="default" w:ascii="Times New Roman" w:hAnsi="Times New Roman" w:cs="Times New Roman"/>
                      <w:lang w:eastAsia="zh-CN"/>
                    </w:rPr>
                    <w:t>次氯酸钠</w:t>
                  </w:r>
                </w:p>
              </w:tc>
              <w:tc>
                <w:tcPr>
                  <w:tcW w:w="905" w:type="pct"/>
                  <w:noWrap w:val="0"/>
                  <w:vAlign w:val="center"/>
                </w:tcPr>
                <w:p w14:paraId="246A40BE">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7681-52-9</w:t>
                  </w:r>
                </w:p>
              </w:tc>
              <w:tc>
                <w:tcPr>
                  <w:tcW w:w="1175" w:type="pct"/>
                  <w:noWrap w:val="0"/>
                  <w:vAlign w:val="center"/>
                </w:tcPr>
                <w:p w14:paraId="4A62616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0.4</w:t>
                  </w:r>
                </w:p>
              </w:tc>
              <w:tc>
                <w:tcPr>
                  <w:tcW w:w="821" w:type="pct"/>
                  <w:noWrap w:val="0"/>
                  <w:vAlign w:val="center"/>
                </w:tcPr>
                <w:p w14:paraId="07BA7A92">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w:t>
                  </w:r>
                </w:p>
              </w:tc>
              <w:tc>
                <w:tcPr>
                  <w:tcW w:w="769" w:type="pct"/>
                  <w:noWrap w:val="0"/>
                  <w:vAlign w:val="center"/>
                </w:tcPr>
                <w:p w14:paraId="3A50FFE8">
                  <w:pPr>
                    <w:pStyle w:val="71"/>
                    <w:bidi w:val="0"/>
                    <w:jc w:val="center"/>
                    <w:rPr>
                      <w:rFonts w:hint="default" w:ascii="Times New Roman" w:hAnsi="Times New Roman" w:cs="Times New Roman"/>
                      <w:lang w:val="en-US" w:eastAsia="zh-CN"/>
                    </w:rPr>
                  </w:pPr>
                  <w:r>
                    <w:rPr>
                      <w:rFonts w:hint="default" w:ascii="Times New Roman" w:hAnsi="Times New Roman" w:eastAsia="仿宋" w:cs="Times New Roman"/>
                      <w:color w:val="000000"/>
                      <w:kern w:val="2"/>
                      <w:sz w:val="24"/>
                      <w:szCs w:val="24"/>
                      <w:lang w:val="en-US" w:eastAsia="zh-CN" w:bidi="ar-SA"/>
                    </w:rPr>
                    <w:t>0.08</w:t>
                  </w:r>
                </w:p>
              </w:tc>
            </w:tr>
            <w:tr w14:paraId="4122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7" w:type="pct"/>
                  <w:noWrap w:val="0"/>
                  <w:vAlign w:val="center"/>
                </w:tcPr>
                <w:p w14:paraId="7EDDC666">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2</w:t>
                  </w:r>
                </w:p>
              </w:tc>
              <w:tc>
                <w:tcPr>
                  <w:tcW w:w="900" w:type="pct"/>
                  <w:noWrap w:val="0"/>
                  <w:vAlign w:val="center"/>
                </w:tcPr>
                <w:p w14:paraId="40E02A2A">
                  <w:pPr>
                    <w:pStyle w:val="71"/>
                    <w:rPr>
                      <w:rFonts w:hint="default" w:ascii="Times New Roman" w:hAnsi="Times New Roman" w:eastAsia="宋体" w:cs="Times New Roman"/>
                      <w:lang w:eastAsia="zh-CN"/>
                    </w:rPr>
                  </w:pPr>
                  <w:r>
                    <w:rPr>
                      <w:rFonts w:hint="default" w:ascii="Times New Roman" w:hAnsi="Times New Roman" w:cs="Times New Roman"/>
                      <w:lang w:eastAsia="zh-CN"/>
                    </w:rPr>
                    <w:t>硫酸</w:t>
                  </w:r>
                </w:p>
              </w:tc>
              <w:tc>
                <w:tcPr>
                  <w:tcW w:w="905" w:type="pct"/>
                  <w:noWrap w:val="0"/>
                  <w:vAlign w:val="center"/>
                </w:tcPr>
                <w:p w14:paraId="587C9176">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7664-93-9</w:t>
                  </w:r>
                </w:p>
              </w:tc>
              <w:tc>
                <w:tcPr>
                  <w:tcW w:w="1175" w:type="pct"/>
                  <w:noWrap w:val="0"/>
                  <w:vAlign w:val="center"/>
                </w:tcPr>
                <w:p w14:paraId="668AF968">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821" w:type="pct"/>
                  <w:noWrap w:val="0"/>
                  <w:vAlign w:val="center"/>
                </w:tcPr>
                <w:p w14:paraId="676F6845">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769" w:type="pct"/>
                  <w:noWrap w:val="0"/>
                  <w:vAlign w:val="center"/>
                </w:tcPr>
                <w:p w14:paraId="67310E2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0.2</w:t>
                  </w:r>
                </w:p>
              </w:tc>
            </w:tr>
            <w:tr w14:paraId="4862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7" w:type="pct"/>
                  <w:noWrap w:val="0"/>
                  <w:vAlign w:val="center"/>
                </w:tcPr>
                <w:p w14:paraId="564010DE">
                  <w:pPr>
                    <w:pStyle w:val="71"/>
                    <w:bidi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rPr>
                    <w:t>3</w:t>
                  </w:r>
                </w:p>
              </w:tc>
              <w:tc>
                <w:tcPr>
                  <w:tcW w:w="900" w:type="pct"/>
                  <w:noWrap w:val="0"/>
                  <w:vAlign w:val="center"/>
                </w:tcPr>
                <w:p w14:paraId="4C3E636B">
                  <w:pPr>
                    <w:pStyle w:val="71"/>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机油</w:t>
                  </w:r>
                </w:p>
              </w:tc>
              <w:tc>
                <w:tcPr>
                  <w:tcW w:w="905" w:type="pct"/>
                  <w:noWrap w:val="0"/>
                  <w:vAlign w:val="center"/>
                </w:tcPr>
                <w:p w14:paraId="5694194C">
                  <w:pPr>
                    <w:pStyle w:val="71"/>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w:t>
                  </w:r>
                </w:p>
              </w:tc>
              <w:tc>
                <w:tcPr>
                  <w:tcW w:w="1175" w:type="pct"/>
                  <w:noWrap w:val="0"/>
                  <w:vAlign w:val="center"/>
                </w:tcPr>
                <w:p w14:paraId="6FCAA232">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0.1</w:t>
                  </w:r>
                </w:p>
              </w:tc>
              <w:tc>
                <w:tcPr>
                  <w:tcW w:w="821" w:type="pct"/>
                  <w:vMerge w:val="restart"/>
                  <w:noWrap w:val="0"/>
                  <w:vAlign w:val="center"/>
                </w:tcPr>
                <w:p w14:paraId="75FF3C77">
                  <w:pPr>
                    <w:pStyle w:val="71"/>
                    <w:bidi w:val="0"/>
                    <w:jc w:val="center"/>
                    <w:rPr>
                      <w:rFonts w:hint="default" w:ascii="Times New Roman" w:hAnsi="Times New Roman" w:cs="Times New Roman"/>
                    </w:rPr>
                  </w:pPr>
                  <w:r>
                    <w:rPr>
                      <w:rFonts w:hint="default" w:ascii="Times New Roman" w:hAnsi="Times New Roman" w:cs="Times New Roman"/>
                    </w:rPr>
                    <w:t>2500</w:t>
                  </w:r>
                </w:p>
              </w:tc>
              <w:tc>
                <w:tcPr>
                  <w:tcW w:w="769" w:type="pct"/>
                  <w:vMerge w:val="restart"/>
                  <w:noWrap w:val="0"/>
                  <w:vAlign w:val="center"/>
                </w:tcPr>
                <w:p w14:paraId="6D725A85">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0.000044</w:t>
                  </w:r>
                </w:p>
              </w:tc>
            </w:tr>
            <w:tr w14:paraId="49BD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7" w:type="pct"/>
                  <w:noWrap w:val="0"/>
                  <w:vAlign w:val="center"/>
                </w:tcPr>
                <w:p w14:paraId="503C35C6">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4</w:t>
                  </w:r>
                </w:p>
              </w:tc>
              <w:tc>
                <w:tcPr>
                  <w:tcW w:w="900" w:type="pct"/>
                  <w:noWrap w:val="0"/>
                  <w:vAlign w:val="center"/>
                </w:tcPr>
                <w:p w14:paraId="36429658">
                  <w:pPr>
                    <w:pStyle w:val="71"/>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rPr>
                    <w:t>废机油</w:t>
                  </w:r>
                </w:p>
              </w:tc>
              <w:tc>
                <w:tcPr>
                  <w:tcW w:w="905" w:type="pct"/>
                  <w:noWrap w:val="0"/>
                  <w:vAlign w:val="center"/>
                </w:tcPr>
                <w:p w14:paraId="53AC4908">
                  <w:pPr>
                    <w:pStyle w:val="71"/>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w:t>
                  </w:r>
                </w:p>
              </w:tc>
              <w:tc>
                <w:tcPr>
                  <w:tcW w:w="1175" w:type="pct"/>
                  <w:noWrap w:val="0"/>
                  <w:vAlign w:val="center"/>
                </w:tcPr>
                <w:p w14:paraId="004897E6">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0.01</w:t>
                  </w:r>
                </w:p>
              </w:tc>
              <w:tc>
                <w:tcPr>
                  <w:tcW w:w="821" w:type="pct"/>
                  <w:vMerge w:val="continue"/>
                  <w:noWrap w:val="0"/>
                  <w:vAlign w:val="center"/>
                </w:tcPr>
                <w:p w14:paraId="53475383">
                  <w:pPr>
                    <w:pStyle w:val="71"/>
                    <w:bidi w:val="0"/>
                    <w:jc w:val="center"/>
                    <w:rPr>
                      <w:rFonts w:hint="default" w:ascii="Times New Roman" w:hAnsi="Times New Roman" w:eastAsia="宋体" w:cs="Times New Roman"/>
                      <w:lang w:val="en-US" w:eastAsia="zh-CN"/>
                    </w:rPr>
                  </w:pPr>
                </w:p>
              </w:tc>
              <w:tc>
                <w:tcPr>
                  <w:tcW w:w="769" w:type="pct"/>
                  <w:vMerge w:val="continue"/>
                  <w:noWrap w:val="0"/>
                  <w:vAlign w:val="center"/>
                </w:tcPr>
                <w:p w14:paraId="2C847753">
                  <w:pPr>
                    <w:pStyle w:val="71"/>
                    <w:bidi w:val="0"/>
                    <w:jc w:val="center"/>
                    <w:rPr>
                      <w:rFonts w:hint="default" w:ascii="Times New Roman" w:hAnsi="Times New Roman" w:cs="Times New Roman"/>
                    </w:rPr>
                  </w:pPr>
                </w:p>
              </w:tc>
            </w:tr>
            <w:tr w14:paraId="3669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27" w:type="pct"/>
                  <w:noWrap w:val="0"/>
                  <w:vAlign w:val="center"/>
                </w:tcPr>
                <w:p w14:paraId="7AFC102F">
                  <w:pPr>
                    <w:pStyle w:val="71"/>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5</w:t>
                  </w:r>
                </w:p>
              </w:tc>
              <w:tc>
                <w:tcPr>
                  <w:tcW w:w="3802" w:type="pct"/>
                  <w:gridSpan w:val="4"/>
                  <w:noWrap w:val="0"/>
                  <w:vAlign w:val="center"/>
                </w:tcPr>
                <w:p w14:paraId="1F94B3A9">
                  <w:pPr>
                    <w:pStyle w:val="71"/>
                    <w:bidi w:val="0"/>
                    <w:jc w:val="center"/>
                    <w:rPr>
                      <w:rFonts w:hint="default" w:ascii="Times New Roman" w:hAnsi="Times New Roman" w:cs="Times New Roman"/>
                    </w:rPr>
                  </w:pPr>
                  <w:r>
                    <w:rPr>
                      <w:rFonts w:hint="default" w:ascii="Times New Roman" w:hAnsi="Times New Roman" w:cs="Times New Roman"/>
                      <w:lang w:eastAsia="zh-CN"/>
                    </w:rPr>
                    <w:t>合计</w:t>
                  </w:r>
                </w:p>
              </w:tc>
              <w:tc>
                <w:tcPr>
                  <w:tcW w:w="769" w:type="pct"/>
                  <w:noWrap w:val="0"/>
                  <w:vAlign w:val="center"/>
                </w:tcPr>
                <w:p w14:paraId="55A20F87">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0.280044</w:t>
                  </w:r>
                </w:p>
              </w:tc>
            </w:tr>
          </w:tbl>
          <w:p w14:paraId="5F875918">
            <w:pPr>
              <w:pStyle w:val="3"/>
              <w:bidi w:val="0"/>
              <w:rPr>
                <w:rFonts w:hint="default" w:ascii="Times New Roman" w:hAnsi="Times New Roman" w:cs="Times New Roman"/>
              </w:rPr>
            </w:pPr>
            <w:r>
              <w:rPr>
                <w:rFonts w:hint="default" w:ascii="Times New Roman" w:hAnsi="Times New Roman" w:cs="Times New Roman"/>
              </w:rPr>
              <w:t>单元内存在的危险物质为多品种时，则按下式计算Q ：</w:t>
            </w:r>
          </w:p>
          <w:p w14:paraId="69D0DBBB">
            <w:pPr>
              <w:pStyle w:val="3"/>
              <w:ind w:firstLine="48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3360" behindDoc="1" locked="0" layoutInCell="1" allowOverlap="1">
                  <wp:simplePos x="0" y="0"/>
                  <wp:positionH relativeFrom="column">
                    <wp:posOffset>1415415</wp:posOffset>
                  </wp:positionH>
                  <wp:positionV relativeFrom="paragraph">
                    <wp:posOffset>92075</wp:posOffset>
                  </wp:positionV>
                  <wp:extent cx="1924050" cy="562610"/>
                  <wp:effectExtent l="0" t="0" r="11430" b="1270"/>
                  <wp:wrapTight wrapText="bothSides">
                    <wp:wrapPolygon>
                      <wp:start x="0" y="0"/>
                      <wp:lineTo x="0" y="21064"/>
                      <wp:lineTo x="21386" y="21064"/>
                      <wp:lineTo x="21386" y="0"/>
                      <wp:lineTo x="0" y="0"/>
                    </wp:wrapPolygon>
                  </wp:wrapTight>
                  <wp:docPr id="5" name="图片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46"/>
                          <pic:cNvPicPr>
                            <a:picLocks noChangeAspect="1"/>
                          </pic:cNvPicPr>
                        </pic:nvPicPr>
                        <pic:blipFill>
                          <a:blip r:embed="rId25"/>
                          <a:stretch>
                            <a:fillRect/>
                          </a:stretch>
                        </pic:blipFill>
                        <pic:spPr>
                          <a:xfrm>
                            <a:off x="0" y="0"/>
                            <a:ext cx="1924050" cy="562610"/>
                          </a:xfrm>
                          <a:prstGeom prst="rect">
                            <a:avLst/>
                          </a:prstGeom>
                          <a:noFill/>
                          <a:ln>
                            <a:noFill/>
                          </a:ln>
                        </pic:spPr>
                      </pic:pic>
                    </a:graphicData>
                  </a:graphic>
                </wp:anchor>
              </w:drawing>
            </w:r>
          </w:p>
          <w:p w14:paraId="2247681F">
            <w:pPr>
              <w:pStyle w:val="3"/>
              <w:ind w:firstLine="480"/>
              <w:rPr>
                <w:rFonts w:hint="default" w:ascii="Times New Roman" w:hAnsi="Times New Roman" w:cs="Times New Roman"/>
              </w:rPr>
            </w:pPr>
          </w:p>
          <w:p w14:paraId="7C1474F4">
            <w:pPr>
              <w:pStyle w:val="3"/>
              <w:ind w:firstLine="480"/>
              <w:rPr>
                <w:rFonts w:hint="default" w:ascii="Times New Roman" w:hAnsi="Times New Roman" w:cs="Times New Roman"/>
              </w:rPr>
            </w:pPr>
          </w:p>
          <w:p w14:paraId="243A9CB6">
            <w:pPr>
              <w:pStyle w:val="3"/>
              <w:ind w:firstLine="480"/>
              <w:rPr>
                <w:rFonts w:hint="default" w:ascii="Times New Roman" w:hAnsi="Times New Roman" w:cs="Times New Roman"/>
              </w:rPr>
            </w:pPr>
            <w:r>
              <w:rPr>
                <w:rFonts w:hint="default" w:ascii="Times New Roman" w:hAnsi="Times New Roman" w:cs="Times New Roman"/>
              </w:rPr>
              <w:t>式中：q1、q2 …… qn ——每种危险物质的最大存在量，t；</w:t>
            </w:r>
          </w:p>
          <w:p w14:paraId="193A2E4E">
            <w:pPr>
              <w:pStyle w:val="3"/>
              <w:ind w:firstLine="480"/>
              <w:rPr>
                <w:rFonts w:hint="default" w:ascii="Times New Roman" w:hAnsi="Times New Roman" w:cs="Times New Roman"/>
              </w:rPr>
            </w:pPr>
            <w:r>
              <w:rPr>
                <w:rFonts w:hint="default" w:ascii="Times New Roman" w:hAnsi="Times New Roman" w:cs="Times New Roman"/>
              </w:rPr>
              <w:t>Q1、Q2  ……Qn  ——每种危险物质的临界量，t。</w:t>
            </w:r>
          </w:p>
          <w:p w14:paraId="4C7DDAAE">
            <w:pPr>
              <w:pStyle w:val="3"/>
              <w:ind w:firstLine="480"/>
              <w:rPr>
                <w:rFonts w:hint="default" w:ascii="Times New Roman" w:hAnsi="Times New Roman" w:cs="Times New Roman"/>
              </w:rPr>
            </w:pPr>
            <w:r>
              <w:rPr>
                <w:rFonts w:hint="default" w:ascii="Times New Roman" w:hAnsi="Times New Roman" w:cs="Times New Roman"/>
              </w:rPr>
              <w:t>当 Q&lt;1 时，该项目环境风险潜势为 I。</w:t>
            </w:r>
          </w:p>
          <w:p w14:paraId="338AEC55">
            <w:pPr>
              <w:pStyle w:val="3"/>
              <w:ind w:firstLine="480"/>
              <w:rPr>
                <w:rFonts w:hint="default" w:ascii="Times New Roman" w:hAnsi="Times New Roman" w:cs="Times New Roman"/>
              </w:rPr>
            </w:pPr>
            <w:r>
              <w:rPr>
                <w:rFonts w:hint="default" w:ascii="Times New Roman" w:hAnsi="Times New Roman" w:cs="Times New Roman"/>
              </w:rPr>
              <w:t>当 Q≥1 时，将 Q 值划分为：（1）1≤Q&lt;10；（2）10≤Q&lt;100；（3）Q≥100。再综合所属行业及生产工艺特点（M）另行判定。</w:t>
            </w:r>
          </w:p>
          <w:p w14:paraId="71FCDF96">
            <w:pPr>
              <w:pStyle w:val="3"/>
              <w:bidi w:val="0"/>
              <w:rPr>
                <w:rFonts w:hint="default" w:ascii="Times New Roman" w:hAnsi="Times New Roman" w:cs="Times New Roman"/>
              </w:rPr>
            </w:pPr>
            <w:r>
              <w:rPr>
                <w:rFonts w:hint="default" w:ascii="Times New Roman" w:hAnsi="Times New Roman" w:cs="Times New Roman"/>
                <w:lang w:eastAsia="zh-CN"/>
              </w:rPr>
              <w:t>项目</w:t>
            </w:r>
            <w:r>
              <w:rPr>
                <w:rFonts w:hint="default" w:ascii="Times New Roman" w:hAnsi="Times New Roman" w:cs="Times New Roman"/>
              </w:rPr>
              <w:t>Q=</w:t>
            </w:r>
            <w:r>
              <w:rPr>
                <w:rFonts w:hint="default" w:ascii="Times New Roman" w:hAnsi="Times New Roman" w:cs="Times New Roman"/>
                <w:lang w:val="en-US" w:eastAsia="zh-CN"/>
              </w:rPr>
              <w:t>0.280044</w:t>
            </w:r>
            <w:r>
              <w:rPr>
                <w:rFonts w:hint="default" w:ascii="Times New Roman" w:hAnsi="Times New Roman" w:cs="Times New Roman"/>
              </w:rPr>
              <w:t>＜1。</w:t>
            </w:r>
          </w:p>
          <w:p w14:paraId="0ACC90C3">
            <w:pPr>
              <w:pStyle w:val="3"/>
              <w:bidi w:val="0"/>
              <w:rPr>
                <w:rFonts w:hint="default" w:ascii="Times New Roman" w:hAnsi="Times New Roman" w:cs="Times New Roman"/>
                <w:lang w:eastAsia="zh-CN"/>
              </w:rPr>
            </w:pPr>
            <w:r>
              <w:rPr>
                <w:rFonts w:hint="default" w:ascii="Times New Roman" w:hAnsi="Times New Roman" w:cs="Times New Roman"/>
              </w:rPr>
              <w:t>根据《建设项目环境风险评价技术导则》（HJ169-2018）附录 C 1.1，当 Q 小于1时，该项目环境风险潜势为 I。根据《建设项目环境风险评价技术导则》（HJ169-2018） 评价工作等级划分，环境风险潜势为 I 的项目进行简单分析即可。无需再确定所属行业及生产工艺特点（M）等。即主要针对危险物质、环境影响途径、环境危害后果、风险方法措施等方面给出定性的说明</w:t>
            </w:r>
            <w:r>
              <w:rPr>
                <w:rFonts w:hint="default" w:ascii="Times New Roman" w:hAnsi="Times New Roman" w:cs="Times New Roman"/>
                <w:lang w:eastAsia="zh-CN"/>
              </w:rPr>
              <w:t>。</w:t>
            </w:r>
          </w:p>
          <w:p w14:paraId="5D5C0131">
            <w:pPr>
              <w:pStyle w:val="3"/>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风险分析</w:t>
            </w:r>
          </w:p>
          <w:p w14:paraId="72EAC8DB">
            <w:pPr>
              <w:pStyle w:val="3"/>
              <w:bidi w:val="0"/>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危险化学品泄漏</w:t>
            </w:r>
          </w:p>
          <w:p w14:paraId="2148D8F4">
            <w:pPr>
              <w:pStyle w:val="3"/>
              <w:bidi w:val="0"/>
              <w:rPr>
                <w:rFonts w:hint="default" w:ascii="Times New Roman" w:hAnsi="Times New Roman" w:cs="Times New Roman"/>
                <w:lang w:val="en-US"/>
              </w:rPr>
            </w:pPr>
            <w:r>
              <w:rPr>
                <w:rFonts w:hint="default" w:ascii="Times New Roman" w:hAnsi="Times New Roman" w:cs="Times New Roman"/>
                <w:lang w:val="en-US"/>
              </w:rPr>
              <w:t>化学品泄漏事故发生时，化学品本身带有毒性，若工人不小心误食或直接触碰，很可能引起中毒</w:t>
            </w:r>
            <w:r>
              <w:rPr>
                <w:rFonts w:hint="default" w:ascii="Times New Roman" w:hAnsi="Times New Roman" w:cs="Times New Roman"/>
                <w:lang w:val="en-US" w:eastAsia="zh-CN"/>
              </w:rPr>
              <w:t>；</w:t>
            </w:r>
            <w:r>
              <w:rPr>
                <w:rFonts w:hint="default" w:ascii="Times New Roman" w:hAnsi="Times New Roman" w:cs="Times New Roman"/>
                <w:lang w:val="en-US"/>
              </w:rPr>
              <w:t>腐蚀性的</w:t>
            </w:r>
            <w:r>
              <w:rPr>
                <w:rFonts w:hint="eastAsia" w:ascii="Times New Roman" w:hAnsi="Times New Roman" w:cs="Times New Roman"/>
                <w:lang w:val="en-US" w:eastAsia="zh-CN"/>
              </w:rPr>
              <w:t>化学品泄漏</w:t>
            </w:r>
            <w:r>
              <w:rPr>
                <w:rFonts w:hint="default" w:ascii="Times New Roman" w:hAnsi="Times New Roman" w:cs="Times New Roman"/>
                <w:lang w:val="en-US"/>
              </w:rPr>
              <w:t>可能对仓库或设备造成损坏，甚至引起人体灼伤</w:t>
            </w:r>
            <w:r>
              <w:rPr>
                <w:rFonts w:hint="default" w:ascii="Times New Roman" w:hAnsi="Times New Roman" w:cs="Times New Roman"/>
                <w:lang w:val="en-US" w:eastAsia="zh-CN"/>
              </w:rPr>
              <w:t>；</w:t>
            </w:r>
            <w:r>
              <w:rPr>
                <w:rFonts w:hint="default" w:ascii="Times New Roman" w:hAnsi="Times New Roman" w:cs="Times New Roman"/>
                <w:lang w:val="en-US"/>
              </w:rPr>
              <w:t>硫酸容易挥发或在高温条件下挥发出有毒气体，当有毒气体浓度超过一定量时，会引起员工中毒，损害工人健康</w:t>
            </w:r>
            <w:r>
              <w:rPr>
                <w:rFonts w:hint="default" w:ascii="Times New Roman" w:hAnsi="Times New Roman" w:cs="Times New Roman"/>
                <w:lang w:val="en-US" w:eastAsia="zh-CN"/>
              </w:rPr>
              <w:t>；</w:t>
            </w:r>
            <w:r>
              <w:rPr>
                <w:rFonts w:hint="default" w:ascii="Times New Roman" w:hAnsi="Times New Roman" w:cs="Times New Roman"/>
                <w:lang w:val="en-US"/>
              </w:rPr>
              <w:t>一些泄露物与空气混合或与其禁忌物质接触，容易引起燃烧爆炸的危险</w:t>
            </w:r>
            <w:r>
              <w:rPr>
                <w:rFonts w:hint="default" w:ascii="Times New Roman" w:hAnsi="Times New Roman" w:cs="Times New Roman"/>
                <w:lang w:val="en-US" w:eastAsia="zh-CN"/>
              </w:rPr>
              <w:t>；</w:t>
            </w:r>
            <w:r>
              <w:rPr>
                <w:rFonts w:hint="default" w:ascii="Times New Roman" w:hAnsi="Times New Roman" w:cs="Times New Roman"/>
                <w:lang w:val="en-US"/>
              </w:rPr>
              <w:t>泄露的危险化学品如直接进入到了外环境，会对周边土壤、地下水、地表水、环境空气等造成污染，影响区域周边环境质量。</w:t>
            </w:r>
          </w:p>
          <w:p w14:paraId="4A81EEAC">
            <w:pPr>
              <w:pStyle w:val="3"/>
              <w:bidi w:val="0"/>
              <w:rPr>
                <w:rFonts w:hint="default" w:ascii="Times New Roman" w:hAnsi="Times New Roman" w:cs="Times New Roman"/>
                <w:lang w:val="en-US"/>
              </w:rPr>
            </w:pPr>
            <w:r>
              <w:rPr>
                <w:rFonts w:hint="default" w:ascii="Times New Roman" w:hAnsi="Times New Roman" w:cs="Times New Roman"/>
                <w:lang w:val="en-US" w:eastAsia="zh-CN"/>
              </w:rPr>
              <w:t>渗滤液</w:t>
            </w:r>
            <w:r>
              <w:rPr>
                <w:rFonts w:hint="default" w:ascii="Times New Roman" w:hAnsi="Times New Roman" w:cs="Times New Roman"/>
                <w:lang w:val="en-US"/>
              </w:rPr>
              <w:t>废水事故排放</w:t>
            </w:r>
          </w:p>
          <w:p w14:paraId="51E8F767">
            <w:pPr>
              <w:pStyle w:val="3"/>
              <w:bidi w:val="0"/>
              <w:rPr>
                <w:rFonts w:hint="default" w:ascii="Times New Roman" w:hAnsi="Times New Roman" w:cs="Times New Roman"/>
                <w:lang w:val="en-US"/>
              </w:rPr>
            </w:pPr>
            <w:r>
              <w:rPr>
                <w:rFonts w:hint="default" w:ascii="Times New Roman" w:hAnsi="Times New Roman" w:cs="Times New Roman"/>
                <w:lang w:val="en-US"/>
              </w:rPr>
              <w:t>项目生产设施损坏、水池破裂、管道破损等导致生产废水泄露，厂区内应急池的体积足够容纳生产一天的</w:t>
            </w:r>
            <w:r>
              <w:rPr>
                <w:rFonts w:hint="default" w:ascii="Times New Roman" w:hAnsi="Times New Roman" w:cs="Times New Roman"/>
                <w:lang w:val="en-US" w:eastAsia="zh-CN"/>
              </w:rPr>
              <w:t>渗滤液</w:t>
            </w:r>
            <w:r>
              <w:rPr>
                <w:rFonts w:hint="default" w:ascii="Times New Roman" w:hAnsi="Times New Roman" w:cs="Times New Roman"/>
                <w:lang w:val="en-US"/>
              </w:rPr>
              <w:t>量，因此若泄露废水能够及时引流至应急池，不直接泄露到外环境，则泄露废水控制在厂区内不会对厂外环境造成污染。若</w:t>
            </w:r>
            <w:r>
              <w:rPr>
                <w:rFonts w:hint="default" w:ascii="Times New Roman" w:hAnsi="Times New Roman" w:cs="Times New Roman"/>
                <w:lang w:val="en-US" w:eastAsia="zh-CN"/>
              </w:rPr>
              <w:t>渗滤液</w:t>
            </w:r>
            <w:r>
              <w:rPr>
                <w:rFonts w:hint="default" w:ascii="Times New Roman" w:hAnsi="Times New Roman" w:cs="Times New Roman"/>
                <w:lang w:val="en-US"/>
              </w:rPr>
              <w:t>处理设施故障或操作不当，导致</w:t>
            </w:r>
            <w:r>
              <w:rPr>
                <w:rFonts w:hint="default" w:ascii="Times New Roman" w:hAnsi="Times New Roman" w:cs="Times New Roman"/>
                <w:lang w:val="en-US" w:eastAsia="zh-CN"/>
              </w:rPr>
              <w:t>渗滤液</w:t>
            </w:r>
            <w:r>
              <w:rPr>
                <w:rFonts w:hint="default" w:ascii="Times New Roman" w:hAnsi="Times New Roman" w:cs="Times New Roman"/>
                <w:lang w:val="en-US"/>
              </w:rPr>
              <w:t>废水未能达标，则会对</w:t>
            </w:r>
            <w:r>
              <w:rPr>
                <w:rFonts w:hint="default" w:ascii="Times New Roman" w:hAnsi="Times New Roman" w:cs="Times New Roman"/>
                <w:lang w:val="en-US" w:eastAsia="zh-CN"/>
              </w:rPr>
              <w:t>外环境造成影响</w:t>
            </w:r>
            <w:r>
              <w:rPr>
                <w:rFonts w:hint="default" w:ascii="Times New Roman" w:hAnsi="Times New Roman" w:cs="Times New Roman"/>
                <w:lang w:val="en-US"/>
              </w:rPr>
              <w:t>。</w:t>
            </w:r>
          </w:p>
          <w:p w14:paraId="63CCE5B0">
            <w:pPr>
              <w:pStyle w:val="3"/>
              <w:bidi w:val="0"/>
              <w:rPr>
                <w:rFonts w:hint="default" w:ascii="Times New Roman" w:hAnsi="Times New Roman" w:cs="Times New Roman"/>
                <w:lang w:val="en-US"/>
              </w:rPr>
            </w:pPr>
            <w:r>
              <w:rPr>
                <w:rFonts w:hint="default" w:ascii="Times New Roman" w:hAnsi="Times New Roman" w:cs="Times New Roman"/>
                <w:lang w:val="en-US"/>
              </w:rPr>
              <w:t>③废气事故排放</w:t>
            </w:r>
          </w:p>
          <w:p w14:paraId="5EC3F71B">
            <w:pPr>
              <w:pStyle w:val="3"/>
              <w:bidi w:val="0"/>
              <w:rPr>
                <w:rFonts w:hint="default" w:ascii="Times New Roman" w:hAnsi="Times New Roman" w:cs="Times New Roman"/>
                <w:lang w:val="en-US"/>
              </w:rPr>
            </w:pPr>
            <w:r>
              <w:rPr>
                <w:rFonts w:hint="default" w:ascii="Times New Roman" w:hAnsi="Times New Roman" w:cs="Times New Roman"/>
                <w:lang w:val="en-US"/>
              </w:rPr>
              <w:t>项目生产中产生的废气主要为</w:t>
            </w: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S、NH</w:t>
            </w:r>
            <w:r>
              <w:rPr>
                <w:rFonts w:hint="default" w:ascii="Times New Roman" w:hAnsi="Times New Roman" w:cs="Times New Roman"/>
                <w:vertAlign w:val="subscript"/>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为</w:t>
            </w:r>
            <w:r>
              <w:rPr>
                <w:rFonts w:hint="default" w:ascii="Times New Roman" w:hAnsi="Times New Roman" w:cs="Times New Roman"/>
                <w:color w:val="auto"/>
                <w:sz w:val="24"/>
                <w:szCs w:val="24"/>
              </w:rPr>
              <w:t>有毒有害、易燃易爆</w:t>
            </w:r>
            <w:r>
              <w:rPr>
                <w:rFonts w:hint="default" w:ascii="Times New Roman" w:hAnsi="Times New Roman" w:cs="Times New Roman"/>
                <w:color w:val="auto"/>
                <w:sz w:val="24"/>
                <w:szCs w:val="24"/>
                <w:lang w:eastAsia="zh-CN"/>
              </w:rPr>
              <w:t>气体</w:t>
            </w:r>
            <w:r>
              <w:rPr>
                <w:rFonts w:hint="default" w:ascii="Times New Roman" w:hAnsi="Times New Roman" w:cs="Times New Roman"/>
                <w:lang w:val="en-US"/>
              </w:rPr>
              <w:t>。</w:t>
            </w:r>
            <w:r>
              <w:rPr>
                <w:rFonts w:hint="default" w:ascii="Times New Roman" w:hAnsi="Times New Roman" w:cs="Times New Roman"/>
                <w:lang w:val="en-US" w:eastAsia="zh-CN"/>
              </w:rPr>
              <w:t>除臭系统</w:t>
            </w:r>
            <w:r>
              <w:rPr>
                <w:rFonts w:hint="default" w:ascii="Times New Roman" w:hAnsi="Times New Roman" w:cs="Times New Roman"/>
                <w:lang w:val="en-US"/>
              </w:rPr>
              <w:t>设施操作不当或</w:t>
            </w:r>
            <w:r>
              <w:rPr>
                <w:rFonts w:hint="default" w:ascii="Times New Roman" w:hAnsi="Times New Roman" w:cs="Times New Roman"/>
                <w:lang w:val="en-US" w:eastAsia="zh-CN"/>
              </w:rPr>
              <w:t>除臭系统</w:t>
            </w:r>
            <w:r>
              <w:rPr>
                <w:rFonts w:hint="default" w:ascii="Times New Roman" w:hAnsi="Times New Roman" w:cs="Times New Roman"/>
                <w:lang w:val="en-US"/>
              </w:rPr>
              <w:t>设施损坏，导致废气未经处理直接排放，危害到工人的健康</w:t>
            </w:r>
            <w:r>
              <w:rPr>
                <w:rFonts w:hint="default" w:ascii="Times New Roman" w:hAnsi="Times New Roman" w:cs="Times New Roman"/>
                <w:lang w:val="en-US" w:eastAsia="zh-CN"/>
              </w:rPr>
              <w:t>；</w:t>
            </w:r>
            <w:r>
              <w:rPr>
                <w:rFonts w:hint="default" w:ascii="Times New Roman" w:hAnsi="Times New Roman" w:cs="Times New Roman"/>
                <w:lang w:val="en-US"/>
              </w:rPr>
              <w:t>废气直接排放到外环境，会对周边区域环境空气质量造成影响。</w:t>
            </w:r>
          </w:p>
          <w:p w14:paraId="08692126">
            <w:pPr>
              <w:pStyle w:val="3"/>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防治措施：</w:t>
            </w:r>
          </w:p>
          <w:p w14:paraId="0658A446">
            <w:pPr>
              <w:pStyle w:val="3"/>
              <w:bidi w:val="0"/>
              <w:rPr>
                <w:rFonts w:hint="default" w:ascii="Times New Roman" w:hAnsi="Times New Roman" w:cs="Times New Roman"/>
                <w:lang w:val="en-US"/>
              </w:rPr>
            </w:pPr>
            <w:r>
              <w:rPr>
                <w:rFonts w:hint="default" w:ascii="Times New Roman" w:hAnsi="Times New Roman" w:cs="Times New Roman"/>
                <w:lang w:val="en-US" w:eastAsia="zh-CN"/>
              </w:rPr>
              <w:t>1）</w:t>
            </w:r>
            <w:r>
              <w:rPr>
                <w:rFonts w:hint="default" w:ascii="Times New Roman" w:hAnsi="Times New Roman" w:cs="Times New Roman"/>
                <w:lang w:val="en-US"/>
              </w:rPr>
              <w:t>危险化学品的管理</w:t>
            </w:r>
          </w:p>
          <w:p w14:paraId="58BCC289">
            <w:pPr>
              <w:pStyle w:val="3"/>
              <w:bidi w:val="0"/>
              <w:rPr>
                <w:rFonts w:hint="default" w:ascii="Times New Roman" w:hAnsi="Times New Roman" w:cs="Times New Roman"/>
                <w:lang w:val="en-US"/>
              </w:rPr>
            </w:pPr>
            <w:r>
              <w:rPr>
                <w:rFonts w:hint="default" w:ascii="Times New Roman" w:hAnsi="Times New Roman" w:cs="Times New Roman"/>
                <w:lang w:val="en-US"/>
              </w:rPr>
              <w:t>①危险化学品管理与使用</w:t>
            </w:r>
          </w:p>
          <w:p w14:paraId="15A6AFBA">
            <w:pPr>
              <w:pStyle w:val="3"/>
              <w:bidi w:val="0"/>
              <w:rPr>
                <w:rFonts w:hint="default" w:ascii="Times New Roman" w:hAnsi="Times New Roman" w:cs="Times New Roman"/>
                <w:lang w:val="en-US"/>
              </w:rPr>
            </w:pPr>
            <w:r>
              <w:rPr>
                <w:rFonts w:hint="default" w:ascii="Times New Roman" w:hAnsi="Times New Roman" w:cs="Times New Roman"/>
                <w:lang w:val="en-US" w:eastAsia="zh-CN"/>
              </w:rPr>
              <w:t>A、</w:t>
            </w:r>
            <w:r>
              <w:rPr>
                <w:rFonts w:hint="default" w:ascii="Times New Roman" w:hAnsi="Times New Roman" w:cs="Times New Roman"/>
                <w:lang w:val="en-US"/>
              </w:rPr>
              <w:t>企业应将各危险化学品单独储存，定期对危险品的库存、使用、流向等进行检查和登记</w:t>
            </w:r>
            <w:r>
              <w:rPr>
                <w:rFonts w:hint="default" w:ascii="Times New Roman" w:hAnsi="Times New Roman" w:cs="Times New Roman"/>
                <w:lang w:val="en-US" w:eastAsia="zh-CN"/>
              </w:rPr>
              <w:t>；</w:t>
            </w:r>
            <w:r>
              <w:rPr>
                <w:rFonts w:hint="default" w:ascii="Times New Roman" w:hAnsi="Times New Roman" w:cs="Times New Roman"/>
                <w:lang w:val="en-US"/>
              </w:rPr>
              <w:t>要切实加强储存、使用危险化学品的管理工作，明确岗位责任，做到分类储存、分类运输、安全使用。</w:t>
            </w:r>
          </w:p>
          <w:p w14:paraId="4498B857">
            <w:pPr>
              <w:pStyle w:val="3"/>
              <w:bidi w:val="0"/>
              <w:rPr>
                <w:rFonts w:hint="default" w:ascii="Times New Roman" w:hAnsi="Times New Roman" w:cs="Times New Roman"/>
                <w:lang w:val="en-US"/>
              </w:rPr>
            </w:pPr>
            <w:r>
              <w:rPr>
                <w:rFonts w:hint="default" w:ascii="Times New Roman" w:hAnsi="Times New Roman" w:cs="Times New Roman"/>
                <w:lang w:val="en-US" w:eastAsia="zh-CN"/>
              </w:rPr>
              <w:t>B、</w:t>
            </w:r>
            <w:r>
              <w:rPr>
                <w:rFonts w:hint="default" w:ascii="Times New Roman" w:hAnsi="Times New Roman" w:cs="Times New Roman"/>
                <w:lang w:val="en-US"/>
              </w:rPr>
              <w:t>企业应对危险化学品实行集中管理，有企业下设的危险品库负责储存、供应工作，不得超量储存危险化学品。</w:t>
            </w:r>
          </w:p>
          <w:p w14:paraId="03258506">
            <w:pPr>
              <w:pStyle w:val="3"/>
              <w:bidi w:val="0"/>
              <w:rPr>
                <w:rFonts w:hint="default" w:ascii="Times New Roman" w:hAnsi="Times New Roman" w:cs="Times New Roman"/>
                <w:lang w:val="en-US"/>
              </w:rPr>
            </w:pPr>
            <w:r>
              <w:rPr>
                <w:rFonts w:hint="default" w:ascii="Times New Roman" w:hAnsi="Times New Roman" w:cs="Times New Roman"/>
                <w:lang w:val="en-US"/>
              </w:rPr>
              <w:t>②危险品贮存</w:t>
            </w:r>
          </w:p>
          <w:p w14:paraId="1EB58B4E">
            <w:pPr>
              <w:pStyle w:val="3"/>
              <w:bidi w:val="0"/>
              <w:rPr>
                <w:rFonts w:hint="default" w:ascii="Times New Roman" w:hAnsi="Times New Roman" w:cs="Times New Roman"/>
                <w:lang w:val="en-US"/>
              </w:rPr>
            </w:pPr>
            <w:r>
              <w:rPr>
                <w:rFonts w:hint="default" w:ascii="Times New Roman" w:hAnsi="Times New Roman" w:cs="Times New Roman"/>
                <w:lang w:val="en-US" w:eastAsia="zh-CN"/>
              </w:rPr>
              <w:t>A</w:t>
            </w:r>
            <w:r>
              <w:rPr>
                <w:rFonts w:hint="default" w:ascii="Times New Roman" w:hAnsi="Times New Roman" w:cs="Times New Roman"/>
                <w:lang w:val="en-US"/>
              </w:rPr>
              <w:t>危险化学品必须贮存在专用的仓库内，根据物品性质，按规范要求设置相应的防爆、防火、防雷、报警、防晒、降温、消除静电、环境保护等安全装置和设施。本项目酸、碱分开存放，入库前确保容器密闭。</w:t>
            </w:r>
          </w:p>
          <w:p w14:paraId="596B93AA">
            <w:pPr>
              <w:pStyle w:val="3"/>
              <w:bidi w:val="0"/>
              <w:rPr>
                <w:rFonts w:hint="default" w:ascii="Times New Roman" w:hAnsi="Times New Roman" w:cs="Times New Roman"/>
                <w:lang w:val="en-US"/>
              </w:rPr>
            </w:pPr>
            <w:r>
              <w:rPr>
                <w:rFonts w:hint="default" w:ascii="Times New Roman" w:hAnsi="Times New Roman" w:cs="Times New Roman"/>
                <w:lang w:val="en-US" w:eastAsia="zh-CN"/>
              </w:rPr>
              <w:t>B</w:t>
            </w:r>
            <w:r>
              <w:rPr>
                <w:rFonts w:hint="default" w:ascii="Times New Roman" w:hAnsi="Times New Roman" w:cs="Times New Roman"/>
                <w:lang w:val="en-US"/>
              </w:rPr>
              <w:t>危险化学品仓库管理人员（包括库工）必须接受三级安全教育，经考试合格后，进入仓库培训实习</w:t>
            </w:r>
            <w:r>
              <w:rPr>
                <w:rFonts w:hint="default" w:ascii="Times New Roman" w:hAnsi="Times New Roman" w:cs="Times New Roman"/>
                <w:lang w:val="en-US" w:eastAsia="zh-CN"/>
              </w:rPr>
              <w:t>；</w:t>
            </w:r>
            <w:r>
              <w:rPr>
                <w:rFonts w:hint="default" w:ascii="Times New Roman" w:hAnsi="Times New Roman" w:cs="Times New Roman"/>
                <w:lang w:val="en-US"/>
              </w:rPr>
              <w:t>再经考试合格后，有主管部门发给安全作业证，才能上岗操作。</w:t>
            </w:r>
          </w:p>
          <w:p w14:paraId="3F0BD7B7">
            <w:pPr>
              <w:pStyle w:val="3"/>
              <w:bidi w:val="0"/>
              <w:rPr>
                <w:rFonts w:hint="default" w:ascii="Times New Roman" w:hAnsi="Times New Roman" w:cs="Times New Roman"/>
                <w:lang w:val="en-US"/>
              </w:rPr>
            </w:pPr>
            <w:r>
              <w:rPr>
                <w:rFonts w:hint="default" w:ascii="Times New Roman" w:hAnsi="Times New Roman" w:cs="Times New Roman"/>
                <w:lang w:val="en-US" w:eastAsia="zh-CN"/>
              </w:rPr>
              <w:t>C</w:t>
            </w:r>
            <w:r>
              <w:rPr>
                <w:rFonts w:hint="default" w:ascii="Times New Roman" w:hAnsi="Times New Roman" w:cs="Times New Roman"/>
                <w:lang w:val="en-US"/>
              </w:rPr>
              <w:t>危险品存放方式、方法与储存数量必须符合国家标准，有专人管理。危险品仓库应当符合国家标准对安全、消防的相关要求。要设置明显的警示标志，储存设备和安全设施应当定期检查。</w:t>
            </w:r>
          </w:p>
          <w:p w14:paraId="7CC66938">
            <w:pPr>
              <w:pStyle w:val="3"/>
              <w:bidi w:val="0"/>
              <w:rPr>
                <w:rFonts w:hint="default" w:ascii="Times New Roman" w:hAnsi="Times New Roman" w:cs="Times New Roman"/>
                <w:lang w:val="en-US"/>
              </w:rPr>
            </w:pPr>
            <w:r>
              <w:rPr>
                <w:rFonts w:hint="default" w:ascii="Times New Roman" w:hAnsi="Times New Roman" w:cs="Times New Roman"/>
                <w:lang w:val="en-US" w:eastAsia="zh-CN"/>
              </w:rPr>
              <w:t>D</w:t>
            </w:r>
            <w:r>
              <w:rPr>
                <w:rFonts w:hint="default" w:ascii="Times New Roman" w:hAnsi="Times New Roman" w:cs="Times New Roman"/>
                <w:lang w:val="en-US"/>
              </w:rPr>
              <w:t>严禁在危险化学品仓库内吸烟和使用明火。如果必须动用明火时，危险化学品必须全部转移到安全地点，同时对仓库内进行必要的通风或清洗。经主管部门审查，报保卫部门签发《动火证》后方可实施。</w:t>
            </w:r>
          </w:p>
          <w:p w14:paraId="25CB7504">
            <w:pPr>
              <w:pStyle w:val="3"/>
              <w:bidi w:val="0"/>
              <w:rPr>
                <w:rFonts w:hint="default" w:ascii="Times New Roman" w:hAnsi="Times New Roman" w:cs="Times New Roman"/>
                <w:lang w:val="en-US"/>
              </w:rPr>
            </w:pPr>
            <w:r>
              <w:rPr>
                <w:rFonts w:hint="default" w:ascii="Times New Roman" w:hAnsi="Times New Roman" w:cs="Times New Roman"/>
                <w:lang w:val="en-US"/>
              </w:rPr>
              <w:t>③危险品运输</w:t>
            </w:r>
          </w:p>
          <w:p w14:paraId="3E2887A0">
            <w:pPr>
              <w:pStyle w:val="3"/>
              <w:bidi w:val="0"/>
              <w:rPr>
                <w:rFonts w:hint="default" w:ascii="Times New Roman" w:hAnsi="Times New Roman" w:cs="Times New Roman"/>
                <w:lang w:val="en-US"/>
              </w:rPr>
            </w:pPr>
            <w:r>
              <w:rPr>
                <w:rFonts w:hint="default" w:ascii="Times New Roman" w:hAnsi="Times New Roman" w:cs="Times New Roman"/>
                <w:lang w:val="en-US" w:eastAsia="zh-CN"/>
              </w:rPr>
              <w:t>A、</w:t>
            </w:r>
            <w:r>
              <w:rPr>
                <w:rFonts w:hint="default" w:ascii="Times New Roman" w:hAnsi="Times New Roman" w:cs="Times New Roman"/>
                <w:lang w:val="en-US"/>
              </w:rPr>
              <w:t>危险化学品道路运输管理由运输单位负责。</w:t>
            </w:r>
          </w:p>
          <w:p w14:paraId="76F49C93">
            <w:pPr>
              <w:pStyle w:val="3"/>
              <w:bidi w:val="0"/>
              <w:rPr>
                <w:rFonts w:hint="default" w:ascii="Times New Roman" w:hAnsi="Times New Roman" w:cs="Times New Roman"/>
                <w:lang w:val="en-US"/>
              </w:rPr>
            </w:pPr>
            <w:r>
              <w:rPr>
                <w:rFonts w:hint="default" w:ascii="Times New Roman" w:hAnsi="Times New Roman" w:cs="Times New Roman"/>
                <w:lang w:val="en-US" w:eastAsia="zh-CN"/>
              </w:rPr>
              <w:t>B、</w:t>
            </w:r>
            <w:r>
              <w:rPr>
                <w:rFonts w:hint="default" w:ascii="Times New Roman" w:hAnsi="Times New Roman" w:cs="Times New Roman"/>
                <w:lang w:val="en-US"/>
              </w:rPr>
              <w:t>危险化学品到厂卸货时，应轻拿轻放，搬运人员严禁使用烟火，检查化学品包装。</w:t>
            </w:r>
          </w:p>
          <w:p w14:paraId="6CADE70F">
            <w:pPr>
              <w:pStyle w:val="3"/>
              <w:bidi w:val="0"/>
              <w:rPr>
                <w:rFonts w:hint="default" w:ascii="Times New Roman" w:hAnsi="Times New Roman" w:cs="Times New Roman"/>
                <w:lang w:val="en-US"/>
              </w:rPr>
            </w:pPr>
            <w:r>
              <w:rPr>
                <w:rFonts w:hint="default" w:ascii="Times New Roman" w:hAnsi="Times New Roman" w:cs="Times New Roman"/>
                <w:lang w:val="en-US" w:eastAsia="zh-CN"/>
              </w:rPr>
              <w:t>C、</w:t>
            </w:r>
            <w:r>
              <w:rPr>
                <w:rFonts w:hint="default" w:ascii="Times New Roman" w:hAnsi="Times New Roman" w:cs="Times New Roman"/>
                <w:lang w:val="en-US"/>
              </w:rPr>
              <w:t>工人将危险化学品从仓库搬至生产车间时使用推车，穿戴相应的防护设施，不要直接接触化学品，搬运前保证化学品包装完好密闭。</w:t>
            </w:r>
          </w:p>
          <w:p w14:paraId="0EBBBB08">
            <w:pPr>
              <w:pStyle w:val="3"/>
              <w:bidi w:val="0"/>
              <w:rPr>
                <w:rFonts w:hint="default" w:ascii="Times New Roman" w:hAnsi="Times New Roman" w:cs="Times New Roman"/>
                <w:lang w:val="en-US"/>
              </w:rPr>
            </w:pPr>
            <w:r>
              <w:rPr>
                <w:rFonts w:hint="default" w:ascii="Times New Roman" w:hAnsi="Times New Roman" w:cs="Times New Roman"/>
                <w:lang w:val="en-US" w:eastAsia="zh-CN"/>
              </w:rPr>
              <w:t>D、</w:t>
            </w:r>
            <w:r>
              <w:rPr>
                <w:rFonts w:hint="default" w:ascii="Times New Roman" w:hAnsi="Times New Roman" w:cs="Times New Roman"/>
                <w:lang w:val="en-US"/>
              </w:rPr>
              <w:t>危险化学品进出仓库时应做好数量、种类登记，杜绝漏报、缺报现象。</w:t>
            </w:r>
          </w:p>
          <w:p w14:paraId="55FAC5CC">
            <w:pPr>
              <w:pStyle w:val="3"/>
              <w:bidi w:val="0"/>
              <w:rPr>
                <w:rFonts w:hint="default" w:ascii="Times New Roman" w:hAnsi="Times New Roman" w:cs="Times New Roman"/>
                <w:lang w:val="en-US"/>
              </w:rPr>
            </w:pPr>
            <w:r>
              <w:rPr>
                <w:rFonts w:hint="default" w:ascii="Times New Roman" w:hAnsi="Times New Roman" w:cs="Times New Roman"/>
                <w:lang w:eastAsia="zh-CN"/>
              </w:rPr>
              <w:t>④渗滤液处理系统</w:t>
            </w:r>
            <w:r>
              <w:rPr>
                <w:rFonts w:hint="default" w:ascii="Times New Roman" w:hAnsi="Times New Roman" w:cs="Times New Roman"/>
                <w:lang w:val="en-US"/>
              </w:rPr>
              <w:t>风险防范措施</w:t>
            </w:r>
          </w:p>
          <w:p w14:paraId="09EDBA1C">
            <w:pPr>
              <w:pStyle w:val="3"/>
              <w:bidi w:val="0"/>
              <w:rPr>
                <w:rFonts w:hint="default" w:ascii="Times New Roman" w:hAnsi="Times New Roman" w:cs="Times New Roman"/>
                <w:lang w:eastAsia="zh-CN"/>
              </w:rPr>
            </w:pPr>
            <w:r>
              <w:rPr>
                <w:rFonts w:hint="default" w:ascii="Times New Roman" w:hAnsi="Times New Roman" w:cs="Times New Roman"/>
                <w:lang w:val="en-US" w:eastAsia="zh-CN"/>
              </w:rPr>
              <w:t>A、</w:t>
            </w:r>
            <w:r>
              <w:rPr>
                <w:rFonts w:hint="default" w:ascii="Times New Roman" w:hAnsi="Times New Roman" w:cs="Times New Roman"/>
              </w:rPr>
              <w:t>加强运行管理，保证</w:t>
            </w:r>
            <w:r>
              <w:rPr>
                <w:rFonts w:hint="default" w:ascii="Times New Roman" w:hAnsi="Times New Roman" w:cs="Times New Roman"/>
                <w:lang w:eastAsia="zh-CN"/>
              </w:rPr>
              <w:t>渗滤液处理站</w:t>
            </w:r>
            <w:r>
              <w:rPr>
                <w:rFonts w:hint="default" w:ascii="Times New Roman" w:hAnsi="Times New Roman" w:cs="Times New Roman"/>
              </w:rPr>
              <w:t>运行正常，</w:t>
            </w:r>
            <w:r>
              <w:rPr>
                <w:rFonts w:hint="default" w:ascii="Times New Roman" w:hAnsi="Times New Roman" w:cs="Times New Roman"/>
                <w:lang w:eastAsia="zh-CN"/>
              </w:rPr>
              <w:t>安装</w:t>
            </w:r>
            <w:r>
              <w:rPr>
                <w:rFonts w:hint="default" w:ascii="Times New Roman" w:hAnsi="Times New Roman" w:cs="Times New Roman"/>
              </w:rPr>
              <w:t>渗</w:t>
            </w:r>
            <w:r>
              <w:rPr>
                <w:rFonts w:hint="default" w:ascii="Times New Roman" w:hAnsi="Times New Roman" w:cs="Times New Roman"/>
                <w:lang w:eastAsia="zh-CN"/>
              </w:rPr>
              <w:t>沥液处理系统在线监测系统，保证污染物达标排放。</w:t>
            </w:r>
          </w:p>
          <w:p w14:paraId="426F94AC">
            <w:pPr>
              <w:pStyle w:val="3"/>
              <w:bidi w:val="0"/>
              <w:rPr>
                <w:rFonts w:hint="default" w:ascii="Times New Roman" w:hAnsi="Times New Roman" w:cs="Times New Roman"/>
              </w:rPr>
            </w:pPr>
            <w:r>
              <w:rPr>
                <w:rFonts w:hint="default" w:ascii="Times New Roman" w:hAnsi="Times New Roman" w:cs="Times New Roman"/>
                <w:lang w:val="en-US" w:eastAsia="zh-CN"/>
              </w:rPr>
              <w:t>B、</w:t>
            </w:r>
            <w:r>
              <w:rPr>
                <w:rFonts w:hint="default" w:ascii="Times New Roman" w:hAnsi="Times New Roman" w:cs="Times New Roman"/>
              </w:rPr>
              <w:t>及时掌握</w:t>
            </w:r>
            <w:r>
              <w:rPr>
                <w:rFonts w:hint="default" w:ascii="Times New Roman" w:hAnsi="Times New Roman" w:cs="Times New Roman"/>
                <w:lang w:eastAsia="zh-CN"/>
              </w:rPr>
              <w:t>渗滤液处理站</w:t>
            </w:r>
            <w:r>
              <w:rPr>
                <w:rFonts w:hint="default" w:ascii="Times New Roman" w:hAnsi="Times New Roman" w:cs="Times New Roman"/>
              </w:rPr>
              <w:t>供电信息保证正常电力供应，完善电力设施管理，保证双回路供电正常运行(备用发电机组)。</w:t>
            </w:r>
          </w:p>
          <w:p w14:paraId="43102088">
            <w:pPr>
              <w:pStyle w:val="3"/>
              <w:bidi w:val="0"/>
              <w:rPr>
                <w:rFonts w:hint="default" w:ascii="Times New Roman" w:hAnsi="Times New Roman" w:cs="Times New Roman"/>
              </w:rPr>
            </w:pPr>
            <w:r>
              <w:rPr>
                <w:rFonts w:hint="default" w:ascii="Times New Roman" w:hAnsi="Times New Roman" w:cs="Times New Roman"/>
                <w:lang w:val="en-US" w:eastAsia="zh-CN"/>
              </w:rPr>
              <w:t>C、</w:t>
            </w:r>
            <w:r>
              <w:rPr>
                <w:rFonts w:hint="default" w:ascii="Times New Roman" w:hAnsi="Times New Roman" w:cs="Times New Roman"/>
              </w:rPr>
              <w:t>加强</w:t>
            </w:r>
            <w:r>
              <w:rPr>
                <w:rFonts w:hint="default" w:ascii="Times New Roman" w:hAnsi="Times New Roman" w:cs="Times New Roman"/>
                <w:lang w:eastAsia="zh-CN"/>
              </w:rPr>
              <w:t>渗滤液</w:t>
            </w:r>
            <w:r>
              <w:rPr>
                <w:rFonts w:hint="default" w:ascii="Times New Roman" w:hAnsi="Times New Roman" w:cs="Times New Roman"/>
              </w:rPr>
              <w:t>处理设施的日常维护，避免故障的发生。</w:t>
            </w:r>
          </w:p>
          <w:p w14:paraId="53C22E78">
            <w:pPr>
              <w:pStyle w:val="3"/>
              <w:bidi w:val="0"/>
              <w:rPr>
                <w:rFonts w:hint="default" w:ascii="Times New Roman" w:hAnsi="Times New Roman" w:cs="Times New Roman"/>
              </w:rPr>
            </w:pPr>
            <w:r>
              <w:rPr>
                <w:rFonts w:hint="default" w:ascii="Times New Roman" w:hAnsi="Times New Roman" w:cs="Times New Roman"/>
                <w:lang w:val="en-US" w:eastAsia="zh-CN"/>
              </w:rPr>
              <w:t>D、</w:t>
            </w:r>
            <w:r>
              <w:rPr>
                <w:rFonts w:hint="default" w:ascii="Times New Roman" w:hAnsi="Times New Roman" w:cs="Times New Roman"/>
              </w:rPr>
              <w:t>全面调</w:t>
            </w:r>
            <w:r>
              <w:rPr>
                <w:rFonts w:hint="eastAsia" w:ascii="Times New Roman" w:hAnsi="Times New Roman" w:cs="Times New Roman"/>
                <w:lang w:eastAsia="zh-CN"/>
              </w:rPr>
              <w:t>查</w:t>
            </w:r>
            <w:r>
              <w:rPr>
                <w:rFonts w:hint="default" w:ascii="Times New Roman" w:hAnsi="Times New Roman" w:cs="Times New Roman"/>
              </w:rPr>
              <w:t>了解污渗沥液理系统突发环境污染事故类型、危险源以及所造成的环境危害，评估确定该部门的突发环境污染事故应急能力。</w:t>
            </w:r>
          </w:p>
          <w:p w14:paraId="67548D81">
            <w:pPr>
              <w:pStyle w:val="3"/>
              <w:bidi w:val="0"/>
              <w:rPr>
                <w:rFonts w:hint="default" w:ascii="Times New Roman" w:hAnsi="Times New Roman" w:cs="Times New Roman"/>
              </w:rPr>
            </w:pPr>
            <w:r>
              <w:rPr>
                <w:rFonts w:hint="default" w:ascii="Times New Roman" w:hAnsi="Times New Roman" w:cs="Times New Roman"/>
                <w:lang w:val="en-US" w:eastAsia="zh-CN"/>
              </w:rPr>
              <w:t>E、</w:t>
            </w:r>
            <w:r>
              <w:rPr>
                <w:rFonts w:hint="default" w:ascii="Times New Roman" w:hAnsi="Times New Roman" w:cs="Times New Roman"/>
              </w:rPr>
              <w:t>提高各部门对突发环境污染事故的应急能力，确保事故发生时能够及时、有效处理事故源，控制事故扩大，减少事故损失。</w:t>
            </w:r>
          </w:p>
          <w:p w14:paraId="2525182E">
            <w:pPr>
              <w:pStyle w:val="3"/>
              <w:bidi w:val="0"/>
              <w:rPr>
                <w:rFonts w:hint="default" w:ascii="Times New Roman" w:hAnsi="Times New Roman" w:cs="Times New Roman"/>
                <w:lang w:val="en-US"/>
              </w:rPr>
            </w:pPr>
            <w:r>
              <w:rPr>
                <w:rFonts w:hint="default" w:ascii="Times New Roman" w:hAnsi="Times New Roman" w:cs="Times New Roman"/>
                <w:lang w:val="en-US" w:eastAsia="zh-CN"/>
              </w:rPr>
              <w:t>2）</w:t>
            </w:r>
            <w:r>
              <w:rPr>
                <w:rFonts w:hint="default" w:ascii="Times New Roman" w:hAnsi="Times New Roman" w:cs="Times New Roman"/>
                <w:lang w:val="en-US"/>
              </w:rPr>
              <w:t>废气风险防范措施</w:t>
            </w:r>
          </w:p>
          <w:p w14:paraId="4F7B06B7">
            <w:pPr>
              <w:pStyle w:val="3"/>
              <w:bidi w:val="0"/>
              <w:rPr>
                <w:rFonts w:hint="default" w:ascii="Times New Roman" w:hAnsi="Times New Roman" w:cs="Times New Roman"/>
                <w:lang w:val="en-US"/>
              </w:rPr>
            </w:pPr>
            <w:r>
              <w:rPr>
                <w:rFonts w:hint="default" w:ascii="Times New Roman" w:hAnsi="Times New Roman" w:cs="Times New Roman"/>
                <w:lang w:val="en-US"/>
              </w:rPr>
              <w:t>①废气处理设施的相关操作人员应严格按照操作规程进行操作</w:t>
            </w:r>
            <w:r>
              <w:rPr>
                <w:rFonts w:hint="default" w:ascii="Times New Roman" w:hAnsi="Times New Roman" w:cs="Times New Roman"/>
                <w:lang w:val="en-US" w:eastAsia="zh-CN"/>
              </w:rPr>
              <w:t>；</w:t>
            </w:r>
            <w:r>
              <w:rPr>
                <w:rFonts w:hint="default" w:ascii="Times New Roman" w:hAnsi="Times New Roman" w:cs="Times New Roman"/>
                <w:lang w:val="en-US"/>
              </w:rPr>
              <w:t>每天一次对废气处理设施进行巡检，如</w:t>
            </w:r>
            <w:r>
              <w:rPr>
                <w:rFonts w:hint="default" w:ascii="Times New Roman" w:hAnsi="Times New Roman" w:cs="Times New Roman"/>
                <w:lang w:val="en-US" w:eastAsia="zh-CN"/>
              </w:rPr>
              <w:t>：除臭系统</w:t>
            </w:r>
            <w:r>
              <w:rPr>
                <w:rFonts w:hint="default" w:ascii="Times New Roman" w:hAnsi="Times New Roman" w:cs="Times New Roman"/>
                <w:lang w:val="en-US"/>
              </w:rPr>
              <w:t>是否发生泄漏、药液药性是否正常等，发现问题及时解决，并做好巡检记录。</w:t>
            </w:r>
          </w:p>
          <w:p w14:paraId="7E87DCD4">
            <w:pPr>
              <w:pStyle w:val="3"/>
              <w:bidi w:val="0"/>
              <w:rPr>
                <w:rFonts w:hint="default" w:ascii="Times New Roman" w:hAnsi="Times New Roman" w:cs="Times New Roman"/>
                <w:lang w:val="en-US"/>
              </w:rPr>
            </w:pPr>
            <w:r>
              <w:rPr>
                <w:rFonts w:hint="default" w:ascii="Times New Roman" w:hAnsi="Times New Roman" w:cs="Times New Roman"/>
                <w:lang w:val="en-US"/>
              </w:rPr>
              <w:t>②定期监测经废气处理设施处理后的废气排放浓度，保证达标排放</w:t>
            </w:r>
            <w:r>
              <w:rPr>
                <w:rFonts w:hint="default" w:ascii="Times New Roman" w:hAnsi="Times New Roman" w:cs="Times New Roman"/>
                <w:lang w:val="en-US" w:eastAsia="zh-CN"/>
              </w:rPr>
              <w:t>；</w:t>
            </w:r>
            <w:r>
              <w:rPr>
                <w:rFonts w:hint="default" w:ascii="Times New Roman" w:hAnsi="Times New Roman" w:cs="Times New Roman"/>
                <w:lang w:val="en-US"/>
              </w:rPr>
              <w:t>定期检查通风管道，尽量避免无组织排放，保证废气高空排放。</w:t>
            </w:r>
          </w:p>
          <w:p w14:paraId="62193184">
            <w:pPr>
              <w:pStyle w:val="3"/>
              <w:bidi w:val="0"/>
              <w:rPr>
                <w:rFonts w:hint="default" w:ascii="Times New Roman" w:hAnsi="Times New Roman" w:cs="Times New Roman"/>
                <w:lang w:val="en-US"/>
              </w:rPr>
            </w:pPr>
            <w:r>
              <w:rPr>
                <w:rFonts w:hint="default" w:ascii="Times New Roman" w:hAnsi="Times New Roman" w:cs="Times New Roman"/>
                <w:lang w:val="en-US"/>
              </w:rPr>
              <w:t>③对废气处理站员工加强环保宣传教育，并进行专业技能培训。</w:t>
            </w:r>
          </w:p>
          <w:p w14:paraId="3F867C12">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（4）突发环境事件应急预案</w:t>
            </w:r>
          </w:p>
          <w:p w14:paraId="28F264B4">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项目需按照要求编制突发环境事件应急预案，并进行突发环境事件应急预案培训，定期开展演练。发生突发环境事件时，建设单位将立即启动相应突发环境事件应急预案，并按突发环境事件应急预案要求向生态环境等部门报告。</w:t>
            </w:r>
          </w:p>
          <w:p w14:paraId="6CBFDFBB">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本项目环境风险潜势为I，可开展简单分析，环境风险较小。建设单位运营过程中积极采取防护措施，制订环境突发事故应急预案，一旦突发环境风险事故，立即按应急预案提到的紧急处理、救援、监测方案等进行紧急救援，项目可以有效地防范风险事故发生或对事故的发生进行有效处置，项目发生的环境风险可以控制在较低水平。</w:t>
            </w:r>
          </w:p>
          <w:p w14:paraId="1147CC92">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（5）</w:t>
            </w:r>
            <w:r>
              <w:rPr>
                <w:rFonts w:hint="default" w:ascii="Times New Roman" w:hAnsi="Times New Roman" w:cs="Times New Roman"/>
                <w:lang w:val="en-US"/>
              </w:rPr>
              <w:t>结论</w:t>
            </w:r>
          </w:p>
          <w:p w14:paraId="08310625">
            <w:pPr>
              <w:pStyle w:val="3"/>
              <w:bidi w:val="0"/>
              <w:rPr>
                <w:rFonts w:hint="default" w:ascii="Times New Roman" w:hAnsi="Times New Roman" w:cs="Times New Roman"/>
              </w:rPr>
            </w:pPr>
            <w:r>
              <w:rPr>
                <w:rFonts w:hint="default" w:ascii="Times New Roman" w:hAnsi="Times New Roman" w:cs="Times New Roman"/>
                <w:lang w:val="en-US"/>
              </w:rPr>
              <w:t>通过对本项目各个风险源分析表明，风险的发生和前期勘查、预防、生产过程中管理密不可分，生产中要以“预防为主，防治结合”为指导，采取有效的风险预防措施，风险一旦发生，必须立即采取应急措施。企业应加强风险隐患的排查， 一旦发现安全隐患立即清除，一旦发生事故立即妥善处理。在严格落实各项安全、环保对策措施后，本项目存在的环境风险是可接受的。</w:t>
            </w:r>
          </w:p>
          <w:p w14:paraId="7D03BE60">
            <w:pPr>
              <w:ind w:left="420" w:leftChars="200"/>
              <w:jc w:val="center"/>
              <w:rPr>
                <w:rFonts w:hint="default" w:ascii="Times New Roman" w:hAnsi="Times New Roman" w:cs="Times New Roman"/>
                <w:szCs w:val="32"/>
                <w:lang w:val="en-US" w:eastAsia="zh-CN"/>
              </w:rPr>
            </w:pPr>
            <w:r>
              <w:rPr>
                <w:rFonts w:hint="default" w:ascii="Times New Roman" w:hAnsi="Times New Roman" w:cs="Times New Roman"/>
                <w:szCs w:val="32"/>
              </w:rPr>
              <w:t>表</w:t>
            </w:r>
            <w:r>
              <w:rPr>
                <w:rFonts w:hint="default" w:ascii="Times New Roman" w:hAnsi="Times New Roman" w:cs="Times New Roman"/>
                <w:szCs w:val="32"/>
                <w:lang w:val="en-US" w:eastAsia="zh-CN"/>
              </w:rPr>
              <w:t>4-</w:t>
            </w:r>
            <w:r>
              <w:rPr>
                <w:rFonts w:hint="eastAsia" w:ascii="Times New Roman" w:hAnsi="Times New Roman" w:cs="Times New Roman"/>
                <w:szCs w:val="32"/>
                <w:lang w:val="en-US" w:eastAsia="zh-CN"/>
              </w:rPr>
              <w:t>21</w:t>
            </w:r>
            <w:r>
              <w:rPr>
                <w:rFonts w:hint="default" w:ascii="Times New Roman" w:hAnsi="Times New Roman" w:cs="Times New Roman"/>
                <w:szCs w:val="32"/>
                <w:lang w:val="en-US" w:eastAsia="zh-CN"/>
              </w:rPr>
              <w:t>建设项目环境风险分析表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5"/>
              <w:gridCol w:w="1206"/>
              <w:gridCol w:w="1416"/>
              <w:gridCol w:w="382"/>
              <w:gridCol w:w="933"/>
              <w:gridCol w:w="1702"/>
            </w:tblGrid>
            <w:tr w14:paraId="21E5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14" w:type="pct"/>
                  <w:noWrap w:val="0"/>
                  <w:vAlign w:val="center"/>
                </w:tcPr>
                <w:p w14:paraId="5F04A140">
                  <w:pPr>
                    <w:pStyle w:val="71"/>
                    <w:bidi w:val="0"/>
                    <w:jc w:val="center"/>
                    <w:rPr>
                      <w:rFonts w:hint="default" w:ascii="Times New Roman" w:hAnsi="Times New Roman" w:cs="Times New Roman"/>
                    </w:rPr>
                  </w:pPr>
                  <w:r>
                    <w:rPr>
                      <w:rFonts w:hint="default" w:ascii="Times New Roman" w:hAnsi="Times New Roman" w:cs="Times New Roman"/>
                    </w:rPr>
                    <w:t>建设项目名称</w:t>
                  </w:r>
                </w:p>
              </w:tc>
              <w:tc>
                <w:tcPr>
                  <w:tcW w:w="3585" w:type="pct"/>
                  <w:gridSpan w:val="5"/>
                  <w:noWrap w:val="0"/>
                  <w:vAlign w:val="center"/>
                </w:tcPr>
                <w:p w14:paraId="78695C91">
                  <w:pPr>
                    <w:rPr>
                      <w:rFonts w:hint="default" w:ascii="Times New Roman" w:hAnsi="Times New Roman" w:cs="Times New Roman"/>
                      <w:lang w:eastAsia="zh-CN"/>
                    </w:rPr>
                  </w:pPr>
                  <w:r>
                    <w:rPr>
                      <w:rFonts w:hint="default" w:ascii="Times New Roman" w:hAnsi="Times New Roman" w:cs="Times New Roman" w:eastAsiaTheme="minorEastAsia"/>
                      <w:kern w:val="2"/>
                      <w:sz w:val="21"/>
                      <w:szCs w:val="21"/>
                      <w:lang w:val="en-US" w:eastAsia="zh-CN" w:bidi="ar-SA"/>
                    </w:rPr>
                    <w:t>芒市生活垃圾渗滤液处理站能力提升建设项目</w:t>
                  </w:r>
                </w:p>
              </w:tc>
            </w:tr>
            <w:tr w14:paraId="3ABA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14" w:type="pct"/>
                  <w:noWrap w:val="0"/>
                  <w:vAlign w:val="center"/>
                </w:tcPr>
                <w:p w14:paraId="5D034285">
                  <w:pPr>
                    <w:pStyle w:val="71"/>
                    <w:bidi w:val="0"/>
                    <w:jc w:val="center"/>
                    <w:rPr>
                      <w:rFonts w:hint="default" w:ascii="Times New Roman" w:hAnsi="Times New Roman" w:cs="Times New Roman"/>
                    </w:rPr>
                  </w:pPr>
                  <w:r>
                    <w:rPr>
                      <w:rFonts w:hint="default" w:ascii="Times New Roman" w:hAnsi="Times New Roman" w:cs="Times New Roman"/>
                    </w:rPr>
                    <w:t>建设地点</w:t>
                  </w:r>
                </w:p>
              </w:tc>
              <w:tc>
                <w:tcPr>
                  <w:tcW w:w="766" w:type="pct"/>
                  <w:noWrap w:val="0"/>
                  <w:vAlign w:val="center"/>
                </w:tcPr>
                <w:p w14:paraId="164DFC7D">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云南省</w:t>
                  </w:r>
                </w:p>
              </w:tc>
              <w:tc>
                <w:tcPr>
                  <w:tcW w:w="900" w:type="pct"/>
                  <w:noWrap w:val="0"/>
                  <w:vAlign w:val="center"/>
                </w:tcPr>
                <w:p w14:paraId="425F96CE">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德宏州</w:t>
                  </w:r>
                </w:p>
              </w:tc>
              <w:tc>
                <w:tcPr>
                  <w:tcW w:w="1918" w:type="pct"/>
                  <w:gridSpan w:val="3"/>
                  <w:noWrap w:val="0"/>
                  <w:vAlign w:val="center"/>
                </w:tcPr>
                <w:p w14:paraId="7CC0AD88">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 xml:space="preserve"> 芒市芒市镇街坡村后山 </w:t>
                  </w:r>
                </w:p>
              </w:tc>
            </w:tr>
            <w:tr w14:paraId="7184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14" w:type="pct"/>
                  <w:noWrap w:val="0"/>
                  <w:vAlign w:val="center"/>
                </w:tcPr>
                <w:p w14:paraId="3C991CB5">
                  <w:pPr>
                    <w:pStyle w:val="71"/>
                    <w:bidi w:val="0"/>
                    <w:jc w:val="center"/>
                    <w:rPr>
                      <w:rFonts w:hint="default" w:ascii="Times New Roman" w:hAnsi="Times New Roman" w:cs="Times New Roman"/>
                    </w:rPr>
                  </w:pPr>
                  <w:r>
                    <w:rPr>
                      <w:rFonts w:hint="default" w:ascii="Times New Roman" w:hAnsi="Times New Roman" w:cs="Times New Roman"/>
                    </w:rPr>
                    <w:t>地理坐标</w:t>
                  </w:r>
                </w:p>
              </w:tc>
              <w:tc>
                <w:tcPr>
                  <w:tcW w:w="766" w:type="pct"/>
                  <w:noWrap w:val="0"/>
                  <w:vAlign w:val="center"/>
                </w:tcPr>
                <w:p w14:paraId="7A205E09">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经度</w:t>
                  </w:r>
                </w:p>
              </w:tc>
              <w:tc>
                <w:tcPr>
                  <w:tcW w:w="1143" w:type="pct"/>
                  <w:gridSpan w:val="2"/>
                  <w:noWrap w:val="0"/>
                  <w:vAlign w:val="center"/>
                </w:tcPr>
                <w:p w14:paraId="788F8A63">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98°36′46.972″</w:t>
                  </w:r>
                </w:p>
              </w:tc>
              <w:tc>
                <w:tcPr>
                  <w:tcW w:w="593" w:type="pct"/>
                  <w:noWrap w:val="0"/>
                  <w:vAlign w:val="center"/>
                </w:tcPr>
                <w:p w14:paraId="2B8DB2FF">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纬度</w:t>
                  </w:r>
                </w:p>
              </w:tc>
              <w:tc>
                <w:tcPr>
                  <w:tcW w:w="1082" w:type="pct"/>
                  <w:noWrap w:val="0"/>
                  <w:vAlign w:val="center"/>
                </w:tcPr>
                <w:p w14:paraId="1729FB56">
                  <w:pPr>
                    <w:pStyle w:val="7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24°28′12.662″</w:t>
                  </w:r>
                </w:p>
              </w:tc>
            </w:tr>
            <w:tr w14:paraId="4600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14" w:type="pct"/>
                  <w:noWrap w:val="0"/>
                  <w:vAlign w:val="center"/>
                </w:tcPr>
                <w:p w14:paraId="70F2CAFC">
                  <w:pPr>
                    <w:pStyle w:val="71"/>
                    <w:bidi w:val="0"/>
                    <w:jc w:val="center"/>
                    <w:rPr>
                      <w:rFonts w:hint="default" w:ascii="Times New Roman" w:hAnsi="Times New Roman" w:cs="Times New Roman"/>
                    </w:rPr>
                  </w:pPr>
                </w:p>
                <w:p w14:paraId="241C7EEB">
                  <w:pPr>
                    <w:pStyle w:val="71"/>
                    <w:bidi w:val="0"/>
                    <w:jc w:val="center"/>
                    <w:rPr>
                      <w:rFonts w:hint="default" w:ascii="Times New Roman" w:hAnsi="Times New Roman" w:cs="Times New Roman"/>
                    </w:rPr>
                  </w:pPr>
                  <w:r>
                    <w:rPr>
                      <w:rFonts w:hint="default" w:ascii="Times New Roman" w:hAnsi="Times New Roman" w:cs="Times New Roman"/>
                    </w:rPr>
                    <w:t>主要危险物质及分布</w:t>
                  </w:r>
                </w:p>
              </w:tc>
              <w:tc>
                <w:tcPr>
                  <w:tcW w:w="3585" w:type="pct"/>
                  <w:gridSpan w:val="5"/>
                  <w:noWrap w:val="0"/>
                  <w:vAlign w:val="center"/>
                </w:tcPr>
                <w:p w14:paraId="1FB6DD25">
                  <w:pPr>
                    <w:pStyle w:val="71"/>
                    <w:bidi w:val="0"/>
                    <w:jc w:val="center"/>
                    <w:rPr>
                      <w:rFonts w:hint="default" w:ascii="Times New Roman" w:hAnsi="Times New Roman" w:cs="Times New Roman"/>
                    </w:rPr>
                  </w:pPr>
                  <w:r>
                    <w:rPr>
                      <w:rFonts w:hint="default" w:ascii="Times New Roman" w:hAnsi="Times New Roman" w:cs="Times New Roman"/>
                    </w:rPr>
                    <w:t>项目主要危险物质为</w:t>
                  </w:r>
                  <w:r>
                    <w:rPr>
                      <w:rFonts w:hint="default" w:ascii="Times New Roman" w:hAnsi="Times New Roman" w:cs="Times New Roman"/>
                      <w:lang w:eastAsia="zh-CN"/>
                    </w:rPr>
                    <w:t>硫酸、次氯酸钠、机油、废机油。硫酸、次氯酸钠储存于化学品库；机油储存于维修间</w:t>
                  </w:r>
                  <w:r>
                    <w:rPr>
                      <w:rFonts w:hint="default" w:ascii="Times New Roman" w:hAnsi="Times New Roman" w:cs="Times New Roman"/>
                    </w:rPr>
                    <w:t>；</w:t>
                  </w:r>
                  <w:r>
                    <w:rPr>
                      <w:rFonts w:hint="default" w:ascii="Times New Roman" w:hAnsi="Times New Roman" w:cs="Times New Roman"/>
                      <w:lang w:eastAsia="zh-CN"/>
                    </w:rPr>
                    <w:t>废机油</w:t>
                  </w:r>
                  <w:r>
                    <w:rPr>
                      <w:rFonts w:hint="default" w:ascii="Times New Roman" w:hAnsi="Times New Roman" w:cs="Times New Roman"/>
                    </w:rPr>
                    <w:t>暂存于危废暂存间。</w:t>
                  </w:r>
                </w:p>
              </w:tc>
            </w:tr>
            <w:tr w14:paraId="4DD9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14" w:type="pct"/>
                  <w:noWrap w:val="0"/>
                  <w:vAlign w:val="center"/>
                </w:tcPr>
                <w:p w14:paraId="1905CC0E">
                  <w:pPr>
                    <w:pStyle w:val="71"/>
                    <w:bidi w:val="0"/>
                    <w:jc w:val="center"/>
                    <w:rPr>
                      <w:rFonts w:hint="default" w:ascii="Times New Roman" w:hAnsi="Times New Roman" w:cs="Times New Roman"/>
                    </w:rPr>
                  </w:pPr>
                </w:p>
                <w:p w14:paraId="37429125">
                  <w:pPr>
                    <w:pStyle w:val="71"/>
                    <w:bidi w:val="0"/>
                    <w:jc w:val="center"/>
                    <w:rPr>
                      <w:rFonts w:hint="default" w:ascii="Times New Roman" w:hAnsi="Times New Roman" w:cs="Times New Roman"/>
                    </w:rPr>
                  </w:pPr>
                  <w:r>
                    <w:rPr>
                      <w:rFonts w:hint="default" w:ascii="Times New Roman" w:hAnsi="Times New Roman" w:cs="Times New Roman"/>
                    </w:rPr>
                    <w:t>环境影响途径及危害后果</w:t>
                  </w:r>
                </w:p>
              </w:tc>
              <w:tc>
                <w:tcPr>
                  <w:tcW w:w="3585" w:type="pct"/>
                  <w:gridSpan w:val="5"/>
                  <w:noWrap w:val="0"/>
                  <w:vAlign w:val="center"/>
                </w:tcPr>
                <w:p w14:paraId="120A99A9">
                  <w:pPr>
                    <w:pStyle w:val="71"/>
                    <w:bidi w:val="0"/>
                    <w:jc w:val="center"/>
                    <w:rPr>
                      <w:rFonts w:hint="default" w:ascii="Times New Roman" w:hAnsi="Times New Roman" w:cs="Times New Roman"/>
                      <w:lang w:eastAsia="zh-CN"/>
                    </w:rPr>
                  </w:pPr>
                  <w:r>
                    <w:rPr>
                      <w:rFonts w:hint="default" w:ascii="Times New Roman" w:hAnsi="Times New Roman" w:cs="Times New Roman"/>
                    </w:rPr>
                    <w:t>①</w:t>
                  </w:r>
                  <w:r>
                    <w:rPr>
                      <w:rFonts w:hint="default" w:ascii="Times New Roman" w:hAnsi="Times New Roman" w:cs="Times New Roman"/>
                      <w:lang w:eastAsia="zh-CN"/>
                    </w:rPr>
                    <w:t>化学品</w:t>
                  </w:r>
                  <w:r>
                    <w:rPr>
                      <w:rFonts w:hint="default" w:ascii="Times New Roman" w:hAnsi="Times New Roman" w:cs="Times New Roman"/>
                    </w:rPr>
                    <w:t>泄漏后发生火灾情形下通过大气对周围环境产生影响；②</w:t>
                  </w:r>
                  <w:r>
                    <w:rPr>
                      <w:rFonts w:hint="default" w:ascii="Times New Roman" w:hAnsi="Times New Roman" w:cs="Times New Roman"/>
                      <w:lang w:eastAsia="zh-CN"/>
                    </w:rPr>
                    <w:t>化学品</w:t>
                  </w:r>
                  <w:r>
                    <w:rPr>
                      <w:rFonts w:hint="default" w:ascii="Times New Roman" w:hAnsi="Times New Roman" w:cs="Times New Roman"/>
                    </w:rPr>
                    <w:t>发生泄露后通过流淌、浸透等方式对地表水环境、土壤以及敏感目标产生影响。</w:t>
                  </w:r>
                </w:p>
              </w:tc>
            </w:tr>
            <w:tr w14:paraId="5385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414" w:type="pct"/>
                  <w:noWrap w:val="0"/>
                  <w:vAlign w:val="center"/>
                </w:tcPr>
                <w:p w14:paraId="34B81FD1">
                  <w:pPr>
                    <w:pStyle w:val="71"/>
                    <w:bidi w:val="0"/>
                    <w:jc w:val="center"/>
                    <w:rPr>
                      <w:rFonts w:hint="default" w:ascii="Times New Roman" w:hAnsi="Times New Roman" w:cs="Times New Roman"/>
                    </w:rPr>
                  </w:pPr>
                  <w:r>
                    <w:rPr>
                      <w:rFonts w:hint="default" w:ascii="Times New Roman" w:hAnsi="Times New Roman" w:cs="Times New Roman"/>
                    </w:rPr>
                    <w:t>风险防范措施及要求</w:t>
                  </w:r>
                </w:p>
              </w:tc>
              <w:tc>
                <w:tcPr>
                  <w:tcW w:w="3585" w:type="pct"/>
                  <w:gridSpan w:val="5"/>
                  <w:noWrap w:val="0"/>
                  <w:vAlign w:val="center"/>
                </w:tcPr>
                <w:p w14:paraId="369018A0">
                  <w:pPr>
                    <w:pStyle w:val="71"/>
                    <w:bidi w:val="0"/>
                    <w:jc w:val="left"/>
                    <w:rPr>
                      <w:rFonts w:hint="default" w:ascii="Times New Roman" w:hAnsi="Times New Roman" w:cs="Times New Roman"/>
                    </w:rPr>
                  </w:pPr>
                  <w:r>
                    <w:rPr>
                      <w:rFonts w:hint="default" w:ascii="Times New Roman" w:hAnsi="Times New Roman" w:cs="Times New Roman"/>
                      <w:lang w:val="en-US" w:eastAsia="zh-CN"/>
                    </w:rPr>
                    <w:t>加强</w:t>
                  </w:r>
                  <w:r>
                    <w:rPr>
                      <w:rFonts w:hint="default" w:ascii="Times New Roman" w:hAnsi="Times New Roman" w:cs="Times New Roman"/>
                      <w:lang w:val="en-US"/>
                    </w:rPr>
                    <w:t>危险化学品管理与使用</w:t>
                  </w:r>
                  <w:r>
                    <w:rPr>
                      <w:rFonts w:hint="default" w:ascii="Times New Roman" w:hAnsi="Times New Roman" w:cs="Times New Roman"/>
                      <w:lang w:eastAsia="zh-CN"/>
                    </w:rPr>
                    <w:t>；</w:t>
                  </w:r>
                  <w:r>
                    <w:rPr>
                      <w:rFonts w:hint="default" w:ascii="Times New Roman" w:hAnsi="Times New Roman" w:cs="Times New Roman"/>
                      <w:lang w:val="en-US"/>
                    </w:rPr>
                    <w:t>相关操作人员应严格按照操作规程进行操作</w:t>
                  </w:r>
                  <w:r>
                    <w:rPr>
                      <w:rFonts w:hint="default" w:ascii="Times New Roman" w:hAnsi="Times New Roman" w:cs="Times New Roman"/>
                      <w:lang w:val="en-US" w:eastAsia="zh-CN"/>
                    </w:rPr>
                    <w:t>；</w:t>
                  </w:r>
                  <w:r>
                    <w:rPr>
                      <w:rFonts w:hint="default" w:ascii="Times New Roman" w:hAnsi="Times New Roman" w:cs="Times New Roman"/>
                      <w:lang w:val="en-US"/>
                    </w:rPr>
                    <w:t>加强作业区及贮存区的日常巡查，定期检查及检测接、管路、桶体的安全性</w:t>
                  </w:r>
                  <w:r>
                    <w:rPr>
                      <w:rFonts w:hint="default" w:ascii="Times New Roman" w:hAnsi="Times New Roman" w:cs="Times New Roman"/>
                      <w:lang w:val="en-US" w:eastAsia="zh-CN"/>
                    </w:rPr>
                    <w:t>；</w:t>
                  </w:r>
                  <w:r>
                    <w:rPr>
                      <w:rFonts w:hint="default" w:ascii="Times New Roman" w:hAnsi="Times New Roman" w:cs="Times New Roman"/>
                      <w:lang w:val="en-US"/>
                    </w:rPr>
                    <w:t>严格按相关规程、顺序进行操作，检查</w:t>
                  </w:r>
                  <w:r>
                    <w:rPr>
                      <w:rFonts w:hint="default" w:ascii="Times New Roman" w:hAnsi="Times New Roman" w:cs="Times New Roman"/>
                      <w:lang w:val="en-US" w:eastAsia="zh-CN"/>
                    </w:rPr>
                    <w:t>；</w:t>
                  </w:r>
                  <w:r>
                    <w:rPr>
                      <w:rFonts w:hint="default" w:ascii="Times New Roman" w:hAnsi="Times New Roman" w:cs="Times New Roman"/>
                      <w:lang w:val="en-US"/>
                    </w:rPr>
                    <w:t>杜绝违章作业及设备超负荷运行现象</w:t>
                  </w:r>
                  <w:r>
                    <w:rPr>
                      <w:rFonts w:hint="default" w:ascii="Times New Roman" w:hAnsi="Times New Roman" w:cs="Times New Roman"/>
                      <w:lang w:val="en-US" w:eastAsia="zh-CN"/>
                    </w:rPr>
                    <w:t>；</w:t>
                  </w:r>
                  <w:r>
                    <w:rPr>
                      <w:rFonts w:hint="default" w:ascii="Times New Roman" w:hAnsi="Times New Roman" w:cs="Times New Roman"/>
                      <w:lang w:val="en-US"/>
                    </w:rPr>
                    <w:t>定期监测经废气处理设施处理后的废气排放浓度，保证达标排放</w:t>
                  </w:r>
                  <w:r>
                    <w:rPr>
                      <w:rFonts w:hint="default" w:ascii="Times New Roman" w:hAnsi="Times New Roman" w:cs="Times New Roman"/>
                      <w:lang w:val="en-US" w:eastAsia="zh-CN"/>
                    </w:rPr>
                    <w:t>；</w:t>
                  </w:r>
                  <w:r>
                    <w:rPr>
                      <w:rFonts w:hint="default" w:ascii="Times New Roman" w:hAnsi="Times New Roman" w:cs="Times New Roman"/>
                      <w:lang w:val="en-US"/>
                    </w:rPr>
                    <w:t>定期检查通风管道，尽量避免无组织排放，保证废气高空排放</w:t>
                  </w:r>
                  <w:r>
                    <w:rPr>
                      <w:rFonts w:hint="default" w:ascii="Times New Roman" w:hAnsi="Times New Roman" w:cs="Times New Roman"/>
                      <w:lang w:val="en-US" w:eastAsia="zh-CN"/>
                    </w:rPr>
                    <w:t>；</w:t>
                  </w:r>
                  <w:r>
                    <w:rPr>
                      <w:rFonts w:hint="default" w:ascii="Times New Roman" w:hAnsi="Times New Roman" w:cs="Times New Roman"/>
                      <w:lang w:val="en-US"/>
                    </w:rPr>
                    <w:t>加强环保宣传教育，并进行专业技能培训</w:t>
                  </w:r>
                  <w:r>
                    <w:rPr>
                      <w:rFonts w:hint="default" w:ascii="Times New Roman" w:hAnsi="Times New Roman" w:cs="Times New Roman"/>
                      <w:lang w:val="en-US" w:eastAsia="zh-CN"/>
                    </w:rPr>
                    <w:t>；</w:t>
                  </w:r>
                  <w:r>
                    <w:rPr>
                      <w:rFonts w:hint="default" w:ascii="Times New Roman" w:hAnsi="Times New Roman" w:cs="Times New Roman"/>
                    </w:rPr>
                    <w:t xml:space="preserve">在加强风险防范意识，采取严格的防范措施后，事故发生概率较小，对人群健康及周围环境风险危害在可控范围之内。 </w:t>
                  </w:r>
                </w:p>
              </w:tc>
            </w:tr>
            <w:tr w14:paraId="19CBB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6"/>
                  <w:noWrap w:val="0"/>
                  <w:vAlign w:val="center"/>
                </w:tcPr>
                <w:p w14:paraId="37062CFD">
                  <w:pPr>
                    <w:pStyle w:val="71"/>
                    <w:bidi w:val="0"/>
                    <w:jc w:val="left"/>
                    <w:rPr>
                      <w:rFonts w:hint="default" w:ascii="Times New Roman" w:hAnsi="Times New Roman" w:cs="Times New Roman"/>
                    </w:rPr>
                  </w:pPr>
                  <w:r>
                    <w:rPr>
                      <w:rFonts w:hint="default" w:ascii="Times New Roman" w:hAnsi="Times New Roman" w:cs="Times New Roman"/>
                    </w:rPr>
                    <w:t>填表说明（列出项目相关信息及评价说明）：</w:t>
                  </w:r>
                </w:p>
                <w:p w14:paraId="3857FB9E">
                  <w:pPr>
                    <w:pStyle w:val="71"/>
                    <w:bidi w:val="0"/>
                    <w:jc w:val="left"/>
                    <w:rPr>
                      <w:rFonts w:hint="default" w:ascii="Times New Roman" w:hAnsi="Times New Roman" w:cs="Times New Roman"/>
                    </w:rPr>
                  </w:pPr>
                  <w:r>
                    <w:rPr>
                      <w:rFonts w:hint="default" w:ascii="Times New Roman" w:hAnsi="Times New Roman" w:cs="Times New Roman"/>
                    </w:rPr>
                    <w:t>①风险物质识别：依据《危险化学品名录》（</w:t>
                  </w:r>
                  <w:r>
                    <w:rPr>
                      <w:rFonts w:hint="default" w:ascii="Times New Roman" w:hAnsi="Times New Roman" w:cs="Times New Roman"/>
                      <w:lang w:val="en-US" w:eastAsia="zh-CN"/>
                    </w:rPr>
                    <w:t>2021</w:t>
                  </w:r>
                  <w:r>
                    <w:rPr>
                      <w:rFonts w:hint="default" w:ascii="Times New Roman" w:hAnsi="Times New Roman" w:cs="Times New Roman"/>
                    </w:rPr>
                    <w:t>版）、《建设项目环境风险评价技术导则》（HJ 169-2018）附录 B.1 中表 1</w:t>
                  </w:r>
                  <w:r>
                    <w:rPr>
                      <w:rFonts w:hint="default" w:ascii="Times New Roman" w:hAnsi="Times New Roman" w:cs="Times New Roman"/>
                      <w:lang w:eastAsia="zh-CN"/>
                    </w:rPr>
                    <w:t>“</w:t>
                  </w:r>
                  <w:r>
                    <w:rPr>
                      <w:rFonts w:hint="default" w:ascii="Times New Roman" w:hAnsi="Times New Roman" w:cs="Times New Roman"/>
                    </w:rPr>
                    <w:t>物质危险性标准</w:t>
                  </w:r>
                  <w:r>
                    <w:rPr>
                      <w:rFonts w:hint="default" w:ascii="Times New Roman" w:hAnsi="Times New Roman" w:cs="Times New Roman"/>
                      <w:lang w:eastAsia="zh-CN"/>
                    </w:rPr>
                    <w:t>”</w:t>
                  </w:r>
                  <w:r>
                    <w:rPr>
                      <w:rFonts w:hint="default" w:ascii="Times New Roman" w:hAnsi="Times New Roman" w:cs="Times New Roman"/>
                    </w:rPr>
                    <w:t>、《企业突发环境事件风险分级方法》（HJ 941-2018） 附录 A 中</w:t>
                  </w:r>
                  <w:r>
                    <w:rPr>
                      <w:rFonts w:hint="default" w:ascii="Times New Roman" w:hAnsi="Times New Roman" w:cs="Times New Roman"/>
                      <w:lang w:eastAsia="zh-CN"/>
                    </w:rPr>
                    <w:t>“</w:t>
                  </w:r>
                  <w:r>
                    <w:rPr>
                      <w:rFonts w:hint="default" w:ascii="Times New Roman" w:hAnsi="Times New Roman" w:cs="Times New Roman"/>
                    </w:rPr>
                    <w:t>化学物质及临界量清单</w:t>
                  </w:r>
                  <w:r>
                    <w:rPr>
                      <w:rFonts w:hint="default" w:ascii="Times New Roman" w:hAnsi="Times New Roman" w:cs="Times New Roman"/>
                      <w:lang w:eastAsia="zh-CN"/>
                    </w:rPr>
                    <w:t>”</w:t>
                  </w:r>
                  <w:r>
                    <w:rPr>
                      <w:rFonts w:hint="default" w:ascii="Times New Roman" w:hAnsi="Times New Roman" w:cs="Times New Roman"/>
                    </w:rPr>
                    <w:t>和《危险化学品重大危险源辨识》（GB 18218-2018）；</w:t>
                  </w:r>
                </w:p>
                <w:p w14:paraId="621624C1">
                  <w:pPr>
                    <w:pStyle w:val="71"/>
                    <w:bidi w:val="0"/>
                    <w:jc w:val="left"/>
                    <w:rPr>
                      <w:rFonts w:hint="default" w:ascii="Times New Roman" w:hAnsi="Times New Roman" w:cs="Times New Roman"/>
                    </w:rPr>
                  </w:pPr>
                  <w:r>
                    <w:rPr>
                      <w:rFonts w:hint="default" w:ascii="Times New Roman" w:hAnsi="Times New Roman" w:cs="Times New Roman"/>
                    </w:rPr>
                    <w:t>②Q 值：项目 Q＜1。根据《建设项目环境风险评价技术导则》（HJ 169-2018）附录 C.1.1 中规定， 当 Q＜1 时，该项目环境风险潜势为Ⅰ。</w:t>
                  </w:r>
                </w:p>
              </w:tc>
            </w:tr>
          </w:tbl>
          <w:p w14:paraId="183CB536">
            <w:pPr>
              <w:pStyle w:val="3"/>
              <w:bidi w:val="0"/>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8、电磁辐射</w:t>
            </w:r>
          </w:p>
          <w:p w14:paraId="4479265F">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p w14:paraId="6459E389">
            <w:pPr>
              <w:pStyle w:val="3"/>
              <w:bidi w:val="0"/>
              <w:rPr>
                <w:rFonts w:hint="default" w:ascii="Times New Roman" w:hAnsi="Times New Roman" w:cs="Times New Roman"/>
                <w:lang w:val="en-US"/>
              </w:rPr>
            </w:pPr>
            <w:r>
              <w:rPr>
                <w:rFonts w:hint="default" w:ascii="Times New Roman" w:hAnsi="Times New Roman" w:cs="Times New Roman"/>
                <w:lang w:val="en-US" w:eastAsia="zh-CN"/>
              </w:rPr>
              <w:t>9、项目应严格</w:t>
            </w:r>
            <w:r>
              <w:rPr>
                <w:rFonts w:hint="default" w:ascii="Times New Roman" w:hAnsi="Times New Roman" w:cs="Times New Roman"/>
                <w:lang w:val="en-US"/>
              </w:rPr>
              <w:t>竣工环境保护验收</w:t>
            </w:r>
          </w:p>
          <w:p w14:paraId="0BAD3BC8">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执行污染防治设施与主体工程同时设计、同时施工、同时投入使用的环境保护“三同时”制度，环境保护竣工验收见下表。</w:t>
            </w:r>
          </w:p>
          <w:p w14:paraId="496FFB44">
            <w:pPr>
              <w:ind w:left="420" w:leftChars="200"/>
              <w:jc w:val="center"/>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表4-2</w:t>
            </w:r>
            <w:r>
              <w:rPr>
                <w:rFonts w:hint="eastAsia" w:ascii="Times New Roman" w:hAnsi="Times New Roman" w:cs="Times New Roman"/>
                <w:szCs w:val="32"/>
                <w:lang w:val="en-US" w:eastAsia="zh-CN"/>
              </w:rPr>
              <w:t>2</w:t>
            </w:r>
            <w:r>
              <w:rPr>
                <w:rFonts w:hint="default" w:ascii="Times New Roman" w:hAnsi="Times New Roman" w:cs="Times New Roman"/>
                <w:szCs w:val="32"/>
                <w:lang w:val="en-US" w:eastAsia="zh-CN"/>
              </w:rPr>
              <w:t xml:space="preserve"> 环保竣工验收一览表</w:t>
            </w:r>
          </w:p>
          <w:tbl>
            <w:tblPr>
              <w:tblStyle w:val="27"/>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342"/>
              <w:gridCol w:w="2948"/>
              <w:gridCol w:w="2767"/>
            </w:tblGrid>
            <w:tr w14:paraId="5DA6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01" w:type="dxa"/>
                  <w:vAlign w:val="center"/>
                </w:tcPr>
                <w:p w14:paraId="3EEE49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污染源</w:t>
                  </w:r>
                </w:p>
              </w:tc>
              <w:tc>
                <w:tcPr>
                  <w:tcW w:w="1342" w:type="dxa"/>
                  <w:vAlign w:val="center"/>
                </w:tcPr>
                <w:p w14:paraId="33FEFD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污染物名称</w:t>
                  </w:r>
                </w:p>
              </w:tc>
              <w:tc>
                <w:tcPr>
                  <w:tcW w:w="2948" w:type="dxa"/>
                  <w:vAlign w:val="center"/>
                </w:tcPr>
                <w:p w14:paraId="194268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验收内容</w:t>
                  </w:r>
                </w:p>
              </w:tc>
              <w:tc>
                <w:tcPr>
                  <w:tcW w:w="2767" w:type="dxa"/>
                  <w:vAlign w:val="center"/>
                </w:tcPr>
                <w:p w14:paraId="3EF0CE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0"/>
                    </w:rPr>
                  </w:pPr>
                  <w:r>
                    <w:rPr>
                      <w:rFonts w:hint="default" w:ascii="Times New Roman" w:hAnsi="Times New Roman" w:cs="Times New Roman"/>
                      <w:b/>
                      <w:color w:val="auto"/>
                      <w:sz w:val="21"/>
                      <w:szCs w:val="20"/>
                    </w:rPr>
                    <w:t>验收要求</w:t>
                  </w:r>
                </w:p>
              </w:tc>
            </w:tr>
            <w:tr w14:paraId="1DA8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801" w:type="dxa"/>
                  <w:vAlign w:val="center"/>
                </w:tcPr>
                <w:p w14:paraId="1F5C8B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废气</w:t>
                  </w:r>
                </w:p>
              </w:tc>
              <w:tc>
                <w:tcPr>
                  <w:tcW w:w="1342" w:type="dxa"/>
                  <w:vAlign w:val="center"/>
                </w:tcPr>
                <w:p w14:paraId="7D87A0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0"/>
                      <w:lang w:val="en-US" w:eastAsia="zh-CN"/>
                    </w:rPr>
                  </w:pPr>
                  <w:r>
                    <w:rPr>
                      <w:rFonts w:hint="eastAsia"/>
                      <w:lang w:val="en-US" w:eastAsia="zh-CN"/>
                    </w:rPr>
                    <w:t>臭气、硫化氢、氨气</w:t>
                  </w:r>
                </w:p>
              </w:tc>
              <w:tc>
                <w:tcPr>
                  <w:tcW w:w="2948" w:type="dxa"/>
                  <w:vAlign w:val="center"/>
                </w:tcPr>
                <w:p w14:paraId="574D82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lang w:val="en-US" w:eastAsia="zh-CN"/>
                    </w:rPr>
                  </w:pPr>
                  <w:r>
                    <w:rPr>
                      <w:rFonts w:hint="default" w:ascii="Times New Roman" w:hAnsi="Times New Roman" w:cs="Times New Roman"/>
                      <w:color w:val="auto"/>
                      <w:sz w:val="21"/>
                      <w:szCs w:val="20"/>
                    </w:rPr>
                    <w:t>设置在车间内、加强通风</w:t>
                  </w:r>
                  <w:r>
                    <w:rPr>
                      <w:rFonts w:hint="default" w:ascii="Times New Roman" w:hAnsi="Times New Roman" w:cs="Times New Roman"/>
                      <w:color w:val="auto"/>
                      <w:sz w:val="21"/>
                      <w:szCs w:val="20"/>
                      <w:lang w:eastAsia="zh-CN"/>
                    </w:rPr>
                    <w:t>、</w:t>
                  </w:r>
                  <w:r>
                    <w:rPr>
                      <w:rFonts w:hint="default" w:ascii="Times New Roman" w:hAnsi="Times New Roman" w:cs="Times New Roman"/>
                      <w:color w:val="auto"/>
                      <w:sz w:val="21"/>
                      <w:szCs w:val="20"/>
                      <w:lang w:val="en-US" w:eastAsia="zh-CN"/>
                    </w:rPr>
                    <w:t>洒水降尘</w:t>
                  </w:r>
                </w:p>
              </w:tc>
              <w:tc>
                <w:tcPr>
                  <w:tcW w:w="2767" w:type="dxa"/>
                  <w:vAlign w:val="center"/>
                </w:tcPr>
                <w:p w14:paraId="43DB6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《大气污染物综合排放标准》（GB16297-1996）表2标准中无组织排放</w:t>
                  </w:r>
                </w:p>
                <w:p w14:paraId="4A7E16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厂界浓度限值</w:t>
                  </w:r>
                </w:p>
              </w:tc>
            </w:tr>
            <w:tr w14:paraId="3701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restart"/>
                  <w:vAlign w:val="center"/>
                </w:tcPr>
                <w:p w14:paraId="345C29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废水</w:t>
                  </w:r>
                </w:p>
              </w:tc>
              <w:tc>
                <w:tcPr>
                  <w:tcW w:w="1342" w:type="dxa"/>
                  <w:vAlign w:val="center"/>
                </w:tcPr>
                <w:p w14:paraId="70196A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生活污水</w:t>
                  </w:r>
                </w:p>
              </w:tc>
              <w:tc>
                <w:tcPr>
                  <w:tcW w:w="2948" w:type="dxa"/>
                  <w:vAlign w:val="center"/>
                </w:tcPr>
                <w:p w14:paraId="2DC34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0"/>
                    </w:rPr>
                  </w:pPr>
                  <w:r>
                    <w:rPr>
                      <w:rFonts w:hint="default" w:ascii="Times New Roman" w:hAnsi="Times New Roman" w:cs="Times New Roman"/>
                      <w:color w:val="auto"/>
                      <w:sz w:val="21"/>
                      <w:szCs w:val="20"/>
                      <w:lang w:val="en-US" w:eastAsia="zh-CN"/>
                    </w:rPr>
                    <w:t>经</w:t>
                  </w:r>
                  <w:r>
                    <w:rPr>
                      <w:rFonts w:hint="default" w:ascii="Times New Roman" w:hAnsi="Times New Roman" w:cs="Times New Roman"/>
                      <w:color w:val="auto"/>
                      <w:sz w:val="21"/>
                      <w:szCs w:val="20"/>
                    </w:rPr>
                    <w:t>化粪池处理后</w:t>
                  </w:r>
                  <w:r>
                    <w:rPr>
                      <w:rFonts w:hint="default" w:ascii="Times New Roman" w:hAnsi="Times New Roman" w:cs="Times New Roman"/>
                      <w:color w:val="auto"/>
                      <w:sz w:val="21"/>
                      <w:szCs w:val="20"/>
                      <w:lang w:val="en-US" w:eastAsia="zh-CN"/>
                    </w:rPr>
                    <w:t>与渗滤液一同处理</w:t>
                  </w:r>
                </w:p>
              </w:tc>
              <w:tc>
                <w:tcPr>
                  <w:tcW w:w="2767" w:type="dxa"/>
                  <w:vMerge w:val="restart"/>
                  <w:vAlign w:val="center"/>
                </w:tcPr>
                <w:p w14:paraId="2654E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0"/>
                    </w:rPr>
                  </w:pPr>
                  <w:r>
                    <w:rPr>
                      <w:rFonts w:hint="default" w:ascii="Times New Roman" w:hAnsi="Times New Roman" w:cs="Times New Roman"/>
                      <w:color w:val="auto"/>
                      <w:sz w:val="21"/>
                      <w:szCs w:val="20"/>
                    </w:rPr>
                    <w:t>《生活垃圾填埋场污染控制标准》（GB16889-2008）中表2规定的水污染物排放限值标准</w:t>
                  </w:r>
                </w:p>
              </w:tc>
            </w:tr>
            <w:tr w14:paraId="6D76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01" w:type="dxa"/>
                  <w:vMerge w:val="continue"/>
                  <w:vAlign w:val="center"/>
                </w:tcPr>
                <w:p w14:paraId="34AC5FA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p>
              </w:tc>
              <w:tc>
                <w:tcPr>
                  <w:tcW w:w="1342" w:type="dxa"/>
                  <w:vAlign w:val="center"/>
                </w:tcPr>
                <w:p w14:paraId="470105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lang w:val="zh-CN" w:eastAsia="zh-CN"/>
                    </w:rPr>
                    <w:t>渗滤液</w:t>
                  </w:r>
                </w:p>
              </w:tc>
              <w:tc>
                <w:tcPr>
                  <w:tcW w:w="2948" w:type="dxa"/>
                  <w:vAlign w:val="center"/>
                </w:tcPr>
                <w:p w14:paraId="749FE7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lang w:val="en-US" w:eastAsia="zh-CN"/>
                    </w:rPr>
                    <w:t>预处理+短程强化生化+NF+RO+去氨氮保障系统</w:t>
                  </w:r>
                </w:p>
              </w:tc>
              <w:tc>
                <w:tcPr>
                  <w:tcW w:w="2767" w:type="dxa"/>
                  <w:vMerge w:val="continue"/>
                  <w:vAlign w:val="center"/>
                </w:tcPr>
                <w:p w14:paraId="3570D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0"/>
                    </w:rPr>
                  </w:pPr>
                </w:p>
              </w:tc>
            </w:tr>
            <w:tr w14:paraId="4B1D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1" w:type="dxa"/>
                  <w:vAlign w:val="center"/>
                </w:tcPr>
                <w:p w14:paraId="500516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噪声</w:t>
                  </w:r>
                </w:p>
              </w:tc>
              <w:tc>
                <w:tcPr>
                  <w:tcW w:w="1342" w:type="dxa"/>
                  <w:vAlign w:val="center"/>
                </w:tcPr>
                <w:p w14:paraId="1485D8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设备噪声</w:t>
                  </w:r>
                </w:p>
              </w:tc>
              <w:tc>
                <w:tcPr>
                  <w:tcW w:w="2948" w:type="dxa"/>
                  <w:vAlign w:val="center"/>
                </w:tcPr>
                <w:p w14:paraId="62E600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安装减震设施、定期维修</w:t>
                  </w:r>
                </w:p>
              </w:tc>
              <w:tc>
                <w:tcPr>
                  <w:tcW w:w="2767" w:type="dxa"/>
                  <w:vAlign w:val="center"/>
                </w:tcPr>
                <w:p w14:paraId="7E9F89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《工业企业厂界环境噪声排放标准》（GB12348－2008）2类标准</w:t>
                  </w:r>
                </w:p>
              </w:tc>
            </w:tr>
            <w:tr w14:paraId="136C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01" w:type="dxa"/>
                  <w:vMerge w:val="restart"/>
                  <w:vAlign w:val="center"/>
                </w:tcPr>
                <w:p w14:paraId="23D831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固废</w:t>
                  </w:r>
                </w:p>
              </w:tc>
              <w:tc>
                <w:tcPr>
                  <w:tcW w:w="1342" w:type="dxa"/>
                  <w:vAlign w:val="center"/>
                </w:tcPr>
                <w:p w14:paraId="1CF0B5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一般固废</w:t>
                  </w:r>
                </w:p>
              </w:tc>
              <w:tc>
                <w:tcPr>
                  <w:tcW w:w="2948" w:type="dxa"/>
                  <w:vAlign w:val="center"/>
                </w:tcPr>
                <w:p w14:paraId="29F6BD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lang w:val="en-US" w:eastAsia="zh-CN"/>
                    </w:rPr>
                    <w:t>生活</w:t>
                  </w:r>
                  <w:r>
                    <w:rPr>
                      <w:rFonts w:hint="default" w:ascii="Times New Roman" w:hAnsi="Times New Roman" w:cs="Times New Roman"/>
                      <w:color w:val="auto"/>
                      <w:sz w:val="21"/>
                      <w:szCs w:val="20"/>
                    </w:rPr>
                    <w:t>垃圾桶</w:t>
                  </w:r>
                </w:p>
              </w:tc>
              <w:tc>
                <w:tcPr>
                  <w:tcW w:w="2767" w:type="dxa"/>
                  <w:vAlign w:val="center"/>
                </w:tcPr>
                <w:p w14:paraId="2DD728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0"/>
                      <w:lang w:val="en-US" w:eastAsia="zh-CN"/>
                    </w:rPr>
                  </w:pPr>
                  <w:r>
                    <w:rPr>
                      <w:rFonts w:hint="default" w:ascii="Times New Roman" w:hAnsi="Times New Roman" w:cs="Times New Roman"/>
                      <w:color w:val="auto"/>
                      <w:sz w:val="21"/>
                      <w:szCs w:val="20"/>
                      <w:lang w:val="en-US" w:eastAsia="zh-CN"/>
                    </w:rPr>
                    <w:t>收集后</w:t>
                  </w:r>
                  <w:r>
                    <w:rPr>
                      <w:rFonts w:hint="default" w:ascii="Times New Roman" w:hAnsi="Times New Roman" w:cs="Times New Roman"/>
                      <w:lang w:val="en-US"/>
                    </w:rPr>
                    <w:t>回填于垃圾填埋场。</w:t>
                  </w:r>
                </w:p>
              </w:tc>
            </w:tr>
            <w:tr w14:paraId="49E3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801" w:type="dxa"/>
                  <w:vMerge w:val="continue"/>
                  <w:vAlign w:val="center"/>
                </w:tcPr>
                <w:p w14:paraId="2C2759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p>
              </w:tc>
              <w:tc>
                <w:tcPr>
                  <w:tcW w:w="1342" w:type="dxa"/>
                  <w:vAlign w:val="center"/>
                </w:tcPr>
                <w:p w14:paraId="2737BA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危险固废</w:t>
                  </w:r>
                </w:p>
              </w:tc>
              <w:tc>
                <w:tcPr>
                  <w:tcW w:w="2948" w:type="dxa"/>
                  <w:vAlign w:val="center"/>
                </w:tcPr>
                <w:p w14:paraId="345711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0"/>
                      <w:vertAlign w:val="superscript"/>
                      <w:lang w:val="en-US" w:eastAsia="zh-CN"/>
                    </w:rPr>
                  </w:pPr>
                  <w:r>
                    <w:rPr>
                      <w:rFonts w:hint="default" w:ascii="Times New Roman" w:hAnsi="Times New Roman" w:cs="Times New Roman"/>
                      <w:color w:val="auto"/>
                      <w:sz w:val="21"/>
                      <w:szCs w:val="20"/>
                      <w:lang w:val="en-US" w:eastAsia="zh-CN"/>
                    </w:rPr>
                    <w:t>项目区分别设置1</w:t>
                  </w:r>
                  <w:r>
                    <w:rPr>
                      <w:rFonts w:hint="default" w:ascii="Times New Roman" w:hAnsi="Times New Roman" w:cs="Times New Roman"/>
                      <w:color w:val="auto"/>
                      <w:sz w:val="21"/>
                      <w:szCs w:val="20"/>
                    </w:rPr>
                    <w:t>间危废暂存间</w:t>
                  </w:r>
                  <w:r>
                    <w:rPr>
                      <w:rFonts w:hint="default" w:ascii="Times New Roman" w:hAnsi="Times New Roman" w:cs="Times New Roman"/>
                      <w:color w:val="auto"/>
                      <w:sz w:val="21"/>
                      <w:szCs w:val="20"/>
                      <w:lang w:eastAsia="zh-CN"/>
                    </w:rPr>
                    <w:t>，</w:t>
                  </w:r>
                  <w:r>
                    <w:rPr>
                      <w:rFonts w:hint="default" w:ascii="Times New Roman" w:hAnsi="Times New Roman" w:cs="Times New Roman"/>
                      <w:color w:val="auto"/>
                      <w:sz w:val="21"/>
                      <w:szCs w:val="20"/>
                      <w:lang w:val="en-US" w:eastAsia="zh-CN"/>
                    </w:rPr>
                    <w:t>用于储存不同种类的危险废物，总面积为5m</w:t>
                  </w:r>
                  <w:r>
                    <w:rPr>
                      <w:rFonts w:hint="default" w:ascii="Times New Roman" w:hAnsi="Times New Roman" w:cs="Times New Roman"/>
                      <w:color w:val="auto"/>
                      <w:sz w:val="21"/>
                      <w:szCs w:val="20"/>
                      <w:vertAlign w:val="superscript"/>
                      <w:lang w:val="en-US" w:eastAsia="zh-CN"/>
                    </w:rPr>
                    <w:t>2</w:t>
                  </w:r>
                </w:p>
              </w:tc>
              <w:tc>
                <w:tcPr>
                  <w:tcW w:w="2767" w:type="dxa"/>
                  <w:vAlign w:val="center"/>
                </w:tcPr>
                <w:p w14:paraId="1501D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《危险废物贮存污染控制标准（GB18597-2001）及2013年修改单（环保部公告2013年第36号）</w:t>
                  </w:r>
                </w:p>
              </w:tc>
            </w:tr>
            <w:tr w14:paraId="21E6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01" w:type="dxa"/>
                  <w:vAlign w:val="center"/>
                </w:tcPr>
                <w:p w14:paraId="32CBF8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风险</w:t>
                  </w:r>
                </w:p>
              </w:tc>
              <w:tc>
                <w:tcPr>
                  <w:tcW w:w="1342" w:type="dxa"/>
                  <w:vAlign w:val="center"/>
                </w:tcPr>
                <w:p w14:paraId="71F2FE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废水</w:t>
                  </w:r>
                </w:p>
              </w:tc>
              <w:tc>
                <w:tcPr>
                  <w:tcW w:w="2948" w:type="dxa"/>
                  <w:vAlign w:val="center"/>
                </w:tcPr>
                <w:p w14:paraId="611237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设置1个容积为</w:t>
                  </w:r>
                  <w:r>
                    <w:rPr>
                      <w:rFonts w:hint="default" w:ascii="Times New Roman" w:hAnsi="Times New Roman" w:cs="Times New Roman"/>
                      <w:color w:val="auto"/>
                      <w:sz w:val="21"/>
                      <w:szCs w:val="20"/>
                      <w:lang w:val="en-US" w:eastAsia="zh-CN"/>
                    </w:rPr>
                    <w:t>20</w:t>
                  </w:r>
                  <w:r>
                    <w:rPr>
                      <w:rFonts w:hint="default" w:ascii="Times New Roman" w:hAnsi="Times New Roman" w:cs="Times New Roman"/>
                      <w:color w:val="auto"/>
                      <w:sz w:val="21"/>
                      <w:szCs w:val="20"/>
                    </w:rPr>
                    <w:t>m</w:t>
                  </w:r>
                  <w:r>
                    <w:rPr>
                      <w:rFonts w:hint="default" w:ascii="Times New Roman" w:hAnsi="Times New Roman" w:cs="Times New Roman"/>
                      <w:color w:val="auto"/>
                      <w:sz w:val="21"/>
                      <w:szCs w:val="20"/>
                      <w:vertAlign w:val="superscript"/>
                    </w:rPr>
                    <w:t>3</w:t>
                  </w:r>
                  <w:r>
                    <w:rPr>
                      <w:rFonts w:hint="default" w:ascii="Times New Roman" w:hAnsi="Times New Roman" w:cs="Times New Roman"/>
                      <w:color w:val="auto"/>
                      <w:sz w:val="21"/>
                      <w:szCs w:val="20"/>
                    </w:rPr>
                    <w:t>的事故应急池</w:t>
                  </w:r>
                </w:p>
              </w:tc>
              <w:tc>
                <w:tcPr>
                  <w:tcW w:w="2767" w:type="dxa"/>
                  <w:vAlign w:val="center"/>
                </w:tcPr>
                <w:p w14:paraId="0E3A0D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防渗处理</w:t>
                  </w:r>
                </w:p>
              </w:tc>
            </w:tr>
            <w:tr w14:paraId="340D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801" w:type="dxa"/>
                  <w:vAlign w:val="center"/>
                </w:tcPr>
                <w:p w14:paraId="380CCB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其他</w:t>
                  </w:r>
                </w:p>
              </w:tc>
              <w:tc>
                <w:tcPr>
                  <w:tcW w:w="1342" w:type="dxa"/>
                  <w:vAlign w:val="center"/>
                </w:tcPr>
                <w:p w14:paraId="029E97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环境管理</w:t>
                  </w:r>
                </w:p>
              </w:tc>
              <w:tc>
                <w:tcPr>
                  <w:tcW w:w="5715" w:type="dxa"/>
                  <w:gridSpan w:val="2"/>
                  <w:vAlign w:val="center"/>
                </w:tcPr>
                <w:p w14:paraId="23F8FA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0"/>
                    </w:rPr>
                  </w:pPr>
                  <w:r>
                    <w:rPr>
                      <w:rFonts w:hint="default" w:ascii="Times New Roman" w:hAnsi="Times New Roman" w:cs="Times New Roman"/>
                      <w:color w:val="auto"/>
                      <w:sz w:val="21"/>
                      <w:szCs w:val="20"/>
                    </w:rPr>
                    <w:t>建立环保设施档案和环境管理规章制度</w:t>
                  </w:r>
                </w:p>
              </w:tc>
            </w:tr>
          </w:tbl>
          <w:p w14:paraId="08F77088">
            <w:pPr>
              <w:pStyle w:val="3"/>
              <w:bidi w:val="0"/>
              <w:rPr>
                <w:rFonts w:hint="default" w:ascii="Times New Roman" w:hAnsi="Times New Roman" w:cs="Times New Roman"/>
                <w:bCs/>
                <w:spacing w:val="-10"/>
                <w:szCs w:val="21"/>
                <w:lang w:val="en-US"/>
              </w:rPr>
            </w:pPr>
          </w:p>
        </w:tc>
      </w:tr>
      <w:tr w14:paraId="3C8CE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2" w:type="pct"/>
            <w:noWrap/>
            <w:tcMar>
              <w:left w:w="28" w:type="dxa"/>
              <w:right w:w="28" w:type="dxa"/>
            </w:tcMar>
            <w:vAlign w:val="center"/>
          </w:tcPr>
          <w:p w14:paraId="10647A53">
            <w:pPr>
              <w:pStyle w:val="3"/>
              <w:ind w:firstLine="0" w:firstLineChars="0"/>
              <w:rPr>
                <w:rFonts w:hint="default" w:ascii="Times New Roman" w:hAnsi="Times New Roman" w:cs="Times New Roman"/>
              </w:rPr>
            </w:pPr>
            <w:r>
              <w:rPr>
                <w:rFonts w:hint="default" w:ascii="Times New Roman" w:hAnsi="Times New Roman" w:cs="Times New Roman"/>
              </w:rPr>
              <w:t>环保投资</w:t>
            </w:r>
          </w:p>
          <w:p w14:paraId="1DCE929D">
            <w:pPr>
              <w:adjustRightInd w:val="0"/>
              <w:snapToGrid w:val="0"/>
              <w:jc w:val="center"/>
              <w:rPr>
                <w:rFonts w:hint="default" w:ascii="Times New Roman" w:hAnsi="Times New Roman" w:cs="Times New Roman"/>
                <w:bCs/>
              </w:rPr>
            </w:pPr>
          </w:p>
        </w:tc>
        <w:tc>
          <w:tcPr>
            <w:tcW w:w="4747" w:type="pct"/>
            <w:noWrap/>
            <w:vAlign w:val="center"/>
          </w:tcPr>
          <w:p w14:paraId="0B609176">
            <w:pPr>
              <w:spacing w:line="360" w:lineRule="auto"/>
              <w:ind w:firstLine="480" w:firstLineChars="200"/>
              <w:rPr>
                <w:rFonts w:hint="default" w:ascii="Times New Roman" w:hAnsi="Times New Roman" w:cs="Times New Roman"/>
                <w:snapToGrid w:val="0"/>
                <w:color w:val="auto"/>
                <w:kern w:val="0"/>
                <w:sz w:val="24"/>
                <w:u w:val="none"/>
              </w:rPr>
            </w:pPr>
            <w:r>
              <w:rPr>
                <w:rFonts w:hint="default" w:ascii="Times New Roman" w:hAnsi="Times New Roman" w:cs="Times New Roman"/>
                <w:snapToGrid w:val="0"/>
                <w:color w:val="auto"/>
                <w:kern w:val="0"/>
                <w:sz w:val="24"/>
                <w:u w:val="none"/>
              </w:rPr>
              <w:t>本工程总投资</w:t>
            </w:r>
            <w:r>
              <w:rPr>
                <w:rFonts w:hint="eastAsia" w:ascii="Times New Roman" w:hAnsi="Times New Roman" w:cs="Times New Roman"/>
                <w:snapToGrid w:val="0"/>
                <w:color w:val="auto"/>
                <w:kern w:val="0"/>
                <w:sz w:val="24"/>
                <w:u w:val="none"/>
                <w:lang w:val="en-US" w:eastAsia="zh-CN"/>
              </w:rPr>
              <w:t>210</w:t>
            </w:r>
            <w:r>
              <w:rPr>
                <w:rFonts w:hint="default" w:ascii="Times New Roman" w:hAnsi="Times New Roman" w:cs="Times New Roman"/>
                <w:snapToGrid w:val="0"/>
                <w:color w:val="auto"/>
                <w:kern w:val="0"/>
                <w:sz w:val="24"/>
                <w:u w:val="none"/>
                <w:lang w:val="en-US" w:eastAsia="zh-CN"/>
              </w:rPr>
              <w:t>万元</w:t>
            </w:r>
            <w:r>
              <w:rPr>
                <w:rFonts w:hint="default" w:ascii="Times New Roman" w:hAnsi="Times New Roman" w:cs="Times New Roman"/>
                <w:snapToGrid w:val="0"/>
                <w:color w:val="auto"/>
                <w:kern w:val="0"/>
                <w:sz w:val="24"/>
                <w:u w:val="none"/>
              </w:rPr>
              <w:t>，环保投资</w:t>
            </w:r>
            <w:r>
              <w:rPr>
                <w:rFonts w:hint="eastAsia" w:ascii="Times New Roman" w:hAnsi="Times New Roman" w:cs="Times New Roman"/>
                <w:snapToGrid w:val="0"/>
                <w:color w:val="auto"/>
                <w:kern w:val="0"/>
                <w:sz w:val="24"/>
                <w:u w:val="none"/>
                <w:lang w:val="en-US" w:eastAsia="zh-CN"/>
              </w:rPr>
              <w:t>210</w:t>
            </w:r>
            <w:r>
              <w:rPr>
                <w:rFonts w:hint="default" w:ascii="Times New Roman" w:hAnsi="Times New Roman" w:cs="Times New Roman"/>
                <w:snapToGrid w:val="0"/>
                <w:color w:val="auto"/>
                <w:kern w:val="0"/>
                <w:sz w:val="24"/>
                <w:u w:val="none"/>
              </w:rPr>
              <w:t>万元，占总投资的</w:t>
            </w:r>
            <w:r>
              <w:rPr>
                <w:rFonts w:hint="default" w:ascii="Times New Roman" w:hAnsi="Times New Roman" w:cs="Times New Roman"/>
                <w:snapToGrid w:val="0"/>
                <w:color w:val="auto"/>
                <w:kern w:val="0"/>
                <w:sz w:val="24"/>
                <w:u w:val="none"/>
                <w:lang w:val="en-US" w:eastAsia="zh-CN"/>
              </w:rPr>
              <w:t>100</w:t>
            </w:r>
            <w:r>
              <w:rPr>
                <w:rFonts w:hint="default" w:ascii="Times New Roman" w:hAnsi="Times New Roman" w:cs="Times New Roman"/>
                <w:snapToGrid w:val="0"/>
                <w:color w:val="auto"/>
                <w:kern w:val="0"/>
                <w:sz w:val="24"/>
                <w:u w:val="none"/>
              </w:rPr>
              <w:t>%，项目环保投资情况，见</w:t>
            </w:r>
            <w:r>
              <w:rPr>
                <w:rFonts w:hint="default" w:ascii="Times New Roman" w:hAnsi="Times New Roman" w:cs="Times New Roman"/>
                <w:snapToGrid w:val="0"/>
                <w:color w:val="auto"/>
                <w:kern w:val="0"/>
                <w:sz w:val="24"/>
                <w:u w:val="none"/>
                <w:lang w:eastAsia="zh-CN"/>
              </w:rPr>
              <w:t>下</w:t>
            </w:r>
            <w:r>
              <w:rPr>
                <w:rFonts w:hint="default" w:ascii="Times New Roman" w:hAnsi="Times New Roman" w:cs="Times New Roman"/>
                <w:snapToGrid w:val="0"/>
                <w:color w:val="auto"/>
                <w:kern w:val="0"/>
                <w:sz w:val="24"/>
                <w:u w:val="none"/>
              </w:rPr>
              <w:t>表。</w:t>
            </w:r>
          </w:p>
          <w:p w14:paraId="395D3184">
            <w:pPr>
              <w:ind w:left="420" w:leftChars="200"/>
              <w:jc w:val="center"/>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表4-2</w:t>
            </w:r>
            <w:r>
              <w:rPr>
                <w:rFonts w:hint="eastAsia" w:ascii="Times New Roman" w:hAnsi="Times New Roman" w:cs="Times New Roman"/>
                <w:szCs w:val="32"/>
                <w:lang w:val="en-US" w:eastAsia="zh-CN"/>
              </w:rPr>
              <w:t>3</w:t>
            </w:r>
            <w:r>
              <w:rPr>
                <w:rFonts w:hint="default" w:ascii="Times New Roman" w:hAnsi="Times New Roman" w:cs="Times New Roman"/>
                <w:szCs w:val="32"/>
                <w:lang w:val="en-US" w:eastAsia="zh-CN"/>
              </w:rPr>
              <w:t xml:space="preserve">  项目环保投资情况一览表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326"/>
              <w:gridCol w:w="3113"/>
              <w:gridCol w:w="776"/>
              <w:gridCol w:w="2062"/>
            </w:tblGrid>
            <w:tr w14:paraId="7368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3" w:type="pct"/>
                  <w:tcBorders>
                    <w:tl2br w:val="nil"/>
                    <w:tr2bl w:val="nil"/>
                  </w:tcBorders>
                  <w:noWrap w:val="0"/>
                  <w:vAlign w:val="center"/>
                </w:tcPr>
                <w:p w14:paraId="3B682232">
                  <w:pPr>
                    <w:pStyle w:val="71"/>
                    <w:tabs>
                      <w:tab w:val="left" w:pos="1021"/>
                    </w:tabs>
                    <w:bidi w:val="0"/>
                    <w:rPr>
                      <w:rFonts w:hint="default" w:ascii="Times New Roman" w:hAnsi="Times New Roman" w:cs="Times New Roman"/>
                    </w:rPr>
                  </w:pPr>
                  <w:r>
                    <w:rPr>
                      <w:rFonts w:hint="default" w:ascii="Times New Roman" w:hAnsi="Times New Roman" w:cs="Times New Roman"/>
                    </w:rPr>
                    <w:t>序号</w:t>
                  </w:r>
                </w:p>
              </w:tc>
              <w:tc>
                <w:tcPr>
                  <w:tcW w:w="843" w:type="pct"/>
                  <w:tcBorders>
                    <w:tl2br w:val="nil"/>
                    <w:tr2bl w:val="nil"/>
                  </w:tcBorders>
                  <w:noWrap w:val="0"/>
                  <w:vAlign w:val="center"/>
                </w:tcPr>
                <w:p w14:paraId="24636DC5">
                  <w:pPr>
                    <w:pStyle w:val="71"/>
                    <w:tabs>
                      <w:tab w:val="left" w:pos="1021"/>
                    </w:tabs>
                    <w:bidi w:val="0"/>
                    <w:rPr>
                      <w:rFonts w:hint="default" w:ascii="Times New Roman" w:hAnsi="Times New Roman" w:cs="Times New Roman"/>
                    </w:rPr>
                  </w:pPr>
                  <w:r>
                    <w:rPr>
                      <w:rFonts w:hint="default" w:ascii="Times New Roman" w:hAnsi="Times New Roman" w:cs="Times New Roman"/>
                    </w:rPr>
                    <w:t>污染类型</w:t>
                  </w:r>
                </w:p>
              </w:tc>
              <w:tc>
                <w:tcPr>
                  <w:tcW w:w="1979" w:type="pct"/>
                  <w:tcBorders>
                    <w:tl2br w:val="nil"/>
                    <w:tr2bl w:val="nil"/>
                  </w:tcBorders>
                  <w:noWrap w:val="0"/>
                  <w:vAlign w:val="center"/>
                </w:tcPr>
                <w:p w14:paraId="3C6A77E7">
                  <w:pPr>
                    <w:pStyle w:val="71"/>
                    <w:tabs>
                      <w:tab w:val="left" w:pos="1021"/>
                    </w:tabs>
                    <w:bidi w:val="0"/>
                    <w:rPr>
                      <w:rFonts w:hint="default" w:ascii="Times New Roman" w:hAnsi="Times New Roman" w:cs="Times New Roman"/>
                    </w:rPr>
                  </w:pPr>
                  <w:r>
                    <w:rPr>
                      <w:rFonts w:hint="default" w:ascii="Times New Roman" w:hAnsi="Times New Roman" w:cs="Times New Roman"/>
                    </w:rPr>
                    <w:t>防治措施</w:t>
                  </w:r>
                </w:p>
              </w:tc>
              <w:tc>
                <w:tcPr>
                  <w:tcW w:w="493" w:type="pct"/>
                  <w:tcBorders>
                    <w:tl2br w:val="nil"/>
                    <w:tr2bl w:val="nil"/>
                  </w:tcBorders>
                  <w:noWrap w:val="0"/>
                  <w:vAlign w:val="center"/>
                </w:tcPr>
                <w:p w14:paraId="39043A20">
                  <w:pPr>
                    <w:pStyle w:val="71"/>
                    <w:tabs>
                      <w:tab w:val="left" w:pos="1021"/>
                    </w:tabs>
                    <w:bidi w:val="0"/>
                    <w:rPr>
                      <w:rFonts w:hint="default" w:ascii="Times New Roman" w:hAnsi="Times New Roman" w:cs="Times New Roman"/>
                    </w:rPr>
                  </w:pPr>
                  <w:r>
                    <w:rPr>
                      <w:rFonts w:hint="default" w:ascii="Times New Roman" w:hAnsi="Times New Roman" w:cs="Times New Roman"/>
                    </w:rPr>
                    <w:t>数量</w:t>
                  </w:r>
                </w:p>
              </w:tc>
              <w:tc>
                <w:tcPr>
                  <w:tcW w:w="1311" w:type="pct"/>
                  <w:tcBorders>
                    <w:tl2br w:val="nil"/>
                    <w:tr2bl w:val="nil"/>
                  </w:tcBorders>
                  <w:noWrap w:val="0"/>
                  <w:vAlign w:val="center"/>
                </w:tcPr>
                <w:p w14:paraId="40FBCDC4">
                  <w:pPr>
                    <w:pStyle w:val="71"/>
                    <w:tabs>
                      <w:tab w:val="left" w:pos="1021"/>
                    </w:tabs>
                    <w:bidi w:val="0"/>
                    <w:rPr>
                      <w:rFonts w:hint="default" w:ascii="Times New Roman" w:hAnsi="Times New Roman" w:cs="Times New Roman"/>
                    </w:rPr>
                  </w:pPr>
                  <w:r>
                    <w:rPr>
                      <w:rFonts w:hint="default" w:ascii="Times New Roman" w:hAnsi="Times New Roman" w:cs="Times New Roman"/>
                    </w:rPr>
                    <w:t>投资（万元）</w:t>
                  </w:r>
                </w:p>
              </w:tc>
            </w:tr>
            <w:tr w14:paraId="2B81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73" w:type="pct"/>
                  <w:tcBorders>
                    <w:tl2br w:val="nil"/>
                    <w:tr2bl w:val="nil"/>
                  </w:tcBorders>
                  <w:noWrap w:val="0"/>
                  <w:vAlign w:val="center"/>
                </w:tcPr>
                <w:p w14:paraId="21B88CCE">
                  <w:pPr>
                    <w:pStyle w:val="71"/>
                    <w:tabs>
                      <w:tab w:val="left" w:pos="1021"/>
                    </w:tabs>
                    <w:bidi w:val="0"/>
                    <w:rPr>
                      <w:rFonts w:hint="default" w:ascii="Times New Roman" w:hAnsi="Times New Roman" w:cs="Times New Roman"/>
                    </w:rPr>
                  </w:pPr>
                  <w:r>
                    <w:rPr>
                      <w:rFonts w:hint="default" w:ascii="Times New Roman" w:hAnsi="Times New Roman" w:cs="Times New Roman"/>
                    </w:rPr>
                    <w:t>1</w:t>
                  </w:r>
                </w:p>
              </w:tc>
              <w:tc>
                <w:tcPr>
                  <w:tcW w:w="843" w:type="pct"/>
                  <w:tcBorders>
                    <w:tl2br w:val="nil"/>
                    <w:tr2bl w:val="nil"/>
                  </w:tcBorders>
                  <w:noWrap w:val="0"/>
                  <w:vAlign w:val="center"/>
                </w:tcPr>
                <w:p w14:paraId="020ADF68">
                  <w:pPr>
                    <w:pStyle w:val="71"/>
                    <w:tabs>
                      <w:tab w:val="left" w:pos="1021"/>
                    </w:tabs>
                    <w:bidi w:val="0"/>
                    <w:rPr>
                      <w:rFonts w:hint="default" w:ascii="Times New Roman" w:hAnsi="Times New Roman" w:eastAsia="宋体" w:cs="Times New Roman"/>
                      <w:lang w:eastAsia="zh-CN"/>
                    </w:rPr>
                  </w:pPr>
                  <w:r>
                    <w:rPr>
                      <w:rFonts w:hint="default" w:ascii="Times New Roman" w:hAnsi="Times New Roman" w:cs="Times New Roman"/>
                    </w:rPr>
                    <w:t>废水</w:t>
                  </w:r>
                </w:p>
              </w:tc>
              <w:tc>
                <w:tcPr>
                  <w:tcW w:w="1979" w:type="pct"/>
                  <w:tcBorders>
                    <w:tl2br w:val="nil"/>
                    <w:tr2bl w:val="nil"/>
                  </w:tcBorders>
                  <w:noWrap w:val="0"/>
                  <w:vAlign w:val="center"/>
                </w:tcPr>
                <w:p w14:paraId="30252238">
                  <w:pPr>
                    <w:pStyle w:val="71"/>
                    <w:keepNext w:val="0"/>
                    <w:keepLines w:val="0"/>
                    <w:pageBreakBefore w:val="0"/>
                    <w:widowControl w:val="0"/>
                    <w:tabs>
                      <w:tab w:val="left" w:pos="1021"/>
                    </w:tabs>
                    <w:kinsoku/>
                    <w:wordWrap/>
                    <w:overflowPunct/>
                    <w:topLinePunct w:val="0"/>
                    <w:autoSpaceDE/>
                    <w:autoSpaceDN/>
                    <w:bidi w:val="0"/>
                    <w:adjustRightInd/>
                    <w:snapToGrid/>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经处理后达到</w:t>
                  </w:r>
                  <w:r>
                    <w:rPr>
                      <w:rFonts w:hint="default" w:ascii="Times New Roman" w:hAnsi="Times New Roman" w:cs="Times New Roman"/>
                      <w:color w:val="auto"/>
                      <w:szCs w:val="21"/>
                    </w:rPr>
                    <w:t>《生活垃圾填埋场污染控制标准》（GB16889-2008）中表2规定的水污染物排放限值标准</w:t>
                  </w:r>
                  <w:r>
                    <w:rPr>
                      <w:rFonts w:hint="default" w:ascii="Times New Roman" w:hAnsi="Times New Roman" w:cs="Times New Roman"/>
                      <w:lang w:val="en-US" w:eastAsia="zh-CN"/>
                    </w:rPr>
                    <w:t>，达标排放</w:t>
                  </w:r>
                </w:p>
              </w:tc>
              <w:tc>
                <w:tcPr>
                  <w:tcW w:w="493" w:type="pct"/>
                  <w:tcBorders>
                    <w:tl2br w:val="nil"/>
                    <w:tr2bl w:val="nil"/>
                  </w:tcBorders>
                  <w:noWrap w:val="0"/>
                  <w:vAlign w:val="center"/>
                </w:tcPr>
                <w:p w14:paraId="23E2A7C1">
                  <w:pPr>
                    <w:pStyle w:val="71"/>
                    <w:tabs>
                      <w:tab w:val="left" w:pos="1021"/>
                    </w:tabs>
                    <w:bidi w:val="0"/>
                    <w:rPr>
                      <w:rFonts w:hint="default" w:ascii="Times New Roman" w:hAnsi="Times New Roman" w:cs="Times New Roman"/>
                      <w:lang w:eastAsia="zh-CN"/>
                    </w:rPr>
                  </w:pPr>
                  <w:r>
                    <w:rPr>
                      <w:rFonts w:hint="default" w:ascii="Times New Roman" w:hAnsi="Times New Roman" w:cs="Times New Roman"/>
                      <w:lang w:val="en-US" w:eastAsia="zh-CN"/>
                    </w:rPr>
                    <w:t>/</w:t>
                  </w:r>
                </w:p>
              </w:tc>
              <w:tc>
                <w:tcPr>
                  <w:tcW w:w="1311" w:type="pct"/>
                  <w:vMerge w:val="restart"/>
                  <w:tcBorders>
                    <w:tl2br w:val="nil"/>
                    <w:tr2bl w:val="nil"/>
                  </w:tcBorders>
                  <w:noWrap w:val="0"/>
                  <w:vAlign w:val="center"/>
                </w:tcPr>
                <w:p w14:paraId="78253D48">
                  <w:pPr>
                    <w:pStyle w:val="71"/>
                    <w:tabs>
                      <w:tab w:val="left" w:pos="1021"/>
                    </w:tabs>
                    <w:bidi w:val="0"/>
                    <w:rPr>
                      <w:rFonts w:hint="default" w:ascii="Times New Roman" w:hAnsi="Times New Roman" w:cs="Times New Roman"/>
                      <w:lang w:eastAsia="zh-CN"/>
                    </w:rPr>
                  </w:pPr>
                  <w:r>
                    <w:rPr>
                      <w:rFonts w:hint="default" w:ascii="Times New Roman" w:hAnsi="Times New Roman" w:cs="Times New Roman"/>
                    </w:rPr>
                    <w:t>本项目</w:t>
                  </w:r>
                  <w:r>
                    <w:rPr>
                      <w:rFonts w:hint="default" w:ascii="Times New Roman" w:hAnsi="Times New Roman" w:cs="Times New Roman"/>
                      <w:lang w:eastAsia="zh-CN"/>
                    </w:rPr>
                    <w:t>为渗滤液处理环保工程，所有费用包括土建、设备购买费用等均为环保投资</w:t>
                  </w:r>
                </w:p>
              </w:tc>
            </w:tr>
            <w:tr w14:paraId="3303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14:paraId="3146D323">
                  <w:pPr>
                    <w:pStyle w:val="71"/>
                    <w:tabs>
                      <w:tab w:val="left" w:pos="1021"/>
                    </w:tabs>
                    <w:bidi w:val="0"/>
                    <w:rPr>
                      <w:rFonts w:hint="default" w:ascii="Times New Roman" w:hAnsi="Times New Roman" w:cs="Times New Roman"/>
                      <w:lang w:eastAsia="zh-CN"/>
                    </w:rPr>
                  </w:pPr>
                  <w:r>
                    <w:rPr>
                      <w:rFonts w:hint="default" w:ascii="Times New Roman" w:hAnsi="Times New Roman" w:cs="Times New Roman"/>
                      <w:lang w:val="en-US" w:eastAsia="zh-CN"/>
                    </w:rPr>
                    <w:t>2</w:t>
                  </w:r>
                </w:p>
              </w:tc>
              <w:tc>
                <w:tcPr>
                  <w:tcW w:w="843" w:type="pct"/>
                  <w:tcBorders>
                    <w:tl2br w:val="nil"/>
                    <w:tr2bl w:val="nil"/>
                  </w:tcBorders>
                  <w:noWrap w:val="0"/>
                  <w:vAlign w:val="center"/>
                </w:tcPr>
                <w:p w14:paraId="072E9080">
                  <w:pPr>
                    <w:pStyle w:val="71"/>
                    <w:tabs>
                      <w:tab w:val="left" w:pos="1021"/>
                    </w:tabs>
                    <w:bidi w:val="0"/>
                    <w:rPr>
                      <w:rFonts w:hint="default" w:ascii="Times New Roman" w:hAnsi="Times New Roman" w:cs="Times New Roman"/>
                    </w:rPr>
                  </w:pPr>
                  <w:r>
                    <w:rPr>
                      <w:rFonts w:hint="default" w:ascii="Times New Roman" w:hAnsi="Times New Roman" w:cs="Times New Roman"/>
                    </w:rPr>
                    <w:t>废</w:t>
                  </w:r>
                  <w:r>
                    <w:rPr>
                      <w:rFonts w:hint="default" w:ascii="Times New Roman" w:hAnsi="Times New Roman" w:cs="Times New Roman"/>
                      <w:lang w:val="en-US" w:eastAsia="zh-CN"/>
                    </w:rPr>
                    <w:t>气</w:t>
                  </w:r>
                </w:p>
              </w:tc>
              <w:tc>
                <w:tcPr>
                  <w:tcW w:w="1979" w:type="pct"/>
                  <w:tcBorders>
                    <w:tl2br w:val="nil"/>
                    <w:tr2bl w:val="nil"/>
                  </w:tcBorders>
                  <w:noWrap w:val="0"/>
                  <w:vAlign w:val="center"/>
                </w:tcPr>
                <w:p w14:paraId="12E34220">
                  <w:pPr>
                    <w:pStyle w:val="71"/>
                    <w:keepNext w:val="0"/>
                    <w:keepLines w:val="0"/>
                    <w:pageBreakBefore w:val="0"/>
                    <w:widowControl w:val="0"/>
                    <w:tabs>
                      <w:tab w:val="left" w:pos="1021"/>
                    </w:tabs>
                    <w:kinsoku/>
                    <w:wordWrap/>
                    <w:overflowPunct/>
                    <w:topLinePunct w:val="0"/>
                    <w:autoSpaceDE/>
                    <w:autoSpaceDN/>
                    <w:bidi w:val="0"/>
                    <w:adjustRightInd/>
                    <w:snapToGrid/>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加</w:t>
                  </w:r>
                  <w:r>
                    <w:rPr>
                      <w:rFonts w:hint="default" w:ascii="Times New Roman" w:hAnsi="Times New Roman" w:cs="Times New Roman"/>
                      <w:color w:val="auto"/>
                      <w:sz w:val="21"/>
                      <w:szCs w:val="21"/>
                      <w:vertAlign w:val="baseline"/>
                      <w:lang w:val="en-US" w:eastAsia="zh-CN"/>
                    </w:rPr>
                    <w:t>喷洒除臭剂、绿化净化等</w:t>
                  </w:r>
                </w:p>
              </w:tc>
              <w:tc>
                <w:tcPr>
                  <w:tcW w:w="493" w:type="pct"/>
                  <w:tcBorders>
                    <w:tl2br w:val="nil"/>
                    <w:tr2bl w:val="nil"/>
                  </w:tcBorders>
                  <w:noWrap w:val="0"/>
                  <w:vAlign w:val="center"/>
                </w:tcPr>
                <w:p w14:paraId="3B18ADBB">
                  <w:pPr>
                    <w:pStyle w:val="71"/>
                    <w:tabs>
                      <w:tab w:val="left" w:pos="1021"/>
                    </w:tabs>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11" w:type="pct"/>
                  <w:vMerge w:val="continue"/>
                  <w:tcBorders>
                    <w:tl2br w:val="nil"/>
                    <w:tr2bl w:val="nil"/>
                  </w:tcBorders>
                  <w:noWrap w:val="0"/>
                  <w:vAlign w:val="center"/>
                </w:tcPr>
                <w:p w14:paraId="330939B4">
                  <w:pPr>
                    <w:pStyle w:val="71"/>
                    <w:tabs>
                      <w:tab w:val="left" w:pos="1021"/>
                    </w:tabs>
                    <w:bidi w:val="0"/>
                    <w:rPr>
                      <w:rFonts w:hint="default" w:ascii="Times New Roman" w:hAnsi="Times New Roman" w:cs="Times New Roman"/>
                      <w:lang w:val="en-US" w:eastAsia="zh-CN"/>
                    </w:rPr>
                  </w:pPr>
                </w:p>
              </w:tc>
            </w:tr>
            <w:tr w14:paraId="3FA2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tcBorders>
                    <w:tl2br w:val="nil"/>
                    <w:tr2bl w:val="nil"/>
                  </w:tcBorders>
                  <w:noWrap w:val="0"/>
                  <w:vAlign w:val="center"/>
                </w:tcPr>
                <w:p w14:paraId="1FE68CB4">
                  <w:pPr>
                    <w:pStyle w:val="71"/>
                    <w:tabs>
                      <w:tab w:val="left" w:pos="1021"/>
                    </w:tabs>
                    <w:bidi w:val="0"/>
                    <w:rPr>
                      <w:rFonts w:hint="default" w:ascii="Times New Roman" w:hAnsi="Times New Roman" w:cs="Times New Roman"/>
                      <w:lang w:eastAsia="zh-CN"/>
                    </w:rPr>
                  </w:pPr>
                  <w:r>
                    <w:rPr>
                      <w:rFonts w:hint="default" w:ascii="Times New Roman" w:hAnsi="Times New Roman" w:cs="Times New Roman"/>
                      <w:lang w:val="en-US" w:eastAsia="zh-CN"/>
                    </w:rPr>
                    <w:t>3</w:t>
                  </w:r>
                </w:p>
              </w:tc>
              <w:tc>
                <w:tcPr>
                  <w:tcW w:w="843" w:type="pct"/>
                  <w:tcBorders>
                    <w:tl2br w:val="nil"/>
                    <w:tr2bl w:val="nil"/>
                  </w:tcBorders>
                  <w:noWrap w:val="0"/>
                  <w:vAlign w:val="center"/>
                </w:tcPr>
                <w:p w14:paraId="753B5663">
                  <w:pPr>
                    <w:pStyle w:val="71"/>
                    <w:tabs>
                      <w:tab w:val="left" w:pos="1021"/>
                    </w:tabs>
                    <w:bidi w:val="0"/>
                    <w:rPr>
                      <w:rFonts w:hint="default" w:ascii="Times New Roman" w:hAnsi="Times New Roman" w:cs="Times New Roman"/>
                      <w:lang w:val="en-US" w:eastAsia="zh-CN"/>
                    </w:rPr>
                  </w:pPr>
                  <w:r>
                    <w:rPr>
                      <w:rFonts w:hint="default" w:ascii="Times New Roman" w:hAnsi="Times New Roman" w:cs="Times New Roman"/>
                      <w:lang w:val="en-US" w:eastAsia="zh-CN"/>
                    </w:rPr>
                    <w:t>噪声</w:t>
                  </w:r>
                </w:p>
              </w:tc>
              <w:tc>
                <w:tcPr>
                  <w:tcW w:w="1979" w:type="pct"/>
                  <w:tcBorders>
                    <w:tl2br w:val="nil"/>
                    <w:tr2bl w:val="nil"/>
                  </w:tcBorders>
                  <w:noWrap w:val="0"/>
                  <w:vAlign w:val="center"/>
                </w:tcPr>
                <w:p w14:paraId="377EE2BE">
                  <w:pPr>
                    <w:pStyle w:val="71"/>
                    <w:keepNext w:val="0"/>
                    <w:keepLines w:val="0"/>
                    <w:pageBreakBefore w:val="0"/>
                    <w:widowControl w:val="0"/>
                    <w:tabs>
                      <w:tab w:val="left" w:pos="1021"/>
                    </w:tabs>
                    <w:kinsoku/>
                    <w:wordWrap/>
                    <w:overflowPunct/>
                    <w:topLinePunct w:val="0"/>
                    <w:autoSpaceDE/>
                    <w:autoSpaceDN/>
                    <w:bidi w:val="0"/>
                    <w:adjustRightInd/>
                    <w:snapToGrid/>
                    <w:jc w:val="both"/>
                    <w:textAlignment w:val="auto"/>
                    <w:rPr>
                      <w:rFonts w:hint="default" w:ascii="Times New Roman" w:hAnsi="Times New Roman" w:cs="Times New Roman"/>
                      <w:lang w:eastAsia="zh-CN"/>
                    </w:rPr>
                  </w:pPr>
                  <w:r>
                    <w:rPr>
                      <w:rFonts w:hint="default" w:ascii="Times New Roman" w:hAnsi="Times New Roman" w:cs="Times New Roman"/>
                      <w:color w:val="auto"/>
                      <w:sz w:val="21"/>
                      <w:szCs w:val="21"/>
                      <w:u w:val="none"/>
                    </w:rPr>
                    <w:t>厂房封闭隔声、隔振器、减震垫、加隔音罩、消声器等</w:t>
                  </w:r>
                </w:p>
              </w:tc>
              <w:tc>
                <w:tcPr>
                  <w:tcW w:w="493" w:type="pct"/>
                  <w:tcBorders>
                    <w:tl2br w:val="nil"/>
                    <w:tr2bl w:val="nil"/>
                  </w:tcBorders>
                  <w:noWrap w:val="0"/>
                  <w:vAlign w:val="center"/>
                </w:tcPr>
                <w:p w14:paraId="1A3943B0">
                  <w:pPr>
                    <w:pStyle w:val="71"/>
                    <w:tabs>
                      <w:tab w:val="left" w:pos="1021"/>
                    </w:tabs>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11" w:type="pct"/>
                  <w:vMerge w:val="continue"/>
                  <w:tcBorders>
                    <w:tl2br w:val="nil"/>
                    <w:tr2bl w:val="nil"/>
                  </w:tcBorders>
                  <w:noWrap w:val="0"/>
                  <w:vAlign w:val="center"/>
                </w:tcPr>
                <w:p w14:paraId="5B536F1B">
                  <w:pPr>
                    <w:pStyle w:val="71"/>
                    <w:tabs>
                      <w:tab w:val="left" w:pos="1021"/>
                    </w:tabs>
                    <w:bidi w:val="0"/>
                    <w:rPr>
                      <w:rFonts w:hint="default" w:ascii="Times New Roman" w:hAnsi="Times New Roman" w:cs="Times New Roman"/>
                      <w:lang w:eastAsia="zh-CN"/>
                    </w:rPr>
                  </w:pPr>
                </w:p>
              </w:tc>
            </w:tr>
            <w:tr w14:paraId="79FB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tcBorders>
                    <w:tl2br w:val="nil"/>
                    <w:tr2bl w:val="nil"/>
                  </w:tcBorders>
                  <w:noWrap w:val="0"/>
                  <w:vAlign w:val="center"/>
                </w:tcPr>
                <w:p w14:paraId="61762E31">
                  <w:pPr>
                    <w:pStyle w:val="71"/>
                    <w:tabs>
                      <w:tab w:val="left" w:pos="1021"/>
                    </w:tabs>
                    <w:bidi w:val="0"/>
                    <w:rPr>
                      <w:rFonts w:hint="default" w:ascii="Times New Roman" w:hAnsi="Times New Roman" w:cs="Times New Roman"/>
                      <w:lang w:eastAsia="zh-CN"/>
                    </w:rPr>
                  </w:pPr>
                  <w:r>
                    <w:rPr>
                      <w:rFonts w:hint="default" w:ascii="Times New Roman" w:hAnsi="Times New Roman" w:cs="Times New Roman"/>
                      <w:lang w:val="en-US" w:eastAsia="zh-CN"/>
                    </w:rPr>
                    <w:t>4</w:t>
                  </w:r>
                </w:p>
              </w:tc>
              <w:tc>
                <w:tcPr>
                  <w:tcW w:w="843" w:type="pct"/>
                  <w:tcBorders>
                    <w:tl2br w:val="nil"/>
                    <w:tr2bl w:val="nil"/>
                  </w:tcBorders>
                  <w:noWrap w:val="0"/>
                  <w:vAlign w:val="center"/>
                </w:tcPr>
                <w:p w14:paraId="4D617D87">
                  <w:pPr>
                    <w:pStyle w:val="71"/>
                    <w:tabs>
                      <w:tab w:val="left" w:pos="1021"/>
                    </w:tabs>
                    <w:bidi w:val="0"/>
                    <w:rPr>
                      <w:rFonts w:hint="default" w:ascii="Times New Roman" w:hAnsi="Times New Roman" w:cs="Times New Roman"/>
                      <w:lang w:eastAsia="zh-CN"/>
                    </w:rPr>
                  </w:pPr>
                  <w:r>
                    <w:rPr>
                      <w:rFonts w:hint="default" w:ascii="Times New Roman" w:hAnsi="Times New Roman" w:cs="Times New Roman"/>
                      <w:lang w:val="en-US" w:eastAsia="zh-CN"/>
                    </w:rPr>
                    <w:t>固废</w:t>
                  </w:r>
                </w:p>
              </w:tc>
              <w:tc>
                <w:tcPr>
                  <w:tcW w:w="1979" w:type="pct"/>
                  <w:tcBorders>
                    <w:tl2br w:val="nil"/>
                    <w:tr2bl w:val="nil"/>
                  </w:tcBorders>
                  <w:noWrap w:val="0"/>
                  <w:vAlign w:val="center"/>
                </w:tcPr>
                <w:p w14:paraId="3C20369B">
                  <w:pPr>
                    <w:pStyle w:val="71"/>
                    <w:tabs>
                      <w:tab w:val="left" w:pos="1021"/>
                    </w:tabs>
                    <w:bidi w:val="0"/>
                    <w:rPr>
                      <w:rFonts w:hint="default" w:ascii="Times New Roman" w:hAnsi="Times New Roman" w:eastAsia="宋体" w:cs="Times New Roman"/>
                      <w:lang w:eastAsia="zh-CN"/>
                    </w:rPr>
                  </w:pPr>
                  <w:r>
                    <w:rPr>
                      <w:rFonts w:hint="default" w:ascii="Times New Roman" w:hAnsi="Times New Roman" w:cs="Times New Roman"/>
                    </w:rPr>
                    <w:t>垃圾箱（桶）</w:t>
                  </w:r>
                  <w:r>
                    <w:rPr>
                      <w:rFonts w:hint="default" w:ascii="Times New Roman" w:hAnsi="Times New Roman" w:cs="Times New Roman"/>
                      <w:lang w:eastAsia="zh-CN"/>
                    </w:rPr>
                    <w:t>、危废暂存间</w:t>
                  </w:r>
                </w:p>
              </w:tc>
              <w:tc>
                <w:tcPr>
                  <w:tcW w:w="493" w:type="pct"/>
                  <w:tcBorders>
                    <w:tl2br w:val="nil"/>
                    <w:tr2bl w:val="nil"/>
                  </w:tcBorders>
                  <w:noWrap w:val="0"/>
                  <w:vAlign w:val="center"/>
                </w:tcPr>
                <w:p w14:paraId="79F71105">
                  <w:pPr>
                    <w:pStyle w:val="71"/>
                    <w:tabs>
                      <w:tab w:val="left" w:pos="1021"/>
                    </w:tabs>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11" w:type="pct"/>
                  <w:vMerge w:val="continue"/>
                  <w:tcBorders>
                    <w:tl2br w:val="nil"/>
                    <w:tr2bl w:val="nil"/>
                  </w:tcBorders>
                  <w:noWrap w:val="0"/>
                  <w:vAlign w:val="center"/>
                </w:tcPr>
                <w:p w14:paraId="170AF647">
                  <w:pPr>
                    <w:pStyle w:val="71"/>
                    <w:tabs>
                      <w:tab w:val="left" w:pos="1021"/>
                    </w:tabs>
                    <w:bidi w:val="0"/>
                    <w:rPr>
                      <w:rFonts w:hint="default" w:ascii="Times New Roman" w:hAnsi="Times New Roman" w:cs="Times New Roman"/>
                      <w:lang w:eastAsia="zh-CN"/>
                    </w:rPr>
                  </w:pPr>
                </w:p>
              </w:tc>
            </w:tr>
            <w:tr w14:paraId="2924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88" w:type="pct"/>
                  <w:gridSpan w:val="4"/>
                  <w:tcBorders>
                    <w:tl2br w:val="nil"/>
                    <w:tr2bl w:val="nil"/>
                  </w:tcBorders>
                  <w:noWrap w:val="0"/>
                  <w:vAlign w:val="center"/>
                </w:tcPr>
                <w:p w14:paraId="357EC462">
                  <w:pPr>
                    <w:pStyle w:val="71"/>
                    <w:tabs>
                      <w:tab w:val="left" w:pos="1021"/>
                    </w:tabs>
                    <w:bidi w:val="0"/>
                    <w:rPr>
                      <w:rFonts w:hint="default" w:ascii="Times New Roman" w:hAnsi="Times New Roman" w:cs="Times New Roman"/>
                    </w:rPr>
                  </w:pPr>
                  <w:r>
                    <w:rPr>
                      <w:rFonts w:hint="default" w:ascii="Times New Roman" w:hAnsi="Times New Roman" w:cs="Times New Roman"/>
                    </w:rPr>
                    <w:t>合计</w:t>
                  </w:r>
                </w:p>
              </w:tc>
              <w:tc>
                <w:tcPr>
                  <w:tcW w:w="1311" w:type="pct"/>
                  <w:tcBorders>
                    <w:tl2br w:val="nil"/>
                    <w:tr2bl w:val="nil"/>
                  </w:tcBorders>
                  <w:noWrap w:val="0"/>
                  <w:vAlign w:val="center"/>
                </w:tcPr>
                <w:p w14:paraId="2007BDCE">
                  <w:pPr>
                    <w:pStyle w:val="71"/>
                    <w:tabs>
                      <w:tab w:val="left" w:pos="1021"/>
                    </w:tabs>
                    <w:bidi w:val="0"/>
                    <w:rPr>
                      <w:rFonts w:hint="default" w:ascii="Times New Roman" w:hAnsi="Times New Roman" w:cs="Times New Roman"/>
                      <w:lang w:val="en-US" w:eastAsia="zh-CN"/>
                    </w:rPr>
                  </w:pPr>
                </w:p>
              </w:tc>
            </w:tr>
          </w:tbl>
          <w:p w14:paraId="13E80723">
            <w:pPr>
              <w:pStyle w:val="2"/>
              <w:rPr>
                <w:rFonts w:hint="default" w:ascii="Times New Roman" w:hAnsi="Times New Roman" w:cs="Times New Roman"/>
              </w:rPr>
            </w:pPr>
          </w:p>
        </w:tc>
      </w:tr>
    </w:tbl>
    <w:p w14:paraId="2A3DFB29">
      <w:pPr>
        <w:spacing w:line="360" w:lineRule="auto"/>
        <w:rPr>
          <w:rFonts w:ascii="黑体" w:hAnsi="宋体" w:eastAsia="黑体" w:cs="黑体"/>
          <w:color w:val="000000" w:themeColor="text1"/>
          <w:kern w:val="0"/>
          <w:sz w:val="30"/>
          <w:szCs w:val="30"/>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366877FF">
      <w:pPr>
        <w:pStyle w:val="6"/>
        <w:spacing w:before="0" w:after="0"/>
        <w:jc w:val="center"/>
        <w:rPr>
          <w:color w:val="000000" w:themeColor="text1"/>
          <w14:textFill>
            <w14:solidFill>
              <w14:schemeClr w14:val="tx1"/>
            </w14:solidFill>
          </w14:textFill>
        </w:rPr>
      </w:pPr>
      <w:bookmarkStart w:id="29" w:name="_Toc9293"/>
      <w:r>
        <w:rPr>
          <w:rFonts w:hint="eastAsia"/>
          <w:color w:val="000000" w:themeColor="text1"/>
          <w14:textFill>
            <w14:solidFill>
              <w14:schemeClr w14:val="tx1"/>
            </w14:solidFill>
          </w14:textFill>
        </w:rPr>
        <w:t>五、环境保护措施监督检查清单</w:t>
      </w:r>
      <w:bookmarkEnd w:id="29"/>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16"/>
        <w:gridCol w:w="1228"/>
        <w:gridCol w:w="2610"/>
        <w:gridCol w:w="2568"/>
      </w:tblGrid>
      <w:tr w14:paraId="139D4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tcBorders>
              <w:tl2br w:val="single" w:color="auto" w:sz="4" w:space="0"/>
            </w:tcBorders>
            <w:noWrap/>
            <w:vAlign w:val="center"/>
          </w:tcPr>
          <w:p w14:paraId="395377D5">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内容</w:t>
            </w:r>
          </w:p>
          <w:p w14:paraId="42B3C063">
            <w:pPr>
              <w:pStyle w:val="71"/>
              <w:spacing w:line="360" w:lineRule="auto"/>
              <w:jc w:val="center"/>
              <w:rPr>
                <w:rFonts w:hint="default" w:ascii="Times New Roman" w:hAnsi="Times New Roman" w:cs="Times New Roman"/>
                <w:sz w:val="24"/>
                <w:szCs w:val="24"/>
              </w:rPr>
            </w:pPr>
          </w:p>
          <w:p w14:paraId="46962864">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要素</w:t>
            </w:r>
          </w:p>
        </w:tc>
        <w:tc>
          <w:tcPr>
            <w:tcW w:w="772" w:type="pct"/>
            <w:noWrap/>
            <w:vAlign w:val="center"/>
          </w:tcPr>
          <w:p w14:paraId="2F8EB14C">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排放口(编号、名称)/污染源</w:t>
            </w:r>
          </w:p>
        </w:tc>
        <w:tc>
          <w:tcPr>
            <w:tcW w:w="720" w:type="pct"/>
            <w:noWrap/>
            <w:vAlign w:val="center"/>
          </w:tcPr>
          <w:p w14:paraId="7069772E">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污染物项目</w:t>
            </w:r>
          </w:p>
        </w:tc>
        <w:tc>
          <w:tcPr>
            <w:tcW w:w="1531" w:type="pct"/>
            <w:noWrap/>
            <w:vAlign w:val="center"/>
          </w:tcPr>
          <w:p w14:paraId="153EE0D0">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环境保护措施</w:t>
            </w:r>
          </w:p>
        </w:tc>
        <w:tc>
          <w:tcPr>
            <w:tcW w:w="1506" w:type="pct"/>
            <w:noWrap/>
            <w:vAlign w:val="center"/>
          </w:tcPr>
          <w:p w14:paraId="489BBBA9">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执行标准</w:t>
            </w:r>
          </w:p>
        </w:tc>
      </w:tr>
      <w:tr w14:paraId="7D195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noWrap/>
            <w:vAlign w:val="center"/>
          </w:tcPr>
          <w:p w14:paraId="23162B23">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大气环境</w:t>
            </w:r>
          </w:p>
        </w:tc>
        <w:tc>
          <w:tcPr>
            <w:tcW w:w="772" w:type="pct"/>
            <w:noWrap/>
            <w:vAlign w:val="center"/>
          </w:tcPr>
          <w:p w14:paraId="186AAD94">
            <w:pPr>
              <w:pStyle w:val="71"/>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color w:val="auto"/>
                <w:sz w:val="24"/>
                <w:szCs w:val="24"/>
                <w:lang w:val="en-US" w:eastAsia="zh-CN"/>
              </w:rPr>
              <w:t>渗滤液处理站</w:t>
            </w:r>
          </w:p>
        </w:tc>
        <w:tc>
          <w:tcPr>
            <w:tcW w:w="720" w:type="pct"/>
            <w:noWrap/>
            <w:vAlign w:val="center"/>
          </w:tcPr>
          <w:p w14:paraId="18D55382">
            <w:pPr>
              <w:pStyle w:val="71"/>
              <w:bidi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臭气浓度、H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S、NH</w:t>
            </w:r>
            <w:r>
              <w:rPr>
                <w:rFonts w:hint="default" w:ascii="Times New Roman" w:hAnsi="Times New Roman" w:cs="Times New Roman"/>
                <w:sz w:val="24"/>
                <w:szCs w:val="24"/>
                <w:vertAlign w:val="subscript"/>
                <w:lang w:val="en-US" w:eastAsia="zh-CN"/>
              </w:rPr>
              <w:t>3</w:t>
            </w:r>
          </w:p>
        </w:tc>
        <w:tc>
          <w:tcPr>
            <w:tcW w:w="1531" w:type="pct"/>
            <w:tcBorders>
              <w:bottom w:val="single" w:color="000000" w:sz="4" w:space="0"/>
            </w:tcBorders>
            <w:noWrap/>
            <w:vAlign w:val="center"/>
          </w:tcPr>
          <w:p w14:paraId="57D9DA81">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喷洒除臭剂、绿化净化等</w:t>
            </w:r>
          </w:p>
        </w:tc>
        <w:tc>
          <w:tcPr>
            <w:tcW w:w="1506" w:type="pct"/>
            <w:noWrap/>
            <w:vAlign w:val="center"/>
          </w:tcPr>
          <w:p w14:paraId="42A4237D">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《恶臭污染物排放标准》（GB014554-93）无组织厂界标准</w:t>
            </w:r>
          </w:p>
        </w:tc>
      </w:tr>
      <w:tr w14:paraId="581C8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469" w:type="pct"/>
            <w:vMerge w:val="restart"/>
            <w:noWrap/>
            <w:vAlign w:val="center"/>
          </w:tcPr>
          <w:p w14:paraId="0A751576">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地表水环境</w:t>
            </w:r>
          </w:p>
        </w:tc>
        <w:tc>
          <w:tcPr>
            <w:tcW w:w="772" w:type="pct"/>
            <w:noWrap/>
            <w:vAlign w:val="center"/>
          </w:tcPr>
          <w:p w14:paraId="2B12967D">
            <w:pPr>
              <w:pStyle w:val="71"/>
              <w:bidi w:val="0"/>
              <w:spacing w:line="360" w:lineRule="auto"/>
              <w:jc w:val="cente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sz w:val="24"/>
                <w:szCs w:val="24"/>
                <w:lang w:val="en-US" w:eastAsia="zh-CN"/>
              </w:rPr>
              <w:t>办公废水、洗涤塔废水</w:t>
            </w:r>
          </w:p>
        </w:tc>
        <w:tc>
          <w:tcPr>
            <w:tcW w:w="720" w:type="pct"/>
            <w:vMerge w:val="restart"/>
            <w:noWrap/>
            <w:vAlign w:val="center"/>
          </w:tcPr>
          <w:p w14:paraId="09B87623">
            <w:pPr>
              <w:pStyle w:val="71"/>
              <w:bidi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COD、NH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、SS</w:t>
            </w:r>
          </w:p>
          <w:p w14:paraId="2DC15F86">
            <w:pPr>
              <w:pStyle w:val="71"/>
              <w:bidi w:val="0"/>
              <w:spacing w:line="360" w:lineRule="auto"/>
              <w:jc w:val="center"/>
              <w:rPr>
                <w:rFonts w:hint="default" w:ascii="Times New Roman" w:hAnsi="Times New Roman" w:eastAsia="宋体" w:cs="Times New Roman"/>
                <w:kern w:val="0"/>
                <w:sz w:val="24"/>
                <w:szCs w:val="24"/>
                <w:lang w:val="en-US" w:eastAsia="zh-CN" w:bidi="ar-SA"/>
              </w:rPr>
            </w:pPr>
          </w:p>
        </w:tc>
        <w:tc>
          <w:tcPr>
            <w:tcW w:w="1531" w:type="pct"/>
            <w:vMerge w:val="restart"/>
            <w:noWrap/>
            <w:vAlign w:val="center"/>
          </w:tcPr>
          <w:p w14:paraId="214BFD88">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zh-CN" w:eastAsia="zh-CN"/>
              </w:rPr>
            </w:pPr>
            <w:r>
              <w:rPr>
                <w:rFonts w:hint="eastAsia" w:ascii="Times New Roman" w:hAnsi="Times New Roman" w:cs="Times New Roman"/>
                <w:sz w:val="24"/>
                <w:szCs w:val="24"/>
                <w:lang w:val="en-US" w:eastAsia="zh-CN"/>
              </w:rPr>
              <w:t>办公废水及洗涤塔废水</w:t>
            </w:r>
            <w:r>
              <w:rPr>
                <w:rFonts w:hint="default" w:ascii="Times New Roman" w:hAnsi="Times New Roman" w:cs="Times New Roman"/>
                <w:sz w:val="24"/>
                <w:szCs w:val="24"/>
                <w:lang w:val="en-US" w:eastAsia="zh-CN"/>
              </w:rPr>
              <w:t>排放至渗滤液调节池内暂存，与渗滤液共同处理达标后排放至</w:t>
            </w:r>
            <w:r>
              <w:rPr>
                <w:rFonts w:hint="eastAsia" w:ascii="Times New Roman" w:hAnsi="Times New Roman" w:cs="Times New Roman"/>
                <w:sz w:val="24"/>
                <w:szCs w:val="24"/>
                <w:lang w:val="en-US" w:eastAsia="zh-CN"/>
              </w:rPr>
              <w:t>芒市污水管网，最后进入芒市污水处理厂</w:t>
            </w:r>
            <w:r>
              <w:rPr>
                <w:rFonts w:hint="default" w:ascii="Times New Roman" w:hAnsi="Times New Roman" w:cs="Times New Roman"/>
                <w:sz w:val="24"/>
                <w:szCs w:val="24"/>
                <w:lang w:val="en-US" w:eastAsia="zh-CN"/>
              </w:rPr>
              <w:t>；雨水经现有雨水管网收集后排入</w:t>
            </w:r>
            <w:r>
              <w:rPr>
                <w:rFonts w:hint="eastAsia" w:ascii="Times New Roman" w:hAnsi="Times New Roman" w:cs="Times New Roman"/>
                <w:sz w:val="24"/>
                <w:szCs w:val="24"/>
                <w:lang w:val="en-US" w:eastAsia="zh-CN"/>
              </w:rPr>
              <w:t>芒市市政雨水管网</w:t>
            </w:r>
            <w:r>
              <w:rPr>
                <w:rFonts w:hint="default" w:ascii="Times New Roman" w:hAnsi="Times New Roman" w:cs="Times New Roman"/>
                <w:sz w:val="24"/>
                <w:szCs w:val="24"/>
                <w:lang w:val="en-US" w:eastAsia="zh-CN"/>
              </w:rPr>
              <w:t>。</w:t>
            </w:r>
          </w:p>
        </w:tc>
        <w:tc>
          <w:tcPr>
            <w:tcW w:w="1506" w:type="pct"/>
            <w:vMerge w:val="restart"/>
            <w:noWrap/>
            <w:vAlign w:val="center"/>
          </w:tcPr>
          <w:p w14:paraId="5B6342EA">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《生活垃圾填埋场污染控制标准》（GB16889-2008）中表2规定的水污染物排放限值标准</w:t>
            </w:r>
          </w:p>
        </w:tc>
      </w:tr>
      <w:tr w14:paraId="1723F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69" w:type="pct"/>
            <w:vMerge w:val="continue"/>
            <w:noWrap/>
            <w:vAlign w:val="center"/>
          </w:tcPr>
          <w:p w14:paraId="559600DD">
            <w:pPr>
              <w:pStyle w:val="71"/>
              <w:spacing w:line="360" w:lineRule="auto"/>
              <w:jc w:val="center"/>
              <w:rPr>
                <w:rFonts w:hint="default" w:ascii="Times New Roman" w:hAnsi="Times New Roman" w:cs="Times New Roman"/>
                <w:sz w:val="24"/>
                <w:szCs w:val="24"/>
              </w:rPr>
            </w:pPr>
          </w:p>
        </w:tc>
        <w:tc>
          <w:tcPr>
            <w:tcW w:w="772" w:type="pct"/>
            <w:noWrap/>
            <w:vAlign w:val="center"/>
          </w:tcPr>
          <w:p w14:paraId="414BDFB2">
            <w:pPr>
              <w:pStyle w:val="71"/>
              <w:bidi w:val="0"/>
              <w:spacing w:line="360" w:lineRule="auto"/>
              <w:jc w:val="center"/>
              <w:rPr>
                <w:rFonts w:hint="default" w:ascii="Times New Roman" w:hAnsi="Times New Roman" w:eastAsia="宋体" w:cs="Times New Roman"/>
                <w:kern w:val="0"/>
                <w:sz w:val="24"/>
                <w:szCs w:val="24"/>
                <w:lang w:val="zh-CN" w:eastAsia="zh-CN" w:bidi="ar-SA"/>
              </w:rPr>
            </w:pPr>
            <w:r>
              <w:rPr>
                <w:rFonts w:hint="default" w:ascii="Times New Roman" w:hAnsi="Times New Roman" w:cs="Times New Roman"/>
                <w:kern w:val="0"/>
                <w:sz w:val="24"/>
                <w:szCs w:val="24"/>
                <w:lang w:val="zh-CN" w:eastAsia="zh-CN" w:bidi="ar-SA"/>
              </w:rPr>
              <w:t>渗滤液</w:t>
            </w:r>
          </w:p>
        </w:tc>
        <w:tc>
          <w:tcPr>
            <w:tcW w:w="720" w:type="pct"/>
            <w:vMerge w:val="continue"/>
            <w:noWrap/>
            <w:vAlign w:val="center"/>
          </w:tcPr>
          <w:p w14:paraId="5DA10C41">
            <w:pPr>
              <w:pStyle w:val="71"/>
              <w:bidi w:val="0"/>
              <w:spacing w:line="360" w:lineRule="auto"/>
              <w:jc w:val="center"/>
              <w:rPr>
                <w:rFonts w:hint="default" w:ascii="Times New Roman" w:hAnsi="Times New Roman" w:eastAsia="宋体" w:cs="Times New Roman"/>
                <w:kern w:val="0"/>
                <w:sz w:val="24"/>
                <w:szCs w:val="24"/>
                <w:lang w:val="en-US" w:eastAsia="zh-CN" w:bidi="ar-SA"/>
              </w:rPr>
            </w:pPr>
          </w:p>
        </w:tc>
        <w:tc>
          <w:tcPr>
            <w:tcW w:w="1531" w:type="pct"/>
            <w:vMerge w:val="continue"/>
            <w:noWrap/>
            <w:vAlign w:val="center"/>
          </w:tcPr>
          <w:p w14:paraId="3A6885C5">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zh-CN" w:eastAsia="zh-CN"/>
              </w:rPr>
            </w:pPr>
          </w:p>
        </w:tc>
        <w:tc>
          <w:tcPr>
            <w:tcW w:w="1506" w:type="pct"/>
            <w:vMerge w:val="continue"/>
            <w:noWrap/>
            <w:vAlign w:val="center"/>
          </w:tcPr>
          <w:p w14:paraId="425B72DF">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p>
        </w:tc>
      </w:tr>
      <w:tr w14:paraId="37DF0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69" w:type="pct"/>
            <w:noWrap/>
            <w:vAlign w:val="center"/>
          </w:tcPr>
          <w:p w14:paraId="0371D771">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声环境</w:t>
            </w:r>
          </w:p>
        </w:tc>
        <w:tc>
          <w:tcPr>
            <w:tcW w:w="1492" w:type="pct"/>
            <w:gridSpan w:val="2"/>
            <w:noWrap/>
            <w:vAlign w:val="center"/>
          </w:tcPr>
          <w:p w14:paraId="1165E5D5">
            <w:pPr>
              <w:pStyle w:val="71"/>
              <w:bidi w:val="0"/>
              <w:jc w:val="center"/>
              <w:rPr>
                <w:rFonts w:hint="default" w:ascii="Times New Roman" w:hAnsi="Times New Roman" w:cs="Times New Roman"/>
                <w:sz w:val="24"/>
                <w:szCs w:val="24"/>
              </w:rPr>
            </w:pPr>
            <w:r>
              <w:rPr>
                <w:rFonts w:hint="default" w:ascii="Times New Roman" w:hAnsi="Times New Roman" w:cs="Times New Roman"/>
                <w:sz w:val="24"/>
                <w:szCs w:val="24"/>
              </w:rPr>
              <w:t>设备噪声</w:t>
            </w:r>
          </w:p>
        </w:tc>
        <w:tc>
          <w:tcPr>
            <w:tcW w:w="1531" w:type="pct"/>
            <w:noWrap/>
            <w:vAlign w:val="center"/>
          </w:tcPr>
          <w:p w14:paraId="1B0DE992">
            <w:pPr>
              <w:pStyle w:val="71"/>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合理布局，选用低噪声设备，消声器、车间隔声</w:t>
            </w:r>
            <w:r>
              <w:rPr>
                <w:rFonts w:hint="eastAsia" w:ascii="Times New Roman" w:hAnsi="Times New Roman" w:cs="Times New Roman"/>
                <w:sz w:val="24"/>
                <w:szCs w:val="24"/>
                <w:lang w:val="en-US" w:eastAsia="zh-CN"/>
              </w:rPr>
              <w:t>等</w:t>
            </w:r>
          </w:p>
        </w:tc>
        <w:tc>
          <w:tcPr>
            <w:tcW w:w="1506" w:type="pct"/>
            <w:noWrap/>
            <w:vAlign w:val="center"/>
          </w:tcPr>
          <w:p w14:paraId="3113B5A4">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《工业企业厂界环境噪声排放标准》中2类标准限值</w:t>
            </w:r>
          </w:p>
        </w:tc>
      </w:tr>
      <w:tr w14:paraId="0AD6F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69" w:type="pct"/>
            <w:vMerge w:val="restart"/>
            <w:noWrap/>
            <w:vAlign w:val="center"/>
          </w:tcPr>
          <w:p w14:paraId="4A29EF5C">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固体废物</w:t>
            </w:r>
          </w:p>
        </w:tc>
        <w:tc>
          <w:tcPr>
            <w:tcW w:w="1492" w:type="pct"/>
            <w:gridSpan w:val="2"/>
            <w:vMerge w:val="restart"/>
            <w:noWrap/>
            <w:vAlign w:val="center"/>
          </w:tcPr>
          <w:p w14:paraId="4C7E0469">
            <w:pPr>
              <w:pStyle w:val="71"/>
              <w:bidi w:val="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rPr>
              <w:t>污泥</w:t>
            </w:r>
          </w:p>
        </w:tc>
        <w:tc>
          <w:tcPr>
            <w:tcW w:w="1531" w:type="pct"/>
            <w:vMerge w:val="restart"/>
            <w:noWrap/>
            <w:vAlign w:val="center"/>
          </w:tcPr>
          <w:p w14:paraId="29C3CEF3">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回填于垃圾填埋场</w:t>
            </w:r>
          </w:p>
        </w:tc>
        <w:tc>
          <w:tcPr>
            <w:tcW w:w="1506" w:type="pct"/>
            <w:noWrap/>
            <w:vAlign w:val="center"/>
          </w:tcPr>
          <w:p w14:paraId="12B3DF83">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《生活垃圾填埋场污染控制标准》（GB16889-2008）要求</w:t>
            </w:r>
          </w:p>
        </w:tc>
      </w:tr>
      <w:tr w14:paraId="4B3B5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Merge w:val="continue"/>
            <w:noWrap/>
            <w:vAlign w:val="center"/>
          </w:tcPr>
          <w:p w14:paraId="2FD770C2">
            <w:pPr>
              <w:pStyle w:val="71"/>
              <w:spacing w:line="360" w:lineRule="auto"/>
              <w:jc w:val="center"/>
              <w:rPr>
                <w:rFonts w:hint="default" w:ascii="Times New Roman" w:hAnsi="Times New Roman" w:cs="Times New Roman"/>
                <w:sz w:val="24"/>
                <w:szCs w:val="24"/>
              </w:rPr>
            </w:pPr>
          </w:p>
        </w:tc>
        <w:tc>
          <w:tcPr>
            <w:tcW w:w="1492" w:type="pct"/>
            <w:gridSpan w:val="2"/>
            <w:vMerge w:val="continue"/>
            <w:noWrap/>
            <w:vAlign w:val="center"/>
          </w:tcPr>
          <w:p w14:paraId="40E61179">
            <w:pPr>
              <w:pStyle w:val="71"/>
              <w:bidi w:val="0"/>
              <w:rPr>
                <w:rFonts w:hint="default" w:ascii="Times New Roman" w:hAnsi="Times New Roman" w:eastAsia="宋体" w:cs="Times New Roman"/>
                <w:kern w:val="0"/>
                <w:sz w:val="24"/>
                <w:szCs w:val="24"/>
                <w:lang w:val="en-US" w:eastAsia="zh-CN" w:bidi="ar-SA"/>
              </w:rPr>
            </w:pPr>
          </w:p>
        </w:tc>
        <w:tc>
          <w:tcPr>
            <w:tcW w:w="1531" w:type="pct"/>
            <w:vMerge w:val="continue"/>
            <w:noWrap/>
            <w:vAlign w:val="center"/>
          </w:tcPr>
          <w:p w14:paraId="6B137FA8">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p>
        </w:tc>
        <w:tc>
          <w:tcPr>
            <w:tcW w:w="1506" w:type="pct"/>
            <w:vMerge w:val="restart"/>
            <w:noWrap/>
            <w:vAlign w:val="center"/>
          </w:tcPr>
          <w:p w14:paraId="5CCFFA86">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《一般工业固体废物贮存和填埋污染控制标准》（GB18599-2020）</w:t>
            </w:r>
          </w:p>
        </w:tc>
      </w:tr>
      <w:tr w14:paraId="1E905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vMerge w:val="continue"/>
            <w:noWrap/>
            <w:vAlign w:val="center"/>
          </w:tcPr>
          <w:p w14:paraId="7B3952C2">
            <w:pPr>
              <w:pStyle w:val="71"/>
              <w:spacing w:line="360" w:lineRule="auto"/>
              <w:jc w:val="center"/>
              <w:rPr>
                <w:rFonts w:hint="default" w:ascii="Times New Roman" w:hAnsi="Times New Roman" w:cs="Times New Roman"/>
                <w:sz w:val="24"/>
                <w:szCs w:val="24"/>
              </w:rPr>
            </w:pPr>
          </w:p>
        </w:tc>
        <w:tc>
          <w:tcPr>
            <w:tcW w:w="1492" w:type="pct"/>
            <w:gridSpan w:val="2"/>
            <w:noWrap/>
            <w:vAlign w:val="center"/>
          </w:tcPr>
          <w:p w14:paraId="672D2017">
            <w:pPr>
              <w:pStyle w:val="71"/>
              <w:bidi w:val="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rPr>
              <w:t>废滤膜</w:t>
            </w:r>
          </w:p>
        </w:tc>
        <w:tc>
          <w:tcPr>
            <w:tcW w:w="1531" w:type="pct"/>
            <w:noWrap/>
            <w:vAlign w:val="center"/>
          </w:tcPr>
          <w:p w14:paraId="7004650E">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由厂家回收处理</w:t>
            </w:r>
          </w:p>
        </w:tc>
        <w:tc>
          <w:tcPr>
            <w:tcW w:w="1506" w:type="pct"/>
            <w:vMerge w:val="continue"/>
            <w:noWrap/>
            <w:vAlign w:val="center"/>
          </w:tcPr>
          <w:p w14:paraId="55BFC897">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p>
        </w:tc>
      </w:tr>
      <w:tr w14:paraId="19D98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69" w:type="pct"/>
            <w:vMerge w:val="continue"/>
            <w:noWrap/>
            <w:vAlign w:val="center"/>
          </w:tcPr>
          <w:p w14:paraId="17F6E46C">
            <w:pPr>
              <w:pStyle w:val="71"/>
              <w:spacing w:line="360" w:lineRule="auto"/>
              <w:jc w:val="center"/>
              <w:rPr>
                <w:rFonts w:hint="default" w:ascii="Times New Roman" w:hAnsi="Times New Roman" w:cs="Times New Roman"/>
                <w:sz w:val="24"/>
                <w:szCs w:val="24"/>
              </w:rPr>
            </w:pPr>
          </w:p>
        </w:tc>
        <w:tc>
          <w:tcPr>
            <w:tcW w:w="1492" w:type="pct"/>
            <w:gridSpan w:val="2"/>
            <w:noWrap/>
            <w:vAlign w:val="center"/>
          </w:tcPr>
          <w:p w14:paraId="0C83F77D">
            <w:pPr>
              <w:pStyle w:val="71"/>
              <w:bidi w:val="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rPr>
              <w:t>废化学品包装容器</w:t>
            </w:r>
          </w:p>
        </w:tc>
        <w:tc>
          <w:tcPr>
            <w:tcW w:w="1531" w:type="pct"/>
            <w:vMerge w:val="restart"/>
            <w:noWrap/>
            <w:vAlign w:val="center"/>
          </w:tcPr>
          <w:p w14:paraId="115B5D61">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危废暂存间，交由有资质单位回收处理</w:t>
            </w:r>
          </w:p>
        </w:tc>
        <w:tc>
          <w:tcPr>
            <w:tcW w:w="1506" w:type="pct"/>
            <w:vMerge w:val="restart"/>
            <w:noWrap/>
            <w:vAlign w:val="center"/>
          </w:tcPr>
          <w:p w14:paraId="57AE3904">
            <w:pPr>
              <w:pStyle w:val="71"/>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《危险废物贮存污染控制标准》（GB18597-2001）及2013年修改单中的相关规定</w:t>
            </w:r>
          </w:p>
        </w:tc>
      </w:tr>
      <w:tr w14:paraId="2F38B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9" w:type="pct"/>
            <w:vMerge w:val="continue"/>
            <w:noWrap/>
            <w:vAlign w:val="center"/>
          </w:tcPr>
          <w:p w14:paraId="1DC37EB0">
            <w:pPr>
              <w:pStyle w:val="71"/>
              <w:spacing w:line="360" w:lineRule="auto"/>
              <w:jc w:val="center"/>
              <w:rPr>
                <w:rFonts w:hint="default" w:ascii="Times New Roman" w:hAnsi="Times New Roman" w:cs="Times New Roman"/>
                <w:sz w:val="24"/>
                <w:szCs w:val="24"/>
              </w:rPr>
            </w:pPr>
          </w:p>
        </w:tc>
        <w:tc>
          <w:tcPr>
            <w:tcW w:w="1492" w:type="pct"/>
            <w:gridSpan w:val="2"/>
            <w:noWrap/>
            <w:vAlign w:val="center"/>
          </w:tcPr>
          <w:p w14:paraId="411AD0BC">
            <w:pPr>
              <w:pStyle w:val="71"/>
              <w:bidi w:val="0"/>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val="en-US" w:eastAsia="zh-CN"/>
              </w:rPr>
              <w:t>废机油</w:t>
            </w:r>
          </w:p>
        </w:tc>
        <w:tc>
          <w:tcPr>
            <w:tcW w:w="1531" w:type="pct"/>
            <w:vMerge w:val="continue"/>
            <w:noWrap/>
            <w:vAlign w:val="center"/>
          </w:tcPr>
          <w:p w14:paraId="3AC9B9CD">
            <w:pPr>
              <w:pStyle w:val="71"/>
              <w:spacing w:line="360" w:lineRule="auto"/>
              <w:jc w:val="center"/>
              <w:rPr>
                <w:rFonts w:hint="default" w:ascii="Times New Roman" w:hAnsi="Times New Roman" w:cs="Times New Roman"/>
                <w:kern w:val="2"/>
                <w:sz w:val="24"/>
                <w:szCs w:val="24"/>
              </w:rPr>
            </w:pPr>
          </w:p>
        </w:tc>
        <w:tc>
          <w:tcPr>
            <w:tcW w:w="1506" w:type="pct"/>
            <w:vMerge w:val="continue"/>
            <w:noWrap/>
            <w:vAlign w:val="center"/>
          </w:tcPr>
          <w:p w14:paraId="6B7AFA92">
            <w:pPr>
              <w:pStyle w:val="71"/>
              <w:spacing w:line="360" w:lineRule="auto"/>
              <w:jc w:val="center"/>
              <w:rPr>
                <w:rFonts w:hint="default" w:ascii="Times New Roman" w:hAnsi="Times New Roman" w:cs="Times New Roman"/>
                <w:kern w:val="2"/>
                <w:sz w:val="24"/>
                <w:szCs w:val="24"/>
              </w:rPr>
            </w:pPr>
          </w:p>
        </w:tc>
      </w:tr>
      <w:tr w14:paraId="6BCDF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noWrap/>
            <w:vAlign w:val="center"/>
          </w:tcPr>
          <w:p w14:paraId="43715D64">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电磁辐射</w:t>
            </w:r>
          </w:p>
        </w:tc>
        <w:tc>
          <w:tcPr>
            <w:tcW w:w="772" w:type="pct"/>
            <w:noWrap/>
            <w:vAlign w:val="center"/>
          </w:tcPr>
          <w:p w14:paraId="374B5842">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720" w:type="pct"/>
            <w:noWrap/>
            <w:vAlign w:val="center"/>
          </w:tcPr>
          <w:p w14:paraId="5B1EC990">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31" w:type="pct"/>
            <w:noWrap/>
            <w:vAlign w:val="center"/>
          </w:tcPr>
          <w:p w14:paraId="12A394BC">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506" w:type="pct"/>
            <w:noWrap/>
            <w:vAlign w:val="center"/>
          </w:tcPr>
          <w:p w14:paraId="5AB61673">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14:paraId="335AF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noWrap/>
            <w:vAlign w:val="center"/>
          </w:tcPr>
          <w:p w14:paraId="173FD105">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土壤及地下水污染防治措施</w:t>
            </w:r>
          </w:p>
        </w:tc>
        <w:tc>
          <w:tcPr>
            <w:tcW w:w="4530" w:type="pct"/>
            <w:gridSpan w:val="4"/>
            <w:noWrap/>
            <w:vAlign w:val="center"/>
          </w:tcPr>
          <w:p w14:paraId="321A3A33">
            <w:pPr>
              <w:pStyle w:val="3"/>
              <w:bidi w:val="0"/>
              <w:rPr>
                <w:rFonts w:hint="default" w:ascii="Times New Roman" w:hAnsi="Times New Roman" w:cs="Times New Roman"/>
                <w:lang w:val="en-US"/>
              </w:rPr>
            </w:pPr>
            <w:r>
              <w:rPr>
                <w:rFonts w:hint="default" w:ascii="Times New Roman" w:hAnsi="Times New Roman" w:cs="Times New Roman"/>
                <w:lang w:val="en-US"/>
              </w:rPr>
              <w:t>重点防渗区包括</w:t>
            </w:r>
            <w:r>
              <w:rPr>
                <w:rFonts w:hint="default" w:ascii="Times New Roman" w:hAnsi="Times New Roman" w:cs="Times New Roman"/>
                <w:lang w:val="en-US" w:eastAsia="zh-CN"/>
              </w:rPr>
              <w:t>渗滤液处理站所有处理池</w:t>
            </w:r>
            <w:r>
              <w:rPr>
                <w:rFonts w:hint="default" w:ascii="Times New Roman" w:hAnsi="Times New Roman" w:cs="Times New Roman"/>
                <w:lang w:val="en-US"/>
              </w:rPr>
              <w:t>、储药间、污泥脱水间</w:t>
            </w:r>
            <w:r>
              <w:rPr>
                <w:rFonts w:hint="default" w:ascii="Times New Roman" w:hAnsi="Times New Roman" w:cs="Times New Roman"/>
                <w:lang w:val="en-US" w:eastAsia="zh-CN"/>
              </w:rPr>
              <w:t>、危废暂存间</w:t>
            </w:r>
            <w:r>
              <w:rPr>
                <w:rFonts w:hint="default" w:ascii="Times New Roman" w:hAnsi="Times New Roman" w:cs="Times New Roman"/>
                <w:lang w:val="en-US"/>
              </w:rPr>
              <w:t>等，在运行过程中可能发生渗漏，并会对地下水水质造成污染的装置区有必要进行重点防渗，其防渗层要求不低于6.0m 厚渗透系数1×10</w:t>
            </w:r>
            <w:r>
              <w:rPr>
                <w:rFonts w:hint="default" w:ascii="Times New Roman" w:hAnsi="Times New Roman" w:cs="Times New Roman"/>
                <w:vertAlign w:val="superscript"/>
                <w:lang w:val="en-US" w:eastAsia="zh-CN"/>
              </w:rPr>
              <w:t>-7</w:t>
            </w:r>
            <w:r>
              <w:rPr>
                <w:rFonts w:hint="default" w:ascii="Times New Roman" w:hAnsi="Times New Roman" w:cs="Times New Roman"/>
                <w:lang w:val="en-US"/>
              </w:rPr>
              <w:t>cm/s 的等效黏土层的防渗性能。</w:t>
            </w:r>
          </w:p>
          <w:p w14:paraId="70C2087E">
            <w:pPr>
              <w:pStyle w:val="3"/>
              <w:bidi w:val="0"/>
              <w:rPr>
                <w:rFonts w:hint="default" w:ascii="Times New Roman" w:hAnsi="Times New Roman" w:cs="Times New Roman"/>
                <w:lang w:val="en-US"/>
              </w:rPr>
            </w:pPr>
            <w:r>
              <w:rPr>
                <w:rFonts w:hint="default" w:ascii="Times New Roman" w:hAnsi="Times New Roman" w:cs="Times New Roman"/>
                <w:lang w:val="en-US"/>
              </w:rPr>
              <w:t>一般防渗区包括加药间、NF设备间等，防渗层要求不低于1.5m厚渗透系数砂1×10</w:t>
            </w:r>
            <w:r>
              <w:rPr>
                <w:rFonts w:hint="default" w:ascii="Times New Roman" w:hAnsi="Times New Roman" w:cs="Times New Roman"/>
                <w:vertAlign w:val="superscript"/>
                <w:lang w:val="en-US"/>
              </w:rPr>
              <w:t>-7</w:t>
            </w:r>
            <w:r>
              <w:rPr>
                <w:rFonts w:hint="default" w:ascii="Times New Roman" w:hAnsi="Times New Roman" w:cs="Times New Roman"/>
                <w:lang w:val="en-US"/>
              </w:rPr>
              <w:t>cm/s的等效黏土层的防渗性能。</w:t>
            </w:r>
          </w:p>
          <w:p w14:paraId="30CC1CBF">
            <w:pPr>
              <w:pStyle w:val="3"/>
              <w:bidi w:val="0"/>
              <w:rPr>
                <w:rFonts w:hint="default" w:ascii="Times New Roman" w:hAnsi="Times New Roman" w:cs="Times New Roman"/>
                <w:sz w:val="24"/>
                <w:szCs w:val="24"/>
              </w:rPr>
            </w:pPr>
            <w:r>
              <w:rPr>
                <w:rFonts w:hint="default" w:ascii="Times New Roman" w:hAnsi="Times New Roman" w:cs="Times New Roman"/>
                <w:lang w:val="en-US"/>
              </w:rPr>
              <w:t>重点防渗区和一般防渗区之外的区域为简单防渗区，只需要进行一般地面硬化即可。</w:t>
            </w:r>
          </w:p>
        </w:tc>
      </w:tr>
      <w:tr w14:paraId="5527E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noWrap/>
            <w:vAlign w:val="center"/>
          </w:tcPr>
          <w:p w14:paraId="51E6AC29">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生态保护措施</w:t>
            </w:r>
          </w:p>
        </w:tc>
        <w:tc>
          <w:tcPr>
            <w:tcW w:w="4530" w:type="pct"/>
            <w:gridSpan w:val="4"/>
            <w:noWrap/>
            <w:vAlign w:val="center"/>
          </w:tcPr>
          <w:p w14:paraId="5A0AA498">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14:paraId="77702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9" w:type="pct"/>
            <w:noWrap/>
            <w:vAlign w:val="center"/>
          </w:tcPr>
          <w:p w14:paraId="2284F6B8">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环境风险防范措施</w:t>
            </w:r>
          </w:p>
        </w:tc>
        <w:tc>
          <w:tcPr>
            <w:tcW w:w="4530" w:type="pct"/>
            <w:gridSpan w:val="4"/>
            <w:noWrap/>
            <w:vAlign w:val="center"/>
          </w:tcPr>
          <w:p w14:paraId="535FD882">
            <w:pPr>
              <w:pStyle w:val="3"/>
              <w:bidi w:val="0"/>
              <w:rPr>
                <w:rFonts w:hint="default" w:ascii="Times New Roman" w:hAnsi="Times New Roman" w:cs="Times New Roman"/>
              </w:rPr>
            </w:pPr>
            <w:r>
              <w:rPr>
                <w:rFonts w:hint="default" w:ascii="Times New Roman" w:hAnsi="Times New Roman" w:cs="Times New Roman"/>
                <w:lang w:val="en-US" w:eastAsia="zh-CN"/>
              </w:rPr>
              <w:t>加强</w:t>
            </w:r>
            <w:r>
              <w:rPr>
                <w:rFonts w:hint="default" w:ascii="Times New Roman" w:hAnsi="Times New Roman" w:cs="Times New Roman"/>
                <w:lang w:val="en-US"/>
              </w:rPr>
              <w:t>危险化学品管理与使用</w:t>
            </w:r>
            <w:r>
              <w:rPr>
                <w:rFonts w:hint="default" w:ascii="Times New Roman" w:hAnsi="Times New Roman" w:cs="Times New Roman"/>
                <w:lang w:eastAsia="zh-CN"/>
              </w:rPr>
              <w:t>；</w:t>
            </w:r>
            <w:r>
              <w:rPr>
                <w:rFonts w:hint="default" w:ascii="Times New Roman" w:hAnsi="Times New Roman" w:cs="Times New Roman"/>
                <w:lang w:val="en-US"/>
              </w:rPr>
              <w:t>相关操作人员应严格按照操作规程进行操作</w:t>
            </w:r>
            <w:r>
              <w:rPr>
                <w:rFonts w:hint="default" w:ascii="Times New Roman" w:hAnsi="Times New Roman" w:cs="Times New Roman"/>
                <w:lang w:val="en-US" w:eastAsia="zh-CN"/>
              </w:rPr>
              <w:t>；</w:t>
            </w:r>
            <w:r>
              <w:rPr>
                <w:rFonts w:hint="default" w:ascii="Times New Roman" w:hAnsi="Times New Roman" w:cs="Times New Roman"/>
                <w:lang w:val="en-US"/>
              </w:rPr>
              <w:t>加强作业区及贮存区的日常巡查，定期检查及检测接、管路、桶体的安全性</w:t>
            </w:r>
            <w:r>
              <w:rPr>
                <w:rFonts w:hint="default" w:ascii="Times New Roman" w:hAnsi="Times New Roman" w:cs="Times New Roman"/>
                <w:lang w:val="en-US" w:eastAsia="zh-CN"/>
              </w:rPr>
              <w:t>；</w:t>
            </w:r>
            <w:r>
              <w:rPr>
                <w:rFonts w:hint="default" w:ascii="Times New Roman" w:hAnsi="Times New Roman" w:cs="Times New Roman"/>
                <w:lang w:val="en-US"/>
              </w:rPr>
              <w:t>严格按相关规程、顺序进行操作，检查</w:t>
            </w:r>
            <w:r>
              <w:rPr>
                <w:rFonts w:hint="default" w:ascii="Times New Roman" w:hAnsi="Times New Roman" w:cs="Times New Roman"/>
                <w:lang w:val="en-US" w:eastAsia="zh-CN"/>
              </w:rPr>
              <w:t>；</w:t>
            </w:r>
            <w:r>
              <w:rPr>
                <w:rFonts w:hint="default" w:ascii="Times New Roman" w:hAnsi="Times New Roman" w:cs="Times New Roman"/>
                <w:lang w:val="en-US"/>
              </w:rPr>
              <w:t>杜绝违章作业及设备超负荷运行现象</w:t>
            </w:r>
            <w:r>
              <w:rPr>
                <w:rFonts w:hint="default" w:ascii="Times New Roman" w:hAnsi="Times New Roman" w:cs="Times New Roman"/>
                <w:lang w:val="en-US" w:eastAsia="zh-CN"/>
              </w:rPr>
              <w:t>；</w:t>
            </w:r>
            <w:r>
              <w:rPr>
                <w:rFonts w:hint="default" w:ascii="Times New Roman" w:hAnsi="Times New Roman" w:cs="Times New Roman"/>
                <w:lang w:val="en-US"/>
              </w:rPr>
              <w:t>定期监测经废气处理设施处理后的废气排放浓度，保证达标排放</w:t>
            </w:r>
            <w:r>
              <w:rPr>
                <w:rFonts w:hint="default" w:ascii="Times New Roman" w:hAnsi="Times New Roman" w:cs="Times New Roman"/>
                <w:lang w:val="en-US" w:eastAsia="zh-CN"/>
              </w:rPr>
              <w:t>；</w:t>
            </w:r>
            <w:r>
              <w:rPr>
                <w:rFonts w:hint="default" w:ascii="Times New Roman" w:hAnsi="Times New Roman" w:cs="Times New Roman"/>
                <w:lang w:val="en-US"/>
              </w:rPr>
              <w:t>定期检查通风管道，尽量避免无组织排放，保证废气高空排放</w:t>
            </w:r>
            <w:r>
              <w:rPr>
                <w:rFonts w:hint="default" w:ascii="Times New Roman" w:hAnsi="Times New Roman" w:cs="Times New Roman"/>
                <w:lang w:val="en-US" w:eastAsia="zh-CN"/>
              </w:rPr>
              <w:t>；</w:t>
            </w:r>
            <w:r>
              <w:rPr>
                <w:rFonts w:hint="default" w:ascii="Times New Roman" w:hAnsi="Times New Roman" w:cs="Times New Roman"/>
                <w:lang w:val="en-US"/>
              </w:rPr>
              <w:t>加强环保宣传教育，并进行专业技能培训</w:t>
            </w:r>
            <w:r>
              <w:rPr>
                <w:rFonts w:hint="default" w:ascii="Times New Roman" w:hAnsi="Times New Roman" w:cs="Times New Roman"/>
                <w:lang w:val="en-US" w:eastAsia="zh-CN"/>
              </w:rPr>
              <w:t>；</w:t>
            </w:r>
            <w:r>
              <w:rPr>
                <w:rFonts w:hint="default" w:ascii="Times New Roman" w:hAnsi="Times New Roman" w:cs="Times New Roman"/>
              </w:rPr>
              <w:t xml:space="preserve">在加强风险防范意识，采取严格的防范措施后，事故发生概率较小，对人群健康及周围环境风险危害在可控范围之内。 </w:t>
            </w:r>
          </w:p>
        </w:tc>
      </w:tr>
      <w:tr w14:paraId="37463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469" w:type="pct"/>
            <w:noWrap/>
            <w:vAlign w:val="center"/>
          </w:tcPr>
          <w:p w14:paraId="2D164CB1">
            <w:pPr>
              <w:pStyle w:val="71"/>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其他环境管理要求</w:t>
            </w:r>
          </w:p>
        </w:tc>
        <w:tc>
          <w:tcPr>
            <w:tcW w:w="4530" w:type="pct"/>
            <w:gridSpan w:val="4"/>
            <w:noWrap/>
            <w:vAlign w:val="center"/>
          </w:tcPr>
          <w:p w14:paraId="437674BE">
            <w:pPr>
              <w:pStyle w:val="3"/>
              <w:bidi w:val="0"/>
              <w:rPr>
                <w:rFonts w:hint="default" w:ascii="Times New Roman" w:hAnsi="Times New Roman" w:cs="Times New Roman"/>
              </w:rPr>
            </w:pPr>
            <w:r>
              <w:rPr>
                <w:rFonts w:hint="default" w:ascii="Times New Roman" w:hAnsi="Times New Roman" w:cs="Times New Roman"/>
              </w:rPr>
              <w:t xml:space="preserve">制定环境管理制度体系；建立环境管理台账；按照《排污口规范化整治技术要求（试行）》（环监〔1996〕470号）规范排污口；按照《关于印发排放口标志牌技术规格的通知》（环办〔2003〕95号）、《环境保护图形标志-排放口（源）》（GB15562.1-1995）、《环境保护图形标志-固体废物贮存（处置）场》（GB15562.2-1995）规定的排放口标志牌技术规格，在 </w:t>
            </w:r>
            <w:r>
              <w:rPr>
                <w:rFonts w:hint="default" w:ascii="Times New Roman" w:hAnsi="Times New Roman" w:cs="Times New Roman"/>
                <w:lang w:eastAsia="zh-CN"/>
              </w:rPr>
              <w:t>“</w:t>
            </w:r>
            <w:r>
              <w:rPr>
                <w:rFonts w:hint="default" w:ascii="Times New Roman" w:hAnsi="Times New Roman" w:cs="Times New Roman"/>
              </w:rPr>
              <w:t>三废</w:t>
            </w:r>
            <w:r>
              <w:rPr>
                <w:rFonts w:hint="default" w:ascii="Times New Roman" w:hAnsi="Times New Roman" w:cs="Times New Roman"/>
                <w:lang w:eastAsia="zh-CN"/>
              </w:rPr>
              <w:t>”</w:t>
            </w:r>
            <w:r>
              <w:rPr>
                <w:rFonts w:hint="default" w:ascii="Times New Roman" w:hAnsi="Times New Roman" w:cs="Times New Roman"/>
              </w:rPr>
              <w:t>及噪声排放点设置明显标志。</w:t>
            </w:r>
          </w:p>
          <w:p w14:paraId="54327D4C">
            <w:pPr>
              <w:pStyle w:val="71"/>
              <w:spacing w:line="360" w:lineRule="auto"/>
              <w:jc w:val="center"/>
              <w:rPr>
                <w:rFonts w:hint="default" w:ascii="Times New Roman" w:hAnsi="Times New Roman" w:cs="Times New Roman"/>
                <w:sz w:val="24"/>
                <w:szCs w:val="24"/>
              </w:rPr>
            </w:pPr>
          </w:p>
        </w:tc>
      </w:tr>
    </w:tbl>
    <w:p w14:paraId="5B9DD572">
      <w:pPr>
        <w:spacing w:line="360" w:lineRule="auto"/>
        <w:rPr>
          <w:rFonts w:asciiTheme="minorEastAsia" w:hAnsiTheme="minorEastAsia" w:cstheme="minorEastAsia"/>
          <w:color w:val="000000" w:themeColor="text1"/>
          <w:kern w:val="0"/>
          <w:sz w:val="22"/>
          <w:szCs w:val="22"/>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04722834">
      <w:pPr>
        <w:pStyle w:val="6"/>
        <w:spacing w:before="0" w:after="0"/>
        <w:jc w:val="center"/>
        <w:rPr>
          <w:color w:val="000000" w:themeColor="text1"/>
          <w14:textFill>
            <w14:solidFill>
              <w14:schemeClr w14:val="tx1"/>
            </w14:solidFill>
          </w14:textFill>
        </w:rPr>
      </w:pPr>
      <w:bookmarkStart w:id="30" w:name="_Toc27784"/>
      <w:r>
        <w:rPr>
          <w:rFonts w:hint="eastAsia"/>
          <w:color w:val="000000" w:themeColor="text1"/>
          <w14:textFill>
            <w14:solidFill>
              <w14:schemeClr w14:val="tx1"/>
            </w14:solidFill>
          </w14:textFill>
        </w:rPr>
        <w:t>六、结论</w:t>
      </w:r>
      <w:bookmarkEnd w:id="30"/>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F68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3" w:hRule="atLeast"/>
          <w:jc w:val="center"/>
        </w:trPr>
        <w:tc>
          <w:tcPr>
            <w:tcW w:w="5000" w:type="pct"/>
          </w:tcPr>
          <w:p w14:paraId="4D3BE5B7">
            <w:pPr>
              <w:pStyle w:val="68"/>
              <w:keepNext w:val="0"/>
              <w:keepLines w:val="0"/>
              <w:suppressLineNumbers w:val="0"/>
              <w:spacing w:before="0" w:beforeAutospacing="0" w:after="0" w:afterAutospacing="0" w:line="360" w:lineRule="auto"/>
              <w:ind w:left="0" w:right="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本项目建设符合国家及地方产业政策，选址和布局合理可行。项目产生的废气、噪声通过采取环评提出的防治措施后，能够达标排放；</w:t>
            </w:r>
            <w:r>
              <w:rPr>
                <w:rFonts w:hint="default" w:ascii="Times New Roman" w:hAnsi="Times New Roman" w:eastAsia="宋体" w:cs="Times New Roman"/>
                <w:color w:val="auto"/>
                <w:sz w:val="24"/>
                <w:lang w:val="en-US" w:eastAsia="zh-CN"/>
              </w:rPr>
              <w:t>废水均得到合理的处理</w:t>
            </w:r>
            <w:r>
              <w:rPr>
                <w:rFonts w:hint="default" w:ascii="Times New Roman" w:hAnsi="Times New Roman" w:eastAsia="宋体" w:cs="Times New Roman"/>
                <w:color w:val="auto"/>
                <w:sz w:val="24"/>
              </w:rPr>
              <w:t>；产生的固体废弃物都能得到妥善处置。</w:t>
            </w:r>
            <w:r>
              <w:rPr>
                <w:rFonts w:hint="default" w:ascii="Times New Roman" w:hAnsi="Times New Roman" w:eastAsia="宋体" w:cs="Times New Roman"/>
                <w:color w:val="auto"/>
                <w:sz w:val="24"/>
                <w:lang w:val="en-US" w:eastAsia="zh-CN"/>
              </w:rPr>
              <w:t>在项目在建设过程中严格执行</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三同时</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制度，环保设施与主体工程同时设计、同时施工、同时投产使用；落实报告表中各项污染防治措施，做到污染物达标排放，项目的实施可以做到社会效益、经济效益和环境效益三者的和谐统一、协调发展。从环境保护的角度来看，项目是可行的。</w:t>
            </w:r>
          </w:p>
          <w:p w14:paraId="13D1D3F4">
            <w:pPr>
              <w:spacing w:line="360" w:lineRule="auto"/>
              <w:ind w:firstLine="480" w:firstLineChars="200"/>
              <w:rPr>
                <w:rFonts w:ascii="Times New Roman" w:hAnsi="Times New Roman" w:eastAsia="宋体" w:cs="Times New Roman"/>
                <w:color w:val="000000" w:themeColor="text1"/>
                <w:sz w:val="24"/>
                <w:szCs w:val="20"/>
                <w14:textFill>
                  <w14:solidFill>
                    <w14:schemeClr w14:val="tx1"/>
                  </w14:solidFill>
                </w14:textFill>
              </w:rPr>
            </w:pPr>
          </w:p>
          <w:p w14:paraId="42AEB7F4">
            <w:pPr>
              <w:widowControl/>
              <w:spacing w:line="360" w:lineRule="auto"/>
              <w:ind w:firstLine="480" w:firstLineChars="200"/>
              <w:rPr>
                <w:rFonts w:ascii="Times New Roman" w:hAnsi="Times New Roman" w:cs="Times New Roman"/>
                <w:color w:val="000000" w:themeColor="text1"/>
                <w:sz w:val="24"/>
                <w14:textFill>
                  <w14:solidFill>
                    <w14:schemeClr w14:val="tx1"/>
                  </w14:solidFill>
                </w14:textFill>
              </w:rPr>
            </w:pPr>
          </w:p>
          <w:p w14:paraId="1EB7C9C1">
            <w:pPr>
              <w:pStyle w:val="3"/>
              <w:spacing w:line="360" w:lineRule="auto"/>
              <w:ind w:firstLine="440" w:firstLineChars="200"/>
              <w:jc w:val="left"/>
              <w:rPr>
                <w:rFonts w:ascii="Times New Roman" w:hAnsi="Times New Roman" w:cs="Times New Roman"/>
                <w:color w:val="000000" w:themeColor="text1"/>
                <w:kern w:val="0"/>
                <w:sz w:val="22"/>
                <w:szCs w:val="22"/>
                <w:lang w:bidi="ar"/>
                <w14:textFill>
                  <w14:solidFill>
                    <w14:schemeClr w14:val="tx1"/>
                  </w14:solidFill>
                </w14:textFill>
              </w:rPr>
            </w:pPr>
          </w:p>
        </w:tc>
      </w:tr>
    </w:tbl>
    <w:p w14:paraId="20EF6912">
      <w:pPr>
        <w:spacing w:line="360" w:lineRule="auto"/>
        <w:rPr>
          <w:rFonts w:asciiTheme="minorEastAsia" w:hAnsiTheme="minorEastAsia" w:cstheme="minorEastAsia"/>
          <w:color w:val="000000" w:themeColor="text1"/>
          <w:kern w:val="0"/>
          <w:sz w:val="22"/>
          <w:szCs w:val="22"/>
          <w:lang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DD83C90">
      <w:pPr>
        <w:pStyle w:val="16"/>
        <w:ind w:firstLine="0"/>
        <w:rPr>
          <w:b/>
          <w:bCs/>
          <w:color w:val="000000" w:themeColor="text1"/>
          <w14:textFill>
            <w14:solidFill>
              <w14:schemeClr w14:val="tx1"/>
            </w14:solidFill>
          </w14:textFill>
        </w:rPr>
      </w:pPr>
      <w:bookmarkStart w:id="31" w:name="_Toc32028"/>
      <w:r>
        <w:rPr>
          <w:rFonts w:hint="eastAsia"/>
          <w:b/>
          <w:bCs/>
          <w:color w:val="000000" w:themeColor="text1"/>
          <w14:textFill>
            <w14:solidFill>
              <w14:schemeClr w14:val="tx1"/>
            </w14:solidFill>
          </w14:textFill>
        </w:rPr>
        <w:t>附表</w:t>
      </w:r>
      <w:bookmarkEnd w:id="31"/>
    </w:p>
    <w:p w14:paraId="3086B2D6">
      <w:pPr>
        <w:pStyle w:val="36"/>
        <w:ind w:firstLine="560"/>
        <w:jc w:val="center"/>
        <w:rPr>
          <w:color w:val="000000" w:themeColor="text1"/>
          <w14:textFill>
            <w14:solidFill>
              <w14:schemeClr w14:val="tx1"/>
            </w14:solidFill>
          </w14:textFill>
        </w:rPr>
      </w:pPr>
      <w:bookmarkStart w:id="32" w:name="_Toc14787"/>
      <w:r>
        <w:rPr>
          <w:rFonts w:hint="eastAsia"/>
          <w:color w:val="000000" w:themeColor="text1"/>
          <w14:textFill>
            <w14:solidFill>
              <w14:schemeClr w14:val="tx1"/>
            </w14:solidFill>
          </w14:textFill>
        </w:rPr>
        <w:t>建设项目污染物排放量汇总表</w:t>
      </w:r>
      <w:bookmarkEnd w:id="32"/>
    </w:p>
    <w:tbl>
      <w:tblPr>
        <w:tblStyle w:val="28"/>
        <w:tblW w:w="14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714"/>
        <w:gridCol w:w="1579"/>
        <w:gridCol w:w="1579"/>
        <w:gridCol w:w="1579"/>
        <w:gridCol w:w="1579"/>
        <w:gridCol w:w="1611"/>
        <w:gridCol w:w="1941"/>
        <w:gridCol w:w="1187"/>
      </w:tblGrid>
      <w:tr w14:paraId="7922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445" w:type="dxa"/>
            <w:vAlign w:val="center"/>
          </w:tcPr>
          <w:p w14:paraId="66744AAC">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10160</wp:posOffset>
                      </wp:positionV>
                      <wp:extent cx="911860" cy="579120"/>
                      <wp:effectExtent l="2540" t="3810" r="19050" b="7620"/>
                      <wp:wrapNone/>
                      <wp:docPr id="231" name="直接连接符 231"/>
                      <wp:cNvGraphicFramePr/>
                      <a:graphic xmlns:a="http://schemas.openxmlformats.org/drawingml/2006/main">
                        <a:graphicData uri="http://schemas.microsoft.com/office/word/2010/wordprocessingShape">
                          <wps:wsp>
                            <wps:cNvCnPr/>
                            <wps:spPr>
                              <a:xfrm>
                                <a:off x="839470" y="1752600"/>
                                <a:ext cx="911860" cy="579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9pt;margin-top:0.8pt;height:45.6pt;width:71.8pt;z-index:251660288;mso-width-relative:page;mso-height-relative:page;" filled="f" stroked="t" coordsize="21600,21600" o:gfxdata="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BwPF/VAAAACAEAAA8AAAAAAAAAAQAgAAAAIgAAAGRycy9kb3ducmV2LnhtbFBLAQIUABQA&#10;AAAIAIdO4kCNOuTr8wEAAMQDAAAOAAAAAAAAAAEAIAAAACQBAABkcnMvZTJvRG9jLnhtbFBLBQYA&#10;AAAABgAGAFkBAACJBQAAAAA=&#10;">
                      <v:fill on="f" focussize="0,0"/>
                      <v:stroke weight="0.5pt" color="#000000 [3200]" miterlimit="8" joinstyle="miter"/>
                      <v:imagedata o:title=""/>
                      <o:lock v:ext="edit" aspectratio="f"/>
                    </v:line>
                  </w:pict>
                </mc:Fallback>
              </mc:AlternateContent>
            </w:r>
            <w:r>
              <w:rPr>
                <w:color w:val="000000" w:themeColor="text1"/>
                <w:sz w:val="21"/>
                <w:szCs w:val="21"/>
                <w14:textFill>
                  <w14:solidFill>
                    <w14:schemeClr w14:val="tx1"/>
                  </w14:solidFill>
                </w14:textFill>
              </w:rPr>
              <w:t>项目</w:t>
            </w:r>
          </w:p>
          <w:p w14:paraId="36179DCF">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分类</w:t>
            </w:r>
          </w:p>
        </w:tc>
        <w:tc>
          <w:tcPr>
            <w:tcW w:w="1714" w:type="dxa"/>
            <w:vAlign w:val="center"/>
          </w:tcPr>
          <w:p w14:paraId="20A2F8F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污染物名称</w:t>
            </w:r>
          </w:p>
        </w:tc>
        <w:tc>
          <w:tcPr>
            <w:tcW w:w="1579" w:type="dxa"/>
            <w:vAlign w:val="center"/>
          </w:tcPr>
          <w:p w14:paraId="580BDFC1">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现有工程排放量（固体废物产生量）①</w:t>
            </w:r>
          </w:p>
        </w:tc>
        <w:tc>
          <w:tcPr>
            <w:tcW w:w="1579" w:type="dxa"/>
            <w:vAlign w:val="center"/>
          </w:tcPr>
          <w:p w14:paraId="124AC2D4">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现有工程许可排放量②</w:t>
            </w:r>
          </w:p>
        </w:tc>
        <w:tc>
          <w:tcPr>
            <w:tcW w:w="1579" w:type="dxa"/>
            <w:vAlign w:val="center"/>
          </w:tcPr>
          <w:p w14:paraId="588E5291">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在建工程排放量（固体废物产生量）③</w:t>
            </w:r>
          </w:p>
        </w:tc>
        <w:tc>
          <w:tcPr>
            <w:tcW w:w="1579" w:type="dxa"/>
            <w:vAlign w:val="center"/>
          </w:tcPr>
          <w:p w14:paraId="6A940E4D">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本项目排放量（固体废物产生量）④</w:t>
            </w:r>
            <w:r>
              <w:rPr>
                <w:rFonts w:hint="eastAsia" w:ascii="宋体" w:hAnsi="宋体" w:cs="宋体"/>
                <w:sz w:val="21"/>
                <w:szCs w:val="21"/>
              </w:rPr>
              <w:t>t</w:t>
            </w:r>
            <w:r>
              <w:rPr>
                <w:rFonts w:hint="eastAsia"/>
                <w:sz w:val="21"/>
                <w:szCs w:val="21"/>
              </w:rPr>
              <w:t>/</w:t>
            </w:r>
            <w:r>
              <w:rPr>
                <w:sz w:val="21"/>
                <w:szCs w:val="21"/>
              </w:rPr>
              <w:t>a</w:t>
            </w:r>
          </w:p>
        </w:tc>
        <w:tc>
          <w:tcPr>
            <w:tcW w:w="1611" w:type="dxa"/>
            <w:vAlign w:val="center"/>
          </w:tcPr>
          <w:p w14:paraId="6C50791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以新带老削减量（新建项目不填）⑤</w:t>
            </w:r>
          </w:p>
        </w:tc>
        <w:tc>
          <w:tcPr>
            <w:tcW w:w="1941" w:type="dxa"/>
            <w:vAlign w:val="center"/>
          </w:tcPr>
          <w:p w14:paraId="13DADB31">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本项目建成后全厂排放量（固体废物产生量）⑥</w:t>
            </w:r>
          </w:p>
        </w:tc>
        <w:tc>
          <w:tcPr>
            <w:tcW w:w="1187" w:type="dxa"/>
            <w:vAlign w:val="center"/>
          </w:tcPr>
          <w:p w14:paraId="218480D0">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变化量⑦</w:t>
            </w:r>
          </w:p>
        </w:tc>
      </w:tr>
      <w:tr w14:paraId="0071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restart"/>
            <w:vAlign w:val="center"/>
          </w:tcPr>
          <w:p w14:paraId="4AC252B1">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714" w:type="dxa"/>
            <w:vAlign w:val="center"/>
          </w:tcPr>
          <w:p w14:paraId="3F8F85B9">
            <w:pPr>
              <w:pStyle w:val="71"/>
              <w:bidi w:val="0"/>
              <w:rPr>
                <w:rFonts w:ascii="Times New Roman" w:cs="Times New Roman"/>
                <w:color w:val="000000" w:themeColor="text1"/>
                <w:sz w:val="21"/>
                <w:szCs w:val="21"/>
                <w14:textFill>
                  <w14:solidFill>
                    <w14:schemeClr w14:val="tx1"/>
                  </w14:solidFill>
                </w14:textFill>
              </w:rPr>
            </w:pPr>
            <w:r>
              <w:rPr>
                <w:rFonts w:hint="eastAsia"/>
                <w:sz w:val="21"/>
                <w:szCs w:val="21"/>
                <w:lang w:eastAsia="zh-CN"/>
              </w:rPr>
              <w:t>颗粒物</w:t>
            </w:r>
          </w:p>
        </w:tc>
        <w:tc>
          <w:tcPr>
            <w:tcW w:w="1579" w:type="dxa"/>
            <w:vAlign w:val="center"/>
          </w:tcPr>
          <w:p w14:paraId="51C630C7">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515FBD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78D075EC">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2DDD1FF0">
            <w:pPr>
              <w:pStyle w:val="71"/>
              <w:rPr>
                <w:color w:val="000000" w:themeColor="text1"/>
                <w:sz w:val="21"/>
                <w:szCs w:val="21"/>
                <w14:textFill>
                  <w14:solidFill>
                    <w14:schemeClr w14:val="tx1"/>
                  </w14:solidFill>
                </w14:textFill>
              </w:rPr>
            </w:pPr>
            <w:r>
              <w:rPr>
                <w:rFonts w:hint="eastAsia"/>
                <w:sz w:val="21"/>
                <w:szCs w:val="21"/>
                <w:lang w:val="en-US" w:eastAsia="zh-CN"/>
              </w:rPr>
              <w:t>0</w:t>
            </w:r>
          </w:p>
        </w:tc>
        <w:tc>
          <w:tcPr>
            <w:tcW w:w="1611" w:type="dxa"/>
            <w:vAlign w:val="center"/>
          </w:tcPr>
          <w:p w14:paraId="10103B06">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1FDC019C">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38522F9A">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57B9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continue"/>
            <w:vAlign w:val="center"/>
          </w:tcPr>
          <w:p w14:paraId="5B27B7FF">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781D98E6">
            <w:pPr>
              <w:pStyle w:val="71"/>
              <w:bidi w:val="0"/>
              <w:jc w:val="center"/>
              <w:rPr>
                <w:rFonts w:ascii="Times New Roman" w:cs="Times New Roman"/>
                <w:color w:val="000000" w:themeColor="text1"/>
                <w:sz w:val="21"/>
                <w:szCs w:val="21"/>
                <w14:textFill>
                  <w14:solidFill>
                    <w14:schemeClr w14:val="tx1"/>
                  </w14:solidFill>
                </w14:textFill>
              </w:rPr>
            </w:pPr>
            <w:r>
              <w:rPr>
                <w:rFonts w:hint="eastAsia"/>
                <w:lang w:val="en-US" w:eastAsia="zh-CN"/>
              </w:rPr>
              <w:t>H</w:t>
            </w:r>
            <w:r>
              <w:rPr>
                <w:rFonts w:hint="eastAsia"/>
                <w:vertAlign w:val="subscript"/>
                <w:lang w:val="en-US" w:eastAsia="zh-CN"/>
              </w:rPr>
              <w:t>2</w:t>
            </w:r>
            <w:r>
              <w:rPr>
                <w:rFonts w:hint="eastAsia"/>
                <w:lang w:val="en-US" w:eastAsia="zh-CN"/>
              </w:rPr>
              <w:t>S</w:t>
            </w:r>
          </w:p>
        </w:tc>
        <w:tc>
          <w:tcPr>
            <w:tcW w:w="1579" w:type="dxa"/>
            <w:vAlign w:val="center"/>
          </w:tcPr>
          <w:p w14:paraId="02250A9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7E36980">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26098AE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23971E14">
            <w:pPr>
              <w:pStyle w:val="71"/>
              <w:rPr>
                <w:color w:val="000000" w:themeColor="text1"/>
                <w:sz w:val="21"/>
                <w:szCs w:val="21"/>
                <w14:textFill>
                  <w14:solidFill>
                    <w14:schemeClr w14:val="tx1"/>
                  </w14:solidFill>
                </w14:textFill>
              </w:rPr>
            </w:pPr>
            <w:r>
              <w:rPr>
                <w:rFonts w:hint="eastAsia"/>
                <w:sz w:val="21"/>
                <w:szCs w:val="21"/>
                <w:lang w:val="en-US" w:eastAsia="zh-CN"/>
              </w:rPr>
              <w:t>0.0026</w:t>
            </w:r>
          </w:p>
        </w:tc>
        <w:tc>
          <w:tcPr>
            <w:tcW w:w="1611" w:type="dxa"/>
            <w:vAlign w:val="center"/>
          </w:tcPr>
          <w:p w14:paraId="50D7E05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25A55A0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6D132E0F">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6A65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continue"/>
            <w:vAlign w:val="center"/>
          </w:tcPr>
          <w:p w14:paraId="7C9E9593">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0F6F3C70">
            <w:pPr>
              <w:pStyle w:val="71"/>
              <w:bidi w:val="0"/>
              <w:jc w:val="center"/>
              <w:rPr>
                <w:rFonts w:ascii="Times New Roman" w:cs="Times New Roman"/>
                <w:color w:val="000000" w:themeColor="text1"/>
                <w:sz w:val="21"/>
                <w:szCs w:val="21"/>
                <w14:textFill>
                  <w14:solidFill>
                    <w14:schemeClr w14:val="tx1"/>
                  </w14:solidFill>
                </w14:textFill>
              </w:rPr>
            </w:pPr>
            <w:r>
              <w:rPr>
                <w:rFonts w:hint="eastAsia"/>
                <w:lang w:val="en-US" w:eastAsia="zh-CN"/>
              </w:rPr>
              <w:t>NH</w:t>
            </w:r>
            <w:r>
              <w:rPr>
                <w:rFonts w:hint="eastAsia"/>
                <w:vertAlign w:val="subscript"/>
                <w:lang w:val="en-US" w:eastAsia="zh-CN"/>
              </w:rPr>
              <w:t>3</w:t>
            </w:r>
          </w:p>
        </w:tc>
        <w:tc>
          <w:tcPr>
            <w:tcW w:w="1579" w:type="dxa"/>
            <w:vAlign w:val="center"/>
          </w:tcPr>
          <w:p w14:paraId="7EC335A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401CD78A">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53A19FA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3555C419">
            <w:pPr>
              <w:pStyle w:val="71"/>
              <w:rPr>
                <w:color w:val="000000" w:themeColor="text1"/>
                <w:sz w:val="21"/>
                <w:szCs w:val="21"/>
                <w14:textFill>
                  <w14:solidFill>
                    <w14:schemeClr w14:val="tx1"/>
                  </w14:solidFill>
                </w14:textFill>
              </w:rPr>
            </w:pPr>
            <w:r>
              <w:rPr>
                <w:rFonts w:hint="eastAsia"/>
                <w:sz w:val="21"/>
                <w:szCs w:val="21"/>
                <w:lang w:val="en-US" w:eastAsia="zh-CN"/>
              </w:rPr>
              <w:t>0.0672</w:t>
            </w:r>
          </w:p>
        </w:tc>
        <w:tc>
          <w:tcPr>
            <w:tcW w:w="1611" w:type="dxa"/>
            <w:vAlign w:val="center"/>
          </w:tcPr>
          <w:p w14:paraId="279FC70D">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4A3AB56F">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35549876">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2B6D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restart"/>
            <w:vAlign w:val="center"/>
          </w:tcPr>
          <w:p w14:paraId="53B4D0BC">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714" w:type="dxa"/>
            <w:vAlign w:val="center"/>
          </w:tcPr>
          <w:p w14:paraId="6DFFD06C">
            <w:pPr>
              <w:pStyle w:val="71"/>
              <w:bidi w:val="0"/>
              <w:rPr>
                <w:color w:val="000000" w:themeColor="text1"/>
                <w:sz w:val="21"/>
                <w:szCs w:val="21"/>
                <w14:textFill>
                  <w14:solidFill>
                    <w14:schemeClr w14:val="tx1"/>
                  </w14:solidFill>
                </w14:textFill>
              </w:rPr>
            </w:pPr>
            <w:r>
              <w:rPr>
                <w:rFonts w:hint="eastAsia"/>
                <w:sz w:val="21"/>
                <w:szCs w:val="21"/>
                <w:lang w:val="en-US" w:eastAsia="zh-CN"/>
              </w:rPr>
              <w:t>COD</w:t>
            </w:r>
            <w:r>
              <w:rPr>
                <w:rFonts w:hint="default" w:ascii="Times New Roman" w:hAnsi="Times New Roman" w:cs="Times New Roman"/>
                <w:sz w:val="21"/>
                <w:szCs w:val="21"/>
                <w:lang w:val="en-US" w:eastAsia="zh-CN"/>
              </w:rPr>
              <w:t>cr</w:t>
            </w:r>
          </w:p>
        </w:tc>
        <w:tc>
          <w:tcPr>
            <w:tcW w:w="1579" w:type="dxa"/>
            <w:vAlign w:val="center"/>
          </w:tcPr>
          <w:p w14:paraId="1CC8AB26">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302A12A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2B445757">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0FF7C85B">
            <w:pPr>
              <w:pStyle w:val="71"/>
              <w:rPr>
                <w:color w:val="000000" w:themeColor="text1"/>
                <w:sz w:val="21"/>
                <w:szCs w:val="21"/>
                <w14:textFill>
                  <w14:solidFill>
                    <w14:schemeClr w14:val="tx1"/>
                  </w14:solidFill>
                </w14:textFill>
              </w:rPr>
            </w:pPr>
            <w:r>
              <w:rPr>
                <w:rFonts w:hint="eastAsia"/>
                <w:sz w:val="21"/>
                <w:szCs w:val="21"/>
                <w:lang w:val="en-US" w:eastAsia="zh-CN"/>
              </w:rPr>
              <w:t>2.73</w:t>
            </w:r>
          </w:p>
        </w:tc>
        <w:tc>
          <w:tcPr>
            <w:tcW w:w="1611" w:type="dxa"/>
            <w:vAlign w:val="center"/>
          </w:tcPr>
          <w:p w14:paraId="3CE67907">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1122746A">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0E480A44">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1420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continue"/>
            <w:vAlign w:val="center"/>
          </w:tcPr>
          <w:p w14:paraId="4A990F25">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1E1E38D4">
            <w:pPr>
              <w:pStyle w:val="71"/>
              <w:bidi w:val="0"/>
              <w:rPr>
                <w:color w:val="000000" w:themeColor="text1"/>
                <w:sz w:val="21"/>
                <w:szCs w:val="21"/>
                <w14:textFill>
                  <w14:solidFill>
                    <w14:schemeClr w14:val="tx1"/>
                  </w14:solidFill>
                </w14:textFill>
              </w:rPr>
            </w:pPr>
            <w:r>
              <w:rPr>
                <w:rFonts w:hint="eastAsia"/>
                <w:sz w:val="21"/>
                <w:szCs w:val="21"/>
                <w:lang w:eastAsia="zh-CN"/>
              </w:rPr>
              <w:t>氨氮</w:t>
            </w:r>
          </w:p>
        </w:tc>
        <w:tc>
          <w:tcPr>
            <w:tcW w:w="1579" w:type="dxa"/>
            <w:vAlign w:val="center"/>
          </w:tcPr>
          <w:p w14:paraId="09E87A19">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579" w:type="dxa"/>
            <w:vAlign w:val="center"/>
          </w:tcPr>
          <w:p w14:paraId="3BC46CB3">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579" w:type="dxa"/>
            <w:vAlign w:val="center"/>
          </w:tcPr>
          <w:p w14:paraId="3AC924FE">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579" w:type="dxa"/>
            <w:vAlign w:val="center"/>
          </w:tcPr>
          <w:p w14:paraId="33B476CC">
            <w:pPr>
              <w:pStyle w:val="71"/>
              <w:rPr>
                <w:color w:val="000000" w:themeColor="text1"/>
                <w:sz w:val="21"/>
                <w:szCs w:val="21"/>
                <w14:textFill>
                  <w14:solidFill>
                    <w14:schemeClr w14:val="tx1"/>
                  </w14:solidFill>
                </w14:textFill>
              </w:rPr>
            </w:pPr>
            <w:r>
              <w:rPr>
                <w:rFonts w:hint="eastAsia"/>
                <w:sz w:val="21"/>
                <w:szCs w:val="21"/>
                <w:lang w:val="en-US" w:eastAsia="zh-CN"/>
              </w:rPr>
              <w:t>0.63</w:t>
            </w:r>
          </w:p>
        </w:tc>
        <w:tc>
          <w:tcPr>
            <w:tcW w:w="1611" w:type="dxa"/>
            <w:vAlign w:val="center"/>
          </w:tcPr>
          <w:p w14:paraId="6E6CE105">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941" w:type="dxa"/>
            <w:vAlign w:val="center"/>
          </w:tcPr>
          <w:p w14:paraId="3F71382F">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187" w:type="dxa"/>
            <w:vAlign w:val="center"/>
          </w:tcPr>
          <w:p w14:paraId="00913B3C">
            <w:pPr>
              <w:pStyle w:val="36"/>
              <w:widowControl/>
              <w:spacing w:line="240" w:lineRule="auto"/>
              <w:ind w:firstLine="0" w:firstLineChars="0"/>
              <w:jc w:val="center"/>
              <w:rPr>
                <w:color w:val="000000" w:themeColor="text1"/>
                <w:sz w:val="21"/>
                <w:szCs w:val="21"/>
                <w14:textFill>
                  <w14:solidFill>
                    <w14:schemeClr w14:val="tx1"/>
                  </w14:solidFill>
                </w14:textFill>
              </w:rPr>
            </w:pPr>
          </w:p>
        </w:tc>
      </w:tr>
      <w:tr w14:paraId="293E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restart"/>
            <w:vAlign w:val="center"/>
          </w:tcPr>
          <w:p w14:paraId="2A8E65E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1714" w:type="dxa"/>
            <w:vAlign w:val="center"/>
          </w:tcPr>
          <w:p w14:paraId="0592CA84">
            <w:pPr>
              <w:pStyle w:val="71"/>
              <w:bidi w:val="0"/>
              <w:rPr>
                <w:rFonts w:ascii="Times New Roman" w:hAnsi="Times New Roman" w:eastAsia="宋体" w:cs="Times New Roman"/>
                <w:color w:val="000000" w:themeColor="text1"/>
                <w:kern w:val="0"/>
                <w:szCs w:val="21"/>
                <w14:textFill>
                  <w14:solidFill>
                    <w14:schemeClr w14:val="tx1"/>
                  </w14:solidFill>
                </w14:textFill>
              </w:rPr>
            </w:pPr>
            <w:r>
              <w:rPr>
                <w:rFonts w:hint="eastAsia"/>
                <w:sz w:val="21"/>
                <w:szCs w:val="21"/>
                <w:lang w:val="en-US" w:eastAsia="zh-CN"/>
              </w:rPr>
              <w:t>生活垃圾</w:t>
            </w:r>
          </w:p>
        </w:tc>
        <w:tc>
          <w:tcPr>
            <w:tcW w:w="1579" w:type="dxa"/>
            <w:vAlign w:val="center"/>
          </w:tcPr>
          <w:p w14:paraId="70D28B3D">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0A627F4">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235E1AEC">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51DF83F">
            <w:pPr>
              <w:pStyle w:val="71"/>
              <w:bidi w:val="0"/>
              <w:rPr>
                <w:color w:val="000000" w:themeColor="text1"/>
                <w:sz w:val="21"/>
                <w:szCs w:val="21"/>
                <w14:textFill>
                  <w14:solidFill>
                    <w14:schemeClr w14:val="tx1"/>
                  </w14:solidFill>
                </w14:textFill>
              </w:rPr>
            </w:pPr>
            <w:r>
              <w:rPr>
                <w:rFonts w:hint="eastAsia"/>
                <w:lang w:val="en-US" w:eastAsia="zh-CN"/>
              </w:rPr>
              <w:t>0.7</w:t>
            </w:r>
          </w:p>
        </w:tc>
        <w:tc>
          <w:tcPr>
            <w:tcW w:w="1611" w:type="dxa"/>
            <w:vAlign w:val="center"/>
          </w:tcPr>
          <w:p w14:paraId="7A8D8A7F">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6B34D383">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1E3BB56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66F2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continue"/>
            <w:vAlign w:val="center"/>
          </w:tcPr>
          <w:p w14:paraId="35443F66">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706301BF">
            <w:pPr>
              <w:pStyle w:val="71"/>
              <w:bidi w:val="0"/>
              <w:rPr>
                <w:rFonts w:ascii="Times New Roman" w:hAnsi="Times New Roman" w:eastAsia="宋体" w:cs="Times New Roman"/>
                <w:color w:val="000000" w:themeColor="text1"/>
                <w:kern w:val="0"/>
                <w:szCs w:val="21"/>
                <w14:textFill>
                  <w14:solidFill>
                    <w14:schemeClr w14:val="tx1"/>
                  </w14:solidFill>
                </w14:textFill>
              </w:rPr>
            </w:pPr>
            <w:r>
              <w:rPr>
                <w:sz w:val="21"/>
                <w:szCs w:val="21"/>
                <w:lang w:val="en-US"/>
              </w:rPr>
              <w:t>污泥</w:t>
            </w:r>
          </w:p>
        </w:tc>
        <w:tc>
          <w:tcPr>
            <w:tcW w:w="1579" w:type="dxa"/>
            <w:vAlign w:val="center"/>
          </w:tcPr>
          <w:p w14:paraId="7E94D92B">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07030EB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5028133">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36C7B05">
            <w:pPr>
              <w:pStyle w:val="71"/>
              <w:bidi w:val="0"/>
              <w:rPr>
                <w:rFonts w:ascii="Times New Roman" w:hAnsi="Times New Roman" w:eastAsia="宋体" w:cs="Times New Roman"/>
                <w:color w:val="000000" w:themeColor="text1"/>
                <w:szCs w:val="21"/>
                <w14:textFill>
                  <w14:solidFill>
                    <w14:schemeClr w14:val="tx1"/>
                  </w14:solidFill>
                </w14:textFill>
              </w:rPr>
            </w:pPr>
            <w:r>
              <w:rPr>
                <w:rFonts w:hint="eastAsia"/>
                <w:lang w:val="en-US" w:eastAsia="zh-CN"/>
              </w:rPr>
              <w:t>25.6</w:t>
            </w:r>
          </w:p>
        </w:tc>
        <w:tc>
          <w:tcPr>
            <w:tcW w:w="1611" w:type="dxa"/>
            <w:vAlign w:val="center"/>
          </w:tcPr>
          <w:p w14:paraId="6A6A4BD4">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35A0A67B">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33D5F736">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5E8C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445" w:type="dxa"/>
            <w:vMerge w:val="continue"/>
            <w:vAlign w:val="center"/>
          </w:tcPr>
          <w:p w14:paraId="163F99A1">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1D1C0688">
            <w:pPr>
              <w:pStyle w:val="71"/>
              <w:bidi w:val="0"/>
              <w:rPr>
                <w:rFonts w:ascii="Times New Roman" w:hAnsi="Times New Roman" w:eastAsia="宋体" w:cs="Times New Roman"/>
                <w:color w:val="000000" w:themeColor="text1"/>
                <w:kern w:val="0"/>
                <w:szCs w:val="21"/>
                <w14:textFill>
                  <w14:solidFill>
                    <w14:schemeClr w14:val="tx1"/>
                  </w14:solidFill>
                </w14:textFill>
              </w:rPr>
            </w:pPr>
            <w:r>
              <w:rPr>
                <w:sz w:val="21"/>
                <w:szCs w:val="21"/>
                <w:lang w:val="en-US"/>
              </w:rPr>
              <w:t>废滤膜</w:t>
            </w:r>
          </w:p>
        </w:tc>
        <w:tc>
          <w:tcPr>
            <w:tcW w:w="1579" w:type="dxa"/>
            <w:vAlign w:val="center"/>
          </w:tcPr>
          <w:p w14:paraId="3AA0CF66">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73C16BF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4EC1D6F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72639B40">
            <w:pPr>
              <w:pStyle w:val="71"/>
              <w:bidi w:val="0"/>
              <w:rPr>
                <w:rFonts w:ascii="Times New Roman" w:hAnsi="Times New Roman" w:eastAsia="宋体" w:cs="Times New Roman"/>
                <w:color w:val="000000" w:themeColor="text1"/>
                <w:szCs w:val="21"/>
                <w14:textFill>
                  <w14:solidFill>
                    <w14:schemeClr w14:val="tx1"/>
                  </w14:solidFill>
                </w14:textFill>
              </w:rPr>
            </w:pPr>
            <w:r>
              <w:rPr>
                <w:rFonts w:hint="eastAsia"/>
                <w:lang w:val="en-US" w:eastAsia="zh-CN"/>
              </w:rPr>
              <w:t>0.08</w:t>
            </w:r>
          </w:p>
        </w:tc>
        <w:tc>
          <w:tcPr>
            <w:tcW w:w="1611" w:type="dxa"/>
            <w:vAlign w:val="center"/>
          </w:tcPr>
          <w:p w14:paraId="2154284D">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1DAABA0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14E0A82B">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13A1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45" w:type="dxa"/>
            <w:vMerge w:val="continue"/>
            <w:vAlign w:val="center"/>
          </w:tcPr>
          <w:p w14:paraId="67A82A14">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6459D53F">
            <w:pPr>
              <w:pStyle w:val="71"/>
              <w:bidi w:val="0"/>
              <w:rPr>
                <w:rFonts w:ascii="Times New Roman" w:hAnsi="Times New Roman" w:eastAsia="宋体" w:cs="Times New Roman"/>
                <w:color w:val="000000" w:themeColor="text1"/>
                <w:kern w:val="0"/>
                <w:szCs w:val="21"/>
                <w14:textFill>
                  <w14:solidFill>
                    <w14:schemeClr w14:val="tx1"/>
                  </w14:solidFill>
                </w14:textFill>
              </w:rPr>
            </w:pPr>
            <w:r>
              <w:rPr>
                <w:sz w:val="21"/>
                <w:szCs w:val="21"/>
                <w:lang w:val="en-US"/>
              </w:rPr>
              <w:t>废化学品包装容器</w:t>
            </w:r>
          </w:p>
        </w:tc>
        <w:tc>
          <w:tcPr>
            <w:tcW w:w="1579" w:type="dxa"/>
            <w:vAlign w:val="center"/>
          </w:tcPr>
          <w:p w14:paraId="4878E0F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A6394B8">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276BF9E1">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3A298D89">
            <w:pPr>
              <w:pStyle w:val="71"/>
              <w:bidi w:val="0"/>
              <w:rPr>
                <w:rFonts w:ascii="Times New Roman" w:hAnsi="Times New Roman" w:eastAsia="宋体" w:cs="Times New Roman"/>
                <w:color w:val="000000" w:themeColor="text1"/>
                <w:szCs w:val="21"/>
                <w14:textFill>
                  <w14:solidFill>
                    <w14:schemeClr w14:val="tx1"/>
                  </w14:solidFill>
                </w14:textFill>
              </w:rPr>
            </w:pPr>
            <w:r>
              <w:rPr>
                <w:rFonts w:hint="eastAsia"/>
                <w:lang w:val="en-US" w:eastAsia="zh-CN"/>
              </w:rPr>
              <w:t>0.2</w:t>
            </w:r>
          </w:p>
        </w:tc>
        <w:tc>
          <w:tcPr>
            <w:tcW w:w="1611" w:type="dxa"/>
            <w:vAlign w:val="center"/>
          </w:tcPr>
          <w:p w14:paraId="40EDD4E1">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4D25951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278271B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r w14:paraId="599D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45" w:type="dxa"/>
            <w:vMerge w:val="continue"/>
            <w:vAlign w:val="center"/>
          </w:tcPr>
          <w:p w14:paraId="2AEEA716">
            <w:pPr>
              <w:pStyle w:val="36"/>
              <w:widowControl/>
              <w:spacing w:line="240" w:lineRule="auto"/>
              <w:ind w:firstLine="0" w:firstLineChars="0"/>
              <w:jc w:val="center"/>
              <w:rPr>
                <w:color w:val="000000" w:themeColor="text1"/>
                <w:sz w:val="21"/>
                <w:szCs w:val="21"/>
                <w14:textFill>
                  <w14:solidFill>
                    <w14:schemeClr w14:val="tx1"/>
                  </w14:solidFill>
                </w14:textFill>
              </w:rPr>
            </w:pPr>
          </w:p>
        </w:tc>
        <w:tc>
          <w:tcPr>
            <w:tcW w:w="1714" w:type="dxa"/>
            <w:vAlign w:val="center"/>
          </w:tcPr>
          <w:p w14:paraId="1F772585">
            <w:pPr>
              <w:pStyle w:val="71"/>
              <w:bidi w:val="0"/>
              <w:rPr>
                <w:rFonts w:ascii="Times New Roman" w:hAnsi="Times New Roman" w:eastAsia="宋体" w:cs="Times New Roman"/>
                <w:color w:val="000000" w:themeColor="text1"/>
                <w:kern w:val="0"/>
                <w:szCs w:val="21"/>
                <w14:textFill>
                  <w14:solidFill>
                    <w14:schemeClr w14:val="tx1"/>
                  </w14:solidFill>
                </w14:textFill>
              </w:rPr>
            </w:pPr>
            <w:r>
              <w:rPr>
                <w:rFonts w:hint="eastAsia"/>
                <w:sz w:val="21"/>
                <w:szCs w:val="21"/>
                <w:lang w:val="en-US" w:eastAsia="zh-CN"/>
              </w:rPr>
              <w:t>废机油</w:t>
            </w:r>
          </w:p>
        </w:tc>
        <w:tc>
          <w:tcPr>
            <w:tcW w:w="1579" w:type="dxa"/>
            <w:vAlign w:val="center"/>
          </w:tcPr>
          <w:p w14:paraId="56BA762E">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7160C909">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1AD0B8E6">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579" w:type="dxa"/>
            <w:vAlign w:val="center"/>
          </w:tcPr>
          <w:p w14:paraId="76ACF7C3">
            <w:pPr>
              <w:pStyle w:val="71"/>
              <w:bidi w:val="0"/>
              <w:rPr>
                <w:rFonts w:ascii="Times New Roman" w:hAnsi="Times New Roman" w:eastAsia="宋体" w:cs="Times New Roman"/>
                <w:color w:val="000000" w:themeColor="text1"/>
                <w:szCs w:val="21"/>
                <w14:textFill>
                  <w14:solidFill>
                    <w14:schemeClr w14:val="tx1"/>
                  </w14:solidFill>
                </w14:textFill>
              </w:rPr>
            </w:pPr>
            <w:r>
              <w:rPr>
                <w:rFonts w:hint="default"/>
                <w:lang w:val="en-US" w:eastAsia="zh-CN"/>
              </w:rPr>
              <w:t>0</w:t>
            </w:r>
            <w:r>
              <w:rPr>
                <w:rFonts w:hint="eastAsia"/>
                <w:lang w:val="en-US" w:eastAsia="zh-CN"/>
              </w:rPr>
              <w:t>.</w:t>
            </w:r>
            <w:r>
              <w:rPr>
                <w:rFonts w:hint="default"/>
                <w:lang w:val="en-US" w:eastAsia="zh-CN"/>
              </w:rPr>
              <w:t>0</w:t>
            </w:r>
            <w:r>
              <w:rPr>
                <w:rFonts w:hint="eastAsia"/>
                <w:lang w:val="en-US" w:eastAsia="zh-CN"/>
              </w:rPr>
              <w:t>1</w:t>
            </w:r>
          </w:p>
        </w:tc>
        <w:tc>
          <w:tcPr>
            <w:tcW w:w="1611" w:type="dxa"/>
            <w:vAlign w:val="center"/>
          </w:tcPr>
          <w:p w14:paraId="5E746C65">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941" w:type="dxa"/>
            <w:vAlign w:val="center"/>
          </w:tcPr>
          <w:p w14:paraId="138981D2">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87" w:type="dxa"/>
            <w:vAlign w:val="center"/>
          </w:tcPr>
          <w:p w14:paraId="36883D40">
            <w:pPr>
              <w:pStyle w:val="36"/>
              <w:widowControl/>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r>
    </w:tbl>
    <w:p w14:paraId="5AAEC9F4">
      <w:pPr>
        <w:pStyle w:val="36"/>
        <w:ind w:firstLine="420"/>
        <w:rPr>
          <w:color w:val="000000" w:themeColor="text1"/>
          <w:sz w:val="21"/>
          <w:szCs w:val="21"/>
          <w14:textFill>
            <w14:solidFill>
              <w14:schemeClr w14:val="tx1"/>
            </w14:solidFill>
          </w14:textFill>
        </w:rPr>
      </w:pPr>
      <w:bookmarkStart w:id="33" w:name="_Toc31257"/>
      <w:r>
        <w:rPr>
          <w:color w:val="000000" w:themeColor="text1"/>
          <w:sz w:val="21"/>
          <w:szCs w:val="21"/>
          <w14:textFill>
            <w14:solidFill>
              <w14:schemeClr w14:val="tx1"/>
            </w14:solidFill>
          </w14:textFill>
        </w:rPr>
        <w:t>注：⑥=①+③+④-⑤；⑦=⑥-①</w:t>
      </w:r>
      <w:bookmarkEnd w:id="33"/>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0"/>
    <w:family w:val="auto"/>
    <w:pitch w:val="default"/>
    <w:sig w:usb0="00000000" w:usb1="00000000" w:usb2="00000000" w:usb3="00000000" w:csb0="00020000" w:csb1="00000000"/>
  </w:font>
  <w:font w:name="TimesNewRomanPS-ItalicMT">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048FB">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9D140">
                          <w:pPr>
                            <w:pStyle w:val="18"/>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D59D140">
                    <w:pPr>
                      <w:pStyle w:val="18"/>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CB673"/>
    <w:multiLevelType w:val="singleLevel"/>
    <w:tmpl w:val="98BCB673"/>
    <w:lvl w:ilvl="0" w:tentative="0">
      <w:start w:val="7"/>
      <w:numFmt w:val="decimal"/>
      <w:suff w:val="nothing"/>
      <w:lvlText w:val="%1、"/>
      <w:lvlJc w:val="left"/>
      <w:pPr>
        <w:ind w:left="-60"/>
      </w:pPr>
    </w:lvl>
  </w:abstractNum>
  <w:abstractNum w:abstractNumId="1">
    <w:nsid w:val="DC061C9F"/>
    <w:multiLevelType w:val="singleLevel"/>
    <w:tmpl w:val="DC061C9F"/>
    <w:lvl w:ilvl="0" w:tentative="0">
      <w:start w:val="4"/>
      <w:numFmt w:val="decimal"/>
      <w:suff w:val="nothing"/>
      <w:lvlText w:val="%1、"/>
      <w:lvlJc w:val="left"/>
    </w:lvl>
  </w:abstractNum>
  <w:abstractNum w:abstractNumId="2">
    <w:nsid w:val="E4D9D066"/>
    <w:multiLevelType w:val="singleLevel"/>
    <w:tmpl w:val="E4D9D066"/>
    <w:lvl w:ilvl="0" w:tentative="0">
      <w:start w:val="2"/>
      <w:numFmt w:val="decimal"/>
      <w:lvlText w:val="%1)"/>
      <w:lvlJc w:val="left"/>
      <w:pPr>
        <w:tabs>
          <w:tab w:val="left" w:pos="312"/>
        </w:tabs>
      </w:pPr>
    </w:lvl>
  </w:abstractNum>
  <w:abstractNum w:abstractNumId="3">
    <w:nsid w:val="F62C3713"/>
    <w:multiLevelType w:val="singleLevel"/>
    <w:tmpl w:val="F62C3713"/>
    <w:lvl w:ilvl="0" w:tentative="0">
      <w:start w:val="3"/>
      <w:numFmt w:val="decimal"/>
      <w:suff w:val="nothing"/>
      <w:lvlText w:val="（%1）"/>
      <w:lvlJc w:val="left"/>
    </w:lvl>
  </w:abstractNum>
  <w:abstractNum w:abstractNumId="4">
    <w:nsid w:val="0D71CE82"/>
    <w:multiLevelType w:val="singleLevel"/>
    <w:tmpl w:val="0D71CE82"/>
    <w:lvl w:ilvl="0" w:tentative="0">
      <w:start w:val="6"/>
      <w:numFmt w:val="decimal"/>
      <w:suff w:val="nothing"/>
      <w:lvlText w:val="（%1）"/>
      <w:lvlJc w:val="left"/>
    </w:lvl>
  </w:abstractNum>
  <w:abstractNum w:abstractNumId="5">
    <w:nsid w:val="23CF271D"/>
    <w:multiLevelType w:val="singleLevel"/>
    <w:tmpl w:val="23CF271D"/>
    <w:lvl w:ilvl="0" w:tentative="0">
      <w:start w:val="1"/>
      <w:numFmt w:val="decimal"/>
      <w:suff w:val="nothing"/>
      <w:lvlText w:val="%1、"/>
      <w:lvlJc w:val="left"/>
      <w:pPr>
        <w:ind w:left="298"/>
      </w:pPr>
    </w:lvl>
  </w:abstractNum>
  <w:abstractNum w:abstractNumId="6">
    <w:nsid w:val="2FEA73A5"/>
    <w:multiLevelType w:val="multilevel"/>
    <w:tmpl w:val="2FEA73A5"/>
    <w:lvl w:ilvl="0" w:tentative="0">
      <w:start w:val="1"/>
      <w:numFmt w:val="decimal"/>
      <w:isLgl/>
      <w:lvlText w:val="%1"/>
      <w:lvlJc w:val="left"/>
      <w:pPr>
        <w:tabs>
          <w:tab w:val="left" w:pos="431"/>
        </w:tabs>
        <w:ind w:left="43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tentative="0">
      <w:start w:val="1"/>
      <w:numFmt w:val="decimal"/>
      <w:pStyle w:val="7"/>
      <w:suff w:val="space"/>
      <w:lvlText w:val="%1.%2"/>
      <w:lvlJc w:val="left"/>
      <w:pPr>
        <w:ind w:left="57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2" w:tentative="0">
      <w:start w:val="1"/>
      <w:numFmt w:val="decimal"/>
      <w:suff w:val="space"/>
      <w:lvlText w:val="%1.%2.%3"/>
      <w:lvlJc w:val="left"/>
      <w:pPr>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3" w:tentative="0">
      <w:start w:val="1"/>
      <w:numFmt w:val="decimal"/>
      <w:suff w:val="space"/>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41464E06"/>
    <w:multiLevelType w:val="multilevel"/>
    <w:tmpl w:val="41464E06"/>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6"/>
  </w:num>
  <w:num w:numId="2">
    <w:abstractNumId w:val="2"/>
  </w:num>
  <w:num w:numId="3">
    <w:abstractNumId w:val="1"/>
  </w:num>
  <w:num w:numId="4">
    <w:abstractNumId w:val="4"/>
  </w:num>
  <w:num w:numId="5">
    <w:abstractNumId w:val="5"/>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yMjcwYTY3Yjg0NzJjMzMyODExNDkzOGFhNGE1YjcifQ=="/>
  </w:docVars>
  <w:rsids>
    <w:rsidRoot w:val="00172A27"/>
    <w:rsid w:val="00027799"/>
    <w:rsid w:val="00054A99"/>
    <w:rsid w:val="000B3960"/>
    <w:rsid w:val="000F0760"/>
    <w:rsid w:val="00172A27"/>
    <w:rsid w:val="002953B2"/>
    <w:rsid w:val="00377119"/>
    <w:rsid w:val="003B1134"/>
    <w:rsid w:val="003D69DA"/>
    <w:rsid w:val="003E6049"/>
    <w:rsid w:val="00690502"/>
    <w:rsid w:val="006B6D1F"/>
    <w:rsid w:val="00765EBE"/>
    <w:rsid w:val="00777AB6"/>
    <w:rsid w:val="0080643F"/>
    <w:rsid w:val="00853F65"/>
    <w:rsid w:val="00974A10"/>
    <w:rsid w:val="009A70B7"/>
    <w:rsid w:val="00A81356"/>
    <w:rsid w:val="00AD0F82"/>
    <w:rsid w:val="00B21E61"/>
    <w:rsid w:val="00B25AE0"/>
    <w:rsid w:val="00BC5917"/>
    <w:rsid w:val="00C948D6"/>
    <w:rsid w:val="00CB5B89"/>
    <w:rsid w:val="00E85F5D"/>
    <w:rsid w:val="00EC234E"/>
    <w:rsid w:val="00ED3BD8"/>
    <w:rsid w:val="00F71258"/>
    <w:rsid w:val="00FC137A"/>
    <w:rsid w:val="0106714E"/>
    <w:rsid w:val="011A6F60"/>
    <w:rsid w:val="015831B2"/>
    <w:rsid w:val="01716365"/>
    <w:rsid w:val="017426CA"/>
    <w:rsid w:val="017A028D"/>
    <w:rsid w:val="017A5B95"/>
    <w:rsid w:val="01CC5FC0"/>
    <w:rsid w:val="02011A4F"/>
    <w:rsid w:val="020C4FDB"/>
    <w:rsid w:val="022B6160"/>
    <w:rsid w:val="023A4C85"/>
    <w:rsid w:val="024C6867"/>
    <w:rsid w:val="024E62D0"/>
    <w:rsid w:val="027376FA"/>
    <w:rsid w:val="027C3559"/>
    <w:rsid w:val="029209EC"/>
    <w:rsid w:val="02A41A90"/>
    <w:rsid w:val="02D611C1"/>
    <w:rsid w:val="02DB03C2"/>
    <w:rsid w:val="02E07F7B"/>
    <w:rsid w:val="02E96621"/>
    <w:rsid w:val="030A1DDC"/>
    <w:rsid w:val="030E3A86"/>
    <w:rsid w:val="03167E35"/>
    <w:rsid w:val="031F605D"/>
    <w:rsid w:val="03487D3A"/>
    <w:rsid w:val="03DD0CD2"/>
    <w:rsid w:val="041C08D2"/>
    <w:rsid w:val="04202206"/>
    <w:rsid w:val="042658DF"/>
    <w:rsid w:val="042B48F1"/>
    <w:rsid w:val="042D708C"/>
    <w:rsid w:val="043C063C"/>
    <w:rsid w:val="045D762F"/>
    <w:rsid w:val="047614DC"/>
    <w:rsid w:val="04A26363"/>
    <w:rsid w:val="04B04041"/>
    <w:rsid w:val="04D87D4C"/>
    <w:rsid w:val="04DE1B61"/>
    <w:rsid w:val="05023217"/>
    <w:rsid w:val="051756C8"/>
    <w:rsid w:val="05213553"/>
    <w:rsid w:val="053F46B3"/>
    <w:rsid w:val="056E13CF"/>
    <w:rsid w:val="05926DCE"/>
    <w:rsid w:val="05C13D08"/>
    <w:rsid w:val="05D80092"/>
    <w:rsid w:val="05E200DE"/>
    <w:rsid w:val="062A161F"/>
    <w:rsid w:val="06840282"/>
    <w:rsid w:val="068B1EC9"/>
    <w:rsid w:val="06A25465"/>
    <w:rsid w:val="06AD46C7"/>
    <w:rsid w:val="06BE5E39"/>
    <w:rsid w:val="06C64AD8"/>
    <w:rsid w:val="06CD5BB4"/>
    <w:rsid w:val="06D320C8"/>
    <w:rsid w:val="06E56F8E"/>
    <w:rsid w:val="06E91BAB"/>
    <w:rsid w:val="072F21AF"/>
    <w:rsid w:val="07445A18"/>
    <w:rsid w:val="0748749B"/>
    <w:rsid w:val="07522A7A"/>
    <w:rsid w:val="076369A2"/>
    <w:rsid w:val="078665BE"/>
    <w:rsid w:val="079528D4"/>
    <w:rsid w:val="07BD4904"/>
    <w:rsid w:val="07D942D7"/>
    <w:rsid w:val="07ED6D8A"/>
    <w:rsid w:val="08137A69"/>
    <w:rsid w:val="08882F12"/>
    <w:rsid w:val="089649AF"/>
    <w:rsid w:val="0898687C"/>
    <w:rsid w:val="08C01DAD"/>
    <w:rsid w:val="08C41BDB"/>
    <w:rsid w:val="08D84F22"/>
    <w:rsid w:val="08F566A8"/>
    <w:rsid w:val="08F71383"/>
    <w:rsid w:val="090A1864"/>
    <w:rsid w:val="09267233"/>
    <w:rsid w:val="09511308"/>
    <w:rsid w:val="09744684"/>
    <w:rsid w:val="097D0553"/>
    <w:rsid w:val="098128A2"/>
    <w:rsid w:val="098E0742"/>
    <w:rsid w:val="09E65669"/>
    <w:rsid w:val="09E87483"/>
    <w:rsid w:val="0A1B4016"/>
    <w:rsid w:val="0A3665F0"/>
    <w:rsid w:val="0A3F4B73"/>
    <w:rsid w:val="0A403333"/>
    <w:rsid w:val="0A444B8A"/>
    <w:rsid w:val="0A4D54AA"/>
    <w:rsid w:val="0A801D6E"/>
    <w:rsid w:val="0A9B0E35"/>
    <w:rsid w:val="0ABC3969"/>
    <w:rsid w:val="0AC938B6"/>
    <w:rsid w:val="0ACD1E48"/>
    <w:rsid w:val="0AEB0D1E"/>
    <w:rsid w:val="0AED3001"/>
    <w:rsid w:val="0B096344"/>
    <w:rsid w:val="0B0C55A3"/>
    <w:rsid w:val="0B6B6C38"/>
    <w:rsid w:val="0B835344"/>
    <w:rsid w:val="0BB97A31"/>
    <w:rsid w:val="0BBC48DB"/>
    <w:rsid w:val="0BFA6363"/>
    <w:rsid w:val="0C3D3146"/>
    <w:rsid w:val="0C3F2853"/>
    <w:rsid w:val="0C7B5DD9"/>
    <w:rsid w:val="0C9C014D"/>
    <w:rsid w:val="0CAB6546"/>
    <w:rsid w:val="0CB26FF6"/>
    <w:rsid w:val="0CEB5D96"/>
    <w:rsid w:val="0CF117D2"/>
    <w:rsid w:val="0D3957CE"/>
    <w:rsid w:val="0D3A42A2"/>
    <w:rsid w:val="0D4E5809"/>
    <w:rsid w:val="0D5C6BA3"/>
    <w:rsid w:val="0D6D40D5"/>
    <w:rsid w:val="0D744B39"/>
    <w:rsid w:val="0D862F95"/>
    <w:rsid w:val="0D8A5BD0"/>
    <w:rsid w:val="0DAF07C4"/>
    <w:rsid w:val="0DBC0BBA"/>
    <w:rsid w:val="0DC93384"/>
    <w:rsid w:val="0DD31932"/>
    <w:rsid w:val="0DDE6612"/>
    <w:rsid w:val="0DF27D84"/>
    <w:rsid w:val="0DF7498E"/>
    <w:rsid w:val="0E025A50"/>
    <w:rsid w:val="0E151575"/>
    <w:rsid w:val="0E3644BE"/>
    <w:rsid w:val="0E483A39"/>
    <w:rsid w:val="0E4911D8"/>
    <w:rsid w:val="0E64669F"/>
    <w:rsid w:val="0E6827BC"/>
    <w:rsid w:val="0E825526"/>
    <w:rsid w:val="0EAA135B"/>
    <w:rsid w:val="0EDF1602"/>
    <w:rsid w:val="0EE35DB9"/>
    <w:rsid w:val="0EFA3211"/>
    <w:rsid w:val="0EFC34F7"/>
    <w:rsid w:val="0F2B5A2D"/>
    <w:rsid w:val="0F90098A"/>
    <w:rsid w:val="0FA04622"/>
    <w:rsid w:val="0FF360CA"/>
    <w:rsid w:val="102E1B18"/>
    <w:rsid w:val="102F60BD"/>
    <w:rsid w:val="105948D6"/>
    <w:rsid w:val="106470E7"/>
    <w:rsid w:val="106F2A70"/>
    <w:rsid w:val="10732B14"/>
    <w:rsid w:val="10761922"/>
    <w:rsid w:val="1078200A"/>
    <w:rsid w:val="107A2D22"/>
    <w:rsid w:val="10A5009F"/>
    <w:rsid w:val="10BF72B7"/>
    <w:rsid w:val="10C3082C"/>
    <w:rsid w:val="10DD5CD3"/>
    <w:rsid w:val="11156533"/>
    <w:rsid w:val="112055C4"/>
    <w:rsid w:val="114133CD"/>
    <w:rsid w:val="11854343"/>
    <w:rsid w:val="11920F1F"/>
    <w:rsid w:val="119C5808"/>
    <w:rsid w:val="11D80D7B"/>
    <w:rsid w:val="11EB32FE"/>
    <w:rsid w:val="11F36B48"/>
    <w:rsid w:val="12064359"/>
    <w:rsid w:val="121D5F84"/>
    <w:rsid w:val="125672F0"/>
    <w:rsid w:val="125E497B"/>
    <w:rsid w:val="12BC3B0B"/>
    <w:rsid w:val="13045AED"/>
    <w:rsid w:val="132B048D"/>
    <w:rsid w:val="133B6B76"/>
    <w:rsid w:val="133E3C29"/>
    <w:rsid w:val="134218B8"/>
    <w:rsid w:val="136E540F"/>
    <w:rsid w:val="138D782A"/>
    <w:rsid w:val="13A66DE3"/>
    <w:rsid w:val="13B36A56"/>
    <w:rsid w:val="13C21601"/>
    <w:rsid w:val="13D9230B"/>
    <w:rsid w:val="13F04B49"/>
    <w:rsid w:val="14011368"/>
    <w:rsid w:val="1402376B"/>
    <w:rsid w:val="140F39B6"/>
    <w:rsid w:val="14430648"/>
    <w:rsid w:val="146E5017"/>
    <w:rsid w:val="14971460"/>
    <w:rsid w:val="14A40910"/>
    <w:rsid w:val="14B355E2"/>
    <w:rsid w:val="14D6737D"/>
    <w:rsid w:val="14E76B50"/>
    <w:rsid w:val="14EB4AD0"/>
    <w:rsid w:val="150F1F18"/>
    <w:rsid w:val="15626AB9"/>
    <w:rsid w:val="15695A7C"/>
    <w:rsid w:val="156D5931"/>
    <w:rsid w:val="15AC12AA"/>
    <w:rsid w:val="15DD2856"/>
    <w:rsid w:val="15ED4701"/>
    <w:rsid w:val="15F33C87"/>
    <w:rsid w:val="16530887"/>
    <w:rsid w:val="166E35A2"/>
    <w:rsid w:val="167C1EF1"/>
    <w:rsid w:val="16AE0657"/>
    <w:rsid w:val="16D02DF8"/>
    <w:rsid w:val="16E64F8F"/>
    <w:rsid w:val="16F41BC7"/>
    <w:rsid w:val="17025267"/>
    <w:rsid w:val="17035AAC"/>
    <w:rsid w:val="170A083F"/>
    <w:rsid w:val="172B6934"/>
    <w:rsid w:val="17580E38"/>
    <w:rsid w:val="17662E5F"/>
    <w:rsid w:val="176A2BAB"/>
    <w:rsid w:val="17B963A8"/>
    <w:rsid w:val="17C2562D"/>
    <w:rsid w:val="17C30244"/>
    <w:rsid w:val="1808393B"/>
    <w:rsid w:val="18B26EF4"/>
    <w:rsid w:val="18B52DD6"/>
    <w:rsid w:val="18F410B0"/>
    <w:rsid w:val="190E4BAD"/>
    <w:rsid w:val="194D4181"/>
    <w:rsid w:val="196719BC"/>
    <w:rsid w:val="19684AE0"/>
    <w:rsid w:val="198B5BA7"/>
    <w:rsid w:val="199175D8"/>
    <w:rsid w:val="19A06ED4"/>
    <w:rsid w:val="19C756B3"/>
    <w:rsid w:val="19DF7399"/>
    <w:rsid w:val="19E478CE"/>
    <w:rsid w:val="1A390B2A"/>
    <w:rsid w:val="1A8306AD"/>
    <w:rsid w:val="1A9B224E"/>
    <w:rsid w:val="1AA634EC"/>
    <w:rsid w:val="1AC92B69"/>
    <w:rsid w:val="1AF914B0"/>
    <w:rsid w:val="1B012302"/>
    <w:rsid w:val="1B017A09"/>
    <w:rsid w:val="1B0950A3"/>
    <w:rsid w:val="1B20508D"/>
    <w:rsid w:val="1B9C202B"/>
    <w:rsid w:val="1B9F4DE1"/>
    <w:rsid w:val="1BC908C3"/>
    <w:rsid w:val="1BCE05FC"/>
    <w:rsid w:val="1BF0496B"/>
    <w:rsid w:val="1C0820C9"/>
    <w:rsid w:val="1C283A01"/>
    <w:rsid w:val="1C494141"/>
    <w:rsid w:val="1C584285"/>
    <w:rsid w:val="1CA24B0A"/>
    <w:rsid w:val="1CA6319E"/>
    <w:rsid w:val="1CCC1597"/>
    <w:rsid w:val="1D057125"/>
    <w:rsid w:val="1D3B2428"/>
    <w:rsid w:val="1D3B770E"/>
    <w:rsid w:val="1D4229A9"/>
    <w:rsid w:val="1D6D1ED1"/>
    <w:rsid w:val="1D8558D2"/>
    <w:rsid w:val="1D861171"/>
    <w:rsid w:val="1D8A4698"/>
    <w:rsid w:val="1D8B59E7"/>
    <w:rsid w:val="1D9F7ABD"/>
    <w:rsid w:val="1DA06ACC"/>
    <w:rsid w:val="1DBA49EB"/>
    <w:rsid w:val="1E230FCD"/>
    <w:rsid w:val="1E397DDE"/>
    <w:rsid w:val="1E5538E2"/>
    <w:rsid w:val="1E7B6842"/>
    <w:rsid w:val="1EA653A8"/>
    <w:rsid w:val="1EA96380"/>
    <w:rsid w:val="1EC978FA"/>
    <w:rsid w:val="1F555944"/>
    <w:rsid w:val="1F655E8C"/>
    <w:rsid w:val="1F9F68E3"/>
    <w:rsid w:val="1FB0604E"/>
    <w:rsid w:val="1FEC17D3"/>
    <w:rsid w:val="1FF60C7E"/>
    <w:rsid w:val="1FF7759C"/>
    <w:rsid w:val="200F59C8"/>
    <w:rsid w:val="20403644"/>
    <w:rsid w:val="206D52C2"/>
    <w:rsid w:val="209D327D"/>
    <w:rsid w:val="209D406E"/>
    <w:rsid w:val="20A43EF4"/>
    <w:rsid w:val="20AA27D6"/>
    <w:rsid w:val="20CA4F49"/>
    <w:rsid w:val="20CE50E0"/>
    <w:rsid w:val="20D00F64"/>
    <w:rsid w:val="20E33BE1"/>
    <w:rsid w:val="20F35F52"/>
    <w:rsid w:val="2113799A"/>
    <w:rsid w:val="211B7E42"/>
    <w:rsid w:val="21941476"/>
    <w:rsid w:val="2262305C"/>
    <w:rsid w:val="22843EE2"/>
    <w:rsid w:val="22AB3913"/>
    <w:rsid w:val="22B938E4"/>
    <w:rsid w:val="22C30F30"/>
    <w:rsid w:val="22F16334"/>
    <w:rsid w:val="22F5738F"/>
    <w:rsid w:val="22F83260"/>
    <w:rsid w:val="23056E31"/>
    <w:rsid w:val="233567DE"/>
    <w:rsid w:val="233825CF"/>
    <w:rsid w:val="235E1A55"/>
    <w:rsid w:val="23645678"/>
    <w:rsid w:val="239A6F02"/>
    <w:rsid w:val="23A3069B"/>
    <w:rsid w:val="23A41CC8"/>
    <w:rsid w:val="23AA4AA1"/>
    <w:rsid w:val="23B2781D"/>
    <w:rsid w:val="23B8495D"/>
    <w:rsid w:val="23DA5DE6"/>
    <w:rsid w:val="23FC0406"/>
    <w:rsid w:val="24072B8E"/>
    <w:rsid w:val="24243E04"/>
    <w:rsid w:val="2425773C"/>
    <w:rsid w:val="24332D85"/>
    <w:rsid w:val="243F4B7D"/>
    <w:rsid w:val="245C482C"/>
    <w:rsid w:val="24676CB8"/>
    <w:rsid w:val="24974F93"/>
    <w:rsid w:val="24CC4F50"/>
    <w:rsid w:val="24E770BD"/>
    <w:rsid w:val="25033939"/>
    <w:rsid w:val="25136D7E"/>
    <w:rsid w:val="251D57D5"/>
    <w:rsid w:val="254857E5"/>
    <w:rsid w:val="255400AB"/>
    <w:rsid w:val="255C1030"/>
    <w:rsid w:val="25885620"/>
    <w:rsid w:val="25BF5294"/>
    <w:rsid w:val="25DD396C"/>
    <w:rsid w:val="25F767BE"/>
    <w:rsid w:val="261C1200"/>
    <w:rsid w:val="26432E5B"/>
    <w:rsid w:val="264D53E9"/>
    <w:rsid w:val="26553068"/>
    <w:rsid w:val="26796BBD"/>
    <w:rsid w:val="26D13B32"/>
    <w:rsid w:val="26DC75D0"/>
    <w:rsid w:val="26DF0759"/>
    <w:rsid w:val="26E26C6E"/>
    <w:rsid w:val="26E618AB"/>
    <w:rsid w:val="26EC0E98"/>
    <w:rsid w:val="26EC64D5"/>
    <w:rsid w:val="27055405"/>
    <w:rsid w:val="272B3E34"/>
    <w:rsid w:val="276F5B54"/>
    <w:rsid w:val="277F2DFB"/>
    <w:rsid w:val="279B603F"/>
    <w:rsid w:val="27BB1E89"/>
    <w:rsid w:val="27EE26EA"/>
    <w:rsid w:val="28097DF2"/>
    <w:rsid w:val="283241C0"/>
    <w:rsid w:val="28881D2F"/>
    <w:rsid w:val="2896667F"/>
    <w:rsid w:val="28CC2DEB"/>
    <w:rsid w:val="28D82A61"/>
    <w:rsid w:val="28E73C67"/>
    <w:rsid w:val="29292752"/>
    <w:rsid w:val="293446D9"/>
    <w:rsid w:val="29553940"/>
    <w:rsid w:val="29987CA4"/>
    <w:rsid w:val="29CA4B8D"/>
    <w:rsid w:val="29EF3652"/>
    <w:rsid w:val="2A0347CF"/>
    <w:rsid w:val="2A4670C1"/>
    <w:rsid w:val="2A6D31DD"/>
    <w:rsid w:val="2A905451"/>
    <w:rsid w:val="2A917F61"/>
    <w:rsid w:val="2ABE5795"/>
    <w:rsid w:val="2ACB6ABB"/>
    <w:rsid w:val="2AE92361"/>
    <w:rsid w:val="2B27177B"/>
    <w:rsid w:val="2B3370B0"/>
    <w:rsid w:val="2B6E5792"/>
    <w:rsid w:val="2BAC3083"/>
    <w:rsid w:val="2BCA7E1D"/>
    <w:rsid w:val="2C054F3C"/>
    <w:rsid w:val="2C0F30AE"/>
    <w:rsid w:val="2C1A7D42"/>
    <w:rsid w:val="2C332453"/>
    <w:rsid w:val="2C3E3EA5"/>
    <w:rsid w:val="2C4966E8"/>
    <w:rsid w:val="2C5E2BE0"/>
    <w:rsid w:val="2C7D0311"/>
    <w:rsid w:val="2C85553D"/>
    <w:rsid w:val="2CB56C2E"/>
    <w:rsid w:val="2CC8190D"/>
    <w:rsid w:val="2CE55AF4"/>
    <w:rsid w:val="2CFA063C"/>
    <w:rsid w:val="2D10567D"/>
    <w:rsid w:val="2D1114DC"/>
    <w:rsid w:val="2D314A11"/>
    <w:rsid w:val="2D3B1623"/>
    <w:rsid w:val="2D4B565F"/>
    <w:rsid w:val="2D627911"/>
    <w:rsid w:val="2DC91ADA"/>
    <w:rsid w:val="2DF44C9A"/>
    <w:rsid w:val="2DFF680F"/>
    <w:rsid w:val="2E0E4D2B"/>
    <w:rsid w:val="2E177A29"/>
    <w:rsid w:val="2E3B145A"/>
    <w:rsid w:val="2E567693"/>
    <w:rsid w:val="2E7D41CE"/>
    <w:rsid w:val="2EBF19ED"/>
    <w:rsid w:val="2EC121E7"/>
    <w:rsid w:val="2F034132"/>
    <w:rsid w:val="2F0A1E8B"/>
    <w:rsid w:val="2F4561C1"/>
    <w:rsid w:val="2F4D2659"/>
    <w:rsid w:val="2F644709"/>
    <w:rsid w:val="2FC221C7"/>
    <w:rsid w:val="2FC23F5B"/>
    <w:rsid w:val="2FF4738E"/>
    <w:rsid w:val="30530A13"/>
    <w:rsid w:val="308B3031"/>
    <w:rsid w:val="308B470A"/>
    <w:rsid w:val="309D76E3"/>
    <w:rsid w:val="30AC51CD"/>
    <w:rsid w:val="30D93633"/>
    <w:rsid w:val="30DE720E"/>
    <w:rsid w:val="30FF3470"/>
    <w:rsid w:val="3140451D"/>
    <w:rsid w:val="31615451"/>
    <w:rsid w:val="319438D2"/>
    <w:rsid w:val="31CD5245"/>
    <w:rsid w:val="31E87409"/>
    <w:rsid w:val="321419F0"/>
    <w:rsid w:val="32141B93"/>
    <w:rsid w:val="325925CC"/>
    <w:rsid w:val="3285592A"/>
    <w:rsid w:val="328624F4"/>
    <w:rsid w:val="32966D4A"/>
    <w:rsid w:val="32F36AC6"/>
    <w:rsid w:val="33010C9A"/>
    <w:rsid w:val="33085526"/>
    <w:rsid w:val="33380FCD"/>
    <w:rsid w:val="33877703"/>
    <w:rsid w:val="33913C50"/>
    <w:rsid w:val="33A747E4"/>
    <w:rsid w:val="33F947E3"/>
    <w:rsid w:val="3425770A"/>
    <w:rsid w:val="3427378C"/>
    <w:rsid w:val="345509BA"/>
    <w:rsid w:val="34657F98"/>
    <w:rsid w:val="348370E1"/>
    <w:rsid w:val="34EC78AD"/>
    <w:rsid w:val="34F866A0"/>
    <w:rsid w:val="351B6673"/>
    <w:rsid w:val="352717D5"/>
    <w:rsid w:val="358A766C"/>
    <w:rsid w:val="35A92762"/>
    <w:rsid w:val="35B47868"/>
    <w:rsid w:val="35B877FB"/>
    <w:rsid w:val="35C50EA6"/>
    <w:rsid w:val="35E20C13"/>
    <w:rsid w:val="36094FEA"/>
    <w:rsid w:val="366B518D"/>
    <w:rsid w:val="366F6744"/>
    <w:rsid w:val="36800643"/>
    <w:rsid w:val="369E2CA4"/>
    <w:rsid w:val="36A54982"/>
    <w:rsid w:val="36B576C2"/>
    <w:rsid w:val="36E87359"/>
    <w:rsid w:val="36E91924"/>
    <w:rsid w:val="370426FE"/>
    <w:rsid w:val="37414C2A"/>
    <w:rsid w:val="375D7384"/>
    <w:rsid w:val="376A5133"/>
    <w:rsid w:val="376B202F"/>
    <w:rsid w:val="37797999"/>
    <w:rsid w:val="3786549B"/>
    <w:rsid w:val="37887660"/>
    <w:rsid w:val="37AF14C7"/>
    <w:rsid w:val="37B16D92"/>
    <w:rsid w:val="37D119C1"/>
    <w:rsid w:val="37F664A5"/>
    <w:rsid w:val="37F84D2C"/>
    <w:rsid w:val="38161218"/>
    <w:rsid w:val="3825247E"/>
    <w:rsid w:val="383413C5"/>
    <w:rsid w:val="383438BF"/>
    <w:rsid w:val="384569C5"/>
    <w:rsid w:val="385A45BA"/>
    <w:rsid w:val="38650698"/>
    <w:rsid w:val="388B3F4D"/>
    <w:rsid w:val="389E5943"/>
    <w:rsid w:val="38B337BC"/>
    <w:rsid w:val="38B41785"/>
    <w:rsid w:val="38B86D53"/>
    <w:rsid w:val="39053680"/>
    <w:rsid w:val="39A23E51"/>
    <w:rsid w:val="39DB576E"/>
    <w:rsid w:val="39DF660E"/>
    <w:rsid w:val="3A231925"/>
    <w:rsid w:val="3A3E5E75"/>
    <w:rsid w:val="3A447768"/>
    <w:rsid w:val="3A9C1906"/>
    <w:rsid w:val="3ABB6604"/>
    <w:rsid w:val="3B1C0164"/>
    <w:rsid w:val="3B7F4E52"/>
    <w:rsid w:val="3B9D4A8A"/>
    <w:rsid w:val="3BA15EBC"/>
    <w:rsid w:val="3BB24EB0"/>
    <w:rsid w:val="3BD73815"/>
    <w:rsid w:val="3C0628EA"/>
    <w:rsid w:val="3C0A7973"/>
    <w:rsid w:val="3C543740"/>
    <w:rsid w:val="3C6B78A2"/>
    <w:rsid w:val="3CA85BB0"/>
    <w:rsid w:val="3CBD7A64"/>
    <w:rsid w:val="3CC24A6B"/>
    <w:rsid w:val="3CEC24DA"/>
    <w:rsid w:val="3CF32433"/>
    <w:rsid w:val="3CFF026F"/>
    <w:rsid w:val="3CFF129B"/>
    <w:rsid w:val="3D0E3279"/>
    <w:rsid w:val="3D1C417E"/>
    <w:rsid w:val="3D4D5DD2"/>
    <w:rsid w:val="3D671437"/>
    <w:rsid w:val="3D6B093F"/>
    <w:rsid w:val="3D812B5A"/>
    <w:rsid w:val="3D8D74D1"/>
    <w:rsid w:val="3DB11F6B"/>
    <w:rsid w:val="3DB25B7C"/>
    <w:rsid w:val="3DC8112B"/>
    <w:rsid w:val="3DC84FFC"/>
    <w:rsid w:val="3E000C68"/>
    <w:rsid w:val="3E0C4346"/>
    <w:rsid w:val="3E357A6D"/>
    <w:rsid w:val="3E6354AD"/>
    <w:rsid w:val="3E65054E"/>
    <w:rsid w:val="3E681E33"/>
    <w:rsid w:val="3E9213B1"/>
    <w:rsid w:val="3E944FA6"/>
    <w:rsid w:val="3E952396"/>
    <w:rsid w:val="3E9C5F3D"/>
    <w:rsid w:val="3ED85D49"/>
    <w:rsid w:val="3F8B2150"/>
    <w:rsid w:val="3FA31F9E"/>
    <w:rsid w:val="4000638F"/>
    <w:rsid w:val="400F0985"/>
    <w:rsid w:val="400F25FB"/>
    <w:rsid w:val="405530BA"/>
    <w:rsid w:val="4060435D"/>
    <w:rsid w:val="40890B10"/>
    <w:rsid w:val="408973F4"/>
    <w:rsid w:val="40AF282F"/>
    <w:rsid w:val="40B550A3"/>
    <w:rsid w:val="40C257B0"/>
    <w:rsid w:val="40C93C6A"/>
    <w:rsid w:val="40D07AD9"/>
    <w:rsid w:val="40F27CA1"/>
    <w:rsid w:val="40FF6F13"/>
    <w:rsid w:val="411A78DE"/>
    <w:rsid w:val="412F1CA2"/>
    <w:rsid w:val="415630CD"/>
    <w:rsid w:val="41726BF5"/>
    <w:rsid w:val="4197145E"/>
    <w:rsid w:val="41AE4707"/>
    <w:rsid w:val="41D419EA"/>
    <w:rsid w:val="420C1F56"/>
    <w:rsid w:val="421C39E4"/>
    <w:rsid w:val="422E312E"/>
    <w:rsid w:val="426C4F4A"/>
    <w:rsid w:val="42891BE5"/>
    <w:rsid w:val="42B02412"/>
    <w:rsid w:val="42B05345"/>
    <w:rsid w:val="42BC2329"/>
    <w:rsid w:val="42CD2D7F"/>
    <w:rsid w:val="42E0132F"/>
    <w:rsid w:val="4308131B"/>
    <w:rsid w:val="433B1FA6"/>
    <w:rsid w:val="435251F9"/>
    <w:rsid w:val="435D76DC"/>
    <w:rsid w:val="43652D16"/>
    <w:rsid w:val="43792ACE"/>
    <w:rsid w:val="437C4D0F"/>
    <w:rsid w:val="43804CEF"/>
    <w:rsid w:val="43974907"/>
    <w:rsid w:val="43CA5032"/>
    <w:rsid w:val="43DC362F"/>
    <w:rsid w:val="444739DD"/>
    <w:rsid w:val="448C5593"/>
    <w:rsid w:val="44902108"/>
    <w:rsid w:val="449A12BB"/>
    <w:rsid w:val="44A44A8A"/>
    <w:rsid w:val="44EA7BAB"/>
    <w:rsid w:val="450B6E9E"/>
    <w:rsid w:val="451F3479"/>
    <w:rsid w:val="45322EA1"/>
    <w:rsid w:val="45C873BF"/>
    <w:rsid w:val="462A3991"/>
    <w:rsid w:val="463351B6"/>
    <w:rsid w:val="463647EC"/>
    <w:rsid w:val="46597C64"/>
    <w:rsid w:val="468D3CBC"/>
    <w:rsid w:val="469C1173"/>
    <w:rsid w:val="469C74B2"/>
    <w:rsid w:val="46B55209"/>
    <w:rsid w:val="46C9074A"/>
    <w:rsid w:val="46FC3137"/>
    <w:rsid w:val="47882D75"/>
    <w:rsid w:val="47992416"/>
    <w:rsid w:val="47AB5220"/>
    <w:rsid w:val="47BD0083"/>
    <w:rsid w:val="47F00E85"/>
    <w:rsid w:val="48096C2B"/>
    <w:rsid w:val="480B24F3"/>
    <w:rsid w:val="48113D4C"/>
    <w:rsid w:val="4812498A"/>
    <w:rsid w:val="483D773B"/>
    <w:rsid w:val="485C2EDB"/>
    <w:rsid w:val="486221F2"/>
    <w:rsid w:val="486D741E"/>
    <w:rsid w:val="48821AA5"/>
    <w:rsid w:val="48A136B5"/>
    <w:rsid w:val="491B6A88"/>
    <w:rsid w:val="49204A15"/>
    <w:rsid w:val="49765097"/>
    <w:rsid w:val="499F3226"/>
    <w:rsid w:val="49C51F02"/>
    <w:rsid w:val="4A16163A"/>
    <w:rsid w:val="4A1B7BCF"/>
    <w:rsid w:val="4AAA4C1D"/>
    <w:rsid w:val="4AD02540"/>
    <w:rsid w:val="4ADB22FE"/>
    <w:rsid w:val="4B0A77F1"/>
    <w:rsid w:val="4B27439D"/>
    <w:rsid w:val="4B2D7B22"/>
    <w:rsid w:val="4B372EF1"/>
    <w:rsid w:val="4B541D7F"/>
    <w:rsid w:val="4B651E3C"/>
    <w:rsid w:val="4B696B2A"/>
    <w:rsid w:val="4B6E31F8"/>
    <w:rsid w:val="4B7848EB"/>
    <w:rsid w:val="4BCB6AC3"/>
    <w:rsid w:val="4BE41B3E"/>
    <w:rsid w:val="4BFA3182"/>
    <w:rsid w:val="4C1D0320"/>
    <w:rsid w:val="4C27694A"/>
    <w:rsid w:val="4C545E87"/>
    <w:rsid w:val="4C6166D7"/>
    <w:rsid w:val="4C9021A0"/>
    <w:rsid w:val="4C9568A2"/>
    <w:rsid w:val="4CA22737"/>
    <w:rsid w:val="4CDB0282"/>
    <w:rsid w:val="4CDD0229"/>
    <w:rsid w:val="4CDF2B58"/>
    <w:rsid w:val="4CED7116"/>
    <w:rsid w:val="4D171FA0"/>
    <w:rsid w:val="4D3C2FCF"/>
    <w:rsid w:val="4D62194C"/>
    <w:rsid w:val="4D8A5313"/>
    <w:rsid w:val="4DA17121"/>
    <w:rsid w:val="4DB15566"/>
    <w:rsid w:val="4DCB05C6"/>
    <w:rsid w:val="4DFE4ACC"/>
    <w:rsid w:val="4E2050A6"/>
    <w:rsid w:val="4E310BEF"/>
    <w:rsid w:val="4E5821A6"/>
    <w:rsid w:val="4E7E7EC6"/>
    <w:rsid w:val="4EAC16DF"/>
    <w:rsid w:val="4EB3158A"/>
    <w:rsid w:val="4EB608FC"/>
    <w:rsid w:val="4EB85309"/>
    <w:rsid w:val="4EDF75E8"/>
    <w:rsid w:val="4F1209D2"/>
    <w:rsid w:val="4F576615"/>
    <w:rsid w:val="4F591EB7"/>
    <w:rsid w:val="4F6B136B"/>
    <w:rsid w:val="4F6D031B"/>
    <w:rsid w:val="4F716D4F"/>
    <w:rsid w:val="4F895E47"/>
    <w:rsid w:val="4F9C2E13"/>
    <w:rsid w:val="4FC15B53"/>
    <w:rsid w:val="5002245E"/>
    <w:rsid w:val="50B83B43"/>
    <w:rsid w:val="510464D3"/>
    <w:rsid w:val="51305F0E"/>
    <w:rsid w:val="51413D58"/>
    <w:rsid w:val="51440DC5"/>
    <w:rsid w:val="51687944"/>
    <w:rsid w:val="51A4438A"/>
    <w:rsid w:val="51BC634E"/>
    <w:rsid w:val="520479BF"/>
    <w:rsid w:val="521340B3"/>
    <w:rsid w:val="52355C79"/>
    <w:rsid w:val="5252553E"/>
    <w:rsid w:val="52724826"/>
    <w:rsid w:val="52971484"/>
    <w:rsid w:val="52AB73ED"/>
    <w:rsid w:val="52CC0273"/>
    <w:rsid w:val="52CE22A3"/>
    <w:rsid w:val="52D72442"/>
    <w:rsid w:val="52F001B2"/>
    <w:rsid w:val="52F0652B"/>
    <w:rsid w:val="53182993"/>
    <w:rsid w:val="531C0C7D"/>
    <w:rsid w:val="531F3914"/>
    <w:rsid w:val="531F71AD"/>
    <w:rsid w:val="5368522F"/>
    <w:rsid w:val="536C6C1B"/>
    <w:rsid w:val="538A7AAC"/>
    <w:rsid w:val="5425130E"/>
    <w:rsid w:val="542B5305"/>
    <w:rsid w:val="547059D0"/>
    <w:rsid w:val="548147FC"/>
    <w:rsid w:val="549534E0"/>
    <w:rsid w:val="54A130A1"/>
    <w:rsid w:val="54A93C01"/>
    <w:rsid w:val="555B2EF8"/>
    <w:rsid w:val="5589607D"/>
    <w:rsid w:val="55924AA3"/>
    <w:rsid w:val="560E78DF"/>
    <w:rsid w:val="56302302"/>
    <w:rsid w:val="564E4F61"/>
    <w:rsid w:val="565B09EA"/>
    <w:rsid w:val="56931435"/>
    <w:rsid w:val="56B32093"/>
    <w:rsid w:val="56CA2991"/>
    <w:rsid w:val="56D62645"/>
    <w:rsid w:val="56E94079"/>
    <w:rsid w:val="5713527A"/>
    <w:rsid w:val="571D2E88"/>
    <w:rsid w:val="57454F3C"/>
    <w:rsid w:val="574865E8"/>
    <w:rsid w:val="57522C97"/>
    <w:rsid w:val="575B3465"/>
    <w:rsid w:val="57687036"/>
    <w:rsid w:val="57997B3B"/>
    <w:rsid w:val="57F542ED"/>
    <w:rsid w:val="580F1057"/>
    <w:rsid w:val="585B25B6"/>
    <w:rsid w:val="586D6AC3"/>
    <w:rsid w:val="588C1B0D"/>
    <w:rsid w:val="58C148A4"/>
    <w:rsid w:val="58EE002B"/>
    <w:rsid w:val="5904473C"/>
    <w:rsid w:val="59350DEE"/>
    <w:rsid w:val="593A1E81"/>
    <w:rsid w:val="594B2192"/>
    <w:rsid w:val="59603129"/>
    <w:rsid w:val="596264CA"/>
    <w:rsid w:val="5973302A"/>
    <w:rsid w:val="597573CB"/>
    <w:rsid w:val="597D24C5"/>
    <w:rsid w:val="59954CBE"/>
    <w:rsid w:val="59BB14AC"/>
    <w:rsid w:val="59CB78B1"/>
    <w:rsid w:val="59CF0729"/>
    <w:rsid w:val="59F413E5"/>
    <w:rsid w:val="5A0374F4"/>
    <w:rsid w:val="5A0E119A"/>
    <w:rsid w:val="5A78181A"/>
    <w:rsid w:val="5AAC6CAF"/>
    <w:rsid w:val="5AF50935"/>
    <w:rsid w:val="5B0605AC"/>
    <w:rsid w:val="5B0D3A93"/>
    <w:rsid w:val="5B1F1AB9"/>
    <w:rsid w:val="5B23542C"/>
    <w:rsid w:val="5B4956EE"/>
    <w:rsid w:val="5B6A2C95"/>
    <w:rsid w:val="5B934F7A"/>
    <w:rsid w:val="5B9C2349"/>
    <w:rsid w:val="5BE11B5D"/>
    <w:rsid w:val="5C007491"/>
    <w:rsid w:val="5C7E7AB1"/>
    <w:rsid w:val="5C9418D2"/>
    <w:rsid w:val="5CFA09A9"/>
    <w:rsid w:val="5D0450A3"/>
    <w:rsid w:val="5D5206B4"/>
    <w:rsid w:val="5D696CF8"/>
    <w:rsid w:val="5D6C2643"/>
    <w:rsid w:val="5D6F4BA6"/>
    <w:rsid w:val="5D807909"/>
    <w:rsid w:val="5D9407D9"/>
    <w:rsid w:val="5DA56337"/>
    <w:rsid w:val="5DAF6297"/>
    <w:rsid w:val="5DD4732D"/>
    <w:rsid w:val="5DD5307F"/>
    <w:rsid w:val="5DF80AE4"/>
    <w:rsid w:val="5E005E6E"/>
    <w:rsid w:val="5E0D15ED"/>
    <w:rsid w:val="5E1476D8"/>
    <w:rsid w:val="5E535B08"/>
    <w:rsid w:val="5E756871"/>
    <w:rsid w:val="5E8048B9"/>
    <w:rsid w:val="5E9B0996"/>
    <w:rsid w:val="5E9B41D7"/>
    <w:rsid w:val="5EC44B3A"/>
    <w:rsid w:val="5F5C4B7D"/>
    <w:rsid w:val="5F691F65"/>
    <w:rsid w:val="5F8945DA"/>
    <w:rsid w:val="5F8B5092"/>
    <w:rsid w:val="5FBA21F5"/>
    <w:rsid w:val="5FC66772"/>
    <w:rsid w:val="5FE846C1"/>
    <w:rsid w:val="602E187C"/>
    <w:rsid w:val="605E50CE"/>
    <w:rsid w:val="607C230B"/>
    <w:rsid w:val="60DB6DF4"/>
    <w:rsid w:val="6135780F"/>
    <w:rsid w:val="616E1639"/>
    <w:rsid w:val="617A7CE6"/>
    <w:rsid w:val="618A63F0"/>
    <w:rsid w:val="61922861"/>
    <w:rsid w:val="61A40C67"/>
    <w:rsid w:val="61A545A9"/>
    <w:rsid w:val="61E7468F"/>
    <w:rsid w:val="61EB6EA3"/>
    <w:rsid w:val="621D2C7E"/>
    <w:rsid w:val="624C1682"/>
    <w:rsid w:val="62717F98"/>
    <w:rsid w:val="62824D14"/>
    <w:rsid w:val="628B1D5C"/>
    <w:rsid w:val="629762BF"/>
    <w:rsid w:val="62BE6795"/>
    <w:rsid w:val="62C03E1E"/>
    <w:rsid w:val="62C161FF"/>
    <w:rsid w:val="62E2351A"/>
    <w:rsid w:val="633200A7"/>
    <w:rsid w:val="637A2FF9"/>
    <w:rsid w:val="638C03D1"/>
    <w:rsid w:val="639661DD"/>
    <w:rsid w:val="639821D2"/>
    <w:rsid w:val="63A318B8"/>
    <w:rsid w:val="63A63203"/>
    <w:rsid w:val="640A2CD3"/>
    <w:rsid w:val="644D16E1"/>
    <w:rsid w:val="64923613"/>
    <w:rsid w:val="649B1899"/>
    <w:rsid w:val="64A65AFD"/>
    <w:rsid w:val="64B60F56"/>
    <w:rsid w:val="64E419AA"/>
    <w:rsid w:val="6516428D"/>
    <w:rsid w:val="65221F46"/>
    <w:rsid w:val="65273CE0"/>
    <w:rsid w:val="65746E8C"/>
    <w:rsid w:val="658408AD"/>
    <w:rsid w:val="658A13BB"/>
    <w:rsid w:val="659C18B1"/>
    <w:rsid w:val="65A87F99"/>
    <w:rsid w:val="65AD323B"/>
    <w:rsid w:val="65ED60D5"/>
    <w:rsid w:val="662C0C89"/>
    <w:rsid w:val="66476CCE"/>
    <w:rsid w:val="664843C0"/>
    <w:rsid w:val="66945EE1"/>
    <w:rsid w:val="66A016B9"/>
    <w:rsid w:val="66C03853"/>
    <w:rsid w:val="670D21FC"/>
    <w:rsid w:val="67487EB0"/>
    <w:rsid w:val="677146D6"/>
    <w:rsid w:val="67742D26"/>
    <w:rsid w:val="677C6178"/>
    <w:rsid w:val="67AF2BC2"/>
    <w:rsid w:val="67B51A77"/>
    <w:rsid w:val="67B84130"/>
    <w:rsid w:val="67CA1EF8"/>
    <w:rsid w:val="67CB5E50"/>
    <w:rsid w:val="67FE513C"/>
    <w:rsid w:val="68211C2F"/>
    <w:rsid w:val="682F1D94"/>
    <w:rsid w:val="686D2B55"/>
    <w:rsid w:val="686D591C"/>
    <w:rsid w:val="68737D5F"/>
    <w:rsid w:val="68963A31"/>
    <w:rsid w:val="689C49E5"/>
    <w:rsid w:val="68AB0C88"/>
    <w:rsid w:val="68B7251D"/>
    <w:rsid w:val="68FD31BF"/>
    <w:rsid w:val="690E3955"/>
    <w:rsid w:val="69105C0E"/>
    <w:rsid w:val="692A2DD6"/>
    <w:rsid w:val="69331237"/>
    <w:rsid w:val="695A5172"/>
    <w:rsid w:val="69623539"/>
    <w:rsid w:val="696F0AFE"/>
    <w:rsid w:val="696F5C56"/>
    <w:rsid w:val="69897D5C"/>
    <w:rsid w:val="698A257F"/>
    <w:rsid w:val="699920C4"/>
    <w:rsid w:val="69AA3C08"/>
    <w:rsid w:val="69B571FF"/>
    <w:rsid w:val="69D041DE"/>
    <w:rsid w:val="6A032055"/>
    <w:rsid w:val="6A046A26"/>
    <w:rsid w:val="6A17596C"/>
    <w:rsid w:val="6A341198"/>
    <w:rsid w:val="6A522AB0"/>
    <w:rsid w:val="6A673270"/>
    <w:rsid w:val="6A8D6CDC"/>
    <w:rsid w:val="6A8E3FAE"/>
    <w:rsid w:val="6AC83AE8"/>
    <w:rsid w:val="6ACA2F2D"/>
    <w:rsid w:val="6AD3180B"/>
    <w:rsid w:val="6AF46E73"/>
    <w:rsid w:val="6B1A4C4C"/>
    <w:rsid w:val="6B3E6EDE"/>
    <w:rsid w:val="6B735BA4"/>
    <w:rsid w:val="6B833C3B"/>
    <w:rsid w:val="6BAE6F0A"/>
    <w:rsid w:val="6BE03D88"/>
    <w:rsid w:val="6BEA0AEA"/>
    <w:rsid w:val="6C0504CD"/>
    <w:rsid w:val="6C2A54D6"/>
    <w:rsid w:val="6C46750F"/>
    <w:rsid w:val="6C4B4F78"/>
    <w:rsid w:val="6C793C2A"/>
    <w:rsid w:val="6C874256"/>
    <w:rsid w:val="6CA721C1"/>
    <w:rsid w:val="6CC565C6"/>
    <w:rsid w:val="6CCE5DC3"/>
    <w:rsid w:val="6CDC4BAE"/>
    <w:rsid w:val="6D27337C"/>
    <w:rsid w:val="6D4874A9"/>
    <w:rsid w:val="6D566DB0"/>
    <w:rsid w:val="6D582938"/>
    <w:rsid w:val="6D800281"/>
    <w:rsid w:val="6D8646FC"/>
    <w:rsid w:val="6D895FE0"/>
    <w:rsid w:val="6D9001ED"/>
    <w:rsid w:val="6DB73798"/>
    <w:rsid w:val="6DBE360F"/>
    <w:rsid w:val="6DC9657A"/>
    <w:rsid w:val="6DE76C8D"/>
    <w:rsid w:val="6DEA448D"/>
    <w:rsid w:val="6DED5E9F"/>
    <w:rsid w:val="6DFC1CAF"/>
    <w:rsid w:val="6E215ADA"/>
    <w:rsid w:val="6E5C523E"/>
    <w:rsid w:val="6E695222"/>
    <w:rsid w:val="6E8426DF"/>
    <w:rsid w:val="6EC55C46"/>
    <w:rsid w:val="6EF066ED"/>
    <w:rsid w:val="6F067393"/>
    <w:rsid w:val="6F236BE2"/>
    <w:rsid w:val="6F2B1A9C"/>
    <w:rsid w:val="6F524BFF"/>
    <w:rsid w:val="6F6A4E6C"/>
    <w:rsid w:val="6F7270B4"/>
    <w:rsid w:val="6F784462"/>
    <w:rsid w:val="6FA303C7"/>
    <w:rsid w:val="6FAE142B"/>
    <w:rsid w:val="6FBE5A42"/>
    <w:rsid w:val="6FD70AF2"/>
    <w:rsid w:val="7016033E"/>
    <w:rsid w:val="70232166"/>
    <w:rsid w:val="70751B2F"/>
    <w:rsid w:val="707553D5"/>
    <w:rsid w:val="70B44B12"/>
    <w:rsid w:val="70B717EB"/>
    <w:rsid w:val="70C320D9"/>
    <w:rsid w:val="711D0C9C"/>
    <w:rsid w:val="713E1E41"/>
    <w:rsid w:val="71971C90"/>
    <w:rsid w:val="719E0A70"/>
    <w:rsid w:val="71AE3841"/>
    <w:rsid w:val="71B0512B"/>
    <w:rsid w:val="72117ED8"/>
    <w:rsid w:val="7250322E"/>
    <w:rsid w:val="725D3437"/>
    <w:rsid w:val="726B4F67"/>
    <w:rsid w:val="72A76F69"/>
    <w:rsid w:val="72CD56CF"/>
    <w:rsid w:val="72E16971"/>
    <w:rsid w:val="72EE408F"/>
    <w:rsid w:val="73232523"/>
    <w:rsid w:val="732C1614"/>
    <w:rsid w:val="732D2E9A"/>
    <w:rsid w:val="73375A36"/>
    <w:rsid w:val="735753B2"/>
    <w:rsid w:val="73705AD4"/>
    <w:rsid w:val="73796251"/>
    <w:rsid w:val="73B17C87"/>
    <w:rsid w:val="73B430BE"/>
    <w:rsid w:val="73DD6F47"/>
    <w:rsid w:val="73FC630C"/>
    <w:rsid w:val="746F5A54"/>
    <w:rsid w:val="74704A19"/>
    <w:rsid w:val="747426A9"/>
    <w:rsid w:val="748D3AA7"/>
    <w:rsid w:val="749D639F"/>
    <w:rsid w:val="74B30882"/>
    <w:rsid w:val="74B75A9A"/>
    <w:rsid w:val="74BF5CE3"/>
    <w:rsid w:val="74CC21AE"/>
    <w:rsid w:val="751235C5"/>
    <w:rsid w:val="751F2A9B"/>
    <w:rsid w:val="75411635"/>
    <w:rsid w:val="755C1EBE"/>
    <w:rsid w:val="75720BCF"/>
    <w:rsid w:val="75A75119"/>
    <w:rsid w:val="75A860FD"/>
    <w:rsid w:val="75D73501"/>
    <w:rsid w:val="75FE283B"/>
    <w:rsid w:val="76550ADA"/>
    <w:rsid w:val="76665687"/>
    <w:rsid w:val="7676198F"/>
    <w:rsid w:val="769A021B"/>
    <w:rsid w:val="76B422D0"/>
    <w:rsid w:val="76D82557"/>
    <w:rsid w:val="76EB3EA2"/>
    <w:rsid w:val="770277DC"/>
    <w:rsid w:val="7711659E"/>
    <w:rsid w:val="773366FD"/>
    <w:rsid w:val="77344ADF"/>
    <w:rsid w:val="778721C6"/>
    <w:rsid w:val="77CE623E"/>
    <w:rsid w:val="77D16744"/>
    <w:rsid w:val="78093E4B"/>
    <w:rsid w:val="78174AB0"/>
    <w:rsid w:val="785719A5"/>
    <w:rsid w:val="787518CB"/>
    <w:rsid w:val="7883171E"/>
    <w:rsid w:val="78867F53"/>
    <w:rsid w:val="788B07D3"/>
    <w:rsid w:val="78A51694"/>
    <w:rsid w:val="78D45AB3"/>
    <w:rsid w:val="78EE553E"/>
    <w:rsid w:val="78F441A4"/>
    <w:rsid w:val="79014C79"/>
    <w:rsid w:val="790A5FA7"/>
    <w:rsid w:val="792026DC"/>
    <w:rsid w:val="793527B2"/>
    <w:rsid w:val="79703739"/>
    <w:rsid w:val="79B35509"/>
    <w:rsid w:val="79B3755A"/>
    <w:rsid w:val="79B46E6C"/>
    <w:rsid w:val="79D750F8"/>
    <w:rsid w:val="79DD726F"/>
    <w:rsid w:val="79E9575B"/>
    <w:rsid w:val="7A0F1B9F"/>
    <w:rsid w:val="7A3C73E8"/>
    <w:rsid w:val="7A3F2296"/>
    <w:rsid w:val="7A4C0DFA"/>
    <w:rsid w:val="7A6170FA"/>
    <w:rsid w:val="7A665A98"/>
    <w:rsid w:val="7A992E5F"/>
    <w:rsid w:val="7AFD66C2"/>
    <w:rsid w:val="7B253D6B"/>
    <w:rsid w:val="7B4948D5"/>
    <w:rsid w:val="7B700D65"/>
    <w:rsid w:val="7B995187"/>
    <w:rsid w:val="7BC84F99"/>
    <w:rsid w:val="7BD35F5F"/>
    <w:rsid w:val="7C374259"/>
    <w:rsid w:val="7C396854"/>
    <w:rsid w:val="7C3B3E60"/>
    <w:rsid w:val="7C4B069E"/>
    <w:rsid w:val="7C4B4254"/>
    <w:rsid w:val="7C5A5335"/>
    <w:rsid w:val="7C664861"/>
    <w:rsid w:val="7C6F7363"/>
    <w:rsid w:val="7C753A0E"/>
    <w:rsid w:val="7C7F09F0"/>
    <w:rsid w:val="7C852D5E"/>
    <w:rsid w:val="7CD95EB9"/>
    <w:rsid w:val="7CDD04D8"/>
    <w:rsid w:val="7CE82192"/>
    <w:rsid w:val="7D057C15"/>
    <w:rsid w:val="7D0E129E"/>
    <w:rsid w:val="7D4A4136"/>
    <w:rsid w:val="7D56500F"/>
    <w:rsid w:val="7D623A47"/>
    <w:rsid w:val="7D8240F9"/>
    <w:rsid w:val="7D834509"/>
    <w:rsid w:val="7D8D05C3"/>
    <w:rsid w:val="7D9D4634"/>
    <w:rsid w:val="7DA11C02"/>
    <w:rsid w:val="7DA9301A"/>
    <w:rsid w:val="7DCE11F5"/>
    <w:rsid w:val="7E055E8F"/>
    <w:rsid w:val="7E3151D1"/>
    <w:rsid w:val="7E6372B2"/>
    <w:rsid w:val="7E7052A2"/>
    <w:rsid w:val="7E767BF6"/>
    <w:rsid w:val="7E795C42"/>
    <w:rsid w:val="7E841601"/>
    <w:rsid w:val="7EA236C0"/>
    <w:rsid w:val="7EA75753"/>
    <w:rsid w:val="7ED64745"/>
    <w:rsid w:val="7F140AB4"/>
    <w:rsid w:val="7F1F2A46"/>
    <w:rsid w:val="7F214530"/>
    <w:rsid w:val="7F432537"/>
    <w:rsid w:val="7F56630C"/>
    <w:rsid w:val="7F903C9F"/>
    <w:rsid w:val="7FB05EBC"/>
    <w:rsid w:val="7FFA430A"/>
    <w:rsid w:val="7FFB7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keepNext/>
      <w:keepLines/>
      <w:spacing w:before="340" w:after="330" w:line="576" w:lineRule="auto"/>
      <w:outlineLvl w:val="0"/>
    </w:pPr>
    <w:rPr>
      <w:rFonts w:eastAsia="黑体"/>
      <w:b/>
      <w:kern w:val="44"/>
      <w:sz w:val="30"/>
    </w:rPr>
  </w:style>
  <w:style w:type="paragraph" w:styleId="7">
    <w:name w:val="heading 2"/>
    <w:basedOn w:val="1"/>
    <w:next w:val="1"/>
    <w:qFormat/>
    <w:uiPriority w:val="0"/>
    <w:pPr>
      <w:numPr>
        <w:ilvl w:val="1"/>
        <w:numId w:val="1"/>
      </w:numPr>
      <w:spacing w:before="240" w:after="240"/>
      <w:outlineLvl w:val="1"/>
    </w:pPr>
    <w:rPr>
      <w:b/>
      <w:sz w:val="28"/>
      <w:szCs w:val="32"/>
    </w:rPr>
  </w:style>
  <w:style w:type="paragraph" w:styleId="8">
    <w:name w:val="heading 3"/>
    <w:basedOn w:val="1"/>
    <w:next w:val="1"/>
    <w:qFormat/>
    <w:uiPriority w:val="0"/>
    <w:pPr>
      <w:keepNext/>
      <w:keepLines/>
      <w:spacing w:before="260" w:after="260" w:line="416" w:lineRule="auto"/>
      <w:outlineLvl w:val="2"/>
    </w:pPr>
    <w:rPr>
      <w:b/>
      <w:bCs/>
      <w:sz w:val="32"/>
      <w:szCs w:val="32"/>
    </w:rPr>
  </w:style>
  <w:style w:type="paragraph" w:styleId="9">
    <w:name w:val="heading 4"/>
    <w:basedOn w:val="10"/>
    <w:next w:val="1"/>
    <w:qFormat/>
    <w:uiPriority w:val="9"/>
    <w:pPr>
      <w:spacing w:line="240" w:lineRule="auto"/>
      <w:ind w:firstLine="0"/>
      <w:jc w:val="center"/>
      <w:outlineLvl w:val="3"/>
    </w:pPr>
    <w:rPr>
      <w:b/>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sz w:val="24"/>
    </w:rPr>
  </w:style>
  <w:style w:type="paragraph" w:styleId="3">
    <w:name w:val="Normal Indent"/>
    <w:basedOn w:val="1"/>
    <w:next w:val="4"/>
    <w:qFormat/>
    <w:uiPriority w:val="0"/>
    <w:pPr>
      <w:spacing w:line="440" w:lineRule="exact"/>
      <w:ind w:firstLine="420"/>
    </w:pPr>
    <w:rPr>
      <w:rFonts w:ascii="宋体"/>
      <w:sz w:val="24"/>
    </w:rPr>
  </w:style>
  <w:style w:type="paragraph" w:styleId="4">
    <w:name w:val="Body Text First Indent 2"/>
    <w:basedOn w:val="1"/>
    <w:next w:val="5"/>
    <w:qFormat/>
    <w:uiPriority w:val="0"/>
    <w:pPr>
      <w:spacing w:after="120"/>
      <w:ind w:left="420" w:leftChars="200" w:firstLine="420" w:firstLineChars="200"/>
    </w:pPr>
  </w:style>
  <w:style w:type="paragraph" w:styleId="5">
    <w:name w:val="Body Text First Indent"/>
    <w:basedOn w:val="1"/>
    <w:next w:val="4"/>
    <w:qFormat/>
    <w:uiPriority w:val="0"/>
    <w:pPr>
      <w:spacing w:after="120"/>
      <w:ind w:firstLine="420" w:firstLineChars="100"/>
    </w:pPr>
    <w:rPr>
      <w:sz w:val="21"/>
    </w:rPr>
  </w:style>
  <w:style w:type="paragraph" w:customStyle="1" w:styleId="10">
    <w:name w:val="正文1"/>
    <w:basedOn w:val="1"/>
    <w:next w:val="1"/>
    <w:qFormat/>
    <w:uiPriority w:val="0"/>
    <w:pPr>
      <w:adjustRightInd w:val="0"/>
      <w:snapToGrid w:val="0"/>
      <w:spacing w:line="360" w:lineRule="auto"/>
      <w:ind w:firstLine="480"/>
    </w:pPr>
    <w:rPr>
      <w:color w:val="000000"/>
      <w:sz w:val="24"/>
    </w:rPr>
  </w:style>
  <w:style w:type="paragraph" w:styleId="11">
    <w:name w:val="annotation text"/>
    <w:basedOn w:val="1"/>
    <w:link w:val="64"/>
    <w:qFormat/>
    <w:uiPriority w:val="0"/>
    <w:pPr>
      <w:spacing w:line="360" w:lineRule="auto"/>
      <w:jc w:val="left"/>
    </w:pPr>
    <w:rPr>
      <w:rFonts w:ascii="宋体" w:hAnsi="宋体"/>
      <w:sz w:val="24"/>
    </w:rPr>
  </w:style>
  <w:style w:type="paragraph" w:styleId="12">
    <w:name w:val="Body Text Indent"/>
    <w:basedOn w:val="1"/>
    <w:next w:val="13"/>
    <w:qFormat/>
    <w:uiPriority w:val="0"/>
    <w:pPr>
      <w:ind w:firstLine="645"/>
    </w:pPr>
    <w:rPr>
      <w:sz w:val="28"/>
    </w:rPr>
  </w:style>
  <w:style w:type="paragraph" w:styleId="13">
    <w:name w:val="envelope return"/>
    <w:basedOn w:val="1"/>
    <w:qFormat/>
    <w:uiPriority w:val="0"/>
    <w:pPr>
      <w:snapToGrid w:val="0"/>
    </w:pPr>
    <w:rPr>
      <w:rFonts w:ascii="Arial" w:hAnsi="Arial"/>
    </w:rPr>
  </w:style>
  <w:style w:type="paragraph" w:styleId="14">
    <w:name w:val="Plain Text"/>
    <w:basedOn w:val="1"/>
    <w:next w:val="1"/>
    <w:qFormat/>
    <w:uiPriority w:val="0"/>
    <w:rPr>
      <w:rFonts w:ascii="宋体" w:hAnsi="Courier New"/>
    </w:rPr>
  </w:style>
  <w:style w:type="paragraph" w:styleId="15">
    <w:name w:val="Date"/>
    <w:basedOn w:val="1"/>
    <w:next w:val="1"/>
    <w:qFormat/>
    <w:uiPriority w:val="0"/>
    <w:rPr>
      <w:sz w:val="24"/>
      <w:szCs w:val="20"/>
    </w:rPr>
  </w:style>
  <w:style w:type="paragraph" w:styleId="16">
    <w:name w:val="Body Text Indent 2"/>
    <w:basedOn w:val="1"/>
    <w:qFormat/>
    <w:uiPriority w:val="0"/>
    <w:pPr>
      <w:ind w:firstLine="570"/>
    </w:pPr>
    <w:rPr>
      <w:sz w:val="28"/>
    </w:rPr>
  </w:style>
  <w:style w:type="paragraph" w:styleId="17">
    <w:name w:val="Balloon Text"/>
    <w:basedOn w:val="1"/>
    <w:link w:val="66"/>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20">
    <w:name w:val="index heading"/>
    <w:basedOn w:val="1"/>
    <w:next w:val="21"/>
    <w:qFormat/>
    <w:uiPriority w:val="0"/>
    <w:rPr>
      <w:rFonts w:ascii="Arial" w:hAnsi="Arial"/>
      <w:b/>
    </w:rPr>
  </w:style>
  <w:style w:type="paragraph" w:styleId="21">
    <w:name w:val="index 1"/>
    <w:basedOn w:val="1"/>
    <w:next w:val="1"/>
    <w:qFormat/>
    <w:uiPriority w:val="0"/>
    <w:pPr>
      <w:adjustRightInd w:val="0"/>
      <w:snapToGrid w:val="0"/>
      <w:spacing w:line="360" w:lineRule="auto"/>
    </w:pPr>
    <w:rPr>
      <w:rFonts w:hint="eastAsia" w:ascii="宋体" w:hAnsi="宋体"/>
      <w:sz w:val="24"/>
      <w:szCs w:val="20"/>
    </w:rPr>
  </w:style>
  <w:style w:type="paragraph" w:styleId="22">
    <w:name w:val="List"/>
    <w:basedOn w:val="1"/>
    <w:qFormat/>
    <w:uiPriority w:val="0"/>
    <w:pPr>
      <w:ind w:firstLine="0" w:firstLineChars="0"/>
      <w:jc w:val="center"/>
    </w:pPr>
    <w:rPr>
      <w:b/>
    </w:rPr>
  </w:style>
  <w:style w:type="paragraph" w:styleId="23">
    <w:name w:val="Body Text 2"/>
    <w:basedOn w:val="1"/>
    <w:qFormat/>
    <w:uiPriority w:val="0"/>
    <w:pPr>
      <w:spacing w:after="120" w:afterLines="0" w:afterAutospacing="0" w:line="480" w:lineRule="auto"/>
    </w:pPr>
  </w:style>
  <w:style w:type="paragraph" w:styleId="24">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qFormat/>
    <w:uiPriority w:val="0"/>
    <w:pPr>
      <w:widowControl/>
      <w:spacing w:before="100" w:beforeAutospacing="1" w:after="100" w:afterAutospacing="1"/>
      <w:jc w:val="left"/>
    </w:pPr>
    <w:rPr>
      <w:rFonts w:ascii="宋体" w:hAnsi="宋体"/>
      <w:kern w:val="0"/>
      <w:sz w:val="24"/>
    </w:rPr>
  </w:style>
  <w:style w:type="paragraph" w:styleId="26">
    <w:name w:val="annotation subject"/>
    <w:basedOn w:val="11"/>
    <w:next w:val="11"/>
    <w:link w:val="65"/>
    <w:qFormat/>
    <w:uiPriority w:val="0"/>
    <w:pPr>
      <w:spacing w:line="240" w:lineRule="auto"/>
    </w:pPr>
    <w:rPr>
      <w:rFonts w:asciiTheme="minorHAnsi" w:hAnsiTheme="minorHAnsi"/>
      <w:b/>
      <w:bCs/>
      <w:sz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qFormat/>
    <w:uiPriority w:val="99"/>
    <w:rPr>
      <w:color w:val="3366CC"/>
      <w:u w:val="single"/>
    </w:rPr>
  </w:style>
  <w:style w:type="character" w:styleId="31">
    <w:name w:val="annotation reference"/>
    <w:qFormat/>
    <w:uiPriority w:val="0"/>
    <w:rPr>
      <w:sz w:val="21"/>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4">
    <w:name w:val="样式 标题 1 + 四号 段前: 0 磅 段后: 0 磅 行距: 1.5 倍行距"/>
    <w:basedOn w:val="35"/>
    <w:next w:val="36"/>
    <w:qFormat/>
    <w:uiPriority w:val="0"/>
    <w:pPr>
      <w:spacing w:line="360" w:lineRule="auto"/>
      <w:jc w:val="center"/>
    </w:pPr>
    <w:rPr>
      <w:rFonts w:hAnsi="黑体" w:eastAsia="宋体"/>
      <w:sz w:val="21"/>
    </w:rPr>
  </w:style>
  <w:style w:type="paragraph" w:customStyle="1" w:styleId="35">
    <w:name w:val="1正文"/>
    <w:basedOn w:val="1"/>
    <w:qFormat/>
    <w:uiPriority w:val="0"/>
    <w:pPr>
      <w:spacing w:line="500" w:lineRule="exact"/>
      <w:ind w:firstLine="588" w:firstLineChars="196"/>
    </w:pPr>
    <w:rPr>
      <w:rFonts w:eastAsia="楷体_GB2312"/>
      <w:sz w:val="30"/>
      <w:szCs w:val="30"/>
    </w:rPr>
  </w:style>
  <w:style w:type="paragraph" w:customStyle="1" w:styleId="36">
    <w:name w:val="文本正文"/>
    <w:qFormat/>
    <w:uiPriority w:val="0"/>
    <w:pPr>
      <w:adjustRightInd w:val="0"/>
      <w:snapToGrid w:val="0"/>
      <w:spacing w:line="360" w:lineRule="auto"/>
      <w:ind w:firstLine="200" w:firstLineChars="200"/>
    </w:pPr>
    <w:rPr>
      <w:rFonts w:ascii="Times New Roman" w:hAnsi="Times New Roman" w:eastAsia="宋体" w:cs="Times New Roman"/>
      <w:sz w:val="28"/>
      <w:szCs w:val="22"/>
      <w:lang w:val="en-US" w:eastAsia="zh-CN" w:bidi="ar-SA"/>
    </w:rPr>
  </w:style>
  <w:style w:type="paragraph" w:customStyle="1" w:styleId="37">
    <w:name w:val="表格"/>
    <w:basedOn w:val="1"/>
    <w:next w:val="1"/>
    <w:qFormat/>
    <w:uiPriority w:val="0"/>
    <w:pPr>
      <w:spacing w:line="240" w:lineRule="exact"/>
      <w:jc w:val="center"/>
    </w:pPr>
    <w:rPr>
      <w:rFonts w:ascii="楷体_GB2312" w:eastAsia="新宋体"/>
    </w:rPr>
  </w:style>
  <w:style w:type="paragraph" w:customStyle="1" w:styleId="38">
    <w:name w:val="正文表格"/>
    <w:basedOn w:val="2"/>
    <w:qFormat/>
    <w:uiPriority w:val="0"/>
    <w:pPr>
      <w:tabs>
        <w:tab w:val="center" w:pos="4153"/>
        <w:tab w:val="right" w:pos="8306"/>
      </w:tabs>
      <w:spacing w:line="360" w:lineRule="exact"/>
      <w:jc w:val="center"/>
    </w:pPr>
    <w:rPr>
      <w:rFonts w:ascii="Times New Roman" w:hAnsi="Times New Roman"/>
      <w:sz w:val="21"/>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table" w:customStyle="1" w:styleId="40">
    <w:name w:val="网格型1"/>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正文样式"/>
    <w:qFormat/>
    <w:uiPriority w:val="0"/>
    <w:pPr>
      <w:tabs>
        <w:tab w:val="right" w:pos="2205"/>
      </w:tabs>
      <w:adjustRightInd w:val="0"/>
      <w:snapToGrid w:val="0"/>
      <w:spacing w:line="520" w:lineRule="exact"/>
      <w:ind w:firstLine="560" w:firstLineChars="200"/>
    </w:pPr>
    <w:rPr>
      <w:rFonts w:ascii="Times New Roman" w:hAnsi="Times New Roman" w:eastAsia="宋体" w:cs="Times New Roman"/>
      <w:bCs/>
      <w:kern w:val="2"/>
      <w:sz w:val="28"/>
      <w:szCs w:val="28"/>
      <w:lang w:val="en-US" w:eastAsia="zh-CN" w:bidi="ar-SA"/>
    </w:rPr>
  </w:style>
  <w:style w:type="paragraph" w:customStyle="1" w:styleId="42">
    <w:name w:val="列表段落1"/>
    <w:basedOn w:val="1"/>
    <w:qFormat/>
    <w:uiPriority w:val="1"/>
    <w:pPr>
      <w:ind w:left="969" w:firstLine="561"/>
    </w:pPr>
    <w:rPr>
      <w:rFonts w:ascii="宋体" w:hAnsi="宋体" w:eastAsia="宋体" w:cs="宋体"/>
      <w:lang w:val="zh-CN" w:bidi="zh-CN"/>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1jw正文"/>
    <w:qFormat/>
    <w:uiPriority w:val="0"/>
    <w:pPr>
      <w:spacing w:before="50" w:beforeLines="50" w:after="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45">
    <w:name w:val="zhang正文"/>
    <w:basedOn w:val="12"/>
    <w:qFormat/>
    <w:uiPriority w:val="0"/>
    <w:pPr>
      <w:autoSpaceDE w:val="0"/>
      <w:autoSpaceDN w:val="0"/>
      <w:snapToGrid w:val="0"/>
      <w:spacing w:line="500" w:lineRule="exact"/>
      <w:ind w:firstLine="539"/>
    </w:pPr>
    <w:rPr>
      <w:rFonts w:ascii="Times New Roman" w:eastAsia="楷体_GB2312"/>
    </w:rPr>
  </w:style>
  <w:style w:type="paragraph" w:customStyle="1" w:styleId="46">
    <w:name w:val="正文2"/>
    <w:basedOn w:val="10"/>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48">
    <w:name w:val="Table Paragraph"/>
    <w:basedOn w:val="1"/>
    <w:qFormat/>
    <w:uiPriority w:val="1"/>
    <w:pPr>
      <w:autoSpaceDE w:val="0"/>
      <w:autoSpaceDN w:val="0"/>
      <w:jc w:val="left"/>
    </w:pPr>
    <w:rPr>
      <w:rFonts w:ascii="宋体" w:hAnsi="宋体" w:eastAsia="宋体" w:cs="宋体"/>
      <w:kern w:val="0"/>
      <w:sz w:val="22"/>
      <w:szCs w:val="22"/>
    </w:rPr>
  </w:style>
  <w:style w:type="paragraph" w:customStyle="1" w:styleId="49">
    <w:name w:val="标题2"/>
    <w:unhideWhenUsed/>
    <w:qFormat/>
    <w:uiPriority w:val="2"/>
    <w:pPr>
      <w:outlineLvl w:val="2"/>
    </w:pPr>
    <w:rPr>
      <w:rFonts w:ascii="Calibri" w:hAnsi="Calibri" w:eastAsia="宋体" w:cs="Times New Roman"/>
      <w:kern w:val="2"/>
      <w:sz w:val="21"/>
      <w:szCs w:val="22"/>
      <w:lang w:val="en-US" w:eastAsia="zh-CN" w:bidi="ar-SA"/>
    </w:rPr>
  </w:style>
  <w:style w:type="paragraph" w:customStyle="1" w:styleId="50">
    <w:name w:val="报告表格"/>
    <w:basedOn w:val="1"/>
    <w:qFormat/>
    <w:uiPriority w:val="0"/>
    <w:pPr>
      <w:autoSpaceDE w:val="0"/>
      <w:autoSpaceDN w:val="0"/>
      <w:adjustRightInd w:val="0"/>
      <w:spacing w:before="40" w:after="40"/>
      <w:jc w:val="center"/>
    </w:pPr>
    <w:rPr>
      <w:kern w:val="0"/>
    </w:rPr>
  </w:style>
  <w:style w:type="paragraph" w:customStyle="1" w:styleId="51">
    <w:name w:val="正文(首行缩进)"/>
    <w:basedOn w:val="1"/>
    <w:qFormat/>
    <w:uiPriority w:val="0"/>
    <w:pPr>
      <w:tabs>
        <w:tab w:val="left" w:pos="6678"/>
      </w:tabs>
      <w:snapToGrid w:val="0"/>
      <w:jc w:val="center"/>
    </w:pPr>
    <w:rPr>
      <w:rFonts w:hint="eastAsia" w:ascii="宋体" w:hAnsi="宋体" w:eastAsia="宋体" w:cs="Times New Roman"/>
      <w:szCs w:val="21"/>
    </w:rPr>
  </w:style>
  <w:style w:type="paragraph" w:customStyle="1" w:styleId="52">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53">
    <w:name w:val="正文小四"/>
    <w:basedOn w:val="1"/>
    <w:qFormat/>
    <w:uiPriority w:val="0"/>
    <w:pPr>
      <w:adjustRightInd w:val="0"/>
      <w:snapToGrid w:val="0"/>
      <w:spacing w:line="360" w:lineRule="auto"/>
      <w:ind w:firstLine="200" w:firstLineChars="200"/>
      <w:textAlignment w:val="baseline"/>
    </w:pPr>
    <w:rPr>
      <w:snapToGrid w:val="0"/>
      <w:kern w:val="0"/>
      <w:sz w:val="24"/>
      <w:szCs w:val="20"/>
    </w:rPr>
  </w:style>
  <w:style w:type="paragraph" w:customStyle="1" w:styleId="54">
    <w:name w:val="样式 首行缩进:  2.47 厘米"/>
    <w:basedOn w:val="1"/>
    <w:qFormat/>
    <w:uiPriority w:val="99"/>
    <w:pPr>
      <w:spacing w:line="360" w:lineRule="auto"/>
      <w:ind w:firstLine="512" w:firstLineChars="200"/>
    </w:pPr>
    <w:rPr>
      <w:rFonts w:cs="宋体"/>
      <w:spacing w:val="8"/>
      <w:sz w:val="24"/>
      <w:szCs w:val="21"/>
    </w:rPr>
  </w:style>
  <w:style w:type="paragraph" w:customStyle="1" w:styleId="55">
    <w:name w:val="表格标题CC"/>
    <w:basedOn w:val="1"/>
    <w:qFormat/>
    <w:uiPriority w:val="0"/>
    <w:pPr>
      <w:jc w:val="center"/>
    </w:pPr>
    <w:rPr>
      <w:b/>
      <w:kern w:val="0"/>
      <w:sz w:val="20"/>
      <w:szCs w:val="20"/>
    </w:rPr>
  </w:style>
  <w:style w:type="paragraph" w:customStyle="1" w:styleId="56">
    <w:name w:val="表内容"/>
    <w:basedOn w:val="1"/>
    <w:next w:val="1"/>
    <w:qFormat/>
    <w:uiPriority w:val="0"/>
    <w:pPr>
      <w:adjustRightInd w:val="0"/>
      <w:spacing w:line="320" w:lineRule="exact"/>
      <w:jc w:val="center"/>
    </w:pPr>
    <w:rPr>
      <w:szCs w:val="21"/>
    </w:rPr>
  </w:style>
  <w:style w:type="paragraph" w:customStyle="1" w:styleId="57">
    <w:name w:val="样式 首行缩进:  2 字符1"/>
    <w:basedOn w:val="1"/>
    <w:qFormat/>
    <w:uiPriority w:val="0"/>
    <w:pPr>
      <w:adjustRightInd w:val="0"/>
      <w:snapToGrid w:val="0"/>
      <w:spacing w:line="360" w:lineRule="auto"/>
      <w:ind w:firstLine="480" w:firstLineChars="200"/>
    </w:pPr>
    <w:rPr>
      <w:rFonts w:hint="eastAsia" w:ascii="宋体" w:hAnsi="宋体" w:eastAsia="宋体" w:cs="Times New Roman"/>
      <w:sz w:val="24"/>
      <w:szCs w:val="20"/>
    </w:rPr>
  </w:style>
  <w:style w:type="paragraph" w:customStyle="1" w:styleId="58">
    <w:name w:val="111正文格式111"/>
    <w:basedOn w:val="59"/>
    <w:qFormat/>
    <w:uiPriority w:val="0"/>
    <w:pPr>
      <w:adjustRightInd w:val="0"/>
      <w:snapToGrid w:val="0"/>
    </w:pPr>
    <w:rPr>
      <w:bCs/>
    </w:rPr>
  </w:style>
  <w:style w:type="paragraph" w:customStyle="1" w:styleId="59">
    <w:name w:val="正文的格式"/>
    <w:basedOn w:val="1"/>
    <w:qFormat/>
    <w:uiPriority w:val="99"/>
    <w:pPr>
      <w:spacing w:line="360" w:lineRule="auto"/>
      <w:ind w:firstLine="200" w:firstLineChars="200"/>
    </w:pPr>
    <w:rPr>
      <w:rFonts w:ascii="Times New Roman" w:hAnsi="Times New Roman"/>
      <w:sz w:val="24"/>
    </w:rPr>
  </w:style>
  <w:style w:type="paragraph" w:customStyle="1" w:styleId="60">
    <w:name w:val="xl28"/>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61">
    <w:name w:val="正常段落"/>
    <w:basedOn w:val="3"/>
    <w:qFormat/>
    <w:uiPriority w:val="0"/>
  </w:style>
  <w:style w:type="paragraph" w:customStyle="1" w:styleId="62">
    <w:name w:val="样式 居中"/>
    <w:basedOn w:val="1"/>
    <w:next w:val="1"/>
    <w:qFormat/>
    <w:uiPriority w:val="0"/>
    <w:pPr>
      <w:spacing w:line="360" w:lineRule="auto"/>
      <w:jc w:val="center"/>
    </w:pPr>
    <w:rPr>
      <w:rFonts w:cs="宋体"/>
    </w:rPr>
  </w:style>
  <w:style w:type="paragraph" w:customStyle="1" w:styleId="63">
    <w:name w:val="正文（源通）"/>
    <w:basedOn w:val="1"/>
    <w:qFormat/>
    <w:uiPriority w:val="0"/>
    <w:pPr>
      <w:spacing w:line="500" w:lineRule="exact"/>
      <w:ind w:firstLine="480" w:firstLineChars="200"/>
    </w:pPr>
    <w:rPr>
      <w:rFonts w:ascii="Times New Roman" w:hAnsi="Times New Roman" w:eastAsia="Times New Roman" w:cs="Times New Roman"/>
      <w:color w:val="FF0000"/>
    </w:rPr>
  </w:style>
  <w:style w:type="character" w:customStyle="1" w:styleId="64">
    <w:name w:val="批注文字 字符"/>
    <w:basedOn w:val="29"/>
    <w:link w:val="11"/>
    <w:qFormat/>
    <w:uiPriority w:val="0"/>
    <w:rPr>
      <w:rFonts w:ascii="宋体" w:hAnsi="宋体" w:eastAsiaTheme="minorEastAsia" w:cstheme="minorBidi"/>
      <w:kern w:val="2"/>
      <w:sz w:val="24"/>
      <w:szCs w:val="24"/>
    </w:rPr>
  </w:style>
  <w:style w:type="character" w:customStyle="1" w:styleId="65">
    <w:name w:val="批注主题 字符"/>
    <w:basedOn w:val="64"/>
    <w:link w:val="26"/>
    <w:qFormat/>
    <w:uiPriority w:val="0"/>
    <w:rPr>
      <w:rFonts w:asciiTheme="minorHAnsi" w:hAnsiTheme="minorHAnsi" w:eastAsiaTheme="minorEastAsia" w:cstheme="minorBidi"/>
      <w:b/>
      <w:bCs/>
      <w:kern w:val="2"/>
      <w:sz w:val="21"/>
      <w:szCs w:val="24"/>
    </w:rPr>
  </w:style>
  <w:style w:type="character" w:customStyle="1" w:styleId="66">
    <w:name w:val="批注框文本 字符"/>
    <w:basedOn w:val="29"/>
    <w:link w:val="17"/>
    <w:qFormat/>
    <w:uiPriority w:val="0"/>
    <w:rPr>
      <w:rFonts w:asciiTheme="minorHAnsi" w:hAnsiTheme="minorHAnsi" w:eastAsiaTheme="minorEastAsia" w:cstheme="minorBidi"/>
      <w:kern w:val="2"/>
      <w:sz w:val="18"/>
      <w:szCs w:val="18"/>
    </w:rPr>
  </w:style>
  <w:style w:type="paragraph" w:customStyle="1" w:styleId="67">
    <w:name w:val="wy正文"/>
    <w:basedOn w:val="1"/>
    <w:qFormat/>
    <w:uiPriority w:val="0"/>
    <w:rPr>
      <w:kern w:val="0"/>
      <w:szCs w:val="20"/>
    </w:rPr>
  </w:style>
  <w:style w:type="paragraph" w:customStyle="1" w:styleId="68">
    <w:name w:val="LZ正文"/>
    <w:basedOn w:val="1"/>
    <w:qFormat/>
    <w:uiPriority w:val="0"/>
    <w:pPr>
      <w:ind w:firstLine="480"/>
    </w:pPr>
  </w:style>
  <w:style w:type="paragraph" w:customStyle="1" w:styleId="69">
    <w:name w:val="LZ表头、图尾"/>
    <w:basedOn w:val="1"/>
    <w:qFormat/>
    <w:uiPriority w:val="0"/>
    <w:pPr>
      <w:kinsoku w:val="0"/>
      <w:overflowPunct w:val="0"/>
      <w:autoSpaceDE w:val="0"/>
      <w:autoSpaceDN w:val="0"/>
      <w:adjustRightInd w:val="0"/>
      <w:ind w:firstLine="0" w:firstLineChars="0"/>
      <w:jc w:val="center"/>
      <w:textAlignment w:val="baseline"/>
    </w:pPr>
    <w:rPr>
      <w:b/>
      <w:kern w:val="0"/>
      <w:szCs w:val="20"/>
    </w:rPr>
  </w:style>
  <w:style w:type="paragraph" w:customStyle="1" w:styleId="70">
    <w:name w:val="LZ表内容"/>
    <w:basedOn w:val="1"/>
    <w:qFormat/>
    <w:uiPriority w:val="0"/>
    <w:pPr>
      <w:spacing w:line="240" w:lineRule="auto"/>
      <w:ind w:firstLine="0" w:firstLineChars="0"/>
      <w:jc w:val="center"/>
    </w:pPr>
    <w:rPr>
      <w:spacing w:val="2"/>
      <w:sz w:val="21"/>
      <w:szCs w:val="20"/>
    </w:rPr>
  </w:style>
  <w:style w:type="paragraph" w:customStyle="1" w:styleId="71">
    <w:name w:val="表文字"/>
    <w:basedOn w:val="2"/>
    <w:next w:val="23"/>
    <w:qFormat/>
    <w:uiPriority w:val="0"/>
    <w:pPr>
      <w:spacing w:line="240" w:lineRule="auto"/>
      <w:jc w:val="center"/>
    </w:pPr>
    <w:rPr>
      <w:sz w:val="21"/>
      <w:szCs w:val="21"/>
    </w:rPr>
  </w:style>
  <w:style w:type="paragraph" w:customStyle="1" w:styleId="72">
    <w:name w:val="表头"/>
    <w:basedOn w:val="71"/>
    <w:next w:val="3"/>
    <w:qFormat/>
    <w:uiPriority w:val="0"/>
    <w:rPr>
      <w:b/>
    </w:rPr>
  </w:style>
  <w:style w:type="character" w:customStyle="1" w:styleId="73">
    <w:name w:val="font11"/>
    <w:basedOn w:val="29"/>
    <w:qFormat/>
    <w:uiPriority w:val="0"/>
    <w:rPr>
      <w:rFonts w:ascii="宋体" w:hAnsi="宋体" w:eastAsia="宋体" w:cs="宋体"/>
      <w:color w:val="000000"/>
      <w:sz w:val="24"/>
      <w:szCs w:val="24"/>
      <w:u w:val="none"/>
    </w:rPr>
  </w:style>
  <w:style w:type="paragraph" w:styleId="74">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75">
    <w:name w:val="Body text|2"/>
    <w:basedOn w:val="1"/>
    <w:qFormat/>
    <w:uiPriority w:val="0"/>
    <w:pPr>
      <w:widowControl w:val="0"/>
      <w:shd w:val="clear" w:color="auto" w:fill="auto"/>
      <w:spacing w:after="340"/>
      <w:ind w:firstLine="200"/>
    </w:pPr>
    <w:rPr>
      <w:rFonts w:ascii="宋体" w:hAnsi="宋体" w:eastAsia="宋体" w:cs="宋体"/>
      <w:sz w:val="28"/>
      <w:szCs w:val="28"/>
      <w:u w:val="none"/>
      <w:shd w:val="clear" w:color="auto" w:fill="auto"/>
      <w:lang w:val="zh-TW" w:eastAsia="zh-TW" w:bidi="zh-TW"/>
    </w:rPr>
  </w:style>
  <w:style w:type="paragraph" w:customStyle="1" w:styleId="76">
    <w:name w:val="Other|1"/>
    <w:basedOn w:val="1"/>
    <w:qFormat/>
    <w:uiPriority w:val="0"/>
    <w:pPr>
      <w:widowControl w:val="0"/>
      <w:shd w:val="clear" w:color="auto" w:fill="auto"/>
      <w:spacing w:line="305" w:lineRule="exact"/>
    </w:pPr>
    <w:rPr>
      <w:rFonts w:ascii="宋体" w:hAnsi="宋体" w:eastAsia="宋体" w:cs="宋体"/>
      <w:sz w:val="22"/>
      <w:szCs w:val="22"/>
      <w:u w:val="none"/>
      <w:shd w:val="clear" w:color="auto" w:fill="auto"/>
    </w:rPr>
  </w:style>
  <w:style w:type="paragraph" w:customStyle="1" w:styleId="77">
    <w:name w:val="Body text|1"/>
    <w:basedOn w:val="1"/>
    <w:qFormat/>
    <w:uiPriority w:val="0"/>
    <w:pPr>
      <w:widowControl w:val="0"/>
      <w:shd w:val="clear" w:color="auto" w:fill="auto"/>
      <w:spacing w:after="180" w:line="427" w:lineRule="auto"/>
    </w:pPr>
    <w:rPr>
      <w:rFonts w:ascii="宋体" w:hAnsi="宋体" w:eastAsia="宋体" w:cs="宋体"/>
      <w:sz w:val="22"/>
      <w:szCs w:val="22"/>
      <w:u w:val="none"/>
      <w:shd w:val="clear" w:color="auto" w:fill="auto"/>
      <w:lang w:val="zh-TW" w:eastAsia="zh-TW" w:bidi="zh-TW"/>
    </w:rPr>
  </w:style>
  <w:style w:type="paragraph" w:customStyle="1" w:styleId="78">
    <w:name w:val="Table caption|1"/>
    <w:basedOn w:val="1"/>
    <w:qFormat/>
    <w:uiPriority w:val="0"/>
    <w:pPr>
      <w:widowControl w:val="0"/>
      <w:shd w:val="clear" w:color="auto" w:fill="auto"/>
      <w:jc w:val="center"/>
    </w:pPr>
    <w:rPr>
      <w:rFonts w:ascii="宋体" w:hAnsi="宋体" w:eastAsia="宋体" w:cs="宋体"/>
      <w:sz w:val="22"/>
      <w:szCs w:val="22"/>
      <w:u w:val="none"/>
      <w:shd w:val="clear" w:color="auto" w:fill="auto"/>
      <w:lang w:val="zh-TW" w:eastAsia="zh-TW" w:bidi="zh-TW"/>
    </w:rPr>
  </w:style>
  <w:style w:type="paragraph" w:customStyle="1" w:styleId="79">
    <w:name w:val="表格内容"/>
    <w:basedOn w:val="1"/>
    <w:qFormat/>
    <w:uiPriority w:val="0"/>
    <w:pPr>
      <w:widowControl/>
      <w:spacing w:line="240" w:lineRule="auto"/>
      <w:ind w:firstLine="0" w:firstLineChars="0"/>
      <w:jc w:val="center"/>
    </w:pPr>
    <w:rPr>
      <w:bCs/>
      <w:kern w:val="0"/>
      <w:sz w:val="21"/>
      <w:szCs w:val="18"/>
    </w:rPr>
  </w:style>
  <w:style w:type="table" w:customStyle="1" w:styleId="80">
    <w:name w:val="Table Normal"/>
    <w:unhideWhenUsed/>
    <w:qFormat/>
    <w:uiPriority w:val="0"/>
    <w:tblPr>
      <w:tblCellMar>
        <w:top w:w="0" w:type="dxa"/>
        <w:left w:w="0" w:type="dxa"/>
        <w:bottom w:w="0" w:type="dxa"/>
        <w:right w:w="0" w:type="dxa"/>
      </w:tblCellMar>
    </w:tblPr>
  </w:style>
  <w:style w:type="character" w:customStyle="1" w:styleId="81">
    <w:name w:val="font21"/>
    <w:basedOn w:val="29"/>
    <w:qFormat/>
    <w:uiPriority w:val="0"/>
    <w:rPr>
      <w:rFonts w:hint="default" w:ascii="Arial" w:hAnsi="Arial" w:cs="Arial"/>
      <w:color w:val="000000"/>
      <w:sz w:val="7"/>
      <w:szCs w:val="7"/>
      <w:u w:val="none"/>
    </w:rPr>
  </w:style>
  <w:style w:type="paragraph" w:customStyle="1" w:styleId="82">
    <w:name w:val="LZ表头"/>
    <w:basedOn w:val="4"/>
    <w:qFormat/>
    <w:uiPriority w:val="0"/>
    <w:pPr>
      <w:spacing w:after="0"/>
      <w:ind w:left="0" w:leftChars="0" w:firstLine="0" w:firstLineChars="0"/>
      <w:jc w:val="center"/>
      <w:outlineLvl w:val="3"/>
    </w:pPr>
    <w:rPr>
      <w:b/>
    </w:rPr>
  </w:style>
  <w:style w:type="paragraph" w:customStyle="1" w:styleId="83">
    <w:name w:val="样式1"/>
    <w:basedOn w:val="23"/>
    <w:qFormat/>
    <w:uiPriority w:val="0"/>
    <w:pPr>
      <w:spacing w:before="156" w:beforeLines="50" w:after="0" w:afterLines="0" w:line="440" w:lineRule="exact"/>
      <w:ind w:left="100" w:leftChars="100" w:firstLine="0" w:firstLineChars="0"/>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16539</Words>
  <Characters>18192</Characters>
  <Lines>353</Lines>
  <Paragraphs>99</Paragraphs>
  <TotalTime>4</TotalTime>
  <ScaleCrop>false</ScaleCrop>
  <LinksUpToDate>false</LinksUpToDate>
  <CharactersWithSpaces>22164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2021-03-23T01:03:00Z</dcterms:created>
  <dc:creator>lj</dc:creator>
  <cp:lastModifiedBy>刘变香</cp:lastModifiedBy>
  <dcterms:modified xsi:type="dcterms:W3CDTF">2025-04-09T01:58:43Z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KSOSaveFontToCloudKey">
    <vt:lpwstr>371364142_btnclosed</vt:lpwstr>
  </property>
  <property fmtid="{D5CDD505-2E9C-101B-9397-08002B2CF9AE}" pid="4" name="ICV">
    <vt:lpwstr>8E77606A2E0A40D4B48AA92EF197FEF2_13</vt:lpwstr>
  </property>
  <property fmtid="{D5CDD505-2E9C-101B-9397-08002B2CF9AE}" pid="5" name="commondata">
    <vt:lpwstr>eyJoZGlkIjoiZTRjMWFmYjA0OWNjMDE1YzI1NzhjZjU3Yzc5YjFkMjMifQ==</vt:lpwstr>
  </property>
</Properties>
</file>