
<file path=[Content_Types].xml><?xml version="1.0" encoding="utf-8"?>
<Types xmlns="http://schemas.openxmlformats.org/package/2006/content-types">
  <Default Extension="jpeg" ContentType="image/jpeg"/>
  <Default Extension="JPG" ContentType="image/.jpg"/>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EFBBB">
      <w:pPr>
        <w:adjustRightInd w:val="0"/>
        <w:spacing w:line="360" w:lineRule="auto"/>
        <w:jc w:val="center"/>
        <w:rPr>
          <w:rFonts w:ascii="方正小标宋_GBK" w:hAnsi="方正小标宋_GBK" w:eastAsia="方正小标宋_GBK" w:cs="方正小标宋_GBK"/>
          <w:bCs/>
          <w:sz w:val="72"/>
          <w:szCs w:val="72"/>
          <w:lang w:bidi="ar"/>
        </w:rPr>
      </w:pPr>
      <w:bookmarkStart w:id="0" w:name="_Toc27251"/>
    </w:p>
    <w:p w14:paraId="5033DC53">
      <w:pPr>
        <w:adjustRightInd w:val="0"/>
        <w:spacing w:line="360" w:lineRule="auto"/>
        <w:jc w:val="center"/>
        <w:rPr>
          <w:rFonts w:ascii="方正小标宋_GBK" w:hAnsi="方正小标宋_GBK" w:eastAsia="方正小标宋_GBK" w:cs="方正小标宋_GBK"/>
          <w:bCs/>
          <w:sz w:val="72"/>
          <w:szCs w:val="72"/>
          <w:lang w:bidi="ar"/>
        </w:rPr>
      </w:pPr>
    </w:p>
    <w:p w14:paraId="0530C427">
      <w:pPr>
        <w:adjustRightInd w:val="0"/>
        <w:spacing w:line="360" w:lineRule="auto"/>
        <w:jc w:val="center"/>
        <w:rPr>
          <w:rFonts w:ascii="方正小标宋_GBK" w:hAnsi="方正小标宋_GBK" w:eastAsia="方正小标宋_GBK" w:cs="方正小标宋_GBK"/>
          <w:bCs/>
          <w:sz w:val="72"/>
          <w:szCs w:val="72"/>
          <w:lang w:bidi="ar"/>
        </w:rPr>
      </w:pPr>
    </w:p>
    <w:p w14:paraId="3DE93032">
      <w:pPr>
        <w:adjustRightInd w:val="0"/>
        <w:spacing w:line="360" w:lineRule="auto"/>
        <w:jc w:val="center"/>
        <w:rPr>
          <w:rFonts w:ascii="方正小标宋_GBK" w:hAnsi="方正小标宋_GBK" w:eastAsia="方正小标宋_GBK" w:cs="方正小标宋_GBK"/>
          <w:bCs/>
          <w:sz w:val="72"/>
          <w:szCs w:val="72"/>
        </w:rPr>
      </w:pPr>
      <w:r>
        <w:rPr>
          <w:rFonts w:hint="eastAsia" w:ascii="方正小标宋_GBK" w:hAnsi="方正小标宋_GBK" w:eastAsia="方正小标宋_GBK" w:cs="方正小标宋_GBK"/>
          <w:bCs/>
          <w:sz w:val="72"/>
          <w:szCs w:val="72"/>
          <w:lang w:bidi="ar"/>
        </w:rPr>
        <w:t>建设项目环境影响报告表</w:t>
      </w:r>
      <w:bookmarkEnd w:id="0"/>
    </w:p>
    <w:p w14:paraId="3EFFDF83">
      <w:pPr>
        <w:adjustRightInd w:val="0"/>
        <w:spacing w:before="156" w:beforeLines="50" w:after="156" w:afterLines="50" w:line="360" w:lineRule="auto"/>
        <w:jc w:val="center"/>
        <w:rPr>
          <w:rFonts w:ascii="楷体_GB2312" w:hAnsi="Times New Roman" w:eastAsia="楷体_GB2312" w:cs="楷体_GB2312"/>
          <w:bCs/>
          <w:sz w:val="48"/>
          <w:szCs w:val="48"/>
          <w:lang w:bidi="ar"/>
        </w:rPr>
      </w:pPr>
      <w:r>
        <w:rPr>
          <w:rFonts w:hint="eastAsia" w:ascii="楷体_GB2312" w:hAnsi="Times New Roman" w:eastAsia="楷体_GB2312" w:cs="楷体_GB2312"/>
          <w:bCs/>
          <w:sz w:val="48"/>
          <w:szCs w:val="48"/>
          <w:lang w:bidi="ar"/>
        </w:rPr>
        <w:t>（污染影响类）</w:t>
      </w:r>
    </w:p>
    <w:p w14:paraId="20512E0C">
      <w:pPr>
        <w:rPr>
          <w:rFonts w:ascii="楷体_GB2312" w:hAnsi="Times New Roman" w:eastAsia="楷体_GB2312" w:cs="楷体_GB2312"/>
          <w:bCs/>
          <w:sz w:val="48"/>
          <w:szCs w:val="48"/>
          <w:lang w:bidi="ar"/>
        </w:rPr>
      </w:pPr>
    </w:p>
    <w:p w14:paraId="292612B1">
      <w:pPr>
        <w:adjustRightInd w:val="0"/>
        <w:snapToGrid w:val="0"/>
        <w:spacing w:line="288" w:lineRule="auto"/>
        <w:ind w:left="2098" w:leftChars="228" w:hanging="1619" w:hangingChars="506"/>
        <w:rPr>
          <w:rFonts w:ascii="宋体" w:hAnsi="宋体" w:eastAsia="宋体" w:cs="宋体"/>
          <w:sz w:val="32"/>
          <w:szCs w:val="32"/>
          <w:lang w:bidi="ar"/>
        </w:rPr>
      </w:pPr>
      <w:r>
        <w:rPr>
          <w:rFonts w:hint="eastAsia" w:ascii="宋体" w:hAnsi="宋体" w:eastAsia="宋体" w:cs="宋体"/>
          <w:sz w:val="32"/>
          <w:szCs w:val="32"/>
          <w:lang w:bidi="ar"/>
        </w:rPr>
        <w:t xml:space="preserve">   </w:t>
      </w:r>
    </w:p>
    <w:p w14:paraId="48B094AD">
      <w:pPr>
        <w:adjustRightInd w:val="0"/>
        <w:snapToGrid w:val="0"/>
        <w:spacing w:line="288" w:lineRule="auto"/>
        <w:ind w:left="2098" w:leftChars="228" w:hanging="1619" w:hangingChars="506"/>
        <w:rPr>
          <w:rFonts w:ascii="宋体" w:hAnsi="宋体" w:eastAsia="宋体" w:cs="宋体"/>
          <w:sz w:val="32"/>
          <w:szCs w:val="32"/>
          <w:lang w:bidi="ar"/>
        </w:rPr>
      </w:pPr>
    </w:p>
    <w:p w14:paraId="1FAE64B8">
      <w:pPr>
        <w:adjustRightInd w:val="0"/>
        <w:snapToGrid w:val="0"/>
        <w:spacing w:line="288" w:lineRule="auto"/>
        <w:ind w:left="2098" w:leftChars="228" w:hanging="1619" w:hangingChars="506"/>
        <w:rPr>
          <w:rFonts w:ascii="宋体" w:hAnsi="宋体" w:eastAsia="宋体" w:cs="宋体"/>
          <w:sz w:val="32"/>
          <w:szCs w:val="32"/>
          <w:lang w:bidi="ar"/>
        </w:rPr>
      </w:pPr>
    </w:p>
    <w:p w14:paraId="77AE54FA">
      <w:pPr>
        <w:adjustRightInd w:val="0"/>
        <w:snapToGrid w:val="0"/>
        <w:spacing w:line="288" w:lineRule="auto"/>
        <w:ind w:left="2098" w:leftChars="228" w:hanging="1619" w:hangingChars="506"/>
        <w:rPr>
          <w:rFonts w:ascii="宋体" w:hAnsi="宋体" w:eastAsia="宋体" w:cs="宋体"/>
          <w:sz w:val="32"/>
          <w:szCs w:val="32"/>
          <w:lang w:bidi="ar"/>
        </w:rPr>
      </w:pPr>
    </w:p>
    <w:p w14:paraId="16CBFED4">
      <w:pPr>
        <w:adjustRightInd w:val="0"/>
        <w:snapToGrid w:val="0"/>
        <w:spacing w:line="288" w:lineRule="auto"/>
        <w:ind w:left="1541" w:leftChars="228" w:hanging="1062" w:hangingChars="506"/>
        <w:rPr>
          <w:rFonts w:ascii="宋体" w:hAnsi="宋体" w:eastAsia="宋体" w:cs="宋体"/>
          <w:sz w:val="32"/>
          <w:szCs w:val="32"/>
          <w:lang w:bidi="ar"/>
        </w:rPr>
      </w:pPr>
      <w:r>
        <w:rPr>
          <w:rFonts w:hint="eastAsia" w:eastAsia="宋体"/>
        </w:rPr>
        <w:t xml:space="preserve"> </w:t>
      </w:r>
    </w:p>
    <w:p w14:paraId="7B370E99">
      <w:pPr>
        <w:adjustRightInd w:val="0"/>
        <w:snapToGrid w:val="0"/>
        <w:spacing w:line="288" w:lineRule="auto"/>
        <w:ind w:left="2098" w:leftChars="228" w:hanging="1619" w:hangingChars="506"/>
        <w:rPr>
          <w:rFonts w:ascii="宋体" w:hAnsi="宋体" w:eastAsia="宋体" w:cs="宋体"/>
          <w:sz w:val="32"/>
          <w:szCs w:val="32"/>
          <w:u w:val="single"/>
          <w:lang w:bidi="ar"/>
        </w:rPr>
      </w:pPr>
      <w:r>
        <w:rPr>
          <w:rFonts w:hint="eastAsia" w:ascii="宋体" w:hAnsi="宋体" w:eastAsia="宋体" w:cs="宋体"/>
          <w:sz w:val="32"/>
          <w:szCs w:val="32"/>
          <w:lang w:bidi="ar"/>
        </w:rPr>
        <w:t>项目名称：</w:t>
      </w:r>
      <w:r>
        <w:rPr>
          <w:rFonts w:hint="eastAsia" w:ascii="宋体" w:hAnsi="宋体" w:eastAsia="宋体" w:cs="宋体"/>
          <w:sz w:val="32"/>
          <w:szCs w:val="32"/>
          <w:u w:val="single"/>
          <w:lang w:bidi="ar"/>
        </w:rPr>
        <w:t xml:space="preserve"> </w:t>
      </w:r>
      <w:r>
        <w:rPr>
          <w:rFonts w:ascii="宋体" w:hAnsi="宋体" w:eastAsia="宋体" w:cs="宋体"/>
          <w:sz w:val="32"/>
          <w:szCs w:val="32"/>
          <w:u w:val="single"/>
          <w:lang w:bidi="ar"/>
        </w:rPr>
        <w:t xml:space="preserve">     </w:t>
      </w:r>
      <w:r>
        <w:rPr>
          <w:rFonts w:hint="eastAsia" w:ascii="宋体" w:hAnsi="宋体" w:eastAsia="宋体" w:cs="宋体"/>
          <w:sz w:val="32"/>
          <w:szCs w:val="32"/>
          <w:u w:val="single"/>
          <w:lang w:bidi="ar"/>
        </w:rPr>
        <w:t xml:space="preserve">德宏州病死畜禽无害化处理项目 </w:t>
      </w:r>
      <w:r>
        <w:rPr>
          <w:rFonts w:ascii="宋体" w:hAnsi="宋体" w:eastAsia="宋体" w:cs="宋体"/>
          <w:sz w:val="32"/>
          <w:szCs w:val="32"/>
          <w:u w:val="single"/>
          <w:lang w:bidi="ar"/>
        </w:rPr>
        <w:t xml:space="preserve">   </w:t>
      </w:r>
      <w:r>
        <w:rPr>
          <w:rFonts w:hint="eastAsia" w:ascii="宋体" w:hAnsi="宋体" w:eastAsia="宋体" w:cs="宋体"/>
          <w:sz w:val="32"/>
          <w:szCs w:val="32"/>
          <w:u w:val="single"/>
          <w:lang w:bidi="ar"/>
        </w:rPr>
        <w:t xml:space="preserve"> </w:t>
      </w:r>
    </w:p>
    <w:p w14:paraId="1E4B46A0">
      <w:pPr>
        <w:adjustRightInd w:val="0"/>
        <w:snapToGrid w:val="0"/>
        <w:spacing w:line="288" w:lineRule="auto"/>
        <w:ind w:firstLine="480" w:firstLineChars="150"/>
        <w:rPr>
          <w:rFonts w:ascii="宋体" w:hAnsi="宋体" w:eastAsia="宋体" w:cs="宋体"/>
          <w:sz w:val="32"/>
          <w:szCs w:val="32"/>
          <w:u w:val="single"/>
        </w:rPr>
      </w:pPr>
      <w:r>
        <w:rPr>
          <w:rFonts w:hint="eastAsia" w:ascii="宋体" w:hAnsi="宋体" w:eastAsia="宋体" w:cs="宋体"/>
          <w:sz w:val="32"/>
          <w:szCs w:val="32"/>
          <w:lang w:bidi="ar"/>
        </w:rPr>
        <w:t>建设单位：</w:t>
      </w:r>
      <w:r>
        <w:rPr>
          <w:rFonts w:hint="eastAsia" w:ascii="宋体" w:hAnsi="宋体" w:eastAsia="宋体" w:cs="宋体"/>
          <w:sz w:val="32"/>
          <w:szCs w:val="32"/>
          <w:u w:val="single"/>
          <w:lang w:bidi="ar"/>
        </w:rPr>
        <w:t xml:space="preserve">        德宏益源生物科技有限公司        </w:t>
      </w:r>
    </w:p>
    <w:p w14:paraId="00A86095">
      <w:pPr>
        <w:adjustRightInd w:val="0"/>
        <w:snapToGrid w:val="0"/>
        <w:spacing w:line="288" w:lineRule="auto"/>
        <w:ind w:firstLine="480" w:firstLineChars="150"/>
        <w:rPr>
          <w:rFonts w:ascii="仿宋_GB2312" w:eastAsia="仿宋_GB2312" w:cs="仿宋_GB2312"/>
          <w:sz w:val="36"/>
          <w:szCs w:val="36"/>
        </w:rPr>
      </w:pPr>
      <w:r>
        <w:rPr>
          <w:rFonts w:hint="eastAsia" w:ascii="宋体" w:hAnsi="宋体" w:eastAsia="宋体" w:cs="宋体"/>
          <w:sz w:val="32"/>
          <w:szCs w:val="32"/>
          <w:lang w:bidi="ar"/>
        </w:rPr>
        <w:t>编制日期：</w:t>
      </w:r>
      <w:r>
        <w:rPr>
          <w:rFonts w:hint="eastAsia" w:ascii="宋体" w:hAnsi="宋体" w:eastAsia="宋体" w:cs="宋体"/>
          <w:sz w:val="32"/>
          <w:szCs w:val="32"/>
          <w:u w:val="single"/>
          <w:lang w:bidi="ar"/>
        </w:rPr>
        <w:t xml:space="preserve">              二〇二二年七月</w:t>
      </w:r>
      <w:bookmarkStart w:id="1" w:name="_Hlk57884087"/>
      <w:r>
        <w:rPr>
          <w:rFonts w:hint="eastAsia" w:ascii="宋体" w:hAnsi="宋体" w:eastAsia="宋体" w:cs="宋体"/>
          <w:sz w:val="32"/>
          <w:szCs w:val="32"/>
          <w:u w:val="single"/>
          <w:lang w:bidi="ar"/>
        </w:rPr>
        <w:t xml:space="preserve">           </w:t>
      </w:r>
    </w:p>
    <w:bookmarkEnd w:id="1"/>
    <w:p w14:paraId="38FF3F98">
      <w:pPr>
        <w:adjustRightInd w:val="0"/>
        <w:snapToGrid w:val="0"/>
        <w:spacing w:line="288" w:lineRule="auto"/>
        <w:jc w:val="center"/>
        <w:rPr>
          <w:rFonts w:ascii="楷体_GB2312" w:hAnsi="Times New Roman" w:eastAsia="楷体_GB2312" w:cs="楷体_GB2312"/>
          <w:b/>
          <w:bCs/>
          <w:sz w:val="36"/>
          <w:szCs w:val="36"/>
          <w:lang w:bidi="ar"/>
        </w:rPr>
      </w:pPr>
    </w:p>
    <w:p w14:paraId="67CF194A">
      <w:pPr>
        <w:adjustRightInd w:val="0"/>
        <w:snapToGrid w:val="0"/>
        <w:spacing w:line="288" w:lineRule="auto"/>
        <w:jc w:val="center"/>
        <w:rPr>
          <w:rFonts w:ascii="楷体_GB2312" w:hAnsi="Times New Roman" w:eastAsia="楷体_GB2312" w:cs="楷体_GB2312"/>
          <w:b/>
          <w:bCs/>
          <w:sz w:val="36"/>
          <w:szCs w:val="36"/>
          <w:lang w:bidi="ar"/>
        </w:rPr>
      </w:pPr>
    </w:p>
    <w:p w14:paraId="17DE7A1E">
      <w:pPr>
        <w:adjustRightInd w:val="0"/>
        <w:snapToGrid w:val="0"/>
        <w:spacing w:line="288" w:lineRule="auto"/>
        <w:jc w:val="center"/>
        <w:sectPr>
          <w:footerReference r:id="rId3" w:type="default"/>
          <w:pgSz w:w="11906" w:h="16838"/>
          <w:pgMar w:top="1440" w:right="1800" w:bottom="1440" w:left="1800" w:header="851" w:footer="992" w:gutter="0"/>
          <w:cols w:space="425" w:num="1"/>
          <w:docGrid w:type="lines" w:linePitch="312" w:charSpace="0"/>
        </w:sectPr>
      </w:pPr>
      <w:r>
        <w:rPr>
          <w:rFonts w:hint="eastAsia" w:ascii="楷体_GB2312" w:hAnsi="Times New Roman" w:eastAsia="楷体_GB2312" w:cs="楷体_GB2312"/>
          <w:b/>
          <w:bCs/>
          <w:sz w:val="36"/>
          <w:szCs w:val="36"/>
          <w:lang w:bidi="ar"/>
        </w:rPr>
        <w:t>中华人民共和国生态环境部制</w:t>
      </w:r>
    </w:p>
    <w:sdt>
      <w:sdtPr>
        <w:rPr>
          <w:rFonts w:ascii="宋体" w:hAnsi="宋体" w:eastAsia="宋体" w:cs="Calibri"/>
          <w:kern w:val="0"/>
          <w:sz w:val="20"/>
          <w:szCs w:val="20"/>
        </w:rPr>
        <w:id w:val="147457235"/>
        <w15:color w:val="DBDBDB"/>
        <w:docPartObj>
          <w:docPartGallery w:val="Table of Contents"/>
          <w:docPartUnique/>
        </w:docPartObj>
      </w:sdtPr>
      <w:sdtEndPr>
        <w:rPr>
          <w:rFonts w:ascii="Calibri" w:hAnsi="Calibri" w:eastAsia="宋体" w:cs="Calibri"/>
          <w:kern w:val="0"/>
          <w:sz w:val="20"/>
          <w:szCs w:val="20"/>
        </w:rPr>
      </w:sdtEndPr>
      <w:sdtContent>
        <w:p w14:paraId="499D8B6F">
          <w:pPr>
            <w:jc w:val="center"/>
            <w:rPr>
              <w:rFonts w:ascii="Times New Roman" w:hAnsi="Times New Roman" w:eastAsia="宋体" w:cs="Times New Roman"/>
              <w:sz w:val="24"/>
            </w:rPr>
          </w:pPr>
          <w:r>
            <w:rPr>
              <w:rFonts w:ascii="Times New Roman" w:hAnsi="Times New Roman" w:eastAsia="宋体" w:cs="Times New Roman"/>
              <w:b/>
              <w:bCs/>
              <w:sz w:val="30"/>
              <w:szCs w:val="30"/>
            </w:rPr>
            <w:t>目</w:t>
          </w:r>
          <w:r>
            <w:rPr>
              <w:rFonts w:hint="eastAsia" w:ascii="Times New Roman" w:hAnsi="Times New Roman" w:eastAsia="宋体" w:cs="Times New Roman"/>
              <w:b/>
              <w:bCs/>
              <w:sz w:val="30"/>
              <w:szCs w:val="30"/>
            </w:rPr>
            <w:t xml:space="preserve"> </w:t>
          </w:r>
          <w:r>
            <w:rPr>
              <w:rFonts w:ascii="Times New Roman" w:hAnsi="Times New Roman" w:eastAsia="宋体" w:cs="Times New Roman"/>
              <w:b/>
              <w:bCs/>
              <w:sz w:val="30"/>
              <w:szCs w:val="30"/>
            </w:rPr>
            <w:t>录</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TOC \o "1-1" \h \u </w:instrText>
          </w:r>
          <w:r>
            <w:rPr>
              <w:rFonts w:ascii="Times New Roman" w:hAnsi="Times New Roman" w:eastAsia="宋体" w:cs="Times New Roman"/>
              <w:sz w:val="24"/>
            </w:rPr>
            <w:fldChar w:fldCharType="separate"/>
          </w:r>
        </w:p>
        <w:p w14:paraId="73380C8A">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"_Toc6411" </w:instrText>
          </w:r>
          <w:r>
            <w:fldChar w:fldCharType="separate"/>
          </w:r>
          <w:r>
            <w:rPr>
              <w:rFonts w:ascii="Times New Roman" w:hAnsi="Times New Roman" w:cs="Times New Roman"/>
              <w:snapToGrid w:val="0"/>
              <w:sz w:val="24"/>
              <w:szCs w:val="24"/>
            </w:rPr>
            <w:t>一、建设项目基本情况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_Toc6411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5AF16B">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"_Toc16225" </w:instrText>
          </w:r>
          <w:r>
            <w:fldChar w:fldCharType="separate"/>
          </w:r>
          <w:r>
            <w:rPr>
              <w:rFonts w:ascii="Times New Roman" w:hAnsi="Times New Roman" w:cs="Times New Roman"/>
              <w:snapToGrid w:val="0"/>
              <w:sz w:val="24"/>
              <w:szCs w:val="24"/>
            </w:rPr>
            <w:t>二、建设项目工程分析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_Toc16225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6E4213">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"_Toc28047" </w:instrText>
          </w:r>
          <w:r>
            <w:fldChar w:fldCharType="separate"/>
          </w:r>
          <w:r>
            <w:rPr>
              <w:rFonts w:ascii="Times New Roman" w:hAnsi="Times New Roman" w:cs="Times New Roman"/>
              <w:snapToGrid w:val="0"/>
              <w:sz w:val="24"/>
              <w:szCs w:val="24"/>
            </w:rPr>
            <w:t>三、区域环境质量现状、环境保护目标及评价标准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_Toc28047 \h </w:instrText>
          </w:r>
          <w:r>
            <w:rPr>
              <w:rFonts w:ascii="Times New Roman" w:hAnsi="Times New Roman" w:cs="Times New Roman"/>
              <w:sz w:val="24"/>
              <w:szCs w:val="24"/>
            </w:rPr>
            <w:fldChar w:fldCharType="separate"/>
          </w:r>
          <w:r>
            <w:rPr>
              <w:rFonts w:ascii="Times New Roman" w:hAnsi="Times New Roman" w:cs="Times New Roman"/>
              <w:sz w:val="24"/>
              <w:szCs w:val="24"/>
            </w:rPr>
            <w:t>57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452322">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"_Toc30950" </w:instrText>
          </w:r>
          <w:r>
            <w:fldChar w:fldCharType="separate"/>
          </w:r>
          <w:r>
            <w:rPr>
              <w:rFonts w:ascii="Times New Roman" w:hAnsi="Times New Roman" w:cs="Times New Roman"/>
              <w:snapToGrid w:val="0"/>
              <w:sz w:val="24"/>
              <w:szCs w:val="24"/>
            </w:rPr>
            <w:t>四、主要环境影响和保护措施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_Toc30950 \h </w:instrText>
          </w:r>
          <w:r>
            <w:rPr>
              <w:rFonts w:ascii="Times New Roman" w:hAnsi="Times New Roman" w:cs="Times New Roman"/>
              <w:sz w:val="24"/>
              <w:szCs w:val="24"/>
            </w:rPr>
            <w:fldChar w:fldCharType="separate"/>
          </w:r>
          <w:r>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7456C46">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"_Toc26860" </w:instrText>
          </w:r>
          <w:r>
            <w:fldChar w:fldCharType="separate"/>
          </w:r>
          <w:r>
            <w:rPr>
              <w:rFonts w:ascii="Times New Roman" w:hAnsi="Times New Roman" w:cs="Times New Roman"/>
              <w:snapToGrid w:val="0"/>
              <w:sz w:val="24"/>
              <w:szCs w:val="24"/>
            </w:rPr>
            <w:t>五、环境保护措施监督检查清单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_Toc26860 \h </w:instrText>
          </w:r>
          <w:r>
            <w:rPr>
              <w:rFonts w:ascii="Times New Roman" w:hAnsi="Times New Roman" w:cs="Times New Roman"/>
              <w:sz w:val="24"/>
              <w:szCs w:val="24"/>
            </w:rPr>
            <w:fldChar w:fldCharType="separate"/>
          </w:r>
          <w:r>
            <w:rPr>
              <w:rFonts w:ascii="Times New Roman" w:hAnsi="Times New Roman" w:cs="Times New Roman"/>
              <w:sz w:val="24"/>
              <w:szCs w:val="24"/>
            </w:rPr>
            <w:t>114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B3DA7F">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"_Toc10151" </w:instrText>
          </w:r>
          <w:r>
            <w:fldChar w:fldCharType="separate"/>
          </w:r>
          <w:r>
            <w:rPr>
              <w:rFonts w:ascii="Times New Roman" w:hAnsi="Times New Roman" w:cs="Times New Roman"/>
              <w:snapToGrid w:val="0"/>
              <w:sz w:val="24"/>
              <w:szCs w:val="24"/>
            </w:rPr>
            <w:t>六、结论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_Toc10151 \h </w:instrText>
          </w:r>
          <w:r>
            <w:rPr>
              <w:rFonts w:ascii="Times New Roman" w:hAnsi="Times New Roman" w:cs="Times New Roman"/>
              <w:sz w:val="24"/>
              <w:szCs w:val="24"/>
            </w:rPr>
            <w:fldChar w:fldCharType="separate"/>
          </w:r>
          <w:r>
            <w:rPr>
              <w:rFonts w:ascii="Times New Roman" w:hAnsi="Times New Roman" w:cs="Times New Roman"/>
              <w:sz w:val="24"/>
              <w:szCs w:val="24"/>
            </w:rPr>
            <w:t>118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7D38D7">
          <w:pPr>
            <w:pStyle w:val="36"/>
            <w:tabs>
              <w:tab w:val="right" w:leader="dot" w:pos="8844"/>
            </w:tabs>
            <w:spacing w:line="360" w:lineRule="auto"/>
            <w:jc w:val="both"/>
            <w:rPr>
              <w:rFonts w:ascii="Times New Roman" w:hAnsi="Times New Roman" w:cs="Times New Roman"/>
              <w:sz w:val="24"/>
              <w:szCs w:val="24"/>
            </w:rPr>
          </w:pPr>
          <w:r>
            <w:fldChar w:fldCharType="begin"/>
          </w:r>
          <w:r>
            <w:instrText xml:space="preserve"> HYPERLINK \l "_Toc12358" </w:instrText>
          </w:r>
          <w:r>
            <w:fldChar w:fldCharType="separate"/>
          </w:r>
          <w:r>
            <w:rPr>
              <w:rFonts w:ascii="Times New Roman" w:hAnsi="Times New Roman" w:cs="Times New Roman"/>
              <w:snapToGrid w:val="0"/>
              <w:sz w:val="24"/>
              <w:szCs w:val="24"/>
            </w:rPr>
            <w:t>附表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_Toc12358 \h </w:instrText>
          </w:r>
          <w:r>
            <w:rPr>
              <w:rFonts w:ascii="Times New Roman" w:hAnsi="Times New Roman" w:cs="Times New Roman"/>
              <w:sz w:val="24"/>
              <w:szCs w:val="24"/>
            </w:rPr>
            <w:fldChar w:fldCharType="separate"/>
          </w:r>
          <w:r>
            <w:rPr>
              <w:rFonts w:ascii="Times New Roman" w:hAnsi="Times New Roman" w:cs="Times New Roman"/>
              <w:sz w:val="24"/>
              <w:szCs w:val="24"/>
            </w:rPr>
            <w:t>119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58A386">
          <w:pPr>
            <w:pStyle w:val="36"/>
            <w:tabs>
              <w:tab w:val="right" w:leader="dot" w:pos="8844"/>
            </w:tabs>
            <w:rPr>
              <w:rFonts w:ascii="Times New Roman" w:hAnsi="Times New Roman" w:cs="Times New Roman"/>
              <w:sz w:val="24"/>
              <w:szCs w:val="24"/>
            </w:rPr>
          </w:pPr>
          <w:r>
            <w:rPr>
              <w:rFonts w:ascii="Times New Roman" w:hAnsi="Times New Roman" w:cs="Times New Roman"/>
              <w:sz w:val="24"/>
              <w:szCs w:val="24"/>
            </w:rPr>
            <w:fldChar w:fldCharType="end"/>
          </w:r>
        </w:p>
        <w:p w14:paraId="047CCD97">
          <w:pPr>
            <w:pStyle w:val="36"/>
            <w:tabs>
              <w:tab w:val="right" w:leader="dot" w:pos="8844"/>
            </w:tabs>
          </w:pPr>
        </w:p>
      </w:sdtContent>
    </w:sdt>
    <w:p w14:paraId="02DE2B77">
      <w:pPr>
        <w:pStyle w:val="36"/>
        <w:tabs>
          <w:tab w:val="right" w:leader="dot" w:pos="8844"/>
        </w:tabs>
        <w:spacing w:line="360" w:lineRule="auto"/>
        <w:jc w:val="both"/>
        <w:rPr>
          <w:rFonts w:ascii="Times New Roman" w:hAnsi="Times New Roman" w:cs="Times New Roman"/>
          <w:b/>
          <w:bCs/>
          <w:sz w:val="24"/>
          <w:szCs w:val="24"/>
        </w:rPr>
        <w:sectPr>
          <w:pgSz w:w="11906" w:h="16838"/>
          <w:pgMar w:top="1702" w:right="1531" w:bottom="1702" w:left="1531" w:header="851" w:footer="1077" w:gutter="0"/>
          <w:pgNumType w:start="3"/>
          <w:cols w:space="425" w:num="1"/>
          <w:docGrid w:type="lines" w:linePitch="312" w:charSpace="0"/>
        </w:sectPr>
      </w:pPr>
      <w:bookmarkStart w:id="2" w:name="_Toc8089"/>
      <w:bookmarkStart w:id="3" w:name="_Toc25798_WPSOffice_Level1"/>
    </w:p>
    <w:p w14:paraId="717C3D20">
      <w:pPr>
        <w:pStyle w:val="36"/>
        <w:tabs>
          <w:tab w:val="right" w:leader="dot" w:pos="884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附件</w:t>
      </w:r>
      <w:bookmarkEnd w:id="2"/>
      <w:bookmarkEnd w:id="3"/>
      <w:r>
        <w:rPr>
          <w:rFonts w:hint="eastAsia" w:ascii="Times New Roman" w:hAnsi="Times New Roman" w:cs="Times New Roman"/>
          <w:b/>
          <w:bCs/>
          <w:sz w:val="24"/>
          <w:szCs w:val="24"/>
        </w:rPr>
        <w:t>：</w:t>
      </w:r>
    </w:p>
    <w:p w14:paraId="681717D8">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附件1：基础信息表</w:t>
      </w:r>
    </w:p>
    <w:p w14:paraId="6EB6BA07">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附件2：委托书</w:t>
      </w:r>
    </w:p>
    <w:p w14:paraId="5FF12874">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附件3：备案证</w:t>
      </w:r>
    </w:p>
    <w:p w14:paraId="419F507F">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附件4：</w:t>
      </w:r>
      <w:r>
        <w:rPr>
          <w:rFonts w:hint="eastAsia" w:ascii="Times New Roman" w:hAnsi="Times New Roman" w:cs="Times New Roman"/>
          <w:sz w:val="24"/>
          <w:szCs w:val="24"/>
          <w:lang w:eastAsia="zh-CN"/>
        </w:rPr>
        <w:t>农业农村局</w:t>
      </w:r>
      <w:r>
        <w:rPr>
          <w:rFonts w:hint="eastAsia" w:ascii="Times New Roman" w:hAnsi="Times New Roman" w:cs="Times New Roman"/>
          <w:sz w:val="24"/>
          <w:szCs w:val="24"/>
        </w:rPr>
        <w:t>选址意见</w:t>
      </w:r>
    </w:p>
    <w:p w14:paraId="683717FD">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附件5：芒市环保局关于德宏益源生物科技有限公司的选址意见</w:t>
      </w:r>
    </w:p>
    <w:p w14:paraId="30A3A1F7">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附件6：芒市林业和草原局选址意见</w:t>
      </w:r>
    </w:p>
    <w:p w14:paraId="20354E4C">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附件7：芒市自然资源局选址意见</w:t>
      </w:r>
    </w:p>
    <w:p w14:paraId="17E465D2">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附件8：建设单位营业执照</w:t>
      </w:r>
    </w:p>
    <w:p w14:paraId="051A5D63">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附件9：厂区土地租赁协议</w:t>
      </w:r>
    </w:p>
    <w:p w14:paraId="2A385FDD">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附件10：州政府四批次村庄土地批复</w:t>
      </w:r>
    </w:p>
    <w:p w14:paraId="04003407">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w:t>
      </w:r>
      <w:r>
        <w:rPr>
          <w:rFonts w:ascii="Times New Roman" w:hAnsi="Times New Roman" w:cs="Times New Roman"/>
          <w:sz w:val="24"/>
          <w:szCs w:val="24"/>
        </w:rPr>
        <w:t>1</w:t>
      </w:r>
      <w:r>
        <w:rPr>
          <w:rFonts w:hint="eastAsia" w:ascii="Times New Roman" w:hAnsi="Times New Roman" w:cs="Times New Roman"/>
          <w:sz w:val="24"/>
          <w:szCs w:val="24"/>
        </w:rPr>
        <w:t>：租用耕地协议</w:t>
      </w:r>
    </w:p>
    <w:p w14:paraId="065FF644">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附件1</w:t>
      </w:r>
      <w:r>
        <w:rPr>
          <w:rFonts w:ascii="Times New Roman" w:hAnsi="Times New Roman" w:cs="Times New Roman"/>
          <w:sz w:val="24"/>
          <w:szCs w:val="24"/>
        </w:rPr>
        <w:t>2</w:t>
      </w:r>
      <w:r>
        <w:rPr>
          <w:rFonts w:hint="eastAsia" w:ascii="Times New Roman" w:hAnsi="Times New Roman" w:cs="Times New Roman"/>
          <w:sz w:val="24"/>
          <w:szCs w:val="24"/>
        </w:rPr>
        <w:t>：环境质量现状监测报告</w:t>
      </w:r>
    </w:p>
    <w:p w14:paraId="1EBABF48">
      <w:pPr>
        <w:pStyle w:val="36"/>
        <w:tabs>
          <w:tab w:val="right" w:leader="dot" w:pos="8844"/>
        </w:tabs>
        <w:spacing w:line="360" w:lineRule="auto"/>
        <w:jc w:val="both"/>
        <w:rPr>
          <w:rFonts w:ascii="Times New Roman" w:hAnsi="Times New Roman" w:cs="Times New Roman"/>
          <w:sz w:val="24"/>
          <w:szCs w:val="24"/>
        </w:rPr>
      </w:pPr>
    </w:p>
    <w:p w14:paraId="17B4050B">
      <w:pPr>
        <w:pStyle w:val="36"/>
        <w:tabs>
          <w:tab w:val="right" w:leader="dot" w:pos="8844"/>
        </w:tabs>
        <w:spacing w:line="360" w:lineRule="auto"/>
        <w:jc w:val="both"/>
        <w:rPr>
          <w:rFonts w:ascii="Times New Roman" w:hAnsi="Times New Roman" w:cs="Times New Roman"/>
          <w:sz w:val="24"/>
          <w:szCs w:val="24"/>
        </w:rPr>
      </w:pPr>
      <w:bookmarkStart w:id="4" w:name="_Toc4407_WPSOffice_Level1"/>
      <w:r>
        <w:rPr>
          <w:rFonts w:ascii="Times New Roman" w:hAnsi="Times New Roman" w:cs="Times New Roman"/>
          <w:b/>
          <w:bCs/>
          <w:sz w:val="24"/>
          <w:szCs w:val="24"/>
        </w:rPr>
        <w:t>附图</w:t>
      </w:r>
      <w:bookmarkEnd w:id="4"/>
      <w:r>
        <w:rPr>
          <w:rFonts w:hint="eastAsia" w:ascii="Times New Roman" w:hAnsi="Times New Roman" w:cs="Times New Roman"/>
          <w:b/>
          <w:bCs/>
          <w:sz w:val="24"/>
          <w:szCs w:val="24"/>
        </w:rPr>
        <w:t>：</w:t>
      </w:r>
    </w:p>
    <w:p w14:paraId="7EE278A4">
      <w:pPr>
        <w:pStyle w:val="36"/>
        <w:tabs>
          <w:tab w:val="right" w:leader="dot" w:pos="8844"/>
        </w:tabs>
        <w:spacing w:line="360" w:lineRule="auto"/>
        <w:ind w:firstLine="240" w:firstLineChars="100"/>
        <w:jc w:val="both"/>
        <w:rPr>
          <w:rFonts w:ascii="Times New Roman" w:hAnsi="Times New Roman" w:cs="Times New Roman"/>
          <w:sz w:val="24"/>
          <w:szCs w:val="24"/>
        </w:rPr>
      </w:pPr>
      <w:bookmarkStart w:id="5" w:name="_Toc26948"/>
      <w:r>
        <w:rPr>
          <w:rFonts w:hint="eastAsia" w:ascii="Times New Roman" w:hAnsi="Times New Roman" w:cs="Times New Roman"/>
          <w:sz w:val="24"/>
          <w:szCs w:val="24"/>
        </w:rPr>
        <w:t>图2-1 地理位置图；</w:t>
      </w:r>
    </w:p>
    <w:p w14:paraId="52B6E816">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图2-3 项目平面图</w:t>
      </w:r>
    </w:p>
    <w:p w14:paraId="12975EB5">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图3-1 项目周边敏感点分布图</w:t>
      </w:r>
    </w:p>
    <w:p w14:paraId="07889468">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图4-</w:t>
      </w:r>
      <w:r>
        <w:rPr>
          <w:rFonts w:ascii="Times New Roman" w:hAnsi="Times New Roman" w:cs="Times New Roman"/>
          <w:sz w:val="24"/>
          <w:szCs w:val="24"/>
        </w:rPr>
        <w:t>3</w:t>
      </w:r>
      <w:r>
        <w:rPr>
          <w:rFonts w:hint="eastAsia" w:ascii="Times New Roman" w:hAnsi="Times New Roman" w:cs="Times New Roman"/>
          <w:sz w:val="24"/>
          <w:szCs w:val="24"/>
        </w:rPr>
        <w:t>水系图</w:t>
      </w:r>
    </w:p>
    <w:p w14:paraId="2BC54493">
      <w:pPr>
        <w:pStyle w:val="36"/>
        <w:tabs>
          <w:tab w:val="right" w:leader="dot" w:pos="8844"/>
        </w:tabs>
        <w:spacing w:line="360" w:lineRule="auto"/>
        <w:ind w:firstLine="240" w:firstLineChars="100"/>
        <w:jc w:val="both"/>
        <w:rPr>
          <w:rFonts w:ascii="Times New Roman" w:hAnsi="Times New Roman" w:cs="Times New Roman"/>
          <w:sz w:val="24"/>
          <w:szCs w:val="24"/>
        </w:rPr>
      </w:pPr>
      <w:r>
        <w:rPr>
          <w:rFonts w:hint="eastAsia" w:ascii="Times New Roman" w:hAnsi="Times New Roman" w:cs="Times New Roman"/>
          <w:sz w:val="24"/>
          <w:szCs w:val="24"/>
        </w:rPr>
        <w:t>图4-</w:t>
      </w:r>
      <w:r>
        <w:rPr>
          <w:rFonts w:ascii="Times New Roman" w:hAnsi="Times New Roman" w:cs="Times New Roman"/>
          <w:sz w:val="24"/>
          <w:szCs w:val="24"/>
        </w:rPr>
        <w:t>4</w:t>
      </w:r>
      <w:r>
        <w:rPr>
          <w:rFonts w:hint="eastAsia" w:ascii="Times New Roman" w:hAnsi="Times New Roman" w:cs="Times New Roman"/>
          <w:sz w:val="24"/>
          <w:szCs w:val="24"/>
        </w:rPr>
        <w:t xml:space="preserve"> 跟踪监测布点图</w:t>
      </w:r>
    </w:p>
    <w:bookmarkEnd w:id="5"/>
    <w:p w14:paraId="57F5E772">
      <w:pPr>
        <w:pStyle w:val="36"/>
        <w:tabs>
          <w:tab w:val="right" w:leader="dot" w:pos="8844"/>
        </w:tabs>
        <w:sectPr>
          <w:pgSz w:w="11906" w:h="16838"/>
          <w:pgMar w:top="1702" w:right="1531" w:bottom="1702" w:left="1531" w:header="851" w:footer="1077" w:gutter="0"/>
          <w:pgNumType w:start="3"/>
          <w:cols w:space="425" w:num="1"/>
          <w:docGrid w:type="lines" w:linePitch="312" w:charSpace="0"/>
        </w:sectPr>
      </w:pPr>
    </w:p>
    <w:p w14:paraId="7A61BC2B">
      <w:pPr>
        <w:pStyle w:val="16"/>
        <w:spacing w:before="312" w:beforeLines="100" w:beforeAutospacing="0" w:after="312" w:afterLines="100" w:afterAutospacing="0"/>
        <w:jc w:val="center"/>
        <w:outlineLvl w:val="0"/>
        <w:rPr>
          <w:rFonts w:ascii="黑体" w:eastAsia="黑体" w:cs="黑体"/>
          <w:sz w:val="30"/>
          <w:szCs w:val="30"/>
        </w:rPr>
      </w:pPr>
      <w:bookmarkStart w:id="6" w:name="_Toc6411"/>
      <w:r>
        <w:rPr>
          <w:rFonts w:ascii="黑体" w:eastAsia="黑体" w:cs="黑体"/>
          <w:snapToGrid w:val="0"/>
          <w:sz w:val="30"/>
          <w:szCs w:val="30"/>
        </w:rPr>
        <w:t>一、建设项目基本情况</w:t>
      </w:r>
      <w:bookmarkEnd w:id="6"/>
    </w:p>
    <w:tbl>
      <w:tblPr>
        <w:tblStyle w:val="18"/>
        <w:tblW w:w="90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3"/>
        <w:gridCol w:w="657"/>
        <w:gridCol w:w="1069"/>
        <w:gridCol w:w="2080"/>
        <w:gridCol w:w="1905"/>
        <w:gridCol w:w="99"/>
        <w:gridCol w:w="2645"/>
      </w:tblGrid>
      <w:tr w14:paraId="40195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E1A4219">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建设项目名称</w:t>
            </w:r>
          </w:p>
        </w:tc>
        <w:tc>
          <w:tcPr>
            <w:tcW w:w="6728" w:type="dxa"/>
            <w:gridSpan w:val="4"/>
            <w:tcBorders>
              <w:top w:val="single" w:color="auto" w:sz="8" w:space="0"/>
              <w:left w:val="single" w:color="auto" w:sz="4" w:space="0"/>
              <w:bottom w:val="single" w:color="auto" w:sz="4" w:space="0"/>
              <w:right w:val="single" w:color="auto" w:sz="8" w:space="0"/>
            </w:tcBorders>
            <w:shd w:val="clear" w:color="auto" w:fill="auto"/>
            <w:vAlign w:val="center"/>
          </w:tcPr>
          <w:p w14:paraId="53878BB1">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德宏州病死畜禽无害化处理项目</w:t>
            </w:r>
          </w:p>
        </w:tc>
      </w:tr>
      <w:tr w14:paraId="4A3B1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265E0DB">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项目代码</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07A44B3B">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2104-533103-04-01-890178</w:t>
            </w:r>
          </w:p>
        </w:tc>
      </w:tr>
      <w:tr w14:paraId="2B75C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F5E3BD2">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建设单位联系人</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7CEDF788">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王春贵</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CB99D3">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联系方式</w:t>
            </w:r>
          </w:p>
        </w:tc>
        <w:tc>
          <w:tcPr>
            <w:tcW w:w="2642" w:type="dxa"/>
            <w:tcBorders>
              <w:top w:val="single" w:color="auto" w:sz="4" w:space="0"/>
              <w:left w:val="single" w:color="auto" w:sz="4" w:space="0"/>
              <w:bottom w:val="single" w:color="auto" w:sz="4" w:space="0"/>
              <w:right w:val="single" w:color="auto" w:sz="8" w:space="0"/>
            </w:tcBorders>
            <w:shd w:val="clear" w:color="auto" w:fill="auto"/>
            <w:vAlign w:val="center"/>
          </w:tcPr>
          <w:p w14:paraId="7B2C144E">
            <w:pPr>
              <w:adjustRightInd w:val="0"/>
              <w:snapToGrid w:val="0"/>
              <w:ind w:left="105" w:leftChars="50" w:right="105" w:rightChars="50"/>
              <w:jc w:val="center"/>
              <w:rPr>
                <w:rFonts w:hint="default" w:ascii="Times New Roman" w:hAnsi="Times New Roman" w:eastAsia="宋体" w:cs="Times New Roman"/>
                <w:szCs w:val="21"/>
                <w:lang w:val="en-US" w:eastAsia="zh-CN"/>
              </w:rPr>
            </w:pPr>
            <w:r>
              <w:rPr>
                <w:rFonts w:ascii="Times New Roman" w:hAnsi="Times New Roman" w:eastAsia="宋体" w:cs="Times New Roman"/>
                <w:szCs w:val="21"/>
              </w:rPr>
              <w:t>138</w:t>
            </w:r>
            <w:r>
              <w:rPr>
                <w:rFonts w:hint="eastAsia" w:ascii="Times New Roman" w:hAnsi="Times New Roman" w:eastAsia="宋体" w:cs="Times New Roman"/>
                <w:szCs w:val="21"/>
                <w:lang w:val="en-US" w:eastAsia="zh-CN"/>
              </w:rPr>
              <w:t>******</w:t>
            </w:r>
          </w:p>
        </w:tc>
      </w:tr>
      <w:tr w14:paraId="01FE4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F2C0F43">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建设地点</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3364BF19">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芒市三台山乡邦外村委会帕当坝村小组</w:t>
            </w:r>
          </w:p>
        </w:tc>
      </w:tr>
      <w:tr w14:paraId="6C6DF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871B6EB">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地理坐标</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10349148">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 xml:space="preserve">（E </w:t>
            </w:r>
            <w:r>
              <w:rPr>
                <w:rFonts w:hint="eastAsia" w:ascii="Times New Roman" w:hAnsi="Times New Roman" w:eastAsia="宋体" w:cs="Times New Roman"/>
                <w:szCs w:val="21"/>
              </w:rPr>
              <w:t>98°23′58.48″</w:t>
            </w:r>
            <w:r>
              <w:rPr>
                <w:rFonts w:ascii="Times New Roman" w:hAnsi="Times New Roman" w:eastAsia="宋体" w:cs="Times New Roman"/>
                <w:szCs w:val="21"/>
              </w:rPr>
              <w:t xml:space="preserve">，N </w:t>
            </w:r>
            <w:r>
              <w:rPr>
                <w:rFonts w:hint="eastAsia" w:ascii="Times New Roman" w:hAnsi="Times New Roman" w:eastAsia="宋体" w:cs="Times New Roman"/>
                <w:szCs w:val="21"/>
              </w:rPr>
              <w:t>24°22′34.72″</w:t>
            </w:r>
            <w:r>
              <w:rPr>
                <w:rFonts w:ascii="Times New Roman" w:hAnsi="Times New Roman" w:eastAsia="宋体" w:cs="Times New Roman"/>
                <w:szCs w:val="21"/>
              </w:rPr>
              <w:t>）</w:t>
            </w:r>
          </w:p>
        </w:tc>
      </w:tr>
      <w:tr w14:paraId="4A8C3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659F5BD">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国民经济行业类别</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202AAB0">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0539</w:t>
            </w:r>
            <w:r>
              <w:rPr>
                <w:rFonts w:hint="eastAsia" w:ascii="Times New Roman" w:hAnsi="Times New Roman" w:eastAsia="宋体" w:cs="Times New Roman"/>
                <w:szCs w:val="21"/>
              </w:rPr>
              <w:t>其它畜牧专业及辅助性活动</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2F3A3E1">
            <w:pPr>
              <w:adjustRightInd w:val="0"/>
              <w:snapToGrid w:val="0"/>
              <w:ind w:left="105" w:leftChars="50" w:right="105" w:rightChars="50"/>
              <w:jc w:val="center"/>
              <w:rPr>
                <w:rFonts w:ascii="Times New Roman" w:hAnsi="Times New Roman" w:eastAsia="宋体" w:cs="Times New Roman"/>
                <w:szCs w:val="21"/>
              </w:rPr>
            </w:pPr>
            <w:bookmarkStart w:id="7" w:name="_Hlk49843745"/>
            <w:r>
              <w:rPr>
                <w:rFonts w:ascii="Times New Roman" w:hAnsi="Times New Roman" w:eastAsia="宋体" w:cs="Times New Roman"/>
                <w:szCs w:val="21"/>
                <w:lang w:bidi="ar"/>
              </w:rPr>
              <w:t>建设项目行业类别</w:t>
            </w:r>
            <w:bookmarkEnd w:id="7"/>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27D67218">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四十七、生态保护和环境治理业102医疗废物处置、 病死及病害动物无害化处理</w:t>
            </w:r>
          </w:p>
        </w:tc>
      </w:tr>
      <w:tr w14:paraId="44BD9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50C0C89">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建设性质</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7CBD8379">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52"/>
            </w:r>
            <w:r>
              <w:rPr>
                <w:rFonts w:ascii="Times New Roman" w:hAnsi="Times New Roman" w:eastAsia="宋体" w:cs="Times New Roman"/>
                <w:szCs w:val="21"/>
                <w:lang w:bidi="ar"/>
              </w:rPr>
              <w:t>新建（迁建）</w:t>
            </w:r>
          </w:p>
          <w:p w14:paraId="2C73689A">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改建</w:t>
            </w:r>
          </w:p>
          <w:p w14:paraId="0A990C04">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扩建</w:t>
            </w:r>
          </w:p>
          <w:p w14:paraId="26DE7DEC">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技术改造</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7930EDB2">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建设项目申报情形</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38E3CC32">
            <w:pPr>
              <w:ind w:left="105" w:leftChars="50" w:right="105" w:rightChars="50"/>
              <w:jc w:val="left"/>
              <w:rPr>
                <w:rFonts w:ascii="Times New Roman" w:hAnsi="Times New Roman" w:eastAsia="宋体" w:cs="Times New Roman"/>
                <w:szCs w:val="21"/>
                <w:lang w:bidi="ar"/>
              </w:rPr>
            </w:pPr>
            <w:r>
              <w:rPr>
                <w:rFonts w:hint="eastAsia" w:ascii="Times New Roman" w:hAnsi="Times New Roman" w:eastAsia="宋体" w:cs="Times New Roman"/>
                <w:kern w:val="0"/>
                <w:szCs w:val="21"/>
              </w:rPr>
              <w:sym w:font="Wingdings 2" w:char="0052"/>
            </w:r>
            <w:r>
              <w:rPr>
                <w:rFonts w:ascii="Times New Roman" w:hAnsi="Times New Roman" w:eastAsia="宋体" w:cs="Times New Roman"/>
                <w:szCs w:val="21"/>
                <w:lang w:bidi="ar"/>
              </w:rPr>
              <w:t>首次申报项目</w:t>
            </w:r>
          </w:p>
          <w:p w14:paraId="6FF2C39B">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不予批准后再次申报项目</w:t>
            </w:r>
          </w:p>
          <w:p w14:paraId="7602E3F7">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超五年重新审核项目</w:t>
            </w:r>
          </w:p>
          <w:p w14:paraId="21376080">
            <w:pPr>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重大变动重新报批项目</w:t>
            </w:r>
          </w:p>
        </w:tc>
      </w:tr>
      <w:tr w14:paraId="645F4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73DC9369">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项目审批部门</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507D7D3F">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芒市发展和改革局</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5DEACB10">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项目审批文号</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11060970">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1A7E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804955A">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总投资（万元）</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2FC04B32">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2000</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226EEBF1">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环保投资（万元）</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314D1A3B">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48.7</w:t>
            </w:r>
          </w:p>
        </w:tc>
      </w:tr>
      <w:tr w14:paraId="0D66D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57B89D5A">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环保投资占比（%）</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61B7122E">
            <w:pPr>
              <w:adjustRightInd w:val="0"/>
              <w:snapToGrid w:val="0"/>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.44</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278EE81C">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施工工期</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6CCBD04E">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02</w:t>
            </w:r>
            <w:r>
              <w:rPr>
                <w:rFonts w:ascii="Times New Roman" w:hAnsi="Times New Roman" w:eastAsia="宋体" w:cs="Times New Roman"/>
                <w:szCs w:val="21"/>
              </w:rPr>
              <w:t>2</w:t>
            </w:r>
            <w:r>
              <w:rPr>
                <w:rFonts w:hint="eastAsia" w:ascii="Times New Roman" w:hAnsi="Times New Roman" w:eastAsia="宋体" w:cs="Times New Roman"/>
                <w:szCs w:val="21"/>
              </w:rPr>
              <w:t>年</w:t>
            </w:r>
            <w:r>
              <w:rPr>
                <w:rFonts w:ascii="Times New Roman" w:hAnsi="Times New Roman" w:eastAsia="宋体" w:cs="Times New Roman"/>
                <w:szCs w:val="21"/>
              </w:rPr>
              <w:t>8</w:t>
            </w:r>
            <w:r>
              <w:rPr>
                <w:rFonts w:hint="eastAsia" w:ascii="Times New Roman" w:hAnsi="Times New Roman" w:eastAsia="宋体" w:cs="Times New Roman"/>
                <w:szCs w:val="21"/>
              </w:rPr>
              <w:t>月～2021年</w:t>
            </w:r>
            <w:r>
              <w:rPr>
                <w:rFonts w:ascii="Times New Roman" w:hAnsi="Times New Roman" w:eastAsia="宋体" w:cs="Times New Roman"/>
                <w:szCs w:val="21"/>
              </w:rPr>
              <w:t>12</w:t>
            </w:r>
            <w:r>
              <w:rPr>
                <w:rFonts w:hint="eastAsia" w:ascii="Times New Roman" w:hAnsi="Times New Roman" w:eastAsia="宋体" w:cs="Times New Roman"/>
                <w:szCs w:val="21"/>
              </w:rPr>
              <w:t>月</w:t>
            </w:r>
          </w:p>
        </w:tc>
      </w:tr>
      <w:tr w14:paraId="26AA6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02182B1B">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是否开工建设</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5E706F0">
            <w:pPr>
              <w:adjustRightInd w:val="0"/>
              <w:snapToGrid w:val="0"/>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52"/>
            </w:r>
            <w:r>
              <w:rPr>
                <w:rFonts w:ascii="Times New Roman" w:hAnsi="Times New Roman" w:eastAsia="宋体" w:cs="Times New Roman"/>
                <w:szCs w:val="21"/>
                <w:lang w:bidi="ar"/>
              </w:rPr>
              <w:t>否</w:t>
            </w:r>
          </w:p>
          <w:p w14:paraId="5B887B4F">
            <w:pPr>
              <w:adjustRightInd w:val="0"/>
              <w:snapToGrid w:val="0"/>
              <w:ind w:left="105" w:leftChars="50" w:right="105" w:rightChars="50"/>
              <w:jc w:val="left"/>
              <w:rPr>
                <w:rFonts w:ascii="Times New Roman" w:hAnsi="Times New Roman" w:eastAsia="宋体" w:cs="Times New Roman"/>
                <w:szCs w:val="21"/>
              </w:rPr>
            </w:pPr>
            <w:r>
              <w:rPr>
                <w:rFonts w:hint="eastAsia" w:ascii="Times New Roman" w:hAnsi="Times New Roman" w:eastAsia="宋体" w:cs="Times New Roman"/>
                <w:kern w:val="0"/>
                <w:szCs w:val="21"/>
              </w:rPr>
              <w:sym w:font="Wingdings 2" w:char="00A3"/>
            </w:r>
            <w:r>
              <w:rPr>
                <w:rFonts w:ascii="Times New Roman" w:hAnsi="Times New Roman" w:eastAsia="宋体" w:cs="Times New Roman"/>
                <w:szCs w:val="21"/>
                <w:lang w:bidi="ar"/>
              </w:rPr>
              <w:t>是：</w:t>
            </w:r>
          </w:p>
        </w:tc>
        <w:tc>
          <w:tcPr>
            <w:tcW w:w="190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00423B97">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用地面积（m</w:t>
            </w:r>
            <w:r>
              <w:rPr>
                <w:rFonts w:ascii="Times New Roman" w:hAnsi="Times New Roman" w:eastAsia="宋体" w:cs="Times New Roman"/>
                <w:szCs w:val="21"/>
                <w:vertAlign w:val="superscript"/>
                <w:lang w:bidi="ar"/>
              </w:rPr>
              <w:t>2</w:t>
            </w:r>
            <w:r>
              <w:rPr>
                <w:rFonts w:ascii="Times New Roman" w:hAnsi="Times New Roman" w:eastAsia="宋体" w:cs="Times New Roman"/>
                <w:szCs w:val="21"/>
                <w:lang w:bidi="ar"/>
              </w:rPr>
              <w:t>）</w:t>
            </w:r>
          </w:p>
        </w:tc>
        <w:tc>
          <w:tcPr>
            <w:tcW w:w="2741"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1333B39E">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5944</w:t>
            </w:r>
          </w:p>
        </w:tc>
      </w:tr>
      <w:tr w14:paraId="2D742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290" w:type="dxa"/>
            <w:gridSpan w:val="3"/>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63E6E5C0">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专项评价设置情况</w:t>
            </w:r>
          </w:p>
        </w:tc>
        <w:tc>
          <w:tcPr>
            <w:tcW w:w="6728" w:type="dxa"/>
            <w:gridSpan w:val="4"/>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05632F7E">
            <w:pPr>
              <w:pStyle w:val="2"/>
              <w:pBdr>
                <w:bottom w:val="none" w:color="auto" w:sz="0" w:space="0"/>
              </w:pBdr>
              <w:spacing w:line="360" w:lineRule="auto"/>
              <w:ind w:firstLine="240" w:firstLineChars="100"/>
              <w:jc w:val="both"/>
              <w:rPr>
                <w:rFonts w:ascii="Times New Roman" w:hAnsi="Times New Roman" w:cs="Times New Roman"/>
                <w:sz w:val="24"/>
              </w:rPr>
            </w:pPr>
            <w:r>
              <w:rPr>
                <w:rFonts w:hint="eastAsia" w:ascii="Times New Roman" w:hAnsi="Times New Roman" w:eastAsia="宋体" w:cs="Times New Roman"/>
                <w:sz w:val="24"/>
              </w:rPr>
              <w:t>大气环境评价：</w:t>
            </w:r>
            <w:r>
              <w:rPr>
                <w:rFonts w:hint="eastAsia" w:ascii="Times New Roman" w:hAnsi="Times New Roman" w:cs="Times New Roman"/>
                <w:sz w:val="24"/>
              </w:rPr>
              <w:t>项</w:t>
            </w:r>
            <w:r>
              <w:rPr>
                <w:rFonts w:hint="eastAsia" w:ascii="Times New Roman" w:hAnsi="Times New Roman" w:cs="Times New Roman"/>
                <w:sz w:val="24"/>
                <w:szCs w:val="24"/>
              </w:rPr>
              <w:t>目排放的废气污染物主要为</w:t>
            </w:r>
            <w:r>
              <w:rPr>
                <w:rFonts w:hint="eastAsia" w:ascii="Times New Roman" w:hAnsi="Times New Roman" w:cs="Times New Roman"/>
                <w:sz w:val="24"/>
              </w:rPr>
              <w:t>颗粒物</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、NOx</w:t>
            </w:r>
            <w:r>
              <w:rPr>
                <w:rFonts w:hint="eastAsia" w:ascii="Times New Roman" w:hAnsi="Times New Roman" w:cs="Times New Roman"/>
                <w:sz w:val="24"/>
              </w:rPr>
              <w:t>，还有少量H</w:t>
            </w:r>
            <w:r>
              <w:rPr>
                <w:rFonts w:ascii="Times New Roman" w:hAnsi="Times New Roman" w:cs="Times New Roman"/>
                <w:sz w:val="24"/>
                <w:vertAlign w:val="subscript"/>
              </w:rPr>
              <w:t>2</w:t>
            </w:r>
            <w:r>
              <w:rPr>
                <w:rFonts w:ascii="Times New Roman" w:hAnsi="Times New Roman" w:cs="Times New Roman"/>
                <w:sz w:val="24"/>
              </w:rPr>
              <w:t>S</w:t>
            </w:r>
            <w:r>
              <w:rPr>
                <w:rFonts w:hint="eastAsia" w:ascii="Times New Roman" w:hAnsi="Times New Roman" w:cs="Times New Roman"/>
                <w:sz w:val="24"/>
              </w:rPr>
              <w:t>、</w:t>
            </w:r>
            <w:r>
              <w:rPr>
                <w:rFonts w:ascii="Times New Roman" w:hAnsi="Times New Roman" w:cs="Times New Roman"/>
                <w:sz w:val="24"/>
              </w:rPr>
              <w:t>NH</w:t>
            </w:r>
            <w:r>
              <w:rPr>
                <w:rFonts w:ascii="Times New Roman" w:hAnsi="Times New Roman" w:cs="Times New Roman"/>
                <w:sz w:val="24"/>
                <w:vertAlign w:val="subscript"/>
              </w:rPr>
              <w:t>3</w:t>
            </w:r>
            <w:r>
              <w:rPr>
                <w:rFonts w:hint="eastAsia" w:ascii="Times New Roman" w:hAnsi="Times New Roman" w:cs="Times New Roman"/>
                <w:sz w:val="24"/>
              </w:rPr>
              <w:t>等，不含有毒有害废气和</w:t>
            </w:r>
            <w:r>
              <w:rPr>
                <w:rFonts w:ascii="Times New Roman" w:hAnsi="Times New Roman" w:cs="Times New Roman"/>
                <w:sz w:val="24"/>
              </w:rPr>
              <w:t>二噁英、苯并[a]芘、氰化物、氯气</w:t>
            </w:r>
            <w:r>
              <w:rPr>
                <w:rFonts w:hint="eastAsia" w:ascii="Times New Roman" w:hAnsi="Times New Roman" w:cs="Times New Roman"/>
                <w:sz w:val="24"/>
              </w:rPr>
              <w:t>，故不设大气影响专项评价。</w:t>
            </w:r>
          </w:p>
          <w:p w14:paraId="31903934">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地表水环境评价：项目建成后无生产废水和生活污水排放，故不设地表水影响评价专项。</w:t>
            </w:r>
          </w:p>
          <w:p w14:paraId="2BCB99C4">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地下水环境评价：项目不涉及</w:t>
            </w:r>
            <w:r>
              <w:t>集中式饮用水水源和热水、矿泉水、温泉等特殊地下水资源保护区</w:t>
            </w:r>
            <w:r>
              <w:rPr>
                <w:rFonts w:hint="eastAsia" w:ascii="Times New Roman" w:hAnsi="Times New Roman" w:cs="Times New Roman"/>
                <w:szCs w:val="18"/>
              </w:rPr>
              <w:t>，故不设地下水评价专项。</w:t>
            </w:r>
          </w:p>
          <w:p w14:paraId="01F0946F">
            <w:pPr>
              <w:pStyle w:val="2"/>
              <w:pBdr>
                <w:bottom w:val="none" w:color="auto" w:sz="0" w:space="0"/>
              </w:pBdr>
              <w:spacing w:line="360" w:lineRule="auto"/>
              <w:ind w:firstLine="240" w:firstLineChars="100"/>
              <w:jc w:val="both"/>
              <w:rPr>
                <w:rFonts w:ascii="Times New Roman" w:hAnsi="Times New Roman" w:eastAsia="宋体" w:cs="Times New Roman"/>
                <w:sz w:val="24"/>
              </w:rPr>
            </w:pPr>
            <w:r>
              <w:rPr>
                <w:rFonts w:hint="eastAsia" w:ascii="Times New Roman" w:hAnsi="Times New Roman" w:eastAsia="宋体" w:cs="Times New Roman"/>
                <w:sz w:val="24"/>
              </w:rPr>
              <w:t>生态评价：本项目新鲜水主要来自附近供水管网；运行期无生产废水和生活污水排放，故不设生态评价专项。</w:t>
            </w:r>
          </w:p>
          <w:p w14:paraId="23104F2E">
            <w:pPr>
              <w:pStyle w:val="10"/>
              <w:snapToGrid w:val="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环境风险：本项目主要风险物质为废机油、次氯酸钠、油脂，其贮存量远低于临界量，故不设环境风险专项。</w:t>
            </w:r>
          </w:p>
          <w:p w14:paraId="4F294C78">
            <w:pPr>
              <w:pStyle w:val="10"/>
              <w:snapToGrid w:val="0"/>
              <w:spacing w:line="360" w:lineRule="auto"/>
              <w:ind w:left="0" w:right="105" w:rightChars="50" w:firstLine="240" w:firstLineChars="100"/>
              <w:rPr>
                <w:lang w:val="en-US"/>
              </w:rPr>
            </w:pPr>
            <w:r>
              <w:rPr>
                <w:rFonts w:ascii="Times New Roman" w:hAnsi="Times New Roman" w:cs="Times New Roman"/>
              </w:rPr>
              <w:t>土壤、声环境 不开展专项评价。</w:t>
            </w:r>
          </w:p>
        </w:tc>
      </w:tr>
      <w:tr w14:paraId="1B001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217" w:type="dxa"/>
            <w:gridSpan w:val="2"/>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4675E2D7">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szCs w:val="21"/>
                <w:lang w:bidi="ar"/>
              </w:rPr>
              <w:t>规划情况</w:t>
            </w:r>
          </w:p>
        </w:tc>
        <w:tc>
          <w:tcPr>
            <w:tcW w:w="7801" w:type="dxa"/>
            <w:gridSpan w:val="5"/>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464EB7DB">
            <w:pPr>
              <w:autoSpaceDE w:val="0"/>
              <w:autoSpaceDN w:val="0"/>
              <w:adjustRightInd w:val="0"/>
              <w:snapToGrid w:val="0"/>
              <w:ind w:left="210" w:leftChars="100" w:right="105" w:rightChars="50"/>
              <w:jc w:val="left"/>
              <w:rPr>
                <w:rFonts w:ascii="Times New Roman" w:hAnsi="Times New Roman" w:eastAsia="宋体" w:cs="Times New Roman"/>
                <w:kern w:val="0"/>
                <w:szCs w:val="21"/>
              </w:rPr>
            </w:pPr>
            <w:r>
              <w:rPr>
                <w:rFonts w:hint="eastAsia" w:ascii="Times New Roman" w:hAnsi="Times New Roman" w:cs="Times New Roman"/>
                <w:sz w:val="24"/>
              </w:rPr>
              <w:t>规划名称：</w:t>
            </w:r>
            <w:r>
              <w:rPr>
                <w:rFonts w:ascii="Times New Roman" w:hAnsi="Times New Roman" w:cs="Times New Roman"/>
                <w:sz w:val="24"/>
              </w:rPr>
              <w:t>《云南省病死畜禽无害化处理体系建设规划（2021-2025年）》</w:t>
            </w:r>
            <w:r>
              <w:rPr>
                <w:rFonts w:hint="eastAsia" w:ascii="Times New Roman" w:hAnsi="Times New Roman" w:cs="Times New Roman"/>
                <w:sz w:val="24"/>
              </w:rPr>
              <w:t>发布单位：云南省农业农村厅、云南省财政厅</w:t>
            </w:r>
          </w:p>
        </w:tc>
      </w:tr>
      <w:tr w14:paraId="0BE91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217" w:type="dxa"/>
            <w:gridSpan w:val="2"/>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215614B4">
            <w:pPr>
              <w:adjustRightInd w:val="0"/>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lang w:bidi="ar"/>
              </w:rPr>
              <w:t>规划环境影响</w:t>
            </w:r>
          </w:p>
          <w:p w14:paraId="50D08EB4">
            <w:pPr>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szCs w:val="21"/>
                <w:lang w:bidi="ar"/>
              </w:rPr>
              <w:t>评价情况</w:t>
            </w:r>
          </w:p>
        </w:tc>
        <w:tc>
          <w:tcPr>
            <w:tcW w:w="7801" w:type="dxa"/>
            <w:gridSpan w:val="5"/>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51DF5669">
            <w:pPr>
              <w:autoSpaceDE w:val="0"/>
              <w:autoSpaceDN w:val="0"/>
              <w:adjustRightInd w:val="0"/>
              <w:spacing w:line="360" w:lineRule="auto"/>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DD54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221" w:type="dxa"/>
            <w:gridSpan w:val="2"/>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348BCC07">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规划及规划环境影响评价符合性分析</w:t>
            </w:r>
          </w:p>
        </w:tc>
        <w:tc>
          <w:tcPr>
            <w:tcW w:w="7797" w:type="dxa"/>
            <w:gridSpan w:val="5"/>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58699409">
            <w:pPr>
              <w:autoSpaceDE w:val="0"/>
              <w:autoSpaceDN w:val="0"/>
              <w:adjustRightInd w:val="0"/>
              <w:snapToGrid w:val="0"/>
              <w:ind w:right="105" w:rightChars="50"/>
              <w:jc w:val="center"/>
              <w:rPr>
                <w:rFonts w:ascii="Times New Roman" w:hAnsi="Times New Roman" w:eastAsia="宋体" w:cs="Times New Roman"/>
                <w:kern w:val="0"/>
                <w:sz w:val="24"/>
              </w:rPr>
            </w:pPr>
            <w:r>
              <w:rPr>
                <w:rFonts w:hint="eastAsia" w:ascii="Times New Roman" w:hAnsi="Times New Roman" w:cs="Times New Roman"/>
                <w:sz w:val="24"/>
              </w:rPr>
              <w:t>本项目为德宏州拟建的专业无害化处理厂，属于实现规划“工作目标”的组成部分；对云南省病死畜禽无害化处理体系建设有着积极意义；项目建设符合规划要求。</w:t>
            </w:r>
          </w:p>
        </w:tc>
      </w:tr>
      <w:tr w14:paraId="70D2B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64"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14:paraId="51A2F44A">
            <w:pPr>
              <w:autoSpaceDE w:val="0"/>
              <w:autoSpaceDN w:val="0"/>
              <w:adjustRightInd w:val="0"/>
              <w:snapToGrid w:val="0"/>
              <w:ind w:left="105" w:leftChars="50" w:right="105" w:rightChars="5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其他符合性分析</w:t>
            </w:r>
          </w:p>
        </w:tc>
        <w:tc>
          <w:tcPr>
            <w:tcW w:w="8454" w:type="dxa"/>
            <w:gridSpan w:val="6"/>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14:paraId="2AFBA8D4">
            <w:pPr>
              <w:autoSpaceDE w:val="0"/>
              <w:autoSpaceDN w:val="0"/>
              <w:adjustRightInd w:val="0"/>
              <w:spacing w:line="360" w:lineRule="auto"/>
              <w:ind w:right="105" w:rightChars="50" w:firstLine="241" w:firstLineChars="100"/>
              <w:jc w:val="left"/>
              <w:rPr>
                <w:rFonts w:ascii="Times New Roman" w:hAnsi="Times New Roman" w:eastAsia="宋体" w:cs="Times New Roman"/>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1</w:t>
            </w:r>
            <w:r>
              <w:rPr>
                <w:rFonts w:hint="eastAsia" w:ascii="Times New Roman" w:hAnsi="Times New Roman" w:eastAsia="宋体" w:cs="Times New Roman"/>
                <w:b/>
                <w:bCs/>
                <w:kern w:val="0"/>
                <w:sz w:val="24"/>
              </w:rPr>
              <w:t xml:space="preserve"> 与“三线一单”相符性分析</w:t>
            </w:r>
          </w:p>
          <w:p w14:paraId="05CFBEC9">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（1）生态保护红线</w:t>
            </w:r>
          </w:p>
          <w:p w14:paraId="6EF89D7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项目厂址位于芒市三台山乡邦外村委会帕当坝村小组，占地现状为一般自然保留地，属于一般耕地，不占用基本农田。选址处不在敏感生态功能区范围内，不在当地饮用水水源地、风景名胜区、自然保护区等生态保护区内，评价区域无珍稀动植物分布。根据芒市自然资源局出具的《选址意见》（见附件），项目选址不涉及芒市生态保护红线。</w:t>
            </w:r>
          </w:p>
          <w:p w14:paraId="192CFD57">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bookmarkStart w:id="8" w:name="_Toc81343583"/>
            <w:r>
              <w:rPr>
                <w:rFonts w:hint="eastAsia" w:ascii="Times New Roman" w:hAnsi="Times New Roman" w:eastAsia="宋体" w:cs="Times New Roman"/>
                <w:kern w:val="0"/>
                <w:sz w:val="24"/>
              </w:rPr>
              <w:t>（2）</w:t>
            </w:r>
            <w:r>
              <w:rPr>
                <w:rFonts w:ascii="Times New Roman" w:hAnsi="Times New Roman" w:eastAsia="宋体" w:cs="Times New Roman"/>
                <w:kern w:val="0"/>
                <w:sz w:val="24"/>
              </w:rPr>
              <w:t xml:space="preserve"> “三线一单”生态环境分区管控规划</w:t>
            </w:r>
            <w:bookmarkEnd w:id="8"/>
          </w:p>
          <w:p w14:paraId="0672A763">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2021年10月22日，</w:t>
            </w:r>
            <w:r>
              <w:rPr>
                <w:rFonts w:hint="eastAsia" w:ascii="Times New Roman" w:hAnsi="Times New Roman" w:eastAsia="宋体" w:cs="Times New Roman"/>
                <w:kern w:val="0"/>
                <w:sz w:val="24"/>
              </w:rPr>
              <w:t>德宏州</w:t>
            </w:r>
            <w:r>
              <w:rPr>
                <w:rFonts w:ascii="Times New Roman" w:hAnsi="Times New Roman" w:eastAsia="宋体" w:cs="Times New Roman"/>
                <w:kern w:val="0"/>
                <w:sz w:val="24"/>
              </w:rPr>
              <w:t>人民政府发布了《</w:t>
            </w:r>
            <w:r>
              <w:rPr>
                <w:rFonts w:hint="eastAsia" w:ascii="Times New Roman" w:hAnsi="Times New Roman" w:eastAsia="宋体" w:cs="Times New Roman"/>
                <w:kern w:val="0"/>
                <w:sz w:val="24"/>
              </w:rPr>
              <w:t>德宏州“三线一单”生态环境分区管控实施方案</w:t>
            </w:r>
            <w:r>
              <w:rPr>
                <w:rFonts w:ascii="Times New Roman" w:hAnsi="Times New Roman" w:eastAsia="宋体" w:cs="Times New Roman"/>
                <w:kern w:val="0"/>
                <w:sz w:val="24"/>
              </w:rPr>
              <w:t>》</w:t>
            </w:r>
            <w:bookmarkStart w:id="9" w:name="_Hlk92888753"/>
            <w:r>
              <w:rPr>
                <w:rFonts w:ascii="Times New Roman" w:hAnsi="Times New Roman" w:eastAsia="宋体" w:cs="Times New Roman"/>
                <w:kern w:val="0"/>
                <w:sz w:val="24"/>
              </w:rPr>
              <w:t>。</w:t>
            </w:r>
            <w:bookmarkEnd w:id="9"/>
          </w:p>
          <w:p w14:paraId="0B9C503B">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优先保护单元：</w:t>
            </w:r>
            <w:r>
              <w:rPr>
                <w:rFonts w:hint="eastAsia" w:ascii="Times New Roman" w:hAnsi="Times New Roman" w:eastAsia="宋体" w:cs="Times New Roman"/>
                <w:kern w:val="0"/>
                <w:sz w:val="24"/>
              </w:rPr>
              <w:t>共15个，包含生态保护红线、一般生态空间和集中式饮用水水源地，主要包括云南铜壁关省级自然保护区、瑞丽江—大盈江国家级风景名胜区、盈江国家湿地公园、南底河国家湿地公园、畹町省级森林公园、章凤国家森林公园、集中式饮用水水源保护区等重点生态功能区域。</w:t>
            </w:r>
          </w:p>
          <w:p w14:paraId="436F1CB2">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重点管控单元：</w:t>
            </w:r>
            <w:r>
              <w:rPr>
                <w:rFonts w:hint="eastAsia" w:ascii="Times New Roman" w:hAnsi="Times New Roman" w:eastAsia="宋体" w:cs="Times New Roman"/>
                <w:kern w:val="0"/>
                <w:sz w:val="24"/>
              </w:rPr>
              <w:t>共22个，包含开发强度高、污染物排放强度大、生态环境问题相对集中的区域，以及大气环境布局敏感区、弱扩散区和矿产资源开发区域。主要分布在大盈江、瑞丽江流域、各类开发区和工业聚集区、城镇规划区及环境质量改善压力较大的区域。</w:t>
            </w:r>
          </w:p>
          <w:p w14:paraId="72A5286F">
            <w:pPr>
              <w:autoSpaceDE w:val="0"/>
              <w:autoSpaceDN w:val="0"/>
              <w:adjustRightInd w:val="0"/>
              <w:spacing w:line="360" w:lineRule="auto"/>
              <w:ind w:right="105" w:rightChars="50" w:firstLine="240" w:firstLineChars="100"/>
              <w:jc w:val="left"/>
            </w:pPr>
            <w:r>
              <w:rPr>
                <w:rFonts w:ascii="Times New Roman" w:hAnsi="Times New Roman" w:eastAsia="宋体" w:cs="Times New Roman"/>
                <w:kern w:val="0"/>
                <w:sz w:val="24"/>
              </w:rPr>
              <w:t>一般管控单元：指除优先保护单元和重点管控单元以外的其他区域</w:t>
            </w:r>
            <w:r>
              <w:rPr>
                <w:rFonts w:hint="eastAsia" w:ascii="Times New Roman" w:hAnsi="Times New Roman" w:eastAsia="宋体" w:cs="Times New Roman"/>
                <w:kern w:val="0"/>
                <w:sz w:val="24"/>
              </w:rPr>
              <w:t>，德宏州划定的一般管控单元共</w:t>
            </w:r>
            <w:r>
              <w:rPr>
                <w:rFonts w:ascii="Times New Roman" w:hAnsi="Times New Roman" w:eastAsia="宋体" w:cs="Times New Roman"/>
                <w:kern w:val="0"/>
                <w:sz w:val="24"/>
              </w:rPr>
              <w:t>5</w:t>
            </w:r>
            <w:r>
              <w:rPr>
                <w:rFonts w:hint="eastAsia" w:ascii="Times New Roman" w:hAnsi="Times New Roman" w:eastAsia="宋体" w:cs="Times New Roman"/>
                <w:kern w:val="0"/>
                <w:sz w:val="24"/>
              </w:rPr>
              <w:t>个，为优先保护、重点管控单元之外的区域。</w:t>
            </w:r>
          </w:p>
          <w:p w14:paraId="587491C9">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w:t>
            </w:r>
            <w:r>
              <w:rPr>
                <w:rFonts w:ascii="Times New Roman" w:hAnsi="Times New Roman" w:eastAsia="宋体" w:cs="Times New Roman"/>
                <w:kern w:val="0"/>
                <w:sz w:val="24"/>
              </w:rPr>
              <w:t>3</w:t>
            </w:r>
            <w:r>
              <w:rPr>
                <w:rFonts w:hint="eastAsia" w:ascii="Times New Roman" w:hAnsi="Times New Roman" w:eastAsia="宋体" w:cs="Times New Roman"/>
                <w:kern w:val="0"/>
                <w:sz w:val="24"/>
              </w:rPr>
              <w:t>）环境质量底线</w:t>
            </w:r>
          </w:p>
          <w:p w14:paraId="7CAD2557">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根据德宏州“三线一单”编制成果，德宏州环境质量底线如下：</w:t>
            </w:r>
          </w:p>
          <w:p w14:paraId="1634F829">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1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①</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水环境质量底线。到2025年，全州水环境质量总体优良，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p w14:paraId="24AACC4A">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2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②</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大气环境质量底线。到2025年，全州空气质量优良率达到省级要求，中心城市环境空气质量稳定达到国家二级标准。2035年，全州空气质量优良率保持稳定，中心城市、各县市城市环境空气质量稳定达到国家二级标准。</w:t>
            </w:r>
          </w:p>
          <w:p w14:paraId="0913A673">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3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③</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土壤环境风险防控底线。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p w14:paraId="41CA3A87">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本项目将病死畜禽无害化处理，并生成骨肉料（有机肥原料）和油脂（生物柴油原料），实现了养殖固废的资源化综合利用。项目所产废气均可达标排放，且满足总量控制要求，对区域大气环境影响较小。生产废水和生活污水处理后全部回用，不外排，对区域地表水环境影响轻微。各类固体废物100%处置。采取严格的防治措施后，本项目对土壤环境影响小。</w:t>
            </w:r>
          </w:p>
          <w:p w14:paraId="6DFA49EA">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综上，</w:t>
            </w:r>
            <w:r>
              <w:rPr>
                <w:rFonts w:hint="eastAsia" w:ascii="Times New Roman" w:hAnsi="Times New Roman" w:eastAsia="宋体" w:cs="Times New Roman"/>
                <w:kern w:val="0"/>
                <w:sz w:val="24"/>
              </w:rPr>
              <w:t>本项目的实施</w:t>
            </w:r>
            <w:r>
              <w:rPr>
                <w:rFonts w:ascii="Times New Roman" w:hAnsi="Times New Roman" w:eastAsia="宋体" w:cs="Times New Roman"/>
                <w:kern w:val="0"/>
                <w:sz w:val="24"/>
              </w:rPr>
              <w:t>不会突破环境质量底线。</w:t>
            </w:r>
          </w:p>
          <w:p w14:paraId="02CDBAB2">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w:t>
            </w:r>
            <w:r>
              <w:rPr>
                <w:rFonts w:ascii="Times New Roman" w:hAnsi="Times New Roman" w:eastAsia="宋体" w:cs="Times New Roman"/>
                <w:kern w:val="0"/>
                <w:sz w:val="24"/>
              </w:rPr>
              <w:t>4</w:t>
            </w:r>
            <w:r>
              <w:rPr>
                <w:rFonts w:hint="eastAsia" w:ascii="Times New Roman" w:hAnsi="Times New Roman" w:eastAsia="宋体" w:cs="Times New Roman"/>
                <w:kern w:val="0"/>
                <w:sz w:val="24"/>
              </w:rPr>
              <w:t>）资源利用上线</w:t>
            </w:r>
          </w:p>
          <w:p w14:paraId="53466A68">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查阅德宏州</w:t>
            </w:r>
            <w:r>
              <w:rPr>
                <w:rFonts w:ascii="Times New Roman" w:hAnsi="Times New Roman" w:eastAsia="宋体" w:cs="Times New Roman"/>
                <w:kern w:val="0"/>
                <w:sz w:val="24"/>
              </w:rPr>
              <w:t>“三线一单”编制成果，</w:t>
            </w:r>
            <w:r>
              <w:rPr>
                <w:rFonts w:hint="eastAsia" w:ascii="Times New Roman" w:hAnsi="Times New Roman" w:eastAsia="宋体" w:cs="Times New Roman"/>
                <w:kern w:val="0"/>
                <w:sz w:val="24"/>
              </w:rPr>
              <w:t>其中仅提出了资源利用上限原则要求，未给出具体控制目标。</w:t>
            </w:r>
          </w:p>
          <w:p w14:paraId="7DCAA642">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本项目锅炉以生物质为燃料，不会达到资源利用上线。本项目用水全部来自附近供水管网，不会达到水资源利用上限</w:t>
            </w:r>
            <w:r>
              <w:rPr>
                <w:rFonts w:ascii="Times New Roman" w:hAnsi="Times New Roman" w:eastAsia="宋体" w:cs="Times New Roman"/>
                <w:kern w:val="0"/>
                <w:sz w:val="24"/>
              </w:rPr>
              <w:t>。</w:t>
            </w:r>
            <w:r>
              <w:rPr>
                <w:rFonts w:hint="eastAsia" w:ascii="Times New Roman" w:hAnsi="Times New Roman" w:eastAsia="宋体" w:cs="Times New Roman"/>
                <w:kern w:val="0"/>
                <w:sz w:val="24"/>
              </w:rPr>
              <w:t>本项目占地面积小，对区域土地利用格局影响轻微，不会达到土地利用上限。</w:t>
            </w:r>
          </w:p>
          <w:p w14:paraId="2410C7BA">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综上，项目实施符合资源利用上限的要求。</w:t>
            </w:r>
          </w:p>
          <w:p w14:paraId="123924C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w:t>
            </w:r>
            <w:r>
              <w:rPr>
                <w:rFonts w:ascii="Times New Roman" w:hAnsi="Times New Roman" w:eastAsia="宋体" w:cs="Times New Roman"/>
                <w:kern w:val="0"/>
                <w:sz w:val="24"/>
              </w:rPr>
              <w:t>5</w:t>
            </w:r>
            <w:r>
              <w:rPr>
                <w:rFonts w:hint="eastAsia" w:ascii="Times New Roman" w:hAnsi="Times New Roman" w:eastAsia="宋体" w:cs="Times New Roman"/>
                <w:kern w:val="0"/>
                <w:sz w:val="24"/>
              </w:rPr>
              <w:t>）环境准入负面清单</w:t>
            </w:r>
          </w:p>
          <w:p w14:paraId="3B447B44">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根据德宏州</w:t>
            </w:r>
            <w:r>
              <w:rPr>
                <w:rFonts w:ascii="Times New Roman" w:hAnsi="Times New Roman" w:eastAsia="宋体" w:cs="Times New Roman"/>
                <w:kern w:val="0"/>
                <w:sz w:val="24"/>
              </w:rPr>
              <w:t>“三线一单”编制成果</w:t>
            </w:r>
            <w:r>
              <w:rPr>
                <w:rFonts w:hint="eastAsia" w:ascii="Times New Roman" w:hAnsi="Times New Roman" w:eastAsia="宋体" w:cs="Times New Roman"/>
                <w:kern w:val="0"/>
                <w:sz w:val="24"/>
              </w:rPr>
              <w:t>，与本项目有关的</w:t>
            </w:r>
            <w:r>
              <w:rPr>
                <w:rFonts w:ascii="Times New Roman" w:hAnsi="Times New Roman" w:eastAsia="宋体" w:cs="Times New Roman"/>
                <w:kern w:val="0"/>
                <w:sz w:val="24"/>
              </w:rPr>
              <w:t>环境管控单元生态环境准入清单</w:t>
            </w:r>
            <w:r>
              <w:rPr>
                <w:rFonts w:hint="eastAsia" w:ascii="Times New Roman" w:hAnsi="Times New Roman" w:eastAsia="宋体" w:cs="Times New Roman"/>
                <w:kern w:val="0"/>
                <w:sz w:val="24"/>
              </w:rPr>
              <w:t>如下。</w:t>
            </w:r>
          </w:p>
          <w:p w14:paraId="060770AC">
            <w:pPr>
              <w:autoSpaceDE w:val="0"/>
              <w:autoSpaceDN w:val="0"/>
              <w:adjustRightInd w:val="0"/>
              <w:spacing w:before="156" w:beforeLines="50"/>
              <w:ind w:left="105" w:leftChars="50" w:right="105" w:rightChars="50" w:firstLine="422" w:firstLineChars="200"/>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表1-</w:t>
            </w:r>
            <w:r>
              <w:rPr>
                <w:rFonts w:ascii="Times New Roman" w:hAnsi="Times New Roman" w:eastAsia="宋体" w:cs="Times New Roman"/>
                <w:b/>
                <w:bCs/>
                <w:kern w:val="0"/>
                <w:szCs w:val="21"/>
              </w:rPr>
              <w:t xml:space="preserve">1    </w:t>
            </w:r>
            <w:r>
              <w:rPr>
                <w:rFonts w:hint="eastAsia" w:ascii="Times New Roman" w:hAnsi="Times New Roman" w:eastAsia="宋体" w:cs="Times New Roman"/>
                <w:b/>
                <w:bCs/>
                <w:kern w:val="0"/>
                <w:szCs w:val="21"/>
              </w:rPr>
              <w:t>生态环境准入清单</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949"/>
              <w:gridCol w:w="2041"/>
              <w:gridCol w:w="755"/>
            </w:tblGrid>
            <w:tr w14:paraId="5D8C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1" w:type="pct"/>
                  <w:vAlign w:val="center"/>
                </w:tcPr>
                <w:p w14:paraId="4B97C8CA">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项目</w:t>
                  </w:r>
                </w:p>
              </w:tc>
              <w:tc>
                <w:tcPr>
                  <w:tcW w:w="3009" w:type="pct"/>
                  <w:vAlign w:val="center"/>
                </w:tcPr>
                <w:p w14:paraId="27440D91">
                  <w:pPr>
                    <w:jc w:val="center"/>
                    <w:rPr>
                      <w:rFonts w:ascii="Times New Roman" w:hAnsi="Times New Roman" w:eastAsia="宋体" w:cs="Times New Roman"/>
                      <w:b/>
                      <w:bCs/>
                      <w:szCs w:val="21"/>
                    </w:rPr>
                  </w:pPr>
                  <w:r>
                    <w:rPr>
                      <w:rFonts w:ascii="Times New Roman" w:hAnsi="Times New Roman" w:eastAsia="宋体" w:cs="Times New Roman"/>
                      <w:b/>
                      <w:bCs/>
                      <w:szCs w:val="21"/>
                    </w:rPr>
                    <w:t>具体要求</w:t>
                  </w:r>
                </w:p>
              </w:tc>
              <w:tc>
                <w:tcPr>
                  <w:tcW w:w="1241" w:type="pct"/>
                  <w:vAlign w:val="center"/>
                </w:tcPr>
                <w:p w14:paraId="5179A9BE">
                  <w:pPr>
                    <w:jc w:val="center"/>
                    <w:rPr>
                      <w:rFonts w:ascii="Times New Roman" w:hAnsi="Times New Roman" w:eastAsia="宋体" w:cs="Times New Roman"/>
                      <w:b/>
                      <w:bCs/>
                      <w:szCs w:val="21"/>
                    </w:rPr>
                  </w:pPr>
                  <w:r>
                    <w:rPr>
                      <w:rFonts w:ascii="Times New Roman" w:hAnsi="Times New Roman" w:eastAsia="宋体" w:cs="Times New Roman"/>
                      <w:b/>
                      <w:bCs/>
                      <w:szCs w:val="21"/>
                    </w:rPr>
                    <w:t>本项目情况</w:t>
                  </w:r>
                </w:p>
              </w:tc>
              <w:tc>
                <w:tcPr>
                  <w:tcW w:w="459" w:type="pct"/>
                  <w:vAlign w:val="center"/>
                </w:tcPr>
                <w:p w14:paraId="41D92AA1">
                  <w:pPr>
                    <w:jc w:val="center"/>
                    <w:rPr>
                      <w:rFonts w:ascii="Times New Roman" w:hAnsi="Times New Roman" w:eastAsia="宋体" w:cs="Times New Roman"/>
                      <w:b/>
                      <w:bCs/>
                      <w:szCs w:val="21"/>
                    </w:rPr>
                  </w:pPr>
                  <w:r>
                    <w:rPr>
                      <w:rFonts w:ascii="Times New Roman" w:hAnsi="Times New Roman" w:eastAsia="宋体" w:cs="Times New Roman"/>
                      <w:b/>
                      <w:bCs/>
                      <w:szCs w:val="21"/>
                    </w:rPr>
                    <w:t>符合性</w:t>
                  </w:r>
                </w:p>
              </w:tc>
            </w:tr>
            <w:tr w14:paraId="176B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91" w:type="pct"/>
                  <w:vMerge w:val="restart"/>
                  <w:vAlign w:val="center"/>
                </w:tcPr>
                <w:p w14:paraId="63E39FFE">
                  <w:pPr>
                    <w:jc w:val="center"/>
                    <w:rPr>
                      <w:rFonts w:ascii="Times New Roman" w:hAnsi="Times New Roman" w:eastAsia="宋体" w:cs="Times New Roman"/>
                      <w:szCs w:val="21"/>
                    </w:rPr>
                  </w:pPr>
                  <w:r>
                    <w:rPr>
                      <w:rFonts w:ascii="Times New Roman" w:hAnsi="Times New Roman" w:eastAsia="宋体" w:cs="Times New Roman"/>
                      <w:szCs w:val="21"/>
                    </w:rPr>
                    <w:t>生态环境准入清单</w:t>
                  </w:r>
                </w:p>
              </w:tc>
              <w:tc>
                <w:tcPr>
                  <w:tcW w:w="3009" w:type="pct"/>
                  <w:vAlign w:val="center"/>
                </w:tcPr>
                <w:p w14:paraId="5B54EBF3">
                  <w:pPr>
                    <w:jc w:val="center"/>
                    <w:rPr>
                      <w:rFonts w:ascii="Times New Roman" w:hAnsi="Times New Roman" w:eastAsia="宋体" w:cs="Times New Roman"/>
                      <w:szCs w:val="21"/>
                    </w:rPr>
                  </w:pPr>
                  <w:r>
                    <w:rPr>
                      <w:rFonts w:ascii="Times New Roman" w:hAnsi="Times New Roman" w:eastAsia="宋体" w:cs="Times New Roman"/>
                      <w:szCs w:val="21"/>
                    </w:rPr>
                    <w:t>生态环境准入清单指基于环境管控单元，统筹考虑生态保护红线、环境质量底线、资源利用上线的管控要求，提出的空间布局、污染物排放、环境风险、资源开发利用等方面禁止和限制的环境准入要求。</w:t>
                  </w:r>
                </w:p>
              </w:tc>
              <w:tc>
                <w:tcPr>
                  <w:tcW w:w="1241" w:type="pct"/>
                  <w:vMerge w:val="restart"/>
                  <w:vAlign w:val="center"/>
                </w:tcPr>
                <w:p w14:paraId="3E5DACDD">
                  <w:pPr>
                    <w:jc w:val="center"/>
                    <w:rPr>
                      <w:rFonts w:cs="Times New Roman"/>
                      <w:szCs w:val="21"/>
                    </w:rPr>
                  </w:pPr>
                  <w:r>
                    <w:rPr>
                      <w:rFonts w:hint="eastAsia" w:cs="Times New Roman"/>
                      <w:szCs w:val="21"/>
                    </w:rPr>
                    <w:t>项目为病死畜禽无害化处理项目，选址处不属于区域内限制或禁止开发建设项目，</w:t>
                  </w:r>
                  <w:r>
                    <w:rPr>
                      <w:rFonts w:cs="Times New Roman"/>
                      <w:szCs w:val="21"/>
                    </w:rPr>
                    <w:t>不属于禁止发展的产业类型</w:t>
                  </w:r>
                  <w:r>
                    <w:rPr>
                      <w:rFonts w:hint="eastAsia" w:cs="Times New Roman"/>
                      <w:szCs w:val="21"/>
                    </w:rPr>
                    <w:t>，不</w:t>
                  </w:r>
                  <w:r>
                    <w:rPr>
                      <w:rFonts w:cs="Times New Roman"/>
                      <w:szCs w:val="21"/>
                    </w:rPr>
                    <w:t>与区域土地利用规划、国土空间规划、主体功能区划、产业结构规划等相冲突</w:t>
                  </w:r>
                  <w:r>
                    <w:rPr>
                      <w:rFonts w:hint="eastAsia" w:cs="Times New Roman"/>
                      <w:szCs w:val="21"/>
                    </w:rPr>
                    <w:t>，</w:t>
                  </w:r>
                </w:p>
                <w:p w14:paraId="555E86CB">
                  <w:pPr>
                    <w:jc w:val="center"/>
                    <w:rPr>
                      <w:rFonts w:ascii="Times New Roman" w:hAnsi="Times New Roman" w:eastAsia="宋体" w:cs="Times New Roman"/>
                      <w:szCs w:val="21"/>
                    </w:rPr>
                  </w:pPr>
                  <w:r>
                    <w:rPr>
                      <w:rFonts w:hint="eastAsia" w:cs="Times New Roman"/>
                      <w:szCs w:val="21"/>
                    </w:rPr>
                    <w:t>符合环境准入条件。</w:t>
                  </w:r>
                </w:p>
              </w:tc>
              <w:tc>
                <w:tcPr>
                  <w:tcW w:w="459" w:type="pct"/>
                  <w:vMerge w:val="restart"/>
                  <w:vAlign w:val="center"/>
                </w:tcPr>
                <w:p w14:paraId="7C675498">
                  <w:pPr>
                    <w:jc w:val="center"/>
                    <w:rPr>
                      <w:rFonts w:ascii="Times New Roman" w:hAnsi="Times New Roman" w:eastAsia="宋体" w:cs="Times New Roman"/>
                      <w:szCs w:val="21"/>
                    </w:rPr>
                  </w:pPr>
                  <w:r>
                    <w:rPr>
                      <w:rFonts w:ascii="Times New Roman" w:hAnsi="Times New Roman" w:eastAsia="宋体" w:cs="Times New Roman"/>
                      <w:szCs w:val="21"/>
                    </w:rPr>
                    <w:t>符合</w:t>
                  </w:r>
                </w:p>
              </w:tc>
            </w:tr>
            <w:tr w14:paraId="1C8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91" w:type="pct"/>
                  <w:vMerge w:val="continue"/>
                  <w:vAlign w:val="center"/>
                </w:tcPr>
                <w:p w14:paraId="138636A9">
                  <w:pPr>
                    <w:jc w:val="center"/>
                    <w:rPr>
                      <w:rFonts w:ascii="Times New Roman" w:hAnsi="Times New Roman" w:eastAsia="宋体" w:cs="Times New Roman"/>
                      <w:szCs w:val="21"/>
                    </w:rPr>
                  </w:pPr>
                </w:p>
              </w:tc>
              <w:tc>
                <w:tcPr>
                  <w:tcW w:w="3009" w:type="pct"/>
                  <w:vAlign w:val="center"/>
                </w:tcPr>
                <w:p w14:paraId="5AB60B02">
                  <w:pPr>
                    <w:jc w:val="center"/>
                    <w:rPr>
                      <w:rFonts w:ascii="Times New Roman" w:hAnsi="Times New Roman" w:eastAsia="宋体" w:cs="Times New Roman"/>
                      <w:szCs w:val="21"/>
                    </w:rPr>
                  </w:pPr>
                  <w:r>
                    <w:rPr>
                      <w:rFonts w:ascii="Times New Roman" w:hAnsi="Times New Roman" w:eastAsia="宋体" w:cs="Times New Roman"/>
                      <w:szCs w:val="21"/>
                    </w:rPr>
                    <w:t>要在规划环评清单式管理试点的基础上，从布局选址、资源利用效率、资源配置方式等方面入手，制定资源准入负面清单，充分发挥负面清单对产业发展和项目准入的指导和约束作业。</w:t>
                  </w:r>
                </w:p>
              </w:tc>
              <w:tc>
                <w:tcPr>
                  <w:tcW w:w="1241" w:type="pct"/>
                  <w:vMerge w:val="continue"/>
                  <w:vAlign w:val="center"/>
                </w:tcPr>
                <w:p w14:paraId="67CF1E9F">
                  <w:pPr>
                    <w:jc w:val="center"/>
                    <w:rPr>
                      <w:rFonts w:ascii="Times New Roman" w:hAnsi="Times New Roman" w:eastAsia="宋体" w:cs="Times New Roman"/>
                      <w:szCs w:val="21"/>
                    </w:rPr>
                  </w:pPr>
                </w:p>
              </w:tc>
              <w:tc>
                <w:tcPr>
                  <w:tcW w:w="459" w:type="pct"/>
                  <w:vMerge w:val="continue"/>
                  <w:vAlign w:val="center"/>
                </w:tcPr>
                <w:p w14:paraId="27EB4D2A">
                  <w:pPr>
                    <w:jc w:val="center"/>
                    <w:rPr>
                      <w:rFonts w:ascii="Times New Roman" w:hAnsi="Times New Roman" w:eastAsia="宋体" w:cs="Times New Roman"/>
                      <w:szCs w:val="21"/>
                    </w:rPr>
                  </w:pPr>
                </w:p>
              </w:tc>
            </w:tr>
          </w:tbl>
          <w:p w14:paraId="52D9FF36">
            <w:pPr>
              <w:pStyle w:val="2"/>
              <w:pBdr>
                <w:bottom w:val="none" w:color="auto" w:sz="0" w:space="0"/>
              </w:pBdr>
            </w:pPr>
          </w:p>
          <w:p w14:paraId="7E02EBC0">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2</w:t>
            </w:r>
            <w:r>
              <w:rPr>
                <w:rFonts w:hint="eastAsia" w:ascii="Times New Roman" w:hAnsi="Times New Roman" w:eastAsia="宋体" w:cs="Times New Roman"/>
                <w:b/>
                <w:bCs/>
                <w:kern w:val="0"/>
                <w:sz w:val="24"/>
              </w:rPr>
              <w:t xml:space="preserve"> 产业政策的符合性分析</w:t>
            </w:r>
          </w:p>
          <w:p w14:paraId="50AD3095">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根据《产业结构调整指导目录（2019年本）》（国家发改委第29号令），本项目属于其中所列的鼓励类：</w:t>
            </w:r>
          </w:p>
          <w:p w14:paraId="46A9C02E">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一、农林业</w:t>
            </w:r>
          </w:p>
          <w:p w14:paraId="6C31E6D5">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53、畜禽养殖废弃物处理和资源化利用（畜禽粪污废料化、能源化、基料化</w:t>
            </w:r>
            <w:r>
              <w:rPr>
                <w:rFonts w:hint="eastAsia" w:ascii="Times New Roman" w:hAnsi="Times New Roman" w:eastAsia="宋体" w:cs="Times New Roman"/>
                <w:kern w:val="0"/>
                <w:sz w:val="24"/>
              </w:rPr>
              <w:t>和</w:t>
            </w:r>
            <w:r>
              <w:rPr>
                <w:rFonts w:ascii="Times New Roman" w:hAnsi="Times New Roman" w:eastAsia="宋体" w:cs="Times New Roman"/>
                <w:kern w:val="0"/>
                <w:sz w:val="24"/>
              </w:rPr>
              <w:t>垫料化利用，病死畜禽无害化处理）</w:t>
            </w:r>
            <w:r>
              <w:rPr>
                <w:rFonts w:hint="eastAsia" w:ascii="Times New Roman" w:hAnsi="Times New Roman" w:eastAsia="宋体" w:cs="Times New Roman"/>
                <w:kern w:val="0"/>
                <w:sz w:val="24"/>
              </w:rPr>
              <w:t>。</w:t>
            </w:r>
          </w:p>
          <w:p w14:paraId="5FDCF72A">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同时，本项目也符合</w:t>
            </w:r>
            <w:r>
              <w:rPr>
                <w:rFonts w:ascii="Times New Roman" w:hAnsi="Times New Roman" w:eastAsia="宋体" w:cs="Times New Roman"/>
                <w:kern w:val="0"/>
                <w:sz w:val="24"/>
              </w:rPr>
              <w:t>农业部于2005年发布</w:t>
            </w:r>
            <w:r>
              <w:rPr>
                <w:rFonts w:hint="eastAsia" w:ascii="Times New Roman" w:hAnsi="Times New Roman" w:eastAsia="宋体" w:cs="Times New Roman"/>
                <w:kern w:val="0"/>
                <w:sz w:val="24"/>
              </w:rPr>
              <w:t>的</w:t>
            </w:r>
            <w:r>
              <w:rPr>
                <w:rFonts w:ascii="Times New Roman" w:hAnsi="Times New Roman" w:eastAsia="宋体" w:cs="Times New Roman"/>
                <w:kern w:val="0"/>
                <w:sz w:val="24"/>
              </w:rPr>
              <w:t>《病死及死因不明动物处置办法（试行）》，2010年发布</w:t>
            </w:r>
            <w:r>
              <w:rPr>
                <w:rFonts w:hint="eastAsia" w:ascii="Times New Roman" w:hAnsi="Times New Roman" w:eastAsia="宋体" w:cs="Times New Roman"/>
                <w:kern w:val="0"/>
                <w:sz w:val="24"/>
              </w:rPr>
              <w:t>的</w:t>
            </w:r>
            <w:r>
              <w:rPr>
                <w:rFonts w:ascii="Times New Roman" w:hAnsi="Times New Roman" w:eastAsia="宋体" w:cs="Times New Roman"/>
                <w:kern w:val="0"/>
                <w:sz w:val="24"/>
              </w:rPr>
              <w:t>《动物防疫条件审</w:t>
            </w:r>
            <w:r>
              <w:rPr>
                <w:rFonts w:hint="eastAsia" w:ascii="Times New Roman" w:hAnsi="Times New Roman" w:eastAsia="宋体" w:cs="Times New Roman"/>
                <w:kern w:val="0"/>
                <w:sz w:val="24"/>
                <w:lang w:val="en-US" w:eastAsia="zh-CN"/>
              </w:rPr>
              <w:t>查</w:t>
            </w:r>
            <w:r>
              <w:rPr>
                <w:rFonts w:ascii="Times New Roman" w:hAnsi="Times New Roman" w:eastAsia="宋体" w:cs="Times New Roman"/>
                <w:kern w:val="0"/>
                <w:sz w:val="24"/>
              </w:rPr>
              <w:t>办法》，</w:t>
            </w:r>
            <w:r>
              <w:rPr>
                <w:rFonts w:hint="eastAsia" w:ascii="Times New Roman" w:hAnsi="Times New Roman" w:eastAsia="宋体" w:cs="Times New Roman"/>
                <w:kern w:val="0"/>
                <w:sz w:val="24"/>
              </w:rPr>
              <w:t>和</w:t>
            </w:r>
            <w:r>
              <w:rPr>
                <w:rFonts w:ascii="Times New Roman" w:hAnsi="Times New Roman" w:eastAsia="宋体" w:cs="Times New Roman"/>
                <w:kern w:val="0"/>
                <w:sz w:val="24"/>
              </w:rPr>
              <w:t>2013年9月颁布</w:t>
            </w:r>
            <w:r>
              <w:rPr>
                <w:rFonts w:hint="eastAsia" w:ascii="Times New Roman" w:hAnsi="Times New Roman" w:eastAsia="宋体" w:cs="Times New Roman"/>
                <w:kern w:val="0"/>
                <w:sz w:val="24"/>
              </w:rPr>
              <w:t>的</w:t>
            </w:r>
            <w:r>
              <w:rPr>
                <w:rFonts w:ascii="Times New Roman" w:hAnsi="Times New Roman" w:eastAsia="宋体" w:cs="Times New Roman"/>
                <w:kern w:val="0"/>
                <w:sz w:val="24"/>
              </w:rPr>
              <w:t>《建立病死猪无害化处理长效机制试点方案》</w:t>
            </w:r>
            <w:r>
              <w:rPr>
                <w:rFonts w:hint="eastAsia" w:ascii="Times New Roman" w:hAnsi="Times New Roman" w:eastAsia="宋体" w:cs="Times New Roman"/>
                <w:kern w:val="0"/>
                <w:sz w:val="24"/>
              </w:rPr>
              <w:t>要求</w:t>
            </w:r>
            <w:r>
              <w:rPr>
                <w:rFonts w:ascii="Times New Roman" w:hAnsi="Times New Roman" w:eastAsia="宋体" w:cs="Times New Roman"/>
                <w:kern w:val="0"/>
                <w:sz w:val="24"/>
              </w:rPr>
              <w:t>。</w:t>
            </w:r>
          </w:p>
          <w:p w14:paraId="7CA17FAD">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20</w:t>
            </w:r>
            <w:r>
              <w:rPr>
                <w:rFonts w:ascii="Times New Roman" w:hAnsi="Times New Roman" w:eastAsia="宋体" w:cs="Times New Roman"/>
                <w:kern w:val="0"/>
                <w:sz w:val="24"/>
              </w:rPr>
              <w:t>21</w:t>
            </w:r>
            <w:r>
              <w:rPr>
                <w:rFonts w:hint="eastAsia" w:ascii="Times New Roman" w:hAnsi="Times New Roman" w:eastAsia="宋体" w:cs="Times New Roman"/>
                <w:kern w:val="0"/>
                <w:sz w:val="24"/>
              </w:rPr>
              <w:t>年4月7日，本项目取得芒市发展和改革局颁发的《投资项目备案证》（备案编码：</w:t>
            </w:r>
            <w:r>
              <w:rPr>
                <w:rFonts w:ascii="Times New Roman" w:hAnsi="Times New Roman" w:eastAsia="宋体" w:cs="Times New Roman"/>
                <w:kern w:val="0"/>
                <w:sz w:val="24"/>
              </w:rPr>
              <w:t>2104-533103-04-01-890178</w:t>
            </w:r>
            <w:r>
              <w:rPr>
                <w:rFonts w:hint="eastAsia" w:ascii="Times New Roman" w:hAnsi="Times New Roman" w:eastAsia="宋体" w:cs="Times New Roman"/>
                <w:kern w:val="0"/>
                <w:sz w:val="24"/>
              </w:rPr>
              <w:t>），项目建设符合国家现行产业政策。</w:t>
            </w:r>
          </w:p>
          <w:p w14:paraId="044D8FC0">
            <w:pPr>
              <w:autoSpaceDE w:val="0"/>
              <w:autoSpaceDN w:val="0"/>
              <w:adjustRightInd w:val="0"/>
              <w:spacing w:line="360" w:lineRule="auto"/>
              <w:ind w:left="105" w:leftChars="50" w:right="105" w:rightChars="5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1.3</w:t>
            </w:r>
            <w:r>
              <w:rPr>
                <w:rFonts w:hint="eastAsia" w:ascii="Times New Roman" w:hAnsi="Times New Roman" w:eastAsia="宋体" w:cs="Times New Roman"/>
                <w:b/>
                <w:bCs/>
                <w:kern w:val="0"/>
                <w:sz w:val="24"/>
              </w:rPr>
              <w:t xml:space="preserve"> </w:t>
            </w:r>
            <w:r>
              <w:rPr>
                <w:rFonts w:ascii="Times New Roman" w:hAnsi="Times New Roman" w:eastAsia="宋体" w:cs="Times New Roman"/>
                <w:b/>
                <w:bCs/>
                <w:kern w:val="0"/>
                <w:sz w:val="24"/>
              </w:rPr>
              <w:t>与相关法律、法规、规章相符性分析</w:t>
            </w:r>
          </w:p>
          <w:p w14:paraId="4B316805">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ascii="Times New Roman" w:hAnsi="Times New Roman" w:eastAsia="宋体" w:cs="Times New Roman"/>
                <w:kern w:val="0"/>
                <w:sz w:val="24"/>
              </w:rPr>
              <w:t>与《动物防疫条件审查办法》符合性</w:t>
            </w:r>
          </w:p>
          <w:p w14:paraId="4DA06EB4">
            <w:pPr>
              <w:autoSpaceDE w:val="0"/>
              <w:autoSpaceDN w:val="0"/>
              <w:adjustRightInd w:val="0"/>
              <w:spacing w:before="156" w:beforeLines="50"/>
              <w:ind w:left="105" w:leftChars="50" w:right="105" w:rightChars="50" w:firstLine="422" w:firstLineChars="20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表1-2    与《动物防疫条件审查办法》符合性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3969"/>
              <w:gridCol w:w="915"/>
            </w:tblGrid>
            <w:tr w14:paraId="626D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7F9FBA31">
                  <w:pPr>
                    <w:pStyle w:val="2"/>
                    <w:pBdr>
                      <w:bottom w:val="none" w:color="auto" w:sz="0" w:space="0"/>
                    </w:pBdr>
                    <w:rPr>
                      <w:rFonts w:ascii="Times New Roman" w:hAnsi="Times New Roman" w:cs="Times New Roman"/>
                      <w:b/>
                      <w:bCs/>
                      <w:sz w:val="21"/>
                      <w:szCs w:val="21"/>
                    </w:rPr>
                  </w:pPr>
                  <w:r>
                    <w:rPr>
                      <w:rFonts w:ascii="Times New Roman" w:hAnsi="Times New Roman" w:cs="Times New Roman"/>
                      <w:b/>
                      <w:bCs/>
                      <w:sz w:val="21"/>
                      <w:szCs w:val="21"/>
                    </w:rPr>
                    <w:t>政策规定</w:t>
                  </w:r>
                </w:p>
              </w:tc>
              <w:tc>
                <w:tcPr>
                  <w:tcW w:w="3969" w:type="dxa"/>
                  <w:vAlign w:val="center"/>
                </w:tcPr>
                <w:p w14:paraId="217B118C">
                  <w:pPr>
                    <w:pStyle w:val="2"/>
                    <w:pBdr>
                      <w:bottom w:val="none" w:color="auto" w:sz="0" w:space="0"/>
                    </w:pBdr>
                    <w:rPr>
                      <w:b/>
                      <w:bCs/>
                      <w:sz w:val="21"/>
                      <w:szCs w:val="21"/>
                    </w:rPr>
                  </w:pPr>
                  <w:r>
                    <w:rPr>
                      <w:rFonts w:hint="eastAsia"/>
                      <w:b/>
                      <w:bCs/>
                      <w:sz w:val="21"/>
                      <w:szCs w:val="21"/>
                    </w:rPr>
                    <w:t>拟建项目情况</w:t>
                  </w:r>
                </w:p>
              </w:tc>
              <w:tc>
                <w:tcPr>
                  <w:tcW w:w="915" w:type="dxa"/>
                  <w:vAlign w:val="center"/>
                </w:tcPr>
                <w:p w14:paraId="2A2BBA24">
                  <w:pPr>
                    <w:pStyle w:val="2"/>
                    <w:pBdr>
                      <w:bottom w:val="none" w:color="auto" w:sz="0" w:space="0"/>
                    </w:pBdr>
                    <w:rPr>
                      <w:b/>
                      <w:bCs/>
                      <w:sz w:val="21"/>
                      <w:szCs w:val="21"/>
                    </w:rPr>
                  </w:pPr>
                  <w:r>
                    <w:rPr>
                      <w:rFonts w:hint="eastAsia"/>
                      <w:b/>
                      <w:bCs/>
                      <w:sz w:val="21"/>
                      <w:szCs w:val="21"/>
                    </w:rPr>
                    <w:t>符合性</w:t>
                  </w:r>
                </w:p>
              </w:tc>
            </w:tr>
            <w:tr w14:paraId="1CDD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7601D4D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距离动物养殖场、养殖小区、种 畜禽场、动物屠宰加工场所、动物隔离场所、动物诊疗场所、动物和动物产品集贸市场、生活饮用水源地3000</w:t>
                  </w:r>
                  <w:r>
                    <w:rPr>
                      <w:rFonts w:hint="eastAsia" w:ascii="Times New Roman" w:hAnsi="Times New Roman" w:cs="Times New Roman"/>
                      <w:sz w:val="21"/>
                      <w:szCs w:val="21"/>
                    </w:rPr>
                    <w:t>m</w:t>
                  </w:r>
                  <w:r>
                    <w:rPr>
                      <w:rFonts w:ascii="Times New Roman" w:hAnsi="Times New Roman" w:cs="Times New Roman"/>
                      <w:sz w:val="21"/>
                      <w:szCs w:val="21"/>
                    </w:rPr>
                    <w:t>以上。</w:t>
                  </w:r>
                </w:p>
              </w:tc>
              <w:tc>
                <w:tcPr>
                  <w:tcW w:w="3969" w:type="dxa"/>
                  <w:vMerge w:val="restart"/>
                  <w:vAlign w:val="center"/>
                </w:tcPr>
                <w:p w14:paraId="278C16C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根据农业农村部2019年12月18日发布的《农业农村部关于调整动物防疫条件审查有关规定的通知》</w:t>
                  </w:r>
                  <w:r>
                    <w:rPr>
                      <w:rFonts w:hint="eastAsia" w:ascii="Times New Roman" w:hAnsi="Times New Roman" w:cs="Times New Roman"/>
                      <w:sz w:val="21"/>
                      <w:szCs w:val="21"/>
                    </w:rPr>
                    <w:t>【</w:t>
                  </w:r>
                  <w:r>
                    <w:rPr>
                      <w:rFonts w:ascii="Times New Roman" w:hAnsi="Times New Roman" w:cs="Times New Roman"/>
                      <w:sz w:val="21"/>
                      <w:szCs w:val="21"/>
                    </w:rPr>
                    <w:t>农牧发〔2019〕42号文</w:t>
                  </w:r>
                  <w:r>
                    <w:rPr>
                      <w:rFonts w:hint="eastAsia" w:ascii="Times New Roman" w:hAnsi="Times New Roman" w:cs="Times New Roman"/>
                      <w:sz w:val="21"/>
                      <w:szCs w:val="21"/>
                    </w:rPr>
                    <w:t>】，</w:t>
                  </w:r>
                  <w:r>
                    <w:rPr>
                      <w:rFonts w:ascii="Times New Roman" w:hAnsi="Times New Roman" w:cs="Times New Roman"/>
                      <w:sz w:val="21"/>
                      <w:szCs w:val="21"/>
                    </w:rPr>
                    <w:t>自该通知印发之日起，暂停执行关于兴办动物饲养场、养殖小区、动物隔离场所、动物屠宰加工场所以及动物和动物产品无害化处理场所的选址距离规定。</w:t>
                  </w:r>
                </w:p>
                <w:p w14:paraId="0E3F1368">
                  <w:pPr>
                    <w:pStyle w:val="2"/>
                    <w:pBdr>
                      <w:bottom w:val="none" w:color="auto" w:sz="0" w:space="0"/>
                    </w:pBdr>
                    <w:ind w:firstLine="210" w:firstLineChars="100"/>
                    <w:jc w:val="left"/>
                    <w:rPr>
                      <w:sz w:val="21"/>
                      <w:szCs w:val="21"/>
                    </w:rPr>
                  </w:pPr>
                  <w:r>
                    <w:rPr>
                      <w:rFonts w:hint="eastAsia" w:ascii="Times New Roman" w:hAnsi="Times New Roman" w:cs="Times New Roman"/>
                      <w:sz w:val="21"/>
                      <w:szCs w:val="21"/>
                    </w:rPr>
                    <w:t>根据芒市农业农村局出具的选址意见（见附件），本项目选址也满足原</w:t>
                  </w:r>
                  <w:r>
                    <w:rPr>
                      <w:rFonts w:ascii="Times New Roman" w:hAnsi="Times New Roman" w:cs="Times New Roman"/>
                      <w:sz w:val="21"/>
                      <w:szCs w:val="21"/>
                    </w:rPr>
                    <w:t>《动物防疫条件审查办法》</w:t>
                  </w:r>
                  <w:r>
                    <w:rPr>
                      <w:rFonts w:hint="eastAsia" w:ascii="Times New Roman" w:hAnsi="Times New Roman" w:cs="Times New Roman"/>
                      <w:sz w:val="21"/>
                      <w:szCs w:val="21"/>
                    </w:rPr>
                    <w:t>中相应要求。</w:t>
                  </w:r>
                </w:p>
              </w:tc>
              <w:tc>
                <w:tcPr>
                  <w:tcW w:w="915" w:type="dxa"/>
                  <w:vAlign w:val="center"/>
                </w:tcPr>
                <w:p w14:paraId="7537EB8B">
                  <w:pPr>
                    <w:pStyle w:val="2"/>
                    <w:pBdr>
                      <w:bottom w:val="none" w:color="auto" w:sz="0" w:space="0"/>
                    </w:pBdr>
                    <w:rPr>
                      <w:sz w:val="21"/>
                      <w:szCs w:val="21"/>
                    </w:rPr>
                  </w:pPr>
                  <w:r>
                    <w:rPr>
                      <w:rFonts w:hint="eastAsia"/>
                      <w:sz w:val="21"/>
                      <w:szCs w:val="21"/>
                    </w:rPr>
                    <w:t>符合</w:t>
                  </w:r>
                </w:p>
              </w:tc>
            </w:tr>
            <w:tr w14:paraId="6567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498740C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距离城镇居民区、文化教育科研等人口集中区域及公路、铁路等主要交通干线500</w:t>
                  </w:r>
                  <w:r>
                    <w:rPr>
                      <w:rFonts w:hint="eastAsia" w:ascii="Times New Roman" w:hAnsi="Times New Roman" w:cs="Times New Roman"/>
                      <w:sz w:val="21"/>
                      <w:szCs w:val="21"/>
                    </w:rPr>
                    <w:t>m</w:t>
                  </w:r>
                  <w:r>
                    <w:rPr>
                      <w:rFonts w:ascii="Times New Roman" w:hAnsi="Times New Roman" w:cs="Times New Roman"/>
                      <w:sz w:val="21"/>
                      <w:szCs w:val="21"/>
                    </w:rPr>
                    <w:t>以上。</w:t>
                  </w:r>
                </w:p>
              </w:tc>
              <w:tc>
                <w:tcPr>
                  <w:tcW w:w="3969" w:type="dxa"/>
                  <w:vMerge w:val="continue"/>
                  <w:vAlign w:val="center"/>
                </w:tcPr>
                <w:p w14:paraId="6FED046C">
                  <w:pPr>
                    <w:pStyle w:val="2"/>
                    <w:pBdr>
                      <w:bottom w:val="none" w:color="auto" w:sz="0" w:space="0"/>
                    </w:pBdr>
                    <w:rPr>
                      <w:sz w:val="21"/>
                      <w:szCs w:val="21"/>
                    </w:rPr>
                  </w:pPr>
                </w:p>
              </w:tc>
              <w:tc>
                <w:tcPr>
                  <w:tcW w:w="915" w:type="dxa"/>
                  <w:vAlign w:val="center"/>
                </w:tcPr>
                <w:p w14:paraId="642DD7F0">
                  <w:pPr>
                    <w:pStyle w:val="2"/>
                    <w:pBdr>
                      <w:bottom w:val="none" w:color="auto" w:sz="0" w:space="0"/>
                    </w:pBdr>
                    <w:rPr>
                      <w:sz w:val="21"/>
                      <w:szCs w:val="21"/>
                    </w:rPr>
                  </w:pPr>
                  <w:r>
                    <w:rPr>
                      <w:rFonts w:hint="eastAsia"/>
                      <w:sz w:val="21"/>
                      <w:szCs w:val="21"/>
                    </w:rPr>
                    <w:t>符合</w:t>
                  </w:r>
                </w:p>
              </w:tc>
            </w:tr>
            <w:tr w14:paraId="27D9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3FBDEFC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动物和动物产品无害化处理场所布局应当符合下列条件：</w:t>
                  </w:r>
                </w:p>
                <w:p w14:paraId="5E7A8980">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（一）场区周围建有围墙；</w:t>
                  </w:r>
                </w:p>
                <w:p w14:paraId="0AE27F1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（二）场区出入口处设置与门同宽，长4</w:t>
                  </w:r>
                  <w:r>
                    <w:rPr>
                      <w:rFonts w:hint="eastAsia" w:ascii="Times New Roman" w:hAnsi="Times New Roman" w:cs="Times New Roman"/>
                      <w:sz w:val="21"/>
                      <w:szCs w:val="21"/>
                    </w:rPr>
                    <w:t>m</w:t>
                  </w:r>
                  <w:r>
                    <w:rPr>
                      <w:rFonts w:ascii="Times New Roman" w:hAnsi="Times New Roman" w:cs="Times New Roman"/>
                      <w:sz w:val="21"/>
                      <w:szCs w:val="21"/>
                    </w:rPr>
                    <w:t>、深0.3</w:t>
                  </w:r>
                  <w:r>
                    <w:rPr>
                      <w:rFonts w:hint="eastAsia" w:ascii="Times New Roman" w:hAnsi="Times New Roman" w:cs="Times New Roman"/>
                      <w:sz w:val="21"/>
                      <w:szCs w:val="21"/>
                    </w:rPr>
                    <w:t>m</w:t>
                  </w:r>
                  <w:r>
                    <w:rPr>
                      <w:rFonts w:ascii="Times New Roman" w:hAnsi="Times New Roman" w:cs="Times New Roman"/>
                      <w:sz w:val="21"/>
                      <w:szCs w:val="21"/>
                    </w:rPr>
                    <w:t>以上的消毒池，并设有单独的人员消毒通道；</w:t>
                  </w:r>
                </w:p>
                <w:p w14:paraId="41F6FD7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（三）无害化处理区与生活办公区分开，并有隔离设施；</w:t>
                  </w:r>
                </w:p>
                <w:p w14:paraId="0D1CC33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（四）无害化处理区内设置染疫动物扑杀间、无害化处理间、冷库等；</w:t>
                  </w:r>
                </w:p>
                <w:p w14:paraId="5C48259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（五）动物扑杀间、无害化处理间入口处设置人员更衣室，出口处设置消毒室。</w:t>
                  </w:r>
                </w:p>
              </w:tc>
              <w:tc>
                <w:tcPr>
                  <w:tcW w:w="3969" w:type="dxa"/>
                  <w:vAlign w:val="center"/>
                </w:tcPr>
                <w:p w14:paraId="7D9160E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（1）项目</w:t>
                  </w:r>
                  <w:r>
                    <w:rPr>
                      <w:rFonts w:hint="eastAsia" w:ascii="Times New Roman" w:hAnsi="Times New Roman" w:cs="Times New Roman"/>
                      <w:sz w:val="21"/>
                      <w:szCs w:val="21"/>
                    </w:rPr>
                    <w:t>厂</w:t>
                  </w:r>
                  <w:r>
                    <w:rPr>
                      <w:rFonts w:ascii="Times New Roman" w:hAnsi="Times New Roman" w:cs="Times New Roman"/>
                      <w:sz w:val="21"/>
                      <w:szCs w:val="21"/>
                    </w:rPr>
                    <w:t>区四周建有围墙</w:t>
                  </w:r>
                  <w:r>
                    <w:rPr>
                      <w:rFonts w:hint="eastAsia" w:ascii="Times New Roman" w:hAnsi="Times New Roman" w:cs="Times New Roman"/>
                      <w:sz w:val="21"/>
                      <w:szCs w:val="21"/>
                    </w:rPr>
                    <w:t>；</w:t>
                  </w:r>
                </w:p>
                <w:p w14:paraId="44980C3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（2）项目</w:t>
                  </w:r>
                  <w:r>
                    <w:rPr>
                      <w:rFonts w:hint="eastAsia" w:ascii="Times New Roman" w:hAnsi="Times New Roman" w:cs="Times New Roman"/>
                      <w:sz w:val="21"/>
                      <w:szCs w:val="21"/>
                    </w:rPr>
                    <w:t>厂</w:t>
                  </w:r>
                  <w:r>
                    <w:rPr>
                      <w:rFonts w:ascii="Times New Roman" w:hAnsi="Times New Roman" w:cs="Times New Roman"/>
                      <w:sz w:val="21"/>
                      <w:szCs w:val="21"/>
                    </w:rPr>
                    <w:t>区出入口处设置与门同宽，9m×5m×0.4m的消毒池，并设有单独的人员消毒通道；</w:t>
                  </w:r>
                </w:p>
                <w:p w14:paraId="14890832">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无害化厂房位于厂区</w:t>
                  </w:r>
                  <w:r>
                    <w:rPr>
                      <w:rFonts w:hint="eastAsia" w:ascii="Times New Roman" w:hAnsi="Times New Roman" w:cs="Times New Roman"/>
                      <w:sz w:val="21"/>
                      <w:szCs w:val="21"/>
                    </w:rPr>
                    <w:t>中部</w:t>
                  </w:r>
                  <w:r>
                    <w:rPr>
                      <w:rFonts w:ascii="Times New Roman" w:hAnsi="Times New Roman" w:cs="Times New Roman"/>
                      <w:sz w:val="21"/>
                      <w:szCs w:val="21"/>
                    </w:rPr>
                    <w:t>，生活办公区位于厂区西侧，厂区周围设置围墙，办公生活区与无害化处理区采用围墙隔离；</w:t>
                  </w:r>
                </w:p>
                <w:p w14:paraId="0BDF058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（4）项目厂区内设无害化厂房、冷库，在无害化厂房内设置1间30m</w:t>
                  </w:r>
                  <w:r>
                    <w:rPr>
                      <w:rFonts w:ascii="Times New Roman" w:hAnsi="Times New Roman" w:cs="Times New Roman"/>
                      <w:sz w:val="21"/>
                      <w:szCs w:val="21"/>
                      <w:vertAlign w:val="superscript"/>
                    </w:rPr>
                    <w:t>2</w:t>
                  </w:r>
                  <w:r>
                    <w:rPr>
                      <w:rFonts w:ascii="Times New Roman" w:hAnsi="Times New Roman" w:cs="Times New Roman"/>
                      <w:sz w:val="21"/>
                      <w:szCs w:val="21"/>
                    </w:rPr>
                    <w:t>的扑杀间；</w:t>
                  </w:r>
                </w:p>
                <w:p w14:paraId="0484A2DB">
                  <w:pPr>
                    <w:pStyle w:val="2"/>
                    <w:pBdr>
                      <w:bottom w:val="none" w:color="auto" w:sz="0" w:space="0"/>
                    </w:pBdr>
                    <w:ind w:firstLine="210" w:firstLineChars="100"/>
                    <w:jc w:val="left"/>
                    <w:rPr>
                      <w:sz w:val="21"/>
                      <w:szCs w:val="21"/>
                    </w:rPr>
                  </w:pPr>
                  <w:r>
                    <w:rPr>
                      <w:rFonts w:ascii="Times New Roman" w:hAnsi="Times New Roman" w:cs="Times New Roman"/>
                      <w:sz w:val="21"/>
                      <w:szCs w:val="21"/>
                    </w:rPr>
                    <w:t xml:space="preserve"> （5）无害化厂房入口处设置人员更衣室，出口处设置消毒室</w:t>
                  </w:r>
                  <w:r>
                    <w:rPr>
                      <w:rFonts w:hint="eastAsia" w:ascii="Times New Roman" w:hAnsi="Times New Roman" w:cs="Times New Roman"/>
                      <w:sz w:val="21"/>
                      <w:szCs w:val="21"/>
                    </w:rPr>
                    <w:t>。</w:t>
                  </w:r>
                </w:p>
              </w:tc>
              <w:tc>
                <w:tcPr>
                  <w:tcW w:w="915" w:type="dxa"/>
                  <w:vAlign w:val="center"/>
                </w:tcPr>
                <w:p w14:paraId="43E18EBA">
                  <w:pPr>
                    <w:pStyle w:val="2"/>
                    <w:pBdr>
                      <w:bottom w:val="none" w:color="auto" w:sz="0" w:space="0"/>
                    </w:pBdr>
                    <w:rPr>
                      <w:sz w:val="21"/>
                      <w:szCs w:val="21"/>
                    </w:rPr>
                  </w:pPr>
                  <w:r>
                    <w:rPr>
                      <w:rFonts w:hint="eastAsia"/>
                      <w:sz w:val="21"/>
                      <w:szCs w:val="21"/>
                    </w:rPr>
                    <w:t>符合</w:t>
                  </w:r>
                </w:p>
              </w:tc>
            </w:tr>
            <w:tr w14:paraId="1A02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7803FC6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动物和动物产品无害化处理场所应当具有下列设施设备：</w:t>
                  </w:r>
                </w:p>
                <w:p w14:paraId="6C3C07EA">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（一）配置机动消毒设备；</w:t>
                  </w:r>
                </w:p>
                <w:p w14:paraId="7914F56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（二）动物扑杀间、无害化处理间等配备相应规模的无害化处理、污水污物处理设施设备；</w:t>
                  </w:r>
                </w:p>
                <w:p w14:paraId="6BE4E5D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（三）有运输动物和动物产品的专用密闭车辆</w:t>
                  </w:r>
                  <w:r>
                    <w:rPr>
                      <w:rFonts w:hint="eastAsia" w:ascii="Times New Roman" w:hAnsi="Times New Roman" w:cs="Times New Roman"/>
                      <w:sz w:val="21"/>
                      <w:szCs w:val="21"/>
                    </w:rPr>
                    <w:t>。</w:t>
                  </w:r>
                </w:p>
              </w:tc>
              <w:tc>
                <w:tcPr>
                  <w:tcW w:w="3969" w:type="dxa"/>
                  <w:vAlign w:val="center"/>
                </w:tcPr>
                <w:p w14:paraId="008709B0">
                  <w:pPr>
                    <w:pStyle w:val="2"/>
                    <w:pBdr>
                      <w:bottom w:val="none" w:color="auto" w:sz="0" w:space="0"/>
                    </w:pBdr>
                    <w:ind w:firstLine="210" w:firstLineChars="100"/>
                    <w:jc w:val="left"/>
                    <w:rPr>
                      <w:sz w:val="21"/>
                      <w:szCs w:val="21"/>
                    </w:rPr>
                  </w:pPr>
                  <w:r>
                    <w:rPr>
                      <w:rFonts w:ascii="Times New Roman" w:hAnsi="Times New Roman" w:cs="Times New Roman"/>
                      <w:sz w:val="21"/>
                      <w:szCs w:val="21"/>
                    </w:rPr>
                    <w:t>项目厂区内设置消毒设备以及无害化处理、污水设备等；项目运输车辆及运输路线由相关政府部门安排部署，车辆运输均密闭。</w:t>
                  </w:r>
                </w:p>
              </w:tc>
              <w:tc>
                <w:tcPr>
                  <w:tcW w:w="915" w:type="dxa"/>
                  <w:vAlign w:val="center"/>
                </w:tcPr>
                <w:p w14:paraId="10ADA094">
                  <w:pPr>
                    <w:pStyle w:val="2"/>
                    <w:pBdr>
                      <w:bottom w:val="none" w:color="auto" w:sz="0" w:space="0"/>
                    </w:pBdr>
                    <w:rPr>
                      <w:sz w:val="21"/>
                      <w:szCs w:val="21"/>
                    </w:rPr>
                  </w:pPr>
                  <w:r>
                    <w:rPr>
                      <w:rFonts w:hint="eastAsia"/>
                      <w:sz w:val="21"/>
                      <w:szCs w:val="21"/>
                    </w:rPr>
                    <w:t>符合</w:t>
                  </w:r>
                </w:p>
              </w:tc>
            </w:tr>
            <w:tr w14:paraId="3FED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857" w:type="dxa"/>
                  <w:vAlign w:val="center"/>
                </w:tcPr>
                <w:p w14:paraId="202398C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动物和动物产品无害化处理场所应当建立病害动物和动物产品入场登记、消毒、无害化处理后的物品流向登记、人员防护等制度</w:t>
                  </w:r>
                  <w:r>
                    <w:rPr>
                      <w:rFonts w:hint="eastAsia" w:ascii="Times New Roman" w:hAnsi="Times New Roman" w:cs="Times New Roman"/>
                      <w:sz w:val="21"/>
                      <w:szCs w:val="21"/>
                    </w:rPr>
                    <w:t>。</w:t>
                  </w:r>
                </w:p>
              </w:tc>
              <w:tc>
                <w:tcPr>
                  <w:tcW w:w="3969" w:type="dxa"/>
                  <w:vAlign w:val="center"/>
                </w:tcPr>
                <w:p w14:paraId="27BC9566">
                  <w:pPr>
                    <w:pStyle w:val="2"/>
                    <w:pBdr>
                      <w:bottom w:val="none" w:color="auto" w:sz="0" w:space="0"/>
                    </w:pBdr>
                    <w:ind w:firstLine="210" w:firstLineChars="100"/>
                    <w:jc w:val="left"/>
                    <w:rPr>
                      <w:sz w:val="21"/>
                      <w:szCs w:val="21"/>
                    </w:rPr>
                  </w:pPr>
                  <w:r>
                    <w:rPr>
                      <w:rFonts w:ascii="Times New Roman" w:hAnsi="Times New Roman" w:cs="Times New Roman"/>
                      <w:sz w:val="21"/>
                      <w:szCs w:val="21"/>
                    </w:rPr>
                    <w:t>项目接纳病死畜禽尸体</w:t>
                  </w:r>
                  <w:r>
                    <w:rPr>
                      <w:rFonts w:hint="eastAsia" w:ascii="Times New Roman" w:hAnsi="Times New Roman" w:cs="Times New Roman"/>
                      <w:sz w:val="21"/>
                      <w:szCs w:val="21"/>
                    </w:rPr>
                    <w:t>主要为德宏州辖区内芒市、瑞丽市、盈江县、梁河县、陇川县</w:t>
                  </w:r>
                  <w:r>
                    <w:rPr>
                      <w:rFonts w:ascii="Times New Roman" w:hAnsi="Times New Roman" w:cs="Times New Roman"/>
                      <w:sz w:val="21"/>
                      <w:szCs w:val="21"/>
                    </w:rPr>
                    <w:t>的自然病死畜禽，是否感染病毒由畜禽防疫部门与保险部门前期把控，项目厂区出入口设置登记处，建立台账管理制度</w:t>
                  </w:r>
                  <w:r>
                    <w:rPr>
                      <w:rFonts w:hint="eastAsia" w:ascii="Times New Roman" w:hAnsi="Times New Roman" w:cs="Times New Roman"/>
                      <w:sz w:val="21"/>
                      <w:szCs w:val="21"/>
                    </w:rPr>
                    <w:t>。</w:t>
                  </w:r>
                </w:p>
              </w:tc>
              <w:tc>
                <w:tcPr>
                  <w:tcW w:w="915" w:type="dxa"/>
                  <w:vAlign w:val="center"/>
                </w:tcPr>
                <w:p w14:paraId="49F63462">
                  <w:pPr>
                    <w:pStyle w:val="2"/>
                    <w:pBdr>
                      <w:bottom w:val="none" w:color="auto" w:sz="0" w:space="0"/>
                    </w:pBdr>
                    <w:rPr>
                      <w:sz w:val="21"/>
                      <w:szCs w:val="21"/>
                    </w:rPr>
                  </w:pPr>
                  <w:r>
                    <w:rPr>
                      <w:rFonts w:hint="eastAsia"/>
                      <w:sz w:val="21"/>
                      <w:szCs w:val="21"/>
                    </w:rPr>
                    <w:t>符合</w:t>
                  </w:r>
                </w:p>
              </w:tc>
            </w:tr>
          </w:tbl>
          <w:p w14:paraId="3357ADE8">
            <w:pPr>
              <w:pStyle w:val="2"/>
              <w:pBdr>
                <w:bottom w:val="none" w:color="auto" w:sz="0" w:space="0"/>
              </w:pBdr>
            </w:pPr>
          </w:p>
          <w:p w14:paraId="403DF73D">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由上表分析，同时根据</w:t>
            </w:r>
            <w:r>
              <w:rPr>
                <w:rFonts w:hint="eastAsia" w:ascii="Times New Roman" w:hAnsi="Times New Roman" w:eastAsia="宋体" w:cs="Times New Roman"/>
                <w:kern w:val="0"/>
                <w:sz w:val="24"/>
              </w:rPr>
              <w:t>芒市</w:t>
            </w:r>
            <w:r>
              <w:rPr>
                <w:rFonts w:ascii="Times New Roman" w:hAnsi="Times New Roman" w:eastAsia="宋体" w:cs="Times New Roman"/>
                <w:kern w:val="0"/>
                <w:sz w:val="24"/>
              </w:rPr>
              <w:t>农业农村局关于本项目选址的意见，项目建设内容与选址符合《动物防疫条件审查办法》（中华人民共和国农业部令</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2010年</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第7号）中无害化处理场动物防疫条件要</w:t>
            </w:r>
            <w:r>
              <w:rPr>
                <w:rFonts w:hint="eastAsia" w:ascii="Times New Roman" w:hAnsi="Times New Roman" w:eastAsia="宋体" w:cs="Times New Roman"/>
                <w:kern w:val="0"/>
                <w:sz w:val="24"/>
              </w:rPr>
              <w:t>。</w:t>
            </w:r>
          </w:p>
          <w:p w14:paraId="49D48B6F">
            <w:pPr>
              <w:autoSpaceDE w:val="0"/>
              <w:autoSpaceDN w:val="0"/>
              <w:adjustRightInd w:val="0"/>
              <w:spacing w:line="360" w:lineRule="auto"/>
              <w:ind w:left="105" w:leftChars="50" w:right="105" w:rightChars="50" w:firstLine="240" w:firstLineChars="100"/>
              <w:jc w:val="left"/>
            </w:pPr>
            <w:r>
              <w:rPr>
                <w:rFonts w:hint="eastAsia" w:ascii="Times New Roman" w:hAnsi="Times New Roman" w:eastAsia="宋体" w:cs="Times New Roman"/>
                <w:kern w:val="0"/>
                <w:sz w:val="24"/>
              </w:rPr>
              <w:t>2、</w:t>
            </w:r>
            <w:r>
              <w:rPr>
                <w:rFonts w:ascii="Times New Roman" w:hAnsi="Times New Roman" w:eastAsia="宋体" w:cs="Times New Roman"/>
                <w:kern w:val="0"/>
                <w:sz w:val="24"/>
              </w:rPr>
              <w:t>与《病死及病害动物无害化处理技术规范》符合性</w:t>
            </w:r>
          </w:p>
          <w:p w14:paraId="7114B9CC">
            <w:pPr>
              <w:autoSpaceDE w:val="0"/>
              <w:autoSpaceDN w:val="0"/>
              <w:adjustRightInd w:val="0"/>
              <w:spacing w:before="156" w:beforeLines="5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表1-3    与《病死及病害动物无害化处理技术规范》符合性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3402"/>
              <w:gridCol w:w="915"/>
            </w:tblGrid>
            <w:tr w14:paraId="56BE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E60CEE9">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技术规范</w:t>
                  </w:r>
                </w:p>
              </w:tc>
              <w:tc>
                <w:tcPr>
                  <w:tcW w:w="3402" w:type="dxa"/>
                  <w:vAlign w:val="center"/>
                </w:tcPr>
                <w:p w14:paraId="345848B4">
                  <w:pPr>
                    <w:pStyle w:val="2"/>
                    <w:pBdr>
                      <w:bottom w:val="none" w:color="auto" w:sz="0" w:space="0"/>
                    </w:pBdr>
                    <w:rPr>
                      <w:b/>
                      <w:bCs/>
                      <w:sz w:val="21"/>
                      <w:szCs w:val="21"/>
                    </w:rPr>
                  </w:pPr>
                  <w:r>
                    <w:rPr>
                      <w:rFonts w:hint="eastAsia"/>
                      <w:b/>
                      <w:bCs/>
                      <w:sz w:val="21"/>
                      <w:szCs w:val="21"/>
                    </w:rPr>
                    <w:t>拟建项目情况</w:t>
                  </w:r>
                </w:p>
              </w:tc>
              <w:tc>
                <w:tcPr>
                  <w:tcW w:w="915" w:type="dxa"/>
                  <w:vAlign w:val="center"/>
                </w:tcPr>
                <w:p w14:paraId="7653E124">
                  <w:pPr>
                    <w:pStyle w:val="2"/>
                    <w:pBdr>
                      <w:bottom w:val="none" w:color="auto" w:sz="0" w:space="0"/>
                    </w:pBdr>
                    <w:rPr>
                      <w:b/>
                      <w:bCs/>
                      <w:sz w:val="21"/>
                      <w:szCs w:val="21"/>
                    </w:rPr>
                  </w:pPr>
                  <w:r>
                    <w:rPr>
                      <w:rFonts w:hint="eastAsia"/>
                      <w:b/>
                      <w:bCs/>
                      <w:sz w:val="21"/>
                      <w:szCs w:val="21"/>
                    </w:rPr>
                    <w:t>符合性</w:t>
                  </w:r>
                </w:p>
              </w:tc>
            </w:tr>
            <w:tr w14:paraId="0B7A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0D72B6D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病死及病害动物和相关动物产品或破碎产物输送入高温高压灭菌容器。</w:t>
                  </w:r>
                </w:p>
              </w:tc>
              <w:tc>
                <w:tcPr>
                  <w:tcW w:w="3402" w:type="dxa"/>
                  <w:vAlign w:val="center"/>
                </w:tcPr>
                <w:p w14:paraId="5836252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病死畜禽传送至化制罐内，</w:t>
                  </w:r>
                  <w:r>
                    <w:rPr>
                      <w:rFonts w:hint="eastAsia" w:ascii="Times New Roman" w:hAnsi="Times New Roman" w:cs="Times New Roman"/>
                      <w:sz w:val="21"/>
                      <w:szCs w:val="21"/>
                    </w:rPr>
                    <w:t>该</w:t>
                  </w:r>
                  <w:r>
                    <w:rPr>
                      <w:rFonts w:ascii="Times New Roman" w:hAnsi="Times New Roman" w:cs="Times New Roman"/>
                      <w:sz w:val="21"/>
                      <w:szCs w:val="21"/>
                    </w:rPr>
                    <w:t>过程全程密闭</w:t>
                  </w:r>
                  <w:r>
                    <w:rPr>
                      <w:rFonts w:hint="eastAsia" w:ascii="Times New Roman" w:hAnsi="Times New Roman" w:cs="Times New Roman"/>
                      <w:sz w:val="21"/>
                      <w:szCs w:val="21"/>
                    </w:rPr>
                    <w:t>，</w:t>
                  </w:r>
                  <w:r>
                    <w:rPr>
                      <w:rFonts w:ascii="Times New Roman" w:hAnsi="Times New Roman" w:cs="Times New Roman"/>
                      <w:sz w:val="21"/>
                      <w:szCs w:val="21"/>
                    </w:rPr>
                    <w:t>自动</w:t>
                  </w:r>
                  <w:r>
                    <w:rPr>
                      <w:rFonts w:hint="eastAsia" w:ascii="Times New Roman" w:hAnsi="Times New Roman" w:cs="Times New Roman"/>
                      <w:sz w:val="21"/>
                      <w:szCs w:val="21"/>
                    </w:rPr>
                    <w:t>运行</w:t>
                  </w:r>
                  <w:r>
                    <w:rPr>
                      <w:rFonts w:ascii="Times New Roman" w:hAnsi="Times New Roman" w:cs="Times New Roman"/>
                      <w:sz w:val="21"/>
                      <w:szCs w:val="21"/>
                    </w:rPr>
                    <w:t>。</w:t>
                  </w:r>
                </w:p>
              </w:tc>
              <w:tc>
                <w:tcPr>
                  <w:tcW w:w="915" w:type="dxa"/>
                  <w:vAlign w:val="center"/>
                </w:tcPr>
                <w:p w14:paraId="762B936E">
                  <w:pPr>
                    <w:pStyle w:val="2"/>
                    <w:pBdr>
                      <w:bottom w:val="none" w:color="auto" w:sz="0" w:space="0"/>
                    </w:pBdr>
                    <w:rPr>
                      <w:sz w:val="21"/>
                      <w:szCs w:val="21"/>
                    </w:rPr>
                  </w:pPr>
                  <w:r>
                    <w:rPr>
                      <w:rFonts w:hint="eastAsia"/>
                      <w:sz w:val="21"/>
                      <w:szCs w:val="21"/>
                    </w:rPr>
                    <w:t>符合</w:t>
                  </w:r>
                </w:p>
              </w:tc>
            </w:tr>
            <w:tr w14:paraId="79BB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24B46A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处理物中心温度≥140</w:t>
                  </w:r>
                  <w:r>
                    <w:rPr>
                      <w:rFonts w:hint="eastAsia" w:ascii="Times New Roman" w:hAnsi="Times New Roman" w:cs="Times New Roman"/>
                      <w:sz w:val="21"/>
                      <w:szCs w:val="21"/>
                    </w:rPr>
                    <w:t>℃</w:t>
                  </w:r>
                  <w:r>
                    <w:rPr>
                      <w:rFonts w:ascii="Times New Roman" w:hAnsi="Times New Roman" w:cs="Times New Roman"/>
                      <w:sz w:val="21"/>
                      <w:szCs w:val="21"/>
                    </w:rPr>
                    <w:t>，压力 ≥0.5MPa（绝对压力），时间≥4h （具体处理时间随处理物种类 和体积大小而设定）。</w:t>
                  </w:r>
                </w:p>
              </w:tc>
              <w:tc>
                <w:tcPr>
                  <w:tcW w:w="3402" w:type="dxa"/>
                  <w:vAlign w:val="center"/>
                </w:tcPr>
                <w:p w14:paraId="094898B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处理物中心温度≥140</w:t>
                  </w:r>
                  <w:r>
                    <w:rPr>
                      <w:rFonts w:hint="eastAsia" w:ascii="Times New Roman" w:hAnsi="Times New Roman" w:cs="Times New Roman"/>
                      <w:sz w:val="21"/>
                      <w:szCs w:val="21"/>
                    </w:rPr>
                    <w:t>℃</w:t>
                  </w:r>
                  <w:r>
                    <w:rPr>
                      <w:rFonts w:ascii="Times New Roman" w:hAnsi="Times New Roman" w:cs="Times New Roman"/>
                      <w:sz w:val="21"/>
                      <w:szCs w:val="21"/>
                    </w:rPr>
                    <w:t>，压力 ≥0.5MPa，保温时间≥0.5h，化制时间3h，0.5h后停止加热并开启泄压阀门，单次完整化制时间为4h。</w:t>
                  </w:r>
                </w:p>
              </w:tc>
              <w:tc>
                <w:tcPr>
                  <w:tcW w:w="915" w:type="dxa"/>
                  <w:vAlign w:val="center"/>
                </w:tcPr>
                <w:p w14:paraId="4368A0D9">
                  <w:pPr>
                    <w:pStyle w:val="2"/>
                    <w:pBdr>
                      <w:bottom w:val="none" w:color="auto" w:sz="0" w:space="0"/>
                    </w:pBdr>
                    <w:rPr>
                      <w:sz w:val="21"/>
                      <w:szCs w:val="21"/>
                    </w:rPr>
                  </w:pPr>
                  <w:r>
                    <w:rPr>
                      <w:rFonts w:hint="eastAsia"/>
                      <w:sz w:val="21"/>
                      <w:szCs w:val="21"/>
                    </w:rPr>
                    <w:t>符合</w:t>
                  </w:r>
                </w:p>
              </w:tc>
            </w:tr>
            <w:tr w14:paraId="4A57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517D750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加热烘干产生的热蒸汽经废气 处理系统后排出。</w:t>
                  </w:r>
                </w:p>
              </w:tc>
              <w:tc>
                <w:tcPr>
                  <w:tcW w:w="3402" w:type="dxa"/>
                  <w:vAlign w:val="center"/>
                </w:tcPr>
                <w:p w14:paraId="29F903A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恶臭气体经冷凝器冷凝后，不凝废气引至酸碱喷淋塔进行处理，然后再引至锅炉焚烧，达标后由1根35m高排气筒（DA001）排放。</w:t>
                  </w:r>
                </w:p>
              </w:tc>
              <w:tc>
                <w:tcPr>
                  <w:tcW w:w="915" w:type="dxa"/>
                  <w:vAlign w:val="center"/>
                </w:tcPr>
                <w:p w14:paraId="533547EF">
                  <w:pPr>
                    <w:pStyle w:val="2"/>
                    <w:pBdr>
                      <w:bottom w:val="none" w:color="auto" w:sz="0" w:space="0"/>
                    </w:pBdr>
                    <w:rPr>
                      <w:sz w:val="21"/>
                      <w:szCs w:val="21"/>
                    </w:rPr>
                  </w:pPr>
                  <w:r>
                    <w:rPr>
                      <w:rFonts w:hint="eastAsia"/>
                      <w:sz w:val="21"/>
                      <w:szCs w:val="21"/>
                    </w:rPr>
                    <w:t>符合</w:t>
                  </w:r>
                </w:p>
              </w:tc>
            </w:tr>
            <w:tr w14:paraId="3839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8CD18A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加热烘干产生的动物尸体残渣传输至压榨系统处理。</w:t>
                  </w:r>
                </w:p>
              </w:tc>
              <w:tc>
                <w:tcPr>
                  <w:tcW w:w="3402" w:type="dxa"/>
                  <w:vAlign w:val="center"/>
                </w:tcPr>
                <w:p w14:paraId="49B472F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干燥后的含油肉骨粉经螺旋输送机输送只螺旋压榨机进行脱脂榨油，得到脱油肉骨粉及动物油脂。</w:t>
                  </w:r>
                </w:p>
              </w:tc>
              <w:tc>
                <w:tcPr>
                  <w:tcW w:w="915" w:type="dxa"/>
                  <w:vAlign w:val="center"/>
                </w:tcPr>
                <w:p w14:paraId="0481308D">
                  <w:pPr>
                    <w:pStyle w:val="2"/>
                    <w:pBdr>
                      <w:bottom w:val="none" w:color="auto" w:sz="0" w:space="0"/>
                    </w:pBdr>
                    <w:rPr>
                      <w:sz w:val="21"/>
                      <w:szCs w:val="21"/>
                    </w:rPr>
                  </w:pPr>
                  <w:r>
                    <w:rPr>
                      <w:rFonts w:hint="eastAsia"/>
                      <w:sz w:val="21"/>
                      <w:szCs w:val="21"/>
                    </w:rPr>
                    <w:t>符合</w:t>
                  </w:r>
                </w:p>
              </w:tc>
            </w:tr>
            <w:tr w14:paraId="1FB8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D2C07A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应使用合理的污水处理系统，有效去除有机物、氨氮，达到 GB8978 要求</w:t>
                  </w:r>
                  <w:r>
                    <w:rPr>
                      <w:rFonts w:hint="eastAsia" w:ascii="Times New Roman" w:hAnsi="Times New Roman" w:cs="Times New Roman"/>
                      <w:sz w:val="21"/>
                      <w:szCs w:val="21"/>
                    </w:rPr>
                    <w:t>。</w:t>
                  </w:r>
                </w:p>
              </w:tc>
              <w:tc>
                <w:tcPr>
                  <w:tcW w:w="3402" w:type="dxa"/>
                  <w:vAlign w:val="center"/>
                </w:tcPr>
                <w:p w14:paraId="6B0F637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拟建项目废水经自建污水处理站处理达农灌标准后用于项目周边建设单位租赁的耕地灌溉</w:t>
                  </w:r>
                  <w:r>
                    <w:rPr>
                      <w:rFonts w:hint="eastAsia" w:ascii="Times New Roman" w:hAnsi="Times New Roman" w:cs="Times New Roman"/>
                      <w:sz w:val="21"/>
                      <w:szCs w:val="21"/>
                    </w:rPr>
                    <w:t>，不排放。</w:t>
                  </w:r>
                </w:p>
              </w:tc>
              <w:tc>
                <w:tcPr>
                  <w:tcW w:w="915" w:type="dxa"/>
                  <w:vAlign w:val="center"/>
                </w:tcPr>
                <w:p w14:paraId="519613E2">
                  <w:pPr>
                    <w:pStyle w:val="2"/>
                    <w:pBdr>
                      <w:bottom w:val="none" w:color="auto" w:sz="0" w:space="0"/>
                    </w:pBdr>
                    <w:rPr>
                      <w:sz w:val="21"/>
                      <w:szCs w:val="21"/>
                    </w:rPr>
                  </w:pPr>
                  <w:r>
                    <w:rPr>
                      <w:rFonts w:hint="eastAsia"/>
                      <w:sz w:val="21"/>
                      <w:szCs w:val="21"/>
                    </w:rPr>
                    <w:t>符合</w:t>
                  </w:r>
                </w:p>
              </w:tc>
            </w:tr>
            <w:tr w14:paraId="1CE4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4B818A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应使用合理的废气处理系统，有效吸收处理过程中动物尸体腐败产生的恶臭气体，达标后排放。</w:t>
                  </w:r>
                </w:p>
              </w:tc>
              <w:tc>
                <w:tcPr>
                  <w:tcW w:w="3402" w:type="dxa"/>
                  <w:vAlign w:val="center"/>
                </w:tcPr>
                <w:p w14:paraId="17E5B64C">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采用“</w:t>
                  </w:r>
                  <w:r>
                    <w:rPr>
                      <w:rFonts w:ascii="Times New Roman" w:hAnsi="Times New Roman" w:cs="Times New Roman"/>
                      <w:sz w:val="21"/>
                      <w:szCs w:val="21"/>
                    </w:rPr>
                    <w:t>冷凝+酸碱喷淋+焚烧</w:t>
                  </w:r>
                  <w:r>
                    <w:rPr>
                      <w:rFonts w:hint="eastAsia" w:ascii="Times New Roman" w:hAnsi="Times New Roman" w:cs="Times New Roman"/>
                      <w:sz w:val="21"/>
                      <w:szCs w:val="21"/>
                    </w:rPr>
                    <w:t>”处理</w:t>
                  </w:r>
                  <w:r>
                    <w:rPr>
                      <w:rFonts w:ascii="Times New Roman" w:hAnsi="Times New Roman" w:cs="Times New Roman"/>
                      <w:sz w:val="21"/>
                      <w:szCs w:val="21"/>
                    </w:rPr>
                    <w:t>废气</w:t>
                  </w:r>
                  <w:r>
                    <w:rPr>
                      <w:rFonts w:hint="eastAsia" w:ascii="Times New Roman" w:hAnsi="Times New Roman" w:cs="Times New Roman"/>
                      <w:sz w:val="21"/>
                      <w:szCs w:val="21"/>
                    </w:rPr>
                    <w:t>，</w:t>
                  </w:r>
                  <w:r>
                    <w:rPr>
                      <w:rFonts w:ascii="Times New Roman" w:hAnsi="Times New Roman" w:cs="Times New Roman"/>
                      <w:sz w:val="21"/>
                      <w:szCs w:val="21"/>
                    </w:rPr>
                    <w:t xml:space="preserve">达 </w:t>
                  </w:r>
                  <w:r>
                    <w:rPr>
                      <w:rFonts w:hint="eastAsia" w:ascii="Times New Roman" w:hAnsi="Times New Roman" w:eastAsia="宋体" w:cs="Times New Roman"/>
                      <w:kern w:val="0"/>
                      <w:sz w:val="21"/>
                      <w:szCs w:val="21"/>
                    </w:rPr>
                    <w:t>GB14554-93</w:t>
                  </w:r>
                  <w:r>
                    <w:rPr>
                      <w:rFonts w:ascii="Times New Roman" w:hAnsi="Times New Roman" w:cs="Times New Roman"/>
                      <w:sz w:val="21"/>
                      <w:szCs w:val="21"/>
                    </w:rPr>
                    <w:t>要求后排放</w:t>
                  </w:r>
                  <w:r>
                    <w:rPr>
                      <w:rFonts w:hint="eastAsia" w:ascii="Times New Roman" w:hAnsi="Times New Roman" w:cs="Times New Roman"/>
                      <w:sz w:val="21"/>
                      <w:szCs w:val="21"/>
                    </w:rPr>
                    <w:t>。</w:t>
                  </w:r>
                </w:p>
              </w:tc>
              <w:tc>
                <w:tcPr>
                  <w:tcW w:w="915" w:type="dxa"/>
                  <w:vAlign w:val="center"/>
                </w:tcPr>
                <w:p w14:paraId="74F7EA2C">
                  <w:pPr>
                    <w:pStyle w:val="2"/>
                    <w:pBdr>
                      <w:bottom w:val="none" w:color="auto" w:sz="0" w:space="0"/>
                    </w:pBdr>
                    <w:rPr>
                      <w:sz w:val="21"/>
                      <w:szCs w:val="21"/>
                    </w:rPr>
                  </w:pPr>
                  <w:r>
                    <w:rPr>
                      <w:rFonts w:hint="eastAsia"/>
                      <w:sz w:val="21"/>
                      <w:szCs w:val="21"/>
                    </w:rPr>
                    <w:t>符合</w:t>
                  </w:r>
                </w:p>
              </w:tc>
            </w:tr>
            <w:tr w14:paraId="474D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945C39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高温高压灭菌容器操作人员应符合相关专业要求，持证上岗</w:t>
                  </w:r>
                  <w:r>
                    <w:rPr>
                      <w:rFonts w:hint="eastAsia" w:ascii="Times New Roman" w:hAnsi="Times New Roman" w:cs="Times New Roman"/>
                      <w:sz w:val="21"/>
                      <w:szCs w:val="21"/>
                    </w:rPr>
                    <w:t>。</w:t>
                  </w:r>
                </w:p>
              </w:tc>
              <w:tc>
                <w:tcPr>
                  <w:tcW w:w="3402" w:type="dxa"/>
                  <w:vAlign w:val="center"/>
                </w:tcPr>
                <w:p w14:paraId="69EC7D2A">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所有人员持证上岗。</w:t>
                  </w:r>
                </w:p>
              </w:tc>
              <w:tc>
                <w:tcPr>
                  <w:tcW w:w="915" w:type="dxa"/>
                  <w:vAlign w:val="center"/>
                </w:tcPr>
                <w:p w14:paraId="6ED69221">
                  <w:pPr>
                    <w:pStyle w:val="2"/>
                    <w:pBdr>
                      <w:bottom w:val="none" w:color="auto" w:sz="0" w:space="0"/>
                    </w:pBdr>
                    <w:rPr>
                      <w:sz w:val="21"/>
                      <w:szCs w:val="21"/>
                    </w:rPr>
                  </w:pPr>
                  <w:r>
                    <w:rPr>
                      <w:rFonts w:hint="eastAsia"/>
                      <w:sz w:val="21"/>
                      <w:szCs w:val="21"/>
                    </w:rPr>
                    <w:t>符合</w:t>
                  </w:r>
                </w:p>
              </w:tc>
            </w:tr>
            <w:tr w14:paraId="0CF5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4EF603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处理结束后，需对墙面、地面及其相关工具进行彻底清洗消毒。</w:t>
                  </w:r>
                </w:p>
              </w:tc>
              <w:tc>
                <w:tcPr>
                  <w:tcW w:w="3402" w:type="dxa"/>
                  <w:vAlign w:val="center"/>
                </w:tcPr>
                <w:p w14:paraId="76FE448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项目每日对</w:t>
                  </w:r>
                  <w:r>
                    <w:rPr>
                      <w:rFonts w:hint="eastAsia" w:ascii="Times New Roman" w:hAnsi="Times New Roman" w:cs="Times New Roman"/>
                      <w:sz w:val="21"/>
                      <w:szCs w:val="21"/>
                    </w:rPr>
                    <w:t>墙面、</w:t>
                  </w:r>
                  <w:r>
                    <w:rPr>
                      <w:rFonts w:ascii="Times New Roman" w:hAnsi="Times New Roman" w:cs="Times New Roman"/>
                      <w:sz w:val="21"/>
                      <w:szCs w:val="21"/>
                    </w:rPr>
                    <w:t>地面</w:t>
                  </w:r>
                  <w:r>
                    <w:rPr>
                      <w:rFonts w:hint="eastAsia" w:ascii="Times New Roman" w:hAnsi="Times New Roman" w:cs="Times New Roman"/>
                      <w:sz w:val="21"/>
                      <w:szCs w:val="21"/>
                    </w:rPr>
                    <w:t>等</w:t>
                  </w:r>
                  <w:r>
                    <w:rPr>
                      <w:rFonts w:ascii="Times New Roman" w:hAnsi="Times New Roman" w:cs="Times New Roman"/>
                      <w:sz w:val="21"/>
                      <w:szCs w:val="21"/>
                    </w:rPr>
                    <w:t>进行</w:t>
                  </w:r>
                  <w:r>
                    <w:rPr>
                      <w:rFonts w:hint="eastAsia" w:ascii="Times New Roman" w:hAnsi="Times New Roman" w:cs="Times New Roman"/>
                      <w:sz w:val="21"/>
                      <w:szCs w:val="21"/>
                    </w:rPr>
                    <w:t>全面</w:t>
                  </w:r>
                  <w:r>
                    <w:rPr>
                      <w:rFonts w:ascii="Times New Roman" w:hAnsi="Times New Roman" w:cs="Times New Roman"/>
                      <w:sz w:val="21"/>
                      <w:szCs w:val="21"/>
                    </w:rPr>
                    <w:t>清洗消毒</w:t>
                  </w:r>
                  <w:r>
                    <w:rPr>
                      <w:rFonts w:hint="eastAsia" w:ascii="Times New Roman" w:hAnsi="Times New Roman" w:cs="Times New Roman"/>
                      <w:sz w:val="21"/>
                      <w:szCs w:val="21"/>
                    </w:rPr>
                    <w:t>。</w:t>
                  </w:r>
                </w:p>
              </w:tc>
              <w:tc>
                <w:tcPr>
                  <w:tcW w:w="915" w:type="dxa"/>
                  <w:vAlign w:val="center"/>
                </w:tcPr>
                <w:p w14:paraId="1D6CCE7D">
                  <w:pPr>
                    <w:pStyle w:val="2"/>
                    <w:pBdr>
                      <w:bottom w:val="none" w:color="auto" w:sz="0" w:space="0"/>
                    </w:pBdr>
                    <w:rPr>
                      <w:sz w:val="21"/>
                      <w:szCs w:val="21"/>
                    </w:rPr>
                  </w:pPr>
                  <w:r>
                    <w:rPr>
                      <w:rFonts w:hint="eastAsia"/>
                      <w:sz w:val="21"/>
                      <w:szCs w:val="21"/>
                    </w:rPr>
                    <w:t>符合</w:t>
                  </w:r>
                </w:p>
              </w:tc>
            </w:tr>
            <w:tr w14:paraId="326C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7623CD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包装材料应符合密闭、防水、防渗、防破损、耐腐蚀等要求</w:t>
                  </w:r>
                  <w:r>
                    <w:rPr>
                      <w:rFonts w:hint="eastAsia" w:ascii="Times New Roman" w:hAnsi="Times New Roman" w:cs="Times New Roman"/>
                      <w:sz w:val="21"/>
                      <w:szCs w:val="21"/>
                    </w:rPr>
                    <w:t>。</w:t>
                  </w:r>
                </w:p>
              </w:tc>
              <w:tc>
                <w:tcPr>
                  <w:tcW w:w="3402" w:type="dxa"/>
                  <w:vAlign w:val="center"/>
                </w:tcPr>
                <w:p w14:paraId="3B7BC1EB">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项目所用</w:t>
                  </w:r>
                  <w:r>
                    <w:rPr>
                      <w:rFonts w:ascii="Times New Roman" w:hAnsi="Times New Roman" w:cs="Times New Roman"/>
                      <w:sz w:val="21"/>
                      <w:szCs w:val="21"/>
                    </w:rPr>
                    <w:t>包装材料符合密闭、防水、防渗、防破损、耐腐蚀等要求</w:t>
                  </w:r>
                  <w:r>
                    <w:rPr>
                      <w:rFonts w:hint="eastAsia" w:ascii="Times New Roman" w:hAnsi="Times New Roman" w:cs="Times New Roman"/>
                      <w:sz w:val="21"/>
                      <w:szCs w:val="21"/>
                    </w:rPr>
                    <w:t>。</w:t>
                  </w:r>
                </w:p>
              </w:tc>
              <w:tc>
                <w:tcPr>
                  <w:tcW w:w="915" w:type="dxa"/>
                  <w:vAlign w:val="center"/>
                </w:tcPr>
                <w:p w14:paraId="74638892">
                  <w:pPr>
                    <w:pStyle w:val="2"/>
                    <w:pBdr>
                      <w:bottom w:val="none" w:color="auto" w:sz="0" w:space="0"/>
                    </w:pBdr>
                    <w:rPr>
                      <w:sz w:val="21"/>
                      <w:szCs w:val="21"/>
                    </w:rPr>
                  </w:pPr>
                  <w:r>
                    <w:rPr>
                      <w:rFonts w:hint="eastAsia"/>
                      <w:sz w:val="21"/>
                      <w:szCs w:val="21"/>
                    </w:rPr>
                    <w:t>符合</w:t>
                  </w:r>
                </w:p>
              </w:tc>
            </w:tr>
            <w:tr w14:paraId="1E30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5A3A380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包装材料的容积、尺寸和数量应与需处理病死及病害动物和相关动物产品的体积、数量相匹配。</w:t>
                  </w:r>
                </w:p>
              </w:tc>
              <w:tc>
                <w:tcPr>
                  <w:tcW w:w="3402" w:type="dxa"/>
                  <w:vAlign w:val="center"/>
                </w:tcPr>
                <w:p w14:paraId="58D5CD3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本项目包装材料的容积、尺寸和数量与需处理病死及病害动物和相关动物产品的体积、数量相匹配</w:t>
                  </w:r>
                  <w:r>
                    <w:rPr>
                      <w:rFonts w:hint="eastAsia" w:ascii="Times New Roman" w:hAnsi="Times New Roman" w:cs="Times New Roman"/>
                      <w:sz w:val="21"/>
                      <w:szCs w:val="21"/>
                    </w:rPr>
                    <w:t>。</w:t>
                  </w:r>
                </w:p>
              </w:tc>
              <w:tc>
                <w:tcPr>
                  <w:tcW w:w="915" w:type="dxa"/>
                  <w:vAlign w:val="center"/>
                </w:tcPr>
                <w:p w14:paraId="3F4FA3B5">
                  <w:pPr>
                    <w:pStyle w:val="2"/>
                    <w:pBdr>
                      <w:bottom w:val="none" w:color="auto" w:sz="0" w:space="0"/>
                    </w:pBdr>
                    <w:rPr>
                      <w:sz w:val="21"/>
                      <w:szCs w:val="21"/>
                    </w:rPr>
                  </w:pPr>
                  <w:r>
                    <w:rPr>
                      <w:rFonts w:hint="eastAsia"/>
                      <w:sz w:val="21"/>
                      <w:szCs w:val="21"/>
                    </w:rPr>
                    <w:t>符合</w:t>
                  </w:r>
                </w:p>
              </w:tc>
            </w:tr>
            <w:tr w14:paraId="0E04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F5943B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包装后应进行密封。</w:t>
                  </w:r>
                </w:p>
              </w:tc>
              <w:tc>
                <w:tcPr>
                  <w:tcW w:w="3402" w:type="dxa"/>
                  <w:vAlign w:val="center"/>
                </w:tcPr>
                <w:p w14:paraId="76E9C64D">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本项目包装后进行密封。</w:t>
                  </w:r>
                </w:p>
              </w:tc>
              <w:tc>
                <w:tcPr>
                  <w:tcW w:w="915" w:type="dxa"/>
                  <w:vAlign w:val="center"/>
                </w:tcPr>
                <w:p w14:paraId="023BC73D">
                  <w:pPr>
                    <w:pStyle w:val="2"/>
                    <w:pBdr>
                      <w:bottom w:val="none" w:color="auto" w:sz="0" w:space="0"/>
                    </w:pBdr>
                    <w:rPr>
                      <w:sz w:val="21"/>
                      <w:szCs w:val="21"/>
                    </w:rPr>
                  </w:pPr>
                  <w:r>
                    <w:rPr>
                      <w:rFonts w:hint="eastAsia"/>
                      <w:sz w:val="21"/>
                      <w:szCs w:val="21"/>
                    </w:rPr>
                    <w:t>符合</w:t>
                  </w:r>
                </w:p>
              </w:tc>
            </w:tr>
            <w:tr w14:paraId="525F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690084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使用后，一次性包装材料应作销毁处理，可循环使用的包装材料应进行清洗消毒。</w:t>
                  </w:r>
                </w:p>
              </w:tc>
              <w:tc>
                <w:tcPr>
                  <w:tcW w:w="3402" w:type="dxa"/>
                  <w:vAlign w:val="center"/>
                </w:tcPr>
                <w:p w14:paraId="4F1D329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本项目包装材料使用后，一次性包装材料作销毁处理，可循环使用的包装材料进行清洗消毒。</w:t>
                  </w:r>
                </w:p>
              </w:tc>
              <w:tc>
                <w:tcPr>
                  <w:tcW w:w="915" w:type="dxa"/>
                  <w:vAlign w:val="center"/>
                </w:tcPr>
                <w:p w14:paraId="7B5DFA5C">
                  <w:pPr>
                    <w:pStyle w:val="2"/>
                    <w:pBdr>
                      <w:bottom w:val="none" w:color="auto" w:sz="0" w:space="0"/>
                    </w:pBdr>
                    <w:rPr>
                      <w:sz w:val="21"/>
                      <w:szCs w:val="21"/>
                    </w:rPr>
                  </w:pPr>
                  <w:r>
                    <w:rPr>
                      <w:rFonts w:hint="eastAsia"/>
                      <w:sz w:val="21"/>
                      <w:szCs w:val="21"/>
                    </w:rPr>
                    <w:t>符合</w:t>
                  </w:r>
                </w:p>
              </w:tc>
            </w:tr>
            <w:tr w14:paraId="23F1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782F05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采用冷冻或冷藏方式进行暂存，防止无害化处理前病死及病害动物和相关动物产品腐败。</w:t>
                  </w:r>
                </w:p>
              </w:tc>
              <w:tc>
                <w:tcPr>
                  <w:tcW w:w="3402" w:type="dxa"/>
                  <w:vAlign w:val="center"/>
                </w:tcPr>
                <w:p w14:paraId="70A6BFE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本项目设置了1个容积为216m</w:t>
                  </w:r>
                  <w:r>
                    <w:rPr>
                      <w:rFonts w:ascii="Times New Roman" w:hAnsi="Times New Roman" w:cs="Times New Roman"/>
                      <w:sz w:val="21"/>
                      <w:szCs w:val="21"/>
                      <w:vertAlign w:val="superscript"/>
                    </w:rPr>
                    <w:t>3</w:t>
                  </w:r>
                  <w:r>
                    <w:rPr>
                      <w:rFonts w:ascii="Times New Roman" w:hAnsi="Times New Roman" w:cs="Times New Roman"/>
                      <w:sz w:val="21"/>
                      <w:szCs w:val="21"/>
                    </w:rPr>
                    <w:t>的冷库，用于暂存一次性无法处理完的动物尸体。</w:t>
                  </w:r>
                </w:p>
              </w:tc>
              <w:tc>
                <w:tcPr>
                  <w:tcW w:w="915" w:type="dxa"/>
                  <w:vAlign w:val="center"/>
                </w:tcPr>
                <w:p w14:paraId="0B8D38DF">
                  <w:pPr>
                    <w:pStyle w:val="2"/>
                    <w:pBdr>
                      <w:bottom w:val="none" w:color="auto" w:sz="0" w:space="0"/>
                    </w:pBdr>
                    <w:rPr>
                      <w:sz w:val="21"/>
                      <w:szCs w:val="21"/>
                    </w:rPr>
                  </w:pPr>
                  <w:r>
                    <w:rPr>
                      <w:rFonts w:hint="eastAsia"/>
                      <w:sz w:val="21"/>
                      <w:szCs w:val="21"/>
                    </w:rPr>
                    <w:t>符合</w:t>
                  </w:r>
                </w:p>
              </w:tc>
            </w:tr>
            <w:tr w14:paraId="5BFE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0973E00">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暂存场所应能防水、防渗、防鼠、防盗，易于清洗和消毒。</w:t>
                  </w:r>
                </w:p>
              </w:tc>
              <w:tc>
                <w:tcPr>
                  <w:tcW w:w="3402" w:type="dxa"/>
                  <w:vAlign w:val="center"/>
                </w:tcPr>
                <w:p w14:paraId="09AD3C2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本项目冷库</w:t>
                  </w:r>
                  <w:r>
                    <w:rPr>
                      <w:rFonts w:hint="eastAsia" w:ascii="Times New Roman" w:hAnsi="Times New Roman" w:cs="Times New Roman"/>
                      <w:sz w:val="21"/>
                      <w:szCs w:val="21"/>
                    </w:rPr>
                    <w:t>采取</w:t>
                  </w:r>
                  <w:r>
                    <w:rPr>
                      <w:rFonts w:ascii="Times New Roman" w:hAnsi="Times New Roman" w:cs="Times New Roman"/>
                      <w:sz w:val="21"/>
                      <w:szCs w:val="21"/>
                    </w:rPr>
                    <w:t>防水、防渗、防鼠、防盗</w:t>
                  </w:r>
                  <w:r>
                    <w:rPr>
                      <w:rFonts w:hint="eastAsia" w:ascii="Times New Roman" w:hAnsi="Times New Roman" w:cs="Times New Roman"/>
                      <w:sz w:val="21"/>
                      <w:szCs w:val="21"/>
                    </w:rPr>
                    <w:t>设计</w:t>
                  </w:r>
                  <w:r>
                    <w:rPr>
                      <w:rFonts w:ascii="Times New Roman" w:hAnsi="Times New Roman" w:cs="Times New Roman"/>
                      <w:sz w:val="21"/>
                      <w:szCs w:val="21"/>
                    </w:rPr>
                    <w:t>，易于清洗和消毒。</w:t>
                  </w:r>
                </w:p>
              </w:tc>
              <w:tc>
                <w:tcPr>
                  <w:tcW w:w="915" w:type="dxa"/>
                  <w:vAlign w:val="center"/>
                </w:tcPr>
                <w:p w14:paraId="39DB117D">
                  <w:pPr>
                    <w:pStyle w:val="2"/>
                    <w:pBdr>
                      <w:bottom w:val="none" w:color="auto" w:sz="0" w:space="0"/>
                    </w:pBdr>
                    <w:rPr>
                      <w:sz w:val="21"/>
                      <w:szCs w:val="21"/>
                    </w:rPr>
                  </w:pPr>
                  <w:r>
                    <w:rPr>
                      <w:rFonts w:hint="eastAsia"/>
                      <w:sz w:val="21"/>
                      <w:szCs w:val="21"/>
                    </w:rPr>
                    <w:t>符合</w:t>
                  </w:r>
                </w:p>
              </w:tc>
            </w:tr>
            <w:tr w14:paraId="6F5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606E849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暂存场所应设置明显警示标识。</w:t>
                  </w:r>
                </w:p>
              </w:tc>
              <w:tc>
                <w:tcPr>
                  <w:tcW w:w="3402" w:type="dxa"/>
                  <w:vAlign w:val="center"/>
                </w:tcPr>
                <w:p w14:paraId="5C0D67E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项目冷库</w:t>
                  </w:r>
                  <w:r>
                    <w:rPr>
                      <w:rFonts w:hint="eastAsia" w:ascii="Times New Roman" w:hAnsi="Times New Roman" w:cs="Times New Roman"/>
                      <w:sz w:val="21"/>
                      <w:szCs w:val="21"/>
                    </w:rPr>
                    <w:t>将</w:t>
                  </w:r>
                  <w:r>
                    <w:rPr>
                      <w:rFonts w:ascii="Times New Roman" w:hAnsi="Times New Roman" w:cs="Times New Roman"/>
                      <w:sz w:val="21"/>
                      <w:szCs w:val="21"/>
                    </w:rPr>
                    <w:t>设置明显的警示标识</w:t>
                  </w:r>
                  <w:r>
                    <w:rPr>
                      <w:rFonts w:hint="eastAsia" w:ascii="Times New Roman" w:hAnsi="Times New Roman" w:cs="Times New Roman"/>
                      <w:sz w:val="21"/>
                      <w:szCs w:val="21"/>
                    </w:rPr>
                    <w:t>。</w:t>
                  </w:r>
                </w:p>
              </w:tc>
              <w:tc>
                <w:tcPr>
                  <w:tcW w:w="915" w:type="dxa"/>
                  <w:vAlign w:val="center"/>
                </w:tcPr>
                <w:p w14:paraId="55E999CA">
                  <w:pPr>
                    <w:pStyle w:val="2"/>
                    <w:pBdr>
                      <w:bottom w:val="none" w:color="auto" w:sz="0" w:space="0"/>
                    </w:pBdr>
                    <w:rPr>
                      <w:sz w:val="21"/>
                      <w:szCs w:val="21"/>
                    </w:rPr>
                  </w:pPr>
                  <w:r>
                    <w:rPr>
                      <w:rFonts w:hint="eastAsia"/>
                      <w:sz w:val="21"/>
                      <w:szCs w:val="21"/>
                    </w:rPr>
                    <w:t>符合</w:t>
                  </w:r>
                </w:p>
              </w:tc>
            </w:tr>
            <w:tr w14:paraId="5D5E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934EE2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应定期对暂存场所及周边环境进行清洗消毒。</w:t>
                  </w:r>
                </w:p>
              </w:tc>
              <w:tc>
                <w:tcPr>
                  <w:tcW w:w="3402" w:type="dxa"/>
                  <w:vAlign w:val="center"/>
                </w:tcPr>
                <w:p w14:paraId="1514A0D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项目定期对暂存场所及周边环境进行清洗消毒</w:t>
                  </w:r>
                  <w:r>
                    <w:rPr>
                      <w:rFonts w:hint="eastAsia" w:ascii="Times New Roman" w:hAnsi="Times New Roman" w:cs="Times New Roman"/>
                      <w:sz w:val="21"/>
                      <w:szCs w:val="21"/>
                    </w:rPr>
                    <w:t>。</w:t>
                  </w:r>
                </w:p>
              </w:tc>
              <w:tc>
                <w:tcPr>
                  <w:tcW w:w="915" w:type="dxa"/>
                  <w:vAlign w:val="center"/>
                </w:tcPr>
                <w:p w14:paraId="02EA90F3">
                  <w:pPr>
                    <w:pStyle w:val="2"/>
                    <w:pBdr>
                      <w:bottom w:val="none" w:color="auto" w:sz="0" w:space="0"/>
                    </w:pBdr>
                    <w:rPr>
                      <w:sz w:val="21"/>
                      <w:szCs w:val="21"/>
                    </w:rPr>
                  </w:pPr>
                  <w:r>
                    <w:rPr>
                      <w:rFonts w:hint="eastAsia"/>
                      <w:sz w:val="21"/>
                      <w:szCs w:val="21"/>
                    </w:rPr>
                    <w:t>符合</w:t>
                  </w:r>
                </w:p>
              </w:tc>
            </w:tr>
            <w:tr w14:paraId="5E81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514C5DD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可选择符合GB19217条</w:t>
                  </w:r>
                  <w:r>
                    <w:rPr>
                      <w:rFonts w:hint="eastAsia" w:ascii="Times New Roman" w:hAnsi="Times New Roman" w:cs="Times New Roman"/>
                      <w:sz w:val="21"/>
                      <w:szCs w:val="21"/>
                    </w:rPr>
                    <w:t>的车辆</w:t>
                  </w:r>
                  <w:r>
                    <w:rPr>
                      <w:rFonts w:ascii="Times New Roman" w:hAnsi="Times New Roman" w:cs="Times New Roman"/>
                      <w:sz w:val="21"/>
                      <w:szCs w:val="21"/>
                    </w:rPr>
                    <w:t>或专用封闭厢式运载车辆。车厢四壁及底部应使用耐腐蚀材料，并采取防渗措施</w:t>
                  </w:r>
                  <w:r>
                    <w:rPr>
                      <w:rFonts w:hint="eastAsia" w:ascii="Times New Roman" w:hAnsi="Times New Roman" w:cs="Times New Roman"/>
                      <w:sz w:val="21"/>
                      <w:szCs w:val="21"/>
                    </w:rPr>
                    <w:t>。</w:t>
                  </w:r>
                </w:p>
              </w:tc>
              <w:tc>
                <w:tcPr>
                  <w:tcW w:w="3402" w:type="dxa"/>
                  <w:vAlign w:val="center"/>
                </w:tcPr>
                <w:p w14:paraId="49D12E50">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本项目运输专车符合GB19217</w:t>
                  </w:r>
                  <w:r>
                    <w:rPr>
                      <w:rFonts w:hint="eastAsia" w:ascii="Times New Roman" w:hAnsi="Times New Roman" w:cs="Times New Roman"/>
                      <w:sz w:val="21"/>
                      <w:szCs w:val="21"/>
                    </w:rPr>
                    <w:t>要求</w:t>
                  </w:r>
                  <w:r>
                    <w:rPr>
                      <w:rFonts w:ascii="Times New Roman" w:hAnsi="Times New Roman" w:cs="Times New Roman"/>
                      <w:sz w:val="21"/>
                      <w:szCs w:val="21"/>
                    </w:rPr>
                    <w:t>。车厢四壁及底部使用耐腐蚀材料，并采取防渗措施</w:t>
                  </w:r>
                  <w:r>
                    <w:rPr>
                      <w:rFonts w:hint="eastAsia" w:ascii="Times New Roman" w:hAnsi="Times New Roman" w:cs="Times New Roman"/>
                      <w:sz w:val="21"/>
                      <w:szCs w:val="21"/>
                    </w:rPr>
                    <w:t>。</w:t>
                  </w:r>
                </w:p>
              </w:tc>
              <w:tc>
                <w:tcPr>
                  <w:tcW w:w="915" w:type="dxa"/>
                  <w:vAlign w:val="center"/>
                </w:tcPr>
                <w:p w14:paraId="49792F12">
                  <w:pPr>
                    <w:pStyle w:val="2"/>
                    <w:pBdr>
                      <w:bottom w:val="none" w:color="auto" w:sz="0" w:space="0"/>
                    </w:pBdr>
                    <w:rPr>
                      <w:sz w:val="21"/>
                      <w:szCs w:val="21"/>
                    </w:rPr>
                  </w:pPr>
                  <w:r>
                    <w:rPr>
                      <w:rFonts w:hint="eastAsia"/>
                      <w:sz w:val="21"/>
                      <w:szCs w:val="21"/>
                    </w:rPr>
                    <w:t>符合</w:t>
                  </w:r>
                </w:p>
              </w:tc>
            </w:tr>
            <w:tr w14:paraId="1C3A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EA2DF9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专用转运车辆应加施明显标识，加装车载定位系统，记录转运时间和路径等信息</w:t>
                  </w:r>
                  <w:r>
                    <w:rPr>
                      <w:rFonts w:hint="eastAsia" w:ascii="Times New Roman" w:hAnsi="Times New Roman" w:cs="Times New Roman"/>
                      <w:sz w:val="21"/>
                      <w:szCs w:val="21"/>
                    </w:rPr>
                    <w:t>。</w:t>
                  </w:r>
                </w:p>
              </w:tc>
              <w:tc>
                <w:tcPr>
                  <w:tcW w:w="3402" w:type="dxa"/>
                  <w:vAlign w:val="center"/>
                </w:tcPr>
                <w:p w14:paraId="13CE11A1">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专用转运车辆</w:t>
                  </w:r>
                  <w:r>
                    <w:rPr>
                      <w:rFonts w:hint="eastAsia" w:ascii="Times New Roman" w:hAnsi="Times New Roman" w:cs="Times New Roman"/>
                      <w:sz w:val="21"/>
                      <w:szCs w:val="21"/>
                    </w:rPr>
                    <w:t>均将</w:t>
                  </w:r>
                  <w:r>
                    <w:rPr>
                      <w:rFonts w:ascii="Times New Roman" w:hAnsi="Times New Roman" w:cs="Times New Roman"/>
                      <w:sz w:val="21"/>
                      <w:szCs w:val="21"/>
                    </w:rPr>
                    <w:t>加施明显标识，并加装车载定位系统，记录转运时间和路径等信息</w:t>
                  </w:r>
                  <w:r>
                    <w:rPr>
                      <w:rFonts w:hint="eastAsia" w:ascii="Times New Roman" w:hAnsi="Times New Roman" w:cs="Times New Roman"/>
                      <w:sz w:val="21"/>
                      <w:szCs w:val="21"/>
                    </w:rPr>
                    <w:t>。</w:t>
                  </w:r>
                </w:p>
              </w:tc>
              <w:tc>
                <w:tcPr>
                  <w:tcW w:w="915" w:type="dxa"/>
                  <w:vAlign w:val="center"/>
                </w:tcPr>
                <w:p w14:paraId="18C6BB8D">
                  <w:pPr>
                    <w:pStyle w:val="2"/>
                    <w:pBdr>
                      <w:bottom w:val="none" w:color="auto" w:sz="0" w:space="0"/>
                    </w:pBdr>
                    <w:rPr>
                      <w:sz w:val="21"/>
                      <w:szCs w:val="21"/>
                    </w:rPr>
                  </w:pPr>
                  <w:r>
                    <w:rPr>
                      <w:rFonts w:hint="eastAsia"/>
                      <w:sz w:val="21"/>
                      <w:szCs w:val="21"/>
                    </w:rPr>
                    <w:t>符合</w:t>
                  </w:r>
                </w:p>
              </w:tc>
            </w:tr>
            <w:tr w14:paraId="2D84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0B3D179">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车辆驶离暂存、养殖等场所前，应对车轮及车厢外部进行消毒。</w:t>
                  </w:r>
                </w:p>
              </w:tc>
              <w:tc>
                <w:tcPr>
                  <w:tcW w:w="3402" w:type="dxa"/>
                  <w:vAlign w:val="center"/>
                </w:tcPr>
                <w:p w14:paraId="2815D4C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车辆驶离暂存、养殖等场所前，对车轮及车厢外部进行消毒</w:t>
                  </w:r>
                  <w:r>
                    <w:rPr>
                      <w:rFonts w:hint="eastAsia" w:ascii="Times New Roman" w:hAnsi="Times New Roman" w:cs="Times New Roman"/>
                      <w:sz w:val="21"/>
                      <w:szCs w:val="21"/>
                    </w:rPr>
                    <w:t>。</w:t>
                  </w:r>
                </w:p>
              </w:tc>
              <w:tc>
                <w:tcPr>
                  <w:tcW w:w="915" w:type="dxa"/>
                  <w:vAlign w:val="center"/>
                </w:tcPr>
                <w:p w14:paraId="26CF4452">
                  <w:pPr>
                    <w:pStyle w:val="2"/>
                    <w:pBdr>
                      <w:bottom w:val="none" w:color="auto" w:sz="0" w:space="0"/>
                    </w:pBdr>
                    <w:rPr>
                      <w:sz w:val="21"/>
                      <w:szCs w:val="21"/>
                    </w:rPr>
                  </w:pPr>
                  <w:r>
                    <w:rPr>
                      <w:rFonts w:hint="eastAsia"/>
                      <w:sz w:val="21"/>
                      <w:szCs w:val="21"/>
                    </w:rPr>
                    <w:t>符合</w:t>
                  </w:r>
                </w:p>
              </w:tc>
            </w:tr>
            <w:tr w14:paraId="1158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7E9592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转运车辆应尽量避免进入人口密集区。</w:t>
                  </w:r>
                </w:p>
              </w:tc>
              <w:tc>
                <w:tcPr>
                  <w:tcW w:w="3402" w:type="dxa"/>
                  <w:vAlign w:val="center"/>
                </w:tcPr>
                <w:p w14:paraId="19F1356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本项目运输车辆尽量避免进入人口密集区</w:t>
                  </w:r>
                  <w:r>
                    <w:rPr>
                      <w:rFonts w:hint="eastAsia" w:ascii="Times New Roman" w:hAnsi="Times New Roman" w:cs="Times New Roman"/>
                      <w:sz w:val="21"/>
                      <w:szCs w:val="21"/>
                    </w:rPr>
                    <w:t>。</w:t>
                  </w:r>
                </w:p>
              </w:tc>
              <w:tc>
                <w:tcPr>
                  <w:tcW w:w="915" w:type="dxa"/>
                  <w:vAlign w:val="center"/>
                </w:tcPr>
                <w:p w14:paraId="354D668F">
                  <w:pPr>
                    <w:pStyle w:val="2"/>
                    <w:pBdr>
                      <w:bottom w:val="none" w:color="auto" w:sz="0" w:space="0"/>
                    </w:pBdr>
                    <w:rPr>
                      <w:sz w:val="21"/>
                      <w:szCs w:val="21"/>
                    </w:rPr>
                  </w:pPr>
                  <w:r>
                    <w:rPr>
                      <w:rFonts w:hint="eastAsia"/>
                      <w:sz w:val="21"/>
                      <w:szCs w:val="21"/>
                    </w:rPr>
                    <w:t>符合</w:t>
                  </w:r>
                </w:p>
              </w:tc>
            </w:tr>
            <w:tr w14:paraId="001D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34F74A8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若转运途中发生渗漏，应重新包装、消毒后运输。</w:t>
                  </w:r>
                </w:p>
              </w:tc>
              <w:tc>
                <w:tcPr>
                  <w:tcW w:w="3402" w:type="dxa"/>
                  <w:vAlign w:val="center"/>
                </w:tcPr>
                <w:p w14:paraId="6807BC2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若转运途中发生渗漏，采取重新包装、消毒后运输</w:t>
                  </w:r>
                  <w:r>
                    <w:rPr>
                      <w:rFonts w:hint="eastAsia" w:ascii="Times New Roman" w:hAnsi="Times New Roman" w:cs="Times New Roman"/>
                      <w:sz w:val="21"/>
                      <w:szCs w:val="21"/>
                    </w:rPr>
                    <w:t>。</w:t>
                  </w:r>
                </w:p>
              </w:tc>
              <w:tc>
                <w:tcPr>
                  <w:tcW w:w="915" w:type="dxa"/>
                  <w:vAlign w:val="center"/>
                </w:tcPr>
                <w:p w14:paraId="2DF2E763">
                  <w:pPr>
                    <w:pStyle w:val="2"/>
                    <w:pBdr>
                      <w:bottom w:val="none" w:color="auto" w:sz="0" w:space="0"/>
                    </w:pBdr>
                    <w:rPr>
                      <w:sz w:val="21"/>
                      <w:szCs w:val="21"/>
                    </w:rPr>
                  </w:pPr>
                  <w:r>
                    <w:rPr>
                      <w:rFonts w:hint="eastAsia"/>
                      <w:sz w:val="21"/>
                      <w:szCs w:val="21"/>
                    </w:rPr>
                    <w:t>符合</w:t>
                  </w:r>
                </w:p>
              </w:tc>
            </w:tr>
            <w:tr w14:paraId="7152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DA250C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卸载后，应对转运车辆及相关工具等进行彻底清洗、消毒。</w:t>
                  </w:r>
                </w:p>
              </w:tc>
              <w:tc>
                <w:tcPr>
                  <w:tcW w:w="3402" w:type="dxa"/>
                  <w:vAlign w:val="center"/>
                </w:tcPr>
                <w:p w14:paraId="47B87A0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项目每次运输车辆卸载后，均 对转运车辆及相关工具等进行 彻底清洗、消毒</w:t>
                  </w:r>
                  <w:r>
                    <w:rPr>
                      <w:rFonts w:hint="eastAsia" w:ascii="Times New Roman" w:hAnsi="Times New Roman" w:cs="Times New Roman"/>
                      <w:sz w:val="21"/>
                      <w:szCs w:val="21"/>
                    </w:rPr>
                    <w:t>。</w:t>
                  </w:r>
                </w:p>
              </w:tc>
              <w:tc>
                <w:tcPr>
                  <w:tcW w:w="915" w:type="dxa"/>
                  <w:vAlign w:val="center"/>
                </w:tcPr>
                <w:p w14:paraId="3A3AAE93">
                  <w:pPr>
                    <w:pStyle w:val="2"/>
                    <w:pBdr>
                      <w:bottom w:val="none" w:color="auto" w:sz="0" w:space="0"/>
                    </w:pBdr>
                    <w:rPr>
                      <w:sz w:val="21"/>
                      <w:szCs w:val="21"/>
                    </w:rPr>
                  </w:pPr>
                  <w:r>
                    <w:rPr>
                      <w:rFonts w:hint="eastAsia"/>
                      <w:sz w:val="21"/>
                      <w:szCs w:val="21"/>
                    </w:rPr>
                    <w:t>符合</w:t>
                  </w:r>
                </w:p>
              </w:tc>
            </w:tr>
          </w:tbl>
          <w:p w14:paraId="3C065365">
            <w:pPr>
              <w:pStyle w:val="2"/>
              <w:pBdr>
                <w:bottom w:val="none" w:color="auto" w:sz="0" w:space="0"/>
              </w:pBdr>
            </w:pPr>
          </w:p>
          <w:p w14:paraId="414B4D56">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由上表分析，项目建设符合《病死及病害动物无害化处理技术规范》</w:t>
            </w:r>
            <w:r>
              <w:rPr>
                <w:rFonts w:hint="eastAsia" w:ascii="Times New Roman" w:hAnsi="Times New Roman" w:eastAsia="宋体" w:cs="Times New Roman"/>
                <w:kern w:val="0"/>
                <w:sz w:val="24"/>
              </w:rPr>
              <w:t>要求</w:t>
            </w:r>
            <w:r>
              <w:rPr>
                <w:rFonts w:ascii="Times New Roman" w:hAnsi="Times New Roman" w:eastAsia="宋体" w:cs="Times New Roman"/>
                <w:kern w:val="0"/>
                <w:sz w:val="24"/>
              </w:rPr>
              <w:t>。</w:t>
            </w:r>
          </w:p>
          <w:p w14:paraId="3E49E765">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3、</w:t>
            </w:r>
            <w:r>
              <w:rPr>
                <w:rFonts w:ascii="Times New Roman" w:hAnsi="Times New Roman" w:eastAsia="宋体" w:cs="Times New Roman"/>
                <w:kern w:val="0"/>
                <w:sz w:val="24"/>
              </w:rPr>
              <w:t>与《中华人民共和国动物防疫法》符合性</w:t>
            </w:r>
          </w:p>
          <w:p w14:paraId="385FA23A">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根据</w:t>
            </w:r>
            <w:r>
              <w:rPr>
                <w:rFonts w:hint="eastAsia" w:ascii="Times New Roman" w:hAnsi="Times New Roman" w:eastAsia="宋体" w:cs="Times New Roman"/>
                <w:kern w:val="0"/>
                <w:sz w:val="24"/>
              </w:rPr>
              <w:t>《</w:t>
            </w:r>
            <w:r>
              <w:rPr>
                <w:rFonts w:ascii="Times New Roman" w:hAnsi="Times New Roman" w:eastAsia="宋体" w:cs="Times New Roman"/>
                <w:kern w:val="0"/>
                <w:sz w:val="24"/>
              </w:rPr>
              <w:t>中华人民共和国动物防疫法</w:t>
            </w:r>
            <w:r>
              <w:rPr>
                <w:rFonts w:hint="eastAsia" w:ascii="Times New Roman" w:hAnsi="Times New Roman" w:eastAsia="宋体" w:cs="Times New Roman"/>
                <w:kern w:val="0"/>
                <w:sz w:val="24"/>
              </w:rPr>
              <w:t>》中</w:t>
            </w:r>
            <w:r>
              <w:rPr>
                <w:rFonts w:ascii="Times New Roman" w:hAnsi="Times New Roman" w:eastAsia="宋体" w:cs="Times New Roman"/>
                <w:kern w:val="0"/>
                <w:sz w:val="24"/>
              </w:rPr>
              <w:t>第二十四条</w:t>
            </w:r>
            <w:r>
              <w:rPr>
                <w:rFonts w:hint="eastAsia" w:ascii="Times New Roman" w:hAnsi="Times New Roman" w:eastAsia="宋体" w:cs="Times New Roman"/>
                <w:kern w:val="0"/>
                <w:sz w:val="24"/>
              </w:rPr>
              <w:t>：</w:t>
            </w:r>
            <w:r>
              <w:rPr>
                <w:rFonts w:ascii="Times New Roman" w:hAnsi="Times New Roman" w:eastAsia="宋体" w:cs="Times New Roman"/>
                <w:kern w:val="0"/>
                <w:sz w:val="24"/>
              </w:rPr>
              <w:t>动物饲养和隔离场所、动物屠宰加工场所以及动物和动物产品无害化处理场所，应当符合下列动物防疫条件：</w:t>
            </w:r>
          </w:p>
          <w:p w14:paraId="6EE0AF52">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（一）场所的位置与居民生活区、生活饮用水水源地、学校、医院等公共场所的距离符合国务院农业农村主管部门的规定；</w:t>
            </w:r>
          </w:p>
          <w:p w14:paraId="211A2DB6">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（二）生产经营区域封闭隔离，工程设计和有关流程符合动物防疫要求；</w:t>
            </w:r>
          </w:p>
          <w:p w14:paraId="3A82809F">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（三）有与其规模相适应的污水</w:t>
            </w:r>
            <w:r>
              <w:rPr>
                <w:rFonts w:hint="eastAsia" w:ascii="Times New Roman" w:hAnsi="Times New Roman" w:eastAsia="宋体" w:cs="Times New Roman"/>
                <w:kern w:val="0"/>
                <w:sz w:val="24"/>
              </w:rPr>
              <w:t>、</w:t>
            </w:r>
            <w:r>
              <w:rPr>
                <w:rFonts w:ascii="Times New Roman" w:hAnsi="Times New Roman" w:eastAsia="宋体" w:cs="Times New Roman"/>
                <w:kern w:val="0"/>
                <w:sz w:val="24"/>
              </w:rPr>
              <w:t>污物处理设施，病死动物、病害动物产品无害化处理设施设备或冷藏冷冻设施设备，以及清洗消毒设施设备；</w:t>
            </w:r>
          </w:p>
          <w:p w14:paraId="0201B987">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（四）有与其规模相适应的执业兽医或动物防疫技术人员；</w:t>
            </w:r>
          </w:p>
          <w:p w14:paraId="6C0D5993">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（五）有完善的隔离消毒、购销台账、日常巡查等动物防疫制度</w:t>
            </w:r>
            <w:r>
              <w:rPr>
                <w:rFonts w:hint="eastAsia" w:ascii="Times New Roman" w:hAnsi="Times New Roman" w:eastAsia="宋体" w:cs="Times New Roman"/>
                <w:kern w:val="0"/>
                <w:sz w:val="24"/>
              </w:rPr>
              <w:t>；</w:t>
            </w:r>
          </w:p>
          <w:p w14:paraId="663383A1">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（六）具备国务院农业农村主管部门规定的其他动物防疫条件</w:t>
            </w:r>
            <w:r>
              <w:rPr>
                <w:rFonts w:hint="eastAsia" w:ascii="Times New Roman" w:hAnsi="Times New Roman" w:eastAsia="宋体" w:cs="Times New Roman"/>
                <w:kern w:val="0"/>
                <w:sz w:val="24"/>
              </w:rPr>
              <w:t>；</w:t>
            </w:r>
          </w:p>
          <w:p w14:paraId="3BFCBD0B">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（七）动物和动物产品无害化处理场所除应当符合前款规定的条件外，还应当具有病原检测设备、检测能力和符合动物防疫要求的专用运输车辆。</w:t>
            </w:r>
          </w:p>
          <w:p w14:paraId="0153252C">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本项目属于动物和动物产品无害化处理场所，项目与《中华人民共和国动物防疫法》（2021版）的符合性分析详见下表。</w:t>
            </w:r>
          </w:p>
          <w:p w14:paraId="413F7194">
            <w:pPr>
              <w:autoSpaceDE w:val="0"/>
              <w:autoSpaceDN w:val="0"/>
              <w:adjustRightInd w:val="0"/>
              <w:spacing w:before="156" w:beforeLines="50"/>
              <w:jc w:val="center"/>
            </w:pPr>
            <w:r>
              <w:rPr>
                <w:rFonts w:ascii="Times New Roman" w:hAnsi="Times New Roman" w:eastAsia="宋体" w:cs="Times New Roman"/>
                <w:b/>
                <w:bCs/>
                <w:kern w:val="0"/>
                <w:szCs w:val="21"/>
              </w:rPr>
              <w:t>表1-4    与《中华人民共和国动物防疫法》符合性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3402"/>
              <w:gridCol w:w="915"/>
            </w:tblGrid>
            <w:tr w14:paraId="2CD5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B6A7045">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法律条文</w:t>
                  </w:r>
                </w:p>
              </w:tc>
              <w:tc>
                <w:tcPr>
                  <w:tcW w:w="3402" w:type="dxa"/>
                  <w:vAlign w:val="center"/>
                </w:tcPr>
                <w:p w14:paraId="3DCFEF55">
                  <w:pPr>
                    <w:pStyle w:val="2"/>
                    <w:pBdr>
                      <w:bottom w:val="none" w:color="auto" w:sz="0" w:space="0"/>
                    </w:pBdr>
                    <w:rPr>
                      <w:b/>
                      <w:bCs/>
                      <w:sz w:val="21"/>
                      <w:szCs w:val="21"/>
                    </w:rPr>
                  </w:pPr>
                  <w:r>
                    <w:rPr>
                      <w:rFonts w:hint="eastAsia"/>
                      <w:b/>
                      <w:bCs/>
                      <w:sz w:val="21"/>
                      <w:szCs w:val="21"/>
                    </w:rPr>
                    <w:t>拟建项目情况</w:t>
                  </w:r>
                </w:p>
              </w:tc>
              <w:tc>
                <w:tcPr>
                  <w:tcW w:w="915" w:type="dxa"/>
                  <w:vAlign w:val="center"/>
                </w:tcPr>
                <w:p w14:paraId="5B356D89">
                  <w:pPr>
                    <w:pStyle w:val="2"/>
                    <w:pBdr>
                      <w:bottom w:val="none" w:color="auto" w:sz="0" w:space="0"/>
                    </w:pBdr>
                    <w:rPr>
                      <w:b/>
                      <w:bCs/>
                      <w:sz w:val="21"/>
                      <w:szCs w:val="21"/>
                    </w:rPr>
                  </w:pPr>
                  <w:r>
                    <w:rPr>
                      <w:rFonts w:hint="eastAsia"/>
                      <w:b/>
                      <w:bCs/>
                      <w:sz w:val="21"/>
                      <w:szCs w:val="21"/>
                    </w:rPr>
                    <w:t>符合性</w:t>
                  </w:r>
                </w:p>
              </w:tc>
            </w:tr>
            <w:tr w14:paraId="4830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10E316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（一）场所的位置与居民生活区、生活饮用水水源地、学校、医院等公共场所的距离符合国务院农业农村主管部门的规定；</w:t>
                  </w:r>
                </w:p>
              </w:tc>
              <w:tc>
                <w:tcPr>
                  <w:tcW w:w="3402" w:type="dxa"/>
                  <w:vAlign w:val="center"/>
                </w:tcPr>
                <w:p w14:paraId="1A0DECD4">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拟选厂址处远离</w:t>
                  </w:r>
                  <w:r>
                    <w:rPr>
                      <w:rFonts w:ascii="Times New Roman" w:hAnsi="Times New Roman" w:cs="Times New Roman"/>
                      <w:sz w:val="21"/>
                      <w:szCs w:val="21"/>
                    </w:rPr>
                    <w:t>饮用水源地；距离最近的</w:t>
                  </w:r>
                  <w:r>
                    <w:rPr>
                      <w:rFonts w:hint="eastAsia" w:ascii="Times New Roman" w:hAnsi="Times New Roman" w:cs="Times New Roman"/>
                      <w:sz w:val="21"/>
                      <w:szCs w:val="21"/>
                    </w:rPr>
                    <w:t>居民区</w:t>
                  </w:r>
                  <w:r>
                    <w:rPr>
                      <w:rFonts w:ascii="Times New Roman" w:hAnsi="Times New Roman" w:cs="Times New Roman"/>
                      <w:sz w:val="21"/>
                      <w:szCs w:val="21"/>
                    </w:rPr>
                    <w:t>为</w:t>
                  </w:r>
                  <w:r>
                    <w:rPr>
                      <w:rFonts w:hint="eastAsia" w:ascii="Times New Roman" w:hAnsi="Times New Roman" w:cs="Times New Roman"/>
                      <w:sz w:val="21"/>
                      <w:szCs w:val="21"/>
                    </w:rPr>
                    <w:t>东</w:t>
                  </w:r>
                  <w:r>
                    <w:rPr>
                      <w:rFonts w:ascii="Times New Roman" w:hAnsi="Times New Roman" w:cs="Times New Roman"/>
                      <w:sz w:val="21"/>
                      <w:szCs w:val="21"/>
                    </w:rPr>
                    <w:t>北侧220</w:t>
                  </w:r>
                  <w:r>
                    <w:rPr>
                      <w:rFonts w:hint="eastAsia" w:ascii="Times New Roman" w:hAnsi="Times New Roman" w:cs="Times New Roman"/>
                      <w:sz w:val="21"/>
                      <w:szCs w:val="21"/>
                    </w:rPr>
                    <w:t>m外</w:t>
                  </w:r>
                  <w:r>
                    <w:rPr>
                      <w:rFonts w:ascii="Times New Roman" w:hAnsi="Times New Roman" w:cs="Times New Roman"/>
                      <w:sz w:val="21"/>
                      <w:szCs w:val="21"/>
                    </w:rPr>
                    <w:t>的</w:t>
                  </w:r>
                  <w:r>
                    <w:rPr>
                      <w:rFonts w:hint="eastAsia" w:ascii="Times New Roman" w:hAnsi="Times New Roman" w:cs="Times New Roman"/>
                      <w:sz w:val="21"/>
                      <w:szCs w:val="21"/>
                    </w:rPr>
                    <w:t>帕当坝</w:t>
                  </w:r>
                  <w:r>
                    <w:rPr>
                      <w:rFonts w:ascii="Times New Roman" w:hAnsi="Times New Roman" w:cs="Times New Roman"/>
                      <w:sz w:val="21"/>
                      <w:szCs w:val="21"/>
                    </w:rPr>
                    <w:t>村，距学校、医院等公共场所的距离满足《动物防疫条件审查办法》的要求。</w:t>
                  </w:r>
                </w:p>
              </w:tc>
              <w:tc>
                <w:tcPr>
                  <w:tcW w:w="915" w:type="dxa"/>
                  <w:vAlign w:val="center"/>
                </w:tcPr>
                <w:p w14:paraId="63306C6D">
                  <w:pPr>
                    <w:pStyle w:val="2"/>
                    <w:pBdr>
                      <w:bottom w:val="none" w:color="auto" w:sz="0" w:space="0"/>
                    </w:pBdr>
                    <w:rPr>
                      <w:sz w:val="21"/>
                      <w:szCs w:val="21"/>
                    </w:rPr>
                  </w:pPr>
                  <w:r>
                    <w:rPr>
                      <w:rFonts w:hint="eastAsia"/>
                      <w:sz w:val="21"/>
                      <w:szCs w:val="21"/>
                    </w:rPr>
                    <w:t>符合</w:t>
                  </w:r>
                </w:p>
              </w:tc>
            </w:tr>
            <w:tr w14:paraId="40AF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513BDC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（二）生产经营区域封闭隔离，工程设计和有关流程符合动物防疫要求；</w:t>
                  </w:r>
                </w:p>
              </w:tc>
              <w:tc>
                <w:tcPr>
                  <w:tcW w:w="3402" w:type="dxa"/>
                  <w:vAlign w:val="center"/>
                </w:tcPr>
                <w:p w14:paraId="6C2183B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本项目无害化处理区域采用</w:t>
                  </w:r>
                  <w:r>
                    <w:rPr>
                      <w:rFonts w:hint="eastAsia" w:ascii="Times New Roman" w:hAnsi="Times New Roman" w:cs="Times New Roman"/>
                      <w:sz w:val="21"/>
                      <w:szCs w:val="21"/>
                    </w:rPr>
                    <w:t>围墙</w:t>
                  </w:r>
                  <w:r>
                    <w:rPr>
                      <w:rFonts w:ascii="Times New Roman" w:hAnsi="Times New Roman" w:cs="Times New Roman"/>
                      <w:sz w:val="21"/>
                      <w:szCs w:val="21"/>
                    </w:rPr>
                    <w:t>封闭隔离，工程设计和有关流程均符合动物防疫要求。</w:t>
                  </w:r>
                </w:p>
              </w:tc>
              <w:tc>
                <w:tcPr>
                  <w:tcW w:w="915" w:type="dxa"/>
                  <w:vAlign w:val="center"/>
                </w:tcPr>
                <w:p w14:paraId="48E6DF03">
                  <w:pPr>
                    <w:pStyle w:val="2"/>
                    <w:pBdr>
                      <w:bottom w:val="none" w:color="auto" w:sz="0" w:space="0"/>
                    </w:pBdr>
                    <w:rPr>
                      <w:sz w:val="21"/>
                      <w:szCs w:val="21"/>
                    </w:rPr>
                  </w:pPr>
                  <w:r>
                    <w:rPr>
                      <w:rFonts w:hint="eastAsia"/>
                      <w:sz w:val="21"/>
                      <w:szCs w:val="21"/>
                    </w:rPr>
                    <w:t>符合</w:t>
                  </w:r>
                </w:p>
              </w:tc>
            </w:tr>
            <w:tr w14:paraId="7F38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1BFF3EF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（三）有与其规模相适应的污水</w:t>
                  </w:r>
                  <w:r>
                    <w:rPr>
                      <w:rFonts w:hint="eastAsia" w:ascii="Times New Roman" w:hAnsi="Times New Roman" w:cs="Times New Roman"/>
                      <w:sz w:val="21"/>
                      <w:szCs w:val="21"/>
                    </w:rPr>
                    <w:t>、</w:t>
                  </w:r>
                  <w:r>
                    <w:rPr>
                      <w:rFonts w:ascii="Times New Roman" w:hAnsi="Times New Roman" w:cs="Times New Roman"/>
                      <w:sz w:val="21"/>
                      <w:szCs w:val="21"/>
                    </w:rPr>
                    <w:t>污物处理设施，病死动物、病害动物产品无害化处理设施设备或冷藏冷冻设施设备，以及清洗消毒设施设备；</w:t>
                  </w:r>
                </w:p>
              </w:tc>
              <w:tc>
                <w:tcPr>
                  <w:tcW w:w="3402" w:type="dxa"/>
                  <w:vAlign w:val="center"/>
                </w:tcPr>
                <w:p w14:paraId="373C1B1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本项目运营期最大污水产生量为11.98m</w:t>
                  </w:r>
                  <w:r>
                    <w:rPr>
                      <w:rFonts w:ascii="Times New Roman" w:hAnsi="Times New Roman" w:cs="Times New Roman"/>
                      <w:sz w:val="21"/>
                      <w:szCs w:val="21"/>
                      <w:vertAlign w:val="superscript"/>
                    </w:rPr>
                    <w:t>3</w:t>
                  </w:r>
                  <w:r>
                    <w:rPr>
                      <w:rFonts w:ascii="Times New Roman" w:hAnsi="Times New Roman" w:cs="Times New Roman"/>
                      <w:sz w:val="21"/>
                      <w:szCs w:val="21"/>
                    </w:rPr>
                    <w:t>/d</w:t>
                  </w:r>
                  <w:r>
                    <w:rPr>
                      <w:rFonts w:hint="eastAsia" w:ascii="Times New Roman" w:hAnsi="Times New Roman" w:cs="Times New Roman"/>
                      <w:sz w:val="21"/>
                      <w:szCs w:val="21"/>
                    </w:rPr>
                    <w:t>，</w:t>
                  </w:r>
                  <w:r>
                    <w:rPr>
                      <w:rFonts w:ascii="Times New Roman" w:hAnsi="Times New Roman" w:cs="Times New Roman"/>
                      <w:sz w:val="21"/>
                      <w:szCs w:val="21"/>
                    </w:rPr>
                    <w:t>拟配套建设有1个处理规模为15m</w:t>
                  </w:r>
                  <w:r>
                    <w:rPr>
                      <w:rFonts w:ascii="Times New Roman" w:hAnsi="Times New Roman" w:cs="Times New Roman"/>
                      <w:sz w:val="21"/>
                      <w:szCs w:val="21"/>
                      <w:vertAlign w:val="superscript"/>
                    </w:rPr>
                    <w:t>3</w:t>
                  </w:r>
                  <w:r>
                    <w:rPr>
                      <w:rFonts w:ascii="Times New Roman" w:hAnsi="Times New Roman" w:cs="Times New Roman"/>
                      <w:sz w:val="21"/>
                      <w:szCs w:val="21"/>
                    </w:rPr>
                    <w:t>/d的污水处理站，以及废气处理系统等环保设施，项目拟建设1</w:t>
                  </w:r>
                  <w:r>
                    <w:rPr>
                      <w:rFonts w:hint="eastAsia" w:ascii="Times New Roman" w:hAnsi="Times New Roman" w:cs="Times New Roman"/>
                      <w:sz w:val="21"/>
                      <w:szCs w:val="21"/>
                    </w:rPr>
                    <w:t>座</w:t>
                  </w:r>
                  <w:r>
                    <w:rPr>
                      <w:rFonts w:ascii="Times New Roman" w:hAnsi="Times New Roman" w:cs="Times New Roman"/>
                      <w:sz w:val="21"/>
                      <w:szCs w:val="21"/>
                    </w:rPr>
                    <w:t>216m</w:t>
                  </w:r>
                  <w:r>
                    <w:rPr>
                      <w:rFonts w:ascii="Times New Roman" w:hAnsi="Times New Roman" w:cs="Times New Roman"/>
                      <w:sz w:val="21"/>
                      <w:szCs w:val="21"/>
                      <w:vertAlign w:val="superscript"/>
                    </w:rPr>
                    <w:t>3</w:t>
                  </w:r>
                  <w:r>
                    <w:rPr>
                      <w:rFonts w:ascii="Times New Roman" w:hAnsi="Times New Roman" w:cs="Times New Roman"/>
                      <w:sz w:val="21"/>
                      <w:szCs w:val="21"/>
                    </w:rPr>
                    <w:t>的冷库</w:t>
                  </w:r>
                  <w:r>
                    <w:rPr>
                      <w:rFonts w:hint="eastAsia" w:ascii="Times New Roman" w:hAnsi="Times New Roman" w:cs="Times New Roman"/>
                      <w:sz w:val="21"/>
                      <w:szCs w:val="21"/>
                    </w:rPr>
                    <w:t>和</w:t>
                  </w:r>
                  <w:r>
                    <w:rPr>
                      <w:rFonts w:ascii="Times New Roman" w:hAnsi="Times New Roman" w:cs="Times New Roman"/>
                      <w:sz w:val="21"/>
                      <w:szCs w:val="21"/>
                    </w:rPr>
                    <w:t xml:space="preserve">1 </w:t>
                  </w:r>
                  <w:r>
                    <w:rPr>
                      <w:rFonts w:hint="eastAsia" w:ascii="Times New Roman" w:hAnsi="Times New Roman" w:cs="Times New Roman"/>
                      <w:sz w:val="21"/>
                      <w:szCs w:val="21"/>
                    </w:rPr>
                    <w:t>座</w:t>
                  </w:r>
                  <w:r>
                    <w:rPr>
                      <w:rFonts w:ascii="Times New Roman" w:hAnsi="Times New Roman" w:cs="Times New Roman"/>
                      <w:sz w:val="21"/>
                      <w:szCs w:val="21"/>
                    </w:rPr>
                    <w:t xml:space="preserve"> 72m</w:t>
                  </w:r>
                  <w:r>
                    <w:rPr>
                      <w:rFonts w:ascii="Times New Roman" w:hAnsi="Times New Roman" w:cs="Times New Roman"/>
                      <w:sz w:val="21"/>
                      <w:szCs w:val="21"/>
                      <w:vertAlign w:val="superscript"/>
                    </w:rPr>
                    <w:t>2</w:t>
                  </w:r>
                  <w:r>
                    <w:rPr>
                      <w:rFonts w:ascii="Times New Roman" w:hAnsi="Times New Roman" w:cs="Times New Roman"/>
                      <w:sz w:val="21"/>
                      <w:szCs w:val="21"/>
                    </w:rPr>
                    <w:t>的洗消中心</w:t>
                  </w:r>
                  <w:r>
                    <w:rPr>
                      <w:rFonts w:hint="eastAsia" w:ascii="Times New Roman" w:hAnsi="Times New Roman" w:cs="Times New Roman"/>
                      <w:sz w:val="21"/>
                      <w:szCs w:val="21"/>
                    </w:rPr>
                    <w:t>。</w:t>
                  </w:r>
                </w:p>
              </w:tc>
              <w:tc>
                <w:tcPr>
                  <w:tcW w:w="915" w:type="dxa"/>
                  <w:vAlign w:val="center"/>
                </w:tcPr>
                <w:p w14:paraId="35B5D2BA">
                  <w:pPr>
                    <w:pStyle w:val="2"/>
                    <w:pBdr>
                      <w:bottom w:val="none" w:color="auto" w:sz="0" w:space="0"/>
                    </w:pBdr>
                    <w:rPr>
                      <w:sz w:val="21"/>
                      <w:szCs w:val="21"/>
                    </w:rPr>
                  </w:pPr>
                  <w:r>
                    <w:rPr>
                      <w:rFonts w:hint="eastAsia"/>
                      <w:sz w:val="21"/>
                      <w:szCs w:val="21"/>
                    </w:rPr>
                    <w:t>符合</w:t>
                  </w:r>
                </w:p>
              </w:tc>
            </w:tr>
            <w:tr w14:paraId="76AD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2152B863">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（四）有与其规模相适应的执业兽医或动物防疫技术人员；</w:t>
                  </w:r>
                </w:p>
              </w:tc>
              <w:tc>
                <w:tcPr>
                  <w:tcW w:w="3402" w:type="dxa"/>
                  <w:vAlign w:val="center"/>
                </w:tcPr>
                <w:p w14:paraId="1B1536C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项目拟配备1名动物防疫技术人员</w:t>
                  </w:r>
                  <w:r>
                    <w:rPr>
                      <w:rFonts w:hint="eastAsia" w:ascii="Times New Roman" w:hAnsi="Times New Roman" w:cs="Times New Roman"/>
                      <w:sz w:val="21"/>
                      <w:szCs w:val="21"/>
                    </w:rPr>
                    <w:t>。</w:t>
                  </w:r>
                </w:p>
              </w:tc>
              <w:tc>
                <w:tcPr>
                  <w:tcW w:w="915" w:type="dxa"/>
                  <w:vAlign w:val="center"/>
                </w:tcPr>
                <w:p w14:paraId="76352B89">
                  <w:pPr>
                    <w:pStyle w:val="2"/>
                    <w:pBdr>
                      <w:bottom w:val="none" w:color="auto" w:sz="0" w:space="0"/>
                    </w:pBdr>
                    <w:rPr>
                      <w:sz w:val="21"/>
                      <w:szCs w:val="21"/>
                    </w:rPr>
                  </w:pPr>
                  <w:r>
                    <w:rPr>
                      <w:rFonts w:hint="eastAsia"/>
                      <w:sz w:val="21"/>
                      <w:szCs w:val="21"/>
                    </w:rPr>
                    <w:t>符合</w:t>
                  </w:r>
                </w:p>
              </w:tc>
            </w:tr>
            <w:tr w14:paraId="274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AA87B66">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（五）有完善的隔离消毒、购销台账、日常巡查等动物防疫制度</w:t>
                  </w:r>
                  <w:r>
                    <w:rPr>
                      <w:rFonts w:hint="eastAsia" w:ascii="Times New Roman" w:hAnsi="Times New Roman" w:cs="Times New Roman"/>
                      <w:sz w:val="21"/>
                      <w:szCs w:val="21"/>
                    </w:rPr>
                    <w:t>；</w:t>
                  </w:r>
                </w:p>
              </w:tc>
              <w:tc>
                <w:tcPr>
                  <w:tcW w:w="3402" w:type="dxa"/>
                  <w:vAlign w:val="center"/>
                </w:tcPr>
                <w:p w14:paraId="2EB607C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项目建成后具备完善的隔离消毒、购销台账、日常巡查等动物防疫制度</w:t>
                  </w:r>
                  <w:r>
                    <w:rPr>
                      <w:rFonts w:hint="eastAsia" w:ascii="Times New Roman" w:hAnsi="Times New Roman" w:cs="Times New Roman"/>
                      <w:sz w:val="21"/>
                      <w:szCs w:val="21"/>
                    </w:rPr>
                    <w:t>。</w:t>
                  </w:r>
                </w:p>
              </w:tc>
              <w:tc>
                <w:tcPr>
                  <w:tcW w:w="915" w:type="dxa"/>
                  <w:vAlign w:val="center"/>
                </w:tcPr>
                <w:p w14:paraId="5AA9B484">
                  <w:pPr>
                    <w:pStyle w:val="2"/>
                    <w:pBdr>
                      <w:bottom w:val="none" w:color="auto" w:sz="0" w:space="0"/>
                    </w:pBdr>
                    <w:rPr>
                      <w:sz w:val="21"/>
                      <w:szCs w:val="21"/>
                    </w:rPr>
                  </w:pPr>
                  <w:r>
                    <w:rPr>
                      <w:rFonts w:hint="eastAsia"/>
                      <w:sz w:val="21"/>
                      <w:szCs w:val="21"/>
                    </w:rPr>
                    <w:t>符合</w:t>
                  </w:r>
                </w:p>
              </w:tc>
            </w:tr>
            <w:tr w14:paraId="7EF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7376A5A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（六）具备国务院农业农村主管部门规定的其他动物防疫条件</w:t>
                  </w:r>
                  <w:r>
                    <w:rPr>
                      <w:rFonts w:hint="eastAsia" w:ascii="Times New Roman" w:hAnsi="Times New Roman" w:cs="Times New Roman"/>
                      <w:sz w:val="21"/>
                      <w:szCs w:val="21"/>
                    </w:rPr>
                    <w:t>；</w:t>
                  </w:r>
                </w:p>
              </w:tc>
              <w:tc>
                <w:tcPr>
                  <w:tcW w:w="3402" w:type="dxa"/>
                  <w:vAlign w:val="center"/>
                </w:tcPr>
                <w:p w14:paraId="6AF71A1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本项目建设符合《动物防疫条件审查办法》的相关规定。</w:t>
                  </w:r>
                </w:p>
              </w:tc>
              <w:tc>
                <w:tcPr>
                  <w:tcW w:w="915" w:type="dxa"/>
                  <w:vAlign w:val="center"/>
                </w:tcPr>
                <w:p w14:paraId="6C326F88">
                  <w:pPr>
                    <w:pStyle w:val="2"/>
                    <w:pBdr>
                      <w:bottom w:val="none" w:color="auto" w:sz="0" w:space="0"/>
                    </w:pBdr>
                    <w:rPr>
                      <w:sz w:val="21"/>
                      <w:szCs w:val="21"/>
                    </w:rPr>
                  </w:pPr>
                  <w:r>
                    <w:rPr>
                      <w:rFonts w:hint="eastAsia"/>
                      <w:sz w:val="21"/>
                      <w:szCs w:val="21"/>
                    </w:rPr>
                    <w:t>符合</w:t>
                  </w:r>
                </w:p>
              </w:tc>
            </w:tr>
            <w:tr w14:paraId="6BB8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424" w:type="dxa"/>
                  <w:vAlign w:val="center"/>
                </w:tcPr>
                <w:p w14:paraId="4860198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（七）动物和动物产品无害化处理场所除应当符合前款规定的条件外，还应当具有病原检测设备、检测能力和符合动物防疫要求的专用运输车辆。</w:t>
                  </w:r>
                </w:p>
              </w:tc>
              <w:tc>
                <w:tcPr>
                  <w:tcW w:w="3402" w:type="dxa"/>
                  <w:vAlign w:val="center"/>
                </w:tcPr>
                <w:p w14:paraId="5D750A8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本项目拟设置1间检验室，配备病原检验设备，具备病原检测能力</w:t>
                  </w:r>
                  <w:r>
                    <w:rPr>
                      <w:rFonts w:hint="eastAsia" w:ascii="Times New Roman" w:hAnsi="Times New Roman" w:cs="Times New Roman"/>
                      <w:sz w:val="21"/>
                      <w:szCs w:val="21"/>
                    </w:rPr>
                    <w:t>；</w:t>
                  </w:r>
                  <w:r>
                    <w:rPr>
                      <w:rFonts w:ascii="Times New Roman" w:hAnsi="Times New Roman" w:cs="Times New Roman"/>
                      <w:sz w:val="21"/>
                      <w:szCs w:val="21"/>
                    </w:rPr>
                    <w:t>本项目配备有符合动物防疫要求的专用运输车辆。</w:t>
                  </w:r>
                </w:p>
              </w:tc>
              <w:tc>
                <w:tcPr>
                  <w:tcW w:w="915" w:type="dxa"/>
                  <w:vAlign w:val="center"/>
                </w:tcPr>
                <w:p w14:paraId="162A392A">
                  <w:pPr>
                    <w:pStyle w:val="2"/>
                    <w:pBdr>
                      <w:bottom w:val="none" w:color="auto" w:sz="0" w:space="0"/>
                    </w:pBdr>
                    <w:rPr>
                      <w:sz w:val="21"/>
                      <w:szCs w:val="21"/>
                    </w:rPr>
                  </w:pPr>
                  <w:r>
                    <w:rPr>
                      <w:rFonts w:hint="eastAsia"/>
                      <w:sz w:val="21"/>
                      <w:szCs w:val="21"/>
                    </w:rPr>
                    <w:t>符合</w:t>
                  </w:r>
                </w:p>
              </w:tc>
            </w:tr>
          </w:tbl>
          <w:p w14:paraId="07ACE297">
            <w:pPr>
              <w:jc w:val="center"/>
            </w:pPr>
          </w:p>
          <w:p w14:paraId="4CC25DE6">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4、</w:t>
            </w:r>
            <w:r>
              <w:rPr>
                <w:rFonts w:ascii="Times New Roman" w:hAnsi="Times New Roman" w:eastAsia="宋体" w:cs="Times New Roman"/>
                <w:kern w:val="0"/>
                <w:sz w:val="24"/>
              </w:rPr>
              <w:t>与《中华人民共和国水污染防治法》的符合性</w:t>
            </w:r>
          </w:p>
          <w:p w14:paraId="5412FE8E">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本项目生活废水经隔油池、化粪池预处理后与生产废水一并进入自建污水处理站处理，达《农田灌溉水质标准》（GB5084-2021）后用于建设单位租用土地内的农作物灌溉。</w:t>
            </w:r>
          </w:p>
          <w:p w14:paraId="2043D92C">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根据中华人民共和国水污染防治法：“第五十八条 耕地灌溉用水应当符合相应的水质标准，防止污染土壤、地下水和农产品。禁止向耕地灌溉渠道排放工业废水或者医疗污水” </w:t>
            </w:r>
            <w:r>
              <w:rPr>
                <w:rFonts w:hint="eastAsia" w:ascii="Times New Roman" w:hAnsi="Times New Roman" w:eastAsia="宋体" w:cs="Times New Roman"/>
                <w:kern w:val="0"/>
                <w:sz w:val="24"/>
              </w:rPr>
              <w:t>。</w:t>
            </w:r>
          </w:p>
          <w:p w14:paraId="18408A73">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产生的废水主要为生活污水，无害化处理过程产生的有机废水以及设备/车间清洗废水等，不属于工业废水和医疗污水，项目综合污水经自建污水处理站处理后可达到《农田灌溉水质标准》（GB5084-2021），故项目废水经处理达标后用于建设单位租用土地内的农作物灌溉，符合《中华人民共和国水污染防治法》的要求</w:t>
            </w:r>
            <w:r>
              <w:rPr>
                <w:rFonts w:hint="eastAsia" w:ascii="Times New Roman" w:hAnsi="Times New Roman" w:eastAsia="宋体" w:cs="Times New Roman"/>
                <w:kern w:val="0"/>
                <w:sz w:val="24"/>
              </w:rPr>
              <w:t>。</w:t>
            </w:r>
          </w:p>
          <w:p w14:paraId="536A91F0">
            <w:pPr>
              <w:autoSpaceDE w:val="0"/>
              <w:autoSpaceDN w:val="0"/>
              <w:adjustRightInd w:val="0"/>
              <w:spacing w:line="360" w:lineRule="auto"/>
              <w:ind w:left="105" w:leftChars="50"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5</w:t>
            </w:r>
            <w:r>
              <w:rPr>
                <w:rFonts w:hint="eastAsia" w:ascii="Times New Roman" w:hAnsi="Times New Roman" w:eastAsia="宋体" w:cs="Times New Roman"/>
                <w:kern w:val="0"/>
                <w:sz w:val="24"/>
              </w:rPr>
              <w:t>、与其它相关政策规定符合性</w:t>
            </w:r>
          </w:p>
          <w:p w14:paraId="50157EC5">
            <w:pPr>
              <w:autoSpaceDE w:val="0"/>
              <w:autoSpaceDN w:val="0"/>
              <w:adjustRightInd w:val="0"/>
              <w:spacing w:before="156" w:beforeLines="50"/>
              <w:jc w:val="center"/>
              <w:rPr>
                <w:rFonts w:ascii="Times New Roman" w:hAnsi="Times New Roman" w:eastAsia="宋体" w:cs="Times New Roman"/>
                <w:b/>
                <w:bCs/>
                <w:kern w:val="0"/>
                <w:szCs w:val="21"/>
              </w:rPr>
            </w:pPr>
            <w:r>
              <w:rPr>
                <w:rFonts w:hint="eastAsia" w:ascii="Times New Roman" w:hAnsi="Times New Roman" w:eastAsia="宋体" w:cs="Times New Roman"/>
                <w:b/>
                <w:bCs/>
                <w:szCs w:val="21"/>
                <w:lang w:bidi="ar"/>
              </w:rPr>
              <w:t>表1-</w:t>
            </w:r>
            <w:r>
              <w:rPr>
                <w:rFonts w:ascii="Times New Roman" w:hAnsi="Times New Roman" w:eastAsia="宋体" w:cs="Times New Roman"/>
                <w:b/>
                <w:bCs/>
                <w:szCs w:val="21"/>
                <w:lang w:bidi="ar"/>
              </w:rPr>
              <w:t xml:space="preserve">5   </w:t>
            </w:r>
            <w:r>
              <w:rPr>
                <w:rFonts w:ascii="Times New Roman" w:hAnsi="Times New Roman" w:eastAsia="宋体" w:cs="Times New Roman"/>
                <w:b/>
                <w:bCs/>
                <w:lang w:bidi="ar"/>
              </w:rPr>
              <w:t xml:space="preserve"> </w:t>
            </w:r>
            <w:r>
              <w:rPr>
                <w:rFonts w:hint="eastAsia" w:ascii="Times New Roman" w:hAnsi="Times New Roman" w:eastAsia="宋体" w:cs="Times New Roman"/>
                <w:b/>
                <w:bCs/>
                <w:lang w:bidi="ar"/>
              </w:rPr>
              <w:t>与相关政策规定符合性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835"/>
              <w:gridCol w:w="2941"/>
              <w:gridCol w:w="964"/>
            </w:tblGrid>
            <w:tr w14:paraId="2BE2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3693B31A">
                  <w:pPr>
                    <w:jc w:val="center"/>
                    <w:rPr>
                      <w:b/>
                      <w:bCs/>
                      <w:szCs w:val="21"/>
                    </w:rPr>
                  </w:pPr>
                  <w:r>
                    <w:rPr>
                      <w:rFonts w:hint="eastAsia"/>
                      <w:b/>
                      <w:bCs/>
                      <w:szCs w:val="21"/>
                    </w:rPr>
                    <w:t>政策及规范</w:t>
                  </w:r>
                </w:p>
              </w:tc>
              <w:tc>
                <w:tcPr>
                  <w:tcW w:w="2835" w:type="dxa"/>
                  <w:vAlign w:val="center"/>
                </w:tcPr>
                <w:p w14:paraId="76747E92">
                  <w:pPr>
                    <w:jc w:val="center"/>
                    <w:rPr>
                      <w:b/>
                      <w:bCs/>
                      <w:szCs w:val="21"/>
                    </w:rPr>
                  </w:pPr>
                  <w:r>
                    <w:rPr>
                      <w:rFonts w:hint="eastAsia"/>
                      <w:b/>
                      <w:bCs/>
                      <w:szCs w:val="21"/>
                    </w:rPr>
                    <w:t>政策内容</w:t>
                  </w:r>
                </w:p>
              </w:tc>
              <w:tc>
                <w:tcPr>
                  <w:tcW w:w="2941" w:type="dxa"/>
                  <w:vAlign w:val="center"/>
                </w:tcPr>
                <w:p w14:paraId="1A2BBE7A">
                  <w:pPr>
                    <w:jc w:val="center"/>
                  </w:pPr>
                  <w:r>
                    <w:rPr>
                      <w:rFonts w:hint="eastAsia"/>
                      <w:b/>
                      <w:bCs/>
                      <w:szCs w:val="21"/>
                    </w:rPr>
                    <w:t>拟建项目情况</w:t>
                  </w:r>
                </w:p>
              </w:tc>
              <w:tc>
                <w:tcPr>
                  <w:tcW w:w="964" w:type="dxa"/>
                  <w:vAlign w:val="center"/>
                </w:tcPr>
                <w:p w14:paraId="733A1D65">
                  <w:pPr>
                    <w:jc w:val="center"/>
                  </w:pPr>
                  <w:r>
                    <w:rPr>
                      <w:rFonts w:hint="eastAsia"/>
                      <w:b/>
                      <w:bCs/>
                      <w:szCs w:val="21"/>
                    </w:rPr>
                    <w:t>符合性</w:t>
                  </w:r>
                </w:p>
              </w:tc>
            </w:tr>
            <w:tr w14:paraId="55B1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4AC2E417">
                  <w:pPr>
                    <w:pStyle w:val="2"/>
                    <w:pBdr>
                      <w:bottom w:val="none" w:color="auto" w:sz="0" w:space="0"/>
                    </w:pBdr>
                    <w:ind w:firstLine="210" w:firstLineChars="100"/>
                    <w:jc w:val="left"/>
                    <w:rPr>
                      <w:rFonts w:ascii="Times New Roman" w:hAnsi="Times New Roman" w:cs="Times New Roman"/>
                    </w:rPr>
                  </w:pPr>
                  <w:r>
                    <w:rPr>
                      <w:rFonts w:ascii="Times New Roman" w:hAnsi="Times New Roman" w:cs="Times New Roman"/>
                      <w:sz w:val="21"/>
                      <w:szCs w:val="21"/>
                    </w:rPr>
                    <w:t>国务院《关于建立病死畜禽无害化处理机制的意见》</w:t>
                  </w:r>
                </w:p>
              </w:tc>
              <w:tc>
                <w:tcPr>
                  <w:tcW w:w="2835" w:type="dxa"/>
                  <w:vAlign w:val="center"/>
                </w:tcPr>
                <w:p w14:paraId="4E6C9E6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四、加强无害化处理体系建设处理设施应优先采用化制、发酵等既能 实现无害化处理又能资源化利用的工艺技术。支持研究新型、高效、环保的 无害化处理技术和装备</w:t>
                  </w:r>
                  <w:r>
                    <w:rPr>
                      <w:rFonts w:hint="eastAsia" w:ascii="Times New Roman" w:hAnsi="Times New Roman" w:cs="Times New Roman"/>
                      <w:sz w:val="21"/>
                      <w:szCs w:val="21"/>
                    </w:rPr>
                    <w:t>。</w:t>
                  </w:r>
                </w:p>
              </w:tc>
              <w:tc>
                <w:tcPr>
                  <w:tcW w:w="2941" w:type="dxa"/>
                  <w:vAlign w:val="center"/>
                </w:tcPr>
                <w:p w14:paraId="035E6324">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项目采用新型、高效、环保的高温法无害化处理技术和装备，通过导热油炉加热反应釜灭菌达到无害化的目的，然后分离油脂和肉骨粉外售，做到资源再利用</w:t>
                  </w:r>
                  <w:r>
                    <w:rPr>
                      <w:rFonts w:hint="eastAsia" w:ascii="Times New Roman" w:hAnsi="Times New Roman" w:cs="Times New Roman"/>
                      <w:sz w:val="21"/>
                      <w:szCs w:val="21"/>
                    </w:rPr>
                    <w:t>。</w:t>
                  </w:r>
                </w:p>
              </w:tc>
              <w:tc>
                <w:tcPr>
                  <w:tcW w:w="964" w:type="dxa"/>
                  <w:vAlign w:val="center"/>
                </w:tcPr>
                <w:p w14:paraId="48F8DE85">
                  <w:pPr>
                    <w:jc w:val="center"/>
                  </w:pPr>
                  <w:r>
                    <w:rPr>
                      <w:rFonts w:hint="eastAsia"/>
                      <w:szCs w:val="21"/>
                    </w:rPr>
                    <w:t>符合</w:t>
                  </w:r>
                </w:p>
              </w:tc>
            </w:tr>
            <w:tr w14:paraId="3136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12" w:type="dxa"/>
                  <w:vMerge w:val="restart"/>
                  <w:vAlign w:val="center"/>
                </w:tcPr>
                <w:p w14:paraId="53CFF05E">
                  <w:pPr>
                    <w:pStyle w:val="2"/>
                    <w:pBdr>
                      <w:bottom w:val="none" w:color="auto" w:sz="0" w:space="0"/>
                    </w:pBdr>
                    <w:ind w:firstLine="210" w:firstLineChars="100"/>
                    <w:jc w:val="left"/>
                  </w:pPr>
                  <w:r>
                    <w:rPr>
                      <w:rFonts w:ascii="Times New Roman" w:hAnsi="Times New Roman" w:cs="Times New Roman"/>
                      <w:sz w:val="21"/>
                      <w:szCs w:val="21"/>
                    </w:rPr>
                    <w:t>农业部《病死及死因不明动物处置办法（试行）》</w:t>
                  </w:r>
                </w:p>
              </w:tc>
              <w:tc>
                <w:tcPr>
                  <w:tcW w:w="2835" w:type="dxa"/>
                  <w:vAlign w:val="center"/>
                </w:tcPr>
                <w:p w14:paraId="3E34375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第六条对病死但不能确定死亡病因的，当地动物防疫监督机构应立即采样送县级以上动物防疫监督机构确诊。对尸体要在动物防疫监督机构的监督下进行深埋、化制、焚烧等无害化处理。</w:t>
                  </w:r>
                </w:p>
              </w:tc>
              <w:tc>
                <w:tcPr>
                  <w:tcW w:w="2941" w:type="dxa"/>
                  <w:vAlign w:val="center"/>
                </w:tcPr>
                <w:p w14:paraId="52171F18">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项目全程在</w:t>
                  </w:r>
                  <w:r>
                    <w:rPr>
                      <w:rFonts w:hint="eastAsia" w:ascii="Times New Roman" w:hAnsi="Times New Roman" w:cs="Times New Roman"/>
                      <w:sz w:val="21"/>
                      <w:szCs w:val="21"/>
                    </w:rPr>
                    <w:t>德宏州</w:t>
                  </w:r>
                  <w:r>
                    <w:rPr>
                      <w:rFonts w:ascii="Times New Roman" w:hAnsi="Times New Roman" w:cs="Times New Roman"/>
                      <w:sz w:val="21"/>
                      <w:szCs w:val="21"/>
                    </w:rPr>
                    <w:t>动物防疫监督机构的监督下进行高温法无害化处理。</w:t>
                  </w:r>
                </w:p>
              </w:tc>
              <w:tc>
                <w:tcPr>
                  <w:tcW w:w="964" w:type="dxa"/>
                  <w:vAlign w:val="center"/>
                </w:tcPr>
                <w:p w14:paraId="532930FD">
                  <w:pPr>
                    <w:jc w:val="center"/>
                  </w:pPr>
                  <w:r>
                    <w:rPr>
                      <w:rFonts w:hint="eastAsia"/>
                      <w:szCs w:val="21"/>
                    </w:rPr>
                    <w:t>符合</w:t>
                  </w:r>
                </w:p>
              </w:tc>
            </w:tr>
            <w:tr w14:paraId="632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Merge w:val="continue"/>
                  <w:vAlign w:val="center"/>
                </w:tcPr>
                <w:p w14:paraId="1D2EEDBA">
                  <w:pPr>
                    <w:jc w:val="center"/>
                  </w:pPr>
                </w:p>
              </w:tc>
              <w:tc>
                <w:tcPr>
                  <w:tcW w:w="2835" w:type="dxa"/>
                  <w:vAlign w:val="center"/>
                </w:tcPr>
                <w:p w14:paraId="6F4473B5">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第十五条对病死及死因不明动物各项处理，各级动物防疫监督机构要按规定做好相关记录、归档等工作。</w:t>
                  </w:r>
                </w:p>
              </w:tc>
              <w:tc>
                <w:tcPr>
                  <w:tcW w:w="2941" w:type="dxa"/>
                  <w:vAlign w:val="center"/>
                </w:tcPr>
                <w:p w14:paraId="29C19BB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项目全程在</w:t>
                  </w:r>
                  <w:r>
                    <w:rPr>
                      <w:rFonts w:hint="eastAsia" w:ascii="Times New Roman" w:hAnsi="Times New Roman" w:cs="Times New Roman"/>
                      <w:sz w:val="21"/>
                      <w:szCs w:val="21"/>
                    </w:rPr>
                    <w:t>德宏州</w:t>
                  </w:r>
                  <w:r>
                    <w:rPr>
                      <w:rFonts w:ascii="Times New Roman" w:hAnsi="Times New Roman" w:cs="Times New Roman"/>
                      <w:sz w:val="21"/>
                      <w:szCs w:val="21"/>
                    </w:rPr>
                    <w:t>动物防疫监督机构的监督下进行，全程监管，</w:t>
                  </w:r>
                  <w:r>
                    <w:rPr>
                      <w:rFonts w:hint="eastAsia" w:ascii="Times New Roman" w:hAnsi="Times New Roman" w:cs="Times New Roman"/>
                      <w:sz w:val="21"/>
                      <w:szCs w:val="21"/>
                    </w:rPr>
                    <w:t>并</w:t>
                  </w:r>
                  <w:r>
                    <w:rPr>
                      <w:rFonts w:ascii="Times New Roman" w:hAnsi="Times New Roman" w:cs="Times New Roman"/>
                      <w:sz w:val="21"/>
                      <w:szCs w:val="21"/>
                    </w:rPr>
                    <w:t>做相关记录和归档工作。</w:t>
                  </w:r>
                </w:p>
              </w:tc>
              <w:tc>
                <w:tcPr>
                  <w:tcW w:w="964" w:type="dxa"/>
                  <w:vAlign w:val="center"/>
                </w:tcPr>
                <w:p w14:paraId="37F801C8">
                  <w:pPr>
                    <w:jc w:val="center"/>
                  </w:pPr>
                  <w:r>
                    <w:rPr>
                      <w:rFonts w:hint="eastAsia"/>
                      <w:szCs w:val="21"/>
                    </w:rPr>
                    <w:t>符合</w:t>
                  </w:r>
                </w:p>
              </w:tc>
            </w:tr>
            <w:tr w14:paraId="041A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5ABF6FDA">
                  <w:pPr>
                    <w:pStyle w:val="2"/>
                    <w:pBdr>
                      <w:bottom w:val="none" w:color="auto" w:sz="0" w:space="0"/>
                    </w:pBdr>
                    <w:ind w:firstLine="210" w:firstLineChars="100"/>
                    <w:jc w:val="left"/>
                  </w:pPr>
                  <w:r>
                    <w:rPr>
                      <w:rFonts w:ascii="Times New Roman" w:hAnsi="Times New Roman" w:cs="Times New Roman"/>
                      <w:sz w:val="21"/>
                      <w:szCs w:val="21"/>
                    </w:rPr>
                    <w:t>农业部《建立病死猪无害化处理长效机制试点方案》</w:t>
                  </w:r>
                </w:p>
              </w:tc>
              <w:tc>
                <w:tcPr>
                  <w:tcW w:w="2835" w:type="dxa"/>
                  <w:vAlign w:val="center"/>
                </w:tcPr>
                <w:p w14:paraId="32E10BA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 xml:space="preserve">五、试点内容 </w:t>
                  </w:r>
                </w:p>
                <w:p w14:paraId="6712399B">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三）因地制宜选择适宜的无害化处理方式。目前，病死猪无害化处理主要包括深埋、焚烧、高温高压化制以及生物发酵等四种方法。各地应因地制宜，选择适合各自情况的处理方式。从总体情况看，一是对病死猪应就近进行无害化处理；二是应考虑最大程度降低成本、节约资源以及各种无害化处理方法的优缺点等因素选择无害化处理方式；三是对发生一类动物疫病以及炭疽、结核等重点动物疫病死亡的猪必须实施工厂化焚烧处理。</w:t>
                  </w:r>
                </w:p>
              </w:tc>
              <w:tc>
                <w:tcPr>
                  <w:tcW w:w="2941" w:type="dxa"/>
                  <w:vAlign w:val="center"/>
                </w:tcPr>
                <w:p w14:paraId="1A891FED">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项目选取高温法处理方法， 主要就近处理</w:t>
                  </w:r>
                  <w:r>
                    <w:rPr>
                      <w:rFonts w:hint="eastAsia" w:ascii="Times New Roman" w:hAnsi="Times New Roman" w:cs="Times New Roman"/>
                      <w:sz w:val="21"/>
                      <w:szCs w:val="21"/>
                    </w:rPr>
                    <w:t>德宏州</w:t>
                  </w:r>
                  <w:r>
                    <w:rPr>
                      <w:rFonts w:ascii="Times New Roman" w:hAnsi="Times New Roman" w:cs="Times New Roman"/>
                      <w:sz w:val="21"/>
                      <w:szCs w:val="21"/>
                    </w:rPr>
                    <w:t>病死畜禽，处理病死动物类型已提出要求，不处理一类动物疫病以及炭疽、结核等重点动物疫病死亡的畜禽。</w:t>
                  </w:r>
                </w:p>
              </w:tc>
              <w:tc>
                <w:tcPr>
                  <w:tcW w:w="964" w:type="dxa"/>
                  <w:vAlign w:val="center"/>
                </w:tcPr>
                <w:p w14:paraId="014CDF5B">
                  <w:pPr>
                    <w:jc w:val="center"/>
                  </w:pPr>
                  <w:r>
                    <w:rPr>
                      <w:rFonts w:hint="eastAsia"/>
                      <w:szCs w:val="21"/>
                    </w:rPr>
                    <w:t>符合</w:t>
                  </w:r>
                </w:p>
              </w:tc>
            </w:tr>
            <w:tr w14:paraId="35F5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12" w:type="dxa"/>
                  <w:vAlign w:val="center"/>
                </w:tcPr>
                <w:p w14:paraId="3BE40006">
                  <w:pPr>
                    <w:jc w:val="center"/>
                  </w:pPr>
                  <w:r>
                    <w:rPr>
                      <w:rFonts w:ascii="Times New Roman" w:hAnsi="Times New Roman" w:cs="Times New Roman"/>
                      <w:szCs w:val="21"/>
                    </w:rPr>
                    <w:t>《病害动物 和病害动物 产品生物安 全处理规 程》</w:t>
                  </w:r>
                </w:p>
              </w:tc>
              <w:tc>
                <w:tcPr>
                  <w:tcW w:w="2835" w:type="dxa"/>
                  <w:vAlign w:val="center"/>
                </w:tcPr>
                <w:p w14:paraId="45A8076C">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3.3 无害化处理3.3.2消毒中的3.3.2.2.1高温处理法</w:t>
                  </w:r>
                </w:p>
                <w:p w14:paraId="0B505BC2">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适用于染疫动物蹄、骨和角的处理。将肉尸作高温处理时剔出的骨、蹄、角放入高压锅内蒸煮至骨脱胶或脱脂时止</w:t>
                  </w:r>
                </w:p>
              </w:tc>
              <w:tc>
                <w:tcPr>
                  <w:tcW w:w="2941" w:type="dxa"/>
                  <w:vAlign w:val="center"/>
                </w:tcPr>
                <w:p w14:paraId="25A1D62E">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本项目将病死或病害动物 尸体一同破碎，运输至反应 釜内进行高温炼制至脱脂</w:t>
                  </w:r>
                  <w:r>
                    <w:rPr>
                      <w:rFonts w:hint="eastAsia" w:ascii="Times New Roman" w:hAnsi="Times New Roman" w:cs="Times New Roman"/>
                      <w:sz w:val="21"/>
                      <w:szCs w:val="21"/>
                    </w:rPr>
                    <w:t>。</w:t>
                  </w:r>
                </w:p>
              </w:tc>
              <w:tc>
                <w:tcPr>
                  <w:tcW w:w="964" w:type="dxa"/>
                  <w:vAlign w:val="center"/>
                </w:tcPr>
                <w:p w14:paraId="6E18A093">
                  <w:pPr>
                    <w:jc w:val="center"/>
                  </w:pPr>
                  <w:r>
                    <w:rPr>
                      <w:rFonts w:hint="eastAsia"/>
                      <w:szCs w:val="21"/>
                    </w:rPr>
                    <w:t>符合</w:t>
                  </w:r>
                </w:p>
              </w:tc>
            </w:tr>
          </w:tbl>
          <w:p w14:paraId="4E11DFB2">
            <w:pPr>
              <w:jc w:val="center"/>
            </w:pPr>
          </w:p>
          <w:p w14:paraId="46193856">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综上，本项目符合国家和地方相关政策和技术规范要求。</w:t>
            </w:r>
          </w:p>
          <w:p w14:paraId="18A94CCE">
            <w:pPr>
              <w:autoSpaceDE w:val="0"/>
              <w:autoSpaceDN w:val="0"/>
              <w:adjustRightInd w:val="0"/>
              <w:spacing w:line="360" w:lineRule="auto"/>
              <w:ind w:right="105" w:rightChars="50" w:firstLine="241" w:firstLineChars="100"/>
              <w:jc w:val="left"/>
              <w:rPr>
                <w:rFonts w:ascii="Times New Roman" w:hAnsi="Times New Roman" w:eastAsia="宋体" w:cs="Times New Roman"/>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4</w:t>
            </w:r>
            <w:r>
              <w:rPr>
                <w:rFonts w:hint="eastAsia" w:ascii="Times New Roman" w:hAnsi="Times New Roman" w:eastAsia="宋体" w:cs="Times New Roman"/>
                <w:b/>
                <w:bCs/>
                <w:kern w:val="0"/>
                <w:sz w:val="24"/>
              </w:rPr>
              <w:t xml:space="preserve"> 与</w:t>
            </w:r>
            <w:r>
              <w:rPr>
                <w:rFonts w:hint="eastAsia" w:ascii="Times New Roman" w:hAnsi="Times New Roman" w:eastAsia="宋体" w:cs="Times New Roman"/>
                <w:b/>
                <w:bCs/>
                <w:sz w:val="24"/>
                <w:lang w:bidi="ar"/>
              </w:rPr>
              <w:t>《长江经济带发展负面清单指南》（试行）及《云南省长江经济带发展负面清单指南实施细则（试行）》相符性分析</w:t>
            </w:r>
          </w:p>
          <w:p w14:paraId="4407E3A4">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（1）与</w:t>
            </w:r>
            <w:r>
              <w:rPr>
                <w:rFonts w:hint="eastAsia" w:ascii="Times New Roman" w:hAnsi="Times New Roman" w:eastAsia="宋体" w:cs="Times New Roman"/>
                <w:sz w:val="24"/>
                <w:lang w:bidi="ar"/>
              </w:rPr>
              <w:t>《长江经济带发展负面清单指南》（试行）相符性分析</w:t>
            </w:r>
          </w:p>
          <w:p w14:paraId="42F28090">
            <w:pPr>
              <w:autoSpaceDE w:val="0"/>
              <w:autoSpaceDN w:val="0"/>
              <w:adjustRightInd w:val="0"/>
              <w:spacing w:line="360" w:lineRule="auto"/>
              <w:ind w:right="105" w:rightChars="50" w:firstLine="240" w:firstLineChars="100"/>
              <w:jc w:val="left"/>
              <w:rPr>
                <w:rFonts w:ascii="Times New Roman" w:hAnsi="Times New Roman" w:eastAsia="宋体" w:cs="Times New Roman"/>
                <w:sz w:val="24"/>
                <w:lang w:bidi="ar"/>
              </w:rPr>
            </w:pPr>
            <w:r>
              <w:rPr>
                <w:rFonts w:ascii="Times New Roman" w:hAnsi="Times New Roman" w:eastAsia="宋体" w:cs="Times New Roman"/>
                <w:sz w:val="24"/>
                <w:lang w:bidi="ar"/>
              </w:rPr>
              <w:t>2019</w:t>
            </w:r>
            <w:r>
              <w:rPr>
                <w:rFonts w:hint="eastAsia" w:ascii="Times New Roman" w:hAnsi="Times New Roman" w:eastAsia="宋体" w:cs="Times New Roman"/>
                <w:sz w:val="24"/>
                <w:lang w:bidi="ar"/>
              </w:rPr>
              <w:t>年</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月</w:t>
            </w:r>
            <w:r>
              <w:rPr>
                <w:rFonts w:ascii="Times New Roman" w:hAnsi="Times New Roman" w:eastAsia="宋体" w:cs="Times New Roman"/>
                <w:sz w:val="24"/>
                <w:lang w:bidi="ar"/>
              </w:rPr>
              <w:t>12</w:t>
            </w:r>
            <w:r>
              <w:rPr>
                <w:rFonts w:hint="eastAsia" w:ascii="Times New Roman" w:hAnsi="Times New Roman" w:eastAsia="宋体" w:cs="Times New Roman"/>
                <w:sz w:val="24"/>
                <w:lang w:bidi="ar"/>
              </w:rPr>
              <w:t>日，推动长江经济带发展领导小组办公室印发《关于发布长江经济带发展负面清单指南（试行）的通知》，建设项目与其相符性分析如下。</w:t>
            </w:r>
          </w:p>
          <w:p w14:paraId="4791FE67">
            <w:pPr>
              <w:autoSpaceDE w:val="0"/>
              <w:autoSpaceDN w:val="0"/>
              <w:adjustRightInd w:val="0"/>
              <w:ind w:left="105" w:leftChars="50" w:right="105" w:rightChars="50"/>
              <w:jc w:val="center"/>
              <w:rPr>
                <w:rFonts w:ascii="Times New Roman" w:hAnsi="Times New Roman" w:eastAsia="宋体" w:cs="Times New Roman"/>
                <w:b/>
                <w:bCs/>
                <w:kern w:val="0"/>
                <w:szCs w:val="21"/>
              </w:rPr>
            </w:pPr>
            <w:r>
              <w:rPr>
                <w:rFonts w:hint="eastAsia" w:ascii="Times New Roman" w:hAnsi="Times New Roman" w:eastAsia="宋体" w:cs="Times New Roman"/>
                <w:b/>
                <w:bCs/>
                <w:szCs w:val="21"/>
                <w:lang w:bidi="ar"/>
              </w:rPr>
              <w:t>表1-</w:t>
            </w:r>
            <w:r>
              <w:rPr>
                <w:rFonts w:ascii="Times New Roman" w:hAnsi="Times New Roman" w:eastAsia="宋体" w:cs="Times New Roman"/>
                <w:b/>
                <w:bCs/>
                <w:szCs w:val="21"/>
                <w:lang w:bidi="ar"/>
              </w:rPr>
              <w:t xml:space="preserve">6    </w:t>
            </w:r>
            <w:r>
              <w:rPr>
                <w:rFonts w:hint="eastAsia" w:ascii="Times New Roman" w:hAnsi="Times New Roman" w:eastAsia="宋体" w:cs="Times New Roman"/>
                <w:b/>
                <w:bCs/>
                <w:kern w:val="0"/>
                <w:szCs w:val="21"/>
              </w:rPr>
              <w:t>与</w:t>
            </w:r>
            <w:r>
              <w:rPr>
                <w:rFonts w:hint="eastAsia" w:ascii="Times New Roman" w:hAnsi="Times New Roman" w:eastAsia="宋体" w:cs="Times New Roman"/>
                <w:b/>
                <w:bCs/>
                <w:lang w:bidi="ar"/>
              </w:rPr>
              <w:t>《长江经济带发展负面清单指南》（试行）相符性分析</w:t>
            </w:r>
          </w:p>
          <w:tbl>
            <w:tblPr>
              <w:tblStyle w:val="19"/>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87"/>
              <w:gridCol w:w="3063"/>
              <w:gridCol w:w="1091"/>
            </w:tblGrid>
            <w:tr w14:paraId="7F64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03C5847">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b/>
                      <w:bCs/>
                      <w:kern w:val="0"/>
                      <w:szCs w:val="21"/>
                    </w:rPr>
                    <w:t>序号</w:t>
                  </w:r>
                </w:p>
              </w:tc>
              <w:tc>
                <w:tcPr>
                  <w:tcW w:w="3287" w:type="dxa"/>
                  <w:vAlign w:val="center"/>
                </w:tcPr>
                <w:p w14:paraId="420ACA53">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b/>
                      <w:bCs/>
                      <w:kern w:val="0"/>
                      <w:szCs w:val="21"/>
                    </w:rPr>
                    <w:t>清单内容</w:t>
                  </w:r>
                </w:p>
              </w:tc>
              <w:tc>
                <w:tcPr>
                  <w:tcW w:w="3063" w:type="dxa"/>
                  <w:vAlign w:val="center"/>
                </w:tcPr>
                <w:p w14:paraId="00558BB4">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b/>
                      <w:bCs/>
                      <w:kern w:val="0"/>
                      <w:szCs w:val="21"/>
                    </w:rPr>
                    <w:t>建设项目</w:t>
                  </w:r>
                </w:p>
              </w:tc>
              <w:tc>
                <w:tcPr>
                  <w:tcW w:w="1091" w:type="dxa"/>
                  <w:vAlign w:val="center"/>
                </w:tcPr>
                <w:p w14:paraId="290107C2">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b/>
                      <w:bCs/>
                      <w:kern w:val="0"/>
                      <w:szCs w:val="21"/>
                    </w:rPr>
                    <w:t>相符性</w:t>
                  </w:r>
                </w:p>
              </w:tc>
            </w:tr>
            <w:tr w14:paraId="172E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7DD0E30C">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3287" w:type="dxa"/>
                  <w:vAlign w:val="center"/>
                </w:tcPr>
                <w:p w14:paraId="12C8E85A">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禁止建设不符合全国和省级港口布局规划以及港口总体</w:t>
                  </w:r>
                  <w:r>
                    <w:rPr>
                      <w:rFonts w:hint="eastAsia" w:ascii="Times New Roman" w:hAnsi="Times New Roman" w:cs="Times New Roman"/>
                      <w:sz w:val="21"/>
                      <w:szCs w:val="21"/>
                      <w:lang w:val="en-US" w:eastAsia="zh-CN"/>
                    </w:rPr>
                    <w:t>规划</w:t>
                  </w:r>
                  <w:r>
                    <w:rPr>
                      <w:rFonts w:hint="eastAsia" w:ascii="Times New Roman" w:hAnsi="Times New Roman" w:cs="Times New Roman"/>
                      <w:sz w:val="21"/>
                      <w:szCs w:val="21"/>
                    </w:rPr>
                    <w:t>的码头项目，禁止建设不符合《长江干线过江通道布局规划》的过长江通道项目。</w:t>
                  </w:r>
                </w:p>
              </w:tc>
              <w:tc>
                <w:tcPr>
                  <w:tcW w:w="3063" w:type="dxa"/>
                  <w:vAlign w:val="center"/>
                </w:tcPr>
                <w:p w14:paraId="7053611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本项目不属于全国和省级港口布局规划以及港口总体</w:t>
                  </w:r>
                  <w:r>
                    <w:rPr>
                      <w:rFonts w:hint="eastAsia" w:ascii="Times New Roman" w:hAnsi="Times New Roman" w:cs="Times New Roman"/>
                      <w:sz w:val="21"/>
                      <w:szCs w:val="21"/>
                      <w:lang w:val="en-US" w:eastAsia="zh-CN"/>
                    </w:rPr>
                    <w:t>规划</w:t>
                  </w:r>
                  <w:r>
                    <w:rPr>
                      <w:rFonts w:hint="eastAsia" w:ascii="Times New Roman" w:hAnsi="Times New Roman" w:cs="Times New Roman"/>
                      <w:sz w:val="21"/>
                      <w:szCs w:val="21"/>
                    </w:rPr>
                    <w:t>的码头项目和过长江通道项目。</w:t>
                  </w:r>
                </w:p>
              </w:tc>
              <w:tc>
                <w:tcPr>
                  <w:tcW w:w="1091" w:type="dxa"/>
                  <w:vAlign w:val="center"/>
                </w:tcPr>
                <w:p w14:paraId="22D72B01">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1BA4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2B1D191">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3287" w:type="dxa"/>
                  <w:vAlign w:val="center"/>
                </w:tcPr>
                <w:p w14:paraId="33CEFD8C">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禁止在自然保护区核心区、缓冲区的岸线和河段范围内投资建设旅游和生产经营项目。禁止在风景名胜区核心景区的岸线和河段范围内投资建设与风景名胜资源保护无关的项目。</w:t>
                  </w:r>
                </w:p>
              </w:tc>
              <w:tc>
                <w:tcPr>
                  <w:tcW w:w="3063" w:type="dxa"/>
                  <w:vAlign w:val="center"/>
                </w:tcPr>
                <w:p w14:paraId="05D34F8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建设项目不在当地饮用水水源地、风景名胜区、自然保护区等生态保护区内。</w:t>
                  </w:r>
                </w:p>
              </w:tc>
              <w:tc>
                <w:tcPr>
                  <w:tcW w:w="1091" w:type="dxa"/>
                  <w:vAlign w:val="center"/>
                </w:tcPr>
                <w:p w14:paraId="125FB426">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603E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14343903">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3287" w:type="dxa"/>
                  <w:vAlign w:val="center"/>
                </w:tcPr>
                <w:p w14:paraId="60A20F55">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投资建设项目。</w:t>
                  </w:r>
                </w:p>
              </w:tc>
              <w:tc>
                <w:tcPr>
                  <w:tcW w:w="3063" w:type="dxa"/>
                  <w:vAlign w:val="center"/>
                </w:tcPr>
                <w:p w14:paraId="68090B36">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建设项目不在当地饮用水水源地、风景名胜区、自然保护区等生态保护区内。</w:t>
                  </w:r>
                </w:p>
              </w:tc>
              <w:tc>
                <w:tcPr>
                  <w:tcW w:w="1091" w:type="dxa"/>
                  <w:vAlign w:val="center"/>
                </w:tcPr>
                <w:p w14:paraId="0F6CBA5C">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358A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473B7D4F">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3287" w:type="dxa"/>
                  <w:vAlign w:val="center"/>
                </w:tcPr>
                <w:p w14:paraId="7C59E705">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3063" w:type="dxa"/>
                  <w:vAlign w:val="center"/>
                </w:tcPr>
                <w:p w14:paraId="315325EC">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建设项目废水不外排，不涉及围湖造田、围海造地或围填海、挖沙、采矿等，项目建设与芒市主体功能定位不冲突。</w:t>
                  </w:r>
                </w:p>
              </w:tc>
              <w:tc>
                <w:tcPr>
                  <w:tcW w:w="1091" w:type="dxa"/>
                  <w:vAlign w:val="center"/>
                </w:tcPr>
                <w:p w14:paraId="6C39774D">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0722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5416E206">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p>
              </w:tc>
              <w:tc>
                <w:tcPr>
                  <w:tcW w:w="3287" w:type="dxa"/>
                  <w:vAlign w:val="center"/>
                </w:tcPr>
                <w:p w14:paraId="19396540">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3063" w:type="dxa"/>
                  <w:vAlign w:val="center"/>
                </w:tcPr>
                <w:p w14:paraId="0836F04F">
                  <w:pPr>
                    <w:pStyle w:val="2"/>
                    <w:pBdr>
                      <w:bottom w:val="none" w:color="auto" w:sz="0" w:space="0"/>
                    </w:pBdr>
                    <w:ind w:firstLine="210" w:firstLineChars="100"/>
                    <w:rPr>
                      <w:rFonts w:ascii="Times New Roman" w:hAnsi="Times New Roman" w:cs="Times New Roman"/>
                      <w:sz w:val="21"/>
                      <w:szCs w:val="21"/>
                    </w:rPr>
                  </w:pPr>
                  <w:r>
                    <w:rPr>
                      <w:rFonts w:hint="eastAsia" w:ascii="Times New Roman" w:hAnsi="Times New Roman" w:cs="Times New Roman"/>
                      <w:sz w:val="21"/>
                      <w:szCs w:val="21"/>
                    </w:rPr>
                    <w:t>建设项目不涉及。</w:t>
                  </w:r>
                </w:p>
              </w:tc>
              <w:tc>
                <w:tcPr>
                  <w:tcW w:w="1091" w:type="dxa"/>
                  <w:vAlign w:val="center"/>
                </w:tcPr>
                <w:p w14:paraId="5A2651BB">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不冲突</w:t>
                  </w:r>
                </w:p>
              </w:tc>
            </w:tr>
            <w:tr w14:paraId="5DC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A88DE90">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w:t>
                  </w:r>
                </w:p>
              </w:tc>
              <w:tc>
                <w:tcPr>
                  <w:tcW w:w="3287" w:type="dxa"/>
                  <w:vAlign w:val="center"/>
                </w:tcPr>
                <w:p w14:paraId="568AFE14">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3063" w:type="dxa"/>
                  <w:vAlign w:val="center"/>
                </w:tcPr>
                <w:p w14:paraId="7ADBDF28">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项目厂址不在云南省生态保护红线范围内，不占用基本农田。</w:t>
                  </w:r>
                </w:p>
              </w:tc>
              <w:tc>
                <w:tcPr>
                  <w:tcW w:w="1091" w:type="dxa"/>
                  <w:vAlign w:val="center"/>
                </w:tcPr>
                <w:p w14:paraId="4D1AF791">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768E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34B296B9">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w:t>
                  </w:r>
                </w:p>
              </w:tc>
              <w:tc>
                <w:tcPr>
                  <w:tcW w:w="3287" w:type="dxa"/>
                  <w:vAlign w:val="center"/>
                </w:tcPr>
                <w:p w14:paraId="4556B3F3">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禁止在长江干支流</w:t>
                  </w:r>
                  <w:r>
                    <w:rPr>
                      <w:rFonts w:ascii="Times New Roman" w:hAnsi="Times New Roman" w:cs="Times New Roman"/>
                      <w:sz w:val="21"/>
                      <w:szCs w:val="21"/>
                    </w:rPr>
                    <w:t>1</w:t>
                  </w:r>
                  <w:r>
                    <w:rPr>
                      <w:rFonts w:hint="eastAsia" w:ascii="Times New Roman" w:hAnsi="Times New Roman" w:cs="Times New Roman"/>
                      <w:sz w:val="21"/>
                      <w:szCs w:val="21"/>
                    </w:rPr>
                    <w:t>km范围内新建、扩建化工园区和化工项目。禁止在合规园区外新建、扩建钢铁、石化、化工、焦化、建材、有色等高污染项目。</w:t>
                  </w:r>
                </w:p>
              </w:tc>
              <w:tc>
                <w:tcPr>
                  <w:tcW w:w="3063" w:type="dxa"/>
                  <w:vAlign w:val="center"/>
                </w:tcPr>
                <w:p w14:paraId="0671B1E1">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选址处不属于长江干支流</w:t>
                  </w:r>
                  <w:r>
                    <w:rPr>
                      <w:rFonts w:ascii="Times New Roman" w:hAnsi="Times New Roman" w:cs="Times New Roman"/>
                      <w:sz w:val="21"/>
                      <w:szCs w:val="21"/>
                    </w:rPr>
                    <w:t>1</w:t>
                  </w:r>
                  <w:r>
                    <w:rPr>
                      <w:rFonts w:hint="eastAsia" w:ascii="Times New Roman" w:hAnsi="Times New Roman" w:cs="Times New Roman"/>
                      <w:sz w:val="21"/>
                      <w:szCs w:val="21"/>
                    </w:rPr>
                    <w:t>km范围，且不属于高污染项目。</w:t>
                  </w:r>
                </w:p>
              </w:tc>
              <w:tc>
                <w:tcPr>
                  <w:tcW w:w="1091" w:type="dxa"/>
                  <w:vAlign w:val="center"/>
                </w:tcPr>
                <w:p w14:paraId="4745E0E8">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3F3E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025B75D8">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3287" w:type="dxa"/>
                  <w:vAlign w:val="center"/>
                </w:tcPr>
                <w:p w14:paraId="4ADD56DB">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禁止新建、扩建不符合国家石化、现代煤化工等产业布局规划的项目。</w:t>
                  </w:r>
                </w:p>
              </w:tc>
              <w:tc>
                <w:tcPr>
                  <w:tcW w:w="3063" w:type="dxa"/>
                  <w:vAlign w:val="center"/>
                </w:tcPr>
                <w:p w14:paraId="43FF3188">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本项目为病死畜禽无害化处理工程，不属于石化、现代煤化工等产业项目。</w:t>
                  </w:r>
                </w:p>
              </w:tc>
              <w:tc>
                <w:tcPr>
                  <w:tcW w:w="1091" w:type="dxa"/>
                  <w:vAlign w:val="center"/>
                </w:tcPr>
                <w:p w14:paraId="03BDD1A7">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28E1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4C0750FF">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w:t>
                  </w:r>
                </w:p>
              </w:tc>
              <w:tc>
                <w:tcPr>
                  <w:tcW w:w="3287" w:type="dxa"/>
                  <w:vAlign w:val="center"/>
                </w:tcPr>
                <w:p w14:paraId="10D673B8">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禁止新建、扩建法律法规和相关政策明令禁止的落后产能项目。</w:t>
                  </w:r>
                </w:p>
              </w:tc>
              <w:tc>
                <w:tcPr>
                  <w:tcW w:w="3063" w:type="dxa"/>
                  <w:vAlign w:val="center"/>
                </w:tcPr>
                <w:p w14:paraId="2ACA148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建设项目符合国家现行法律法规和产业政策。</w:t>
                  </w:r>
                </w:p>
              </w:tc>
              <w:tc>
                <w:tcPr>
                  <w:tcW w:w="1091" w:type="dxa"/>
                  <w:vAlign w:val="center"/>
                </w:tcPr>
                <w:p w14:paraId="51E001F4">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r w14:paraId="7525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AD220AC">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w:t>
                  </w:r>
                </w:p>
              </w:tc>
              <w:tc>
                <w:tcPr>
                  <w:tcW w:w="3287" w:type="dxa"/>
                  <w:vAlign w:val="center"/>
                </w:tcPr>
                <w:p w14:paraId="59B3B03F">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禁止新建、扩建不符合国家产能置换要求的严重过剩产能行业的项目。</w:t>
                  </w:r>
                </w:p>
              </w:tc>
              <w:tc>
                <w:tcPr>
                  <w:tcW w:w="3063" w:type="dxa"/>
                  <w:vAlign w:val="center"/>
                </w:tcPr>
                <w:p w14:paraId="03EB3DE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建设项目不属于国家产能置换要求的严重过剩产能行业项目。</w:t>
                  </w:r>
                </w:p>
              </w:tc>
              <w:tc>
                <w:tcPr>
                  <w:tcW w:w="1091" w:type="dxa"/>
                  <w:vAlign w:val="center"/>
                </w:tcPr>
                <w:p w14:paraId="1E5C2A73">
                  <w:pPr>
                    <w:autoSpaceDE w:val="0"/>
                    <w:autoSpaceDN w:val="0"/>
                    <w:adjustRightInd w:val="0"/>
                    <w:ind w:left="105" w:leftChars="50" w:right="105" w:rightChars="5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符合</w:t>
                  </w:r>
                </w:p>
              </w:tc>
            </w:tr>
          </w:tbl>
          <w:p w14:paraId="1E3060C8">
            <w:pPr>
              <w:autoSpaceDE w:val="0"/>
              <w:autoSpaceDN w:val="0"/>
              <w:adjustRightInd w:val="0"/>
              <w:ind w:left="105" w:leftChars="50" w:right="105" w:rightChars="50" w:firstLine="420" w:firstLineChars="200"/>
              <w:jc w:val="left"/>
              <w:rPr>
                <w:rFonts w:ascii="Times New Roman" w:hAnsi="Times New Roman" w:eastAsia="宋体" w:cs="Times New Roman"/>
                <w:kern w:val="0"/>
                <w:szCs w:val="21"/>
              </w:rPr>
            </w:pPr>
          </w:p>
          <w:p w14:paraId="0C451B06">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综上所述，建设项目符合</w:t>
            </w:r>
            <w:r>
              <w:rPr>
                <w:rFonts w:hint="eastAsia" w:ascii="Times New Roman" w:hAnsi="Times New Roman" w:eastAsia="宋体" w:cs="Times New Roman"/>
                <w:sz w:val="24"/>
                <w:lang w:bidi="ar"/>
              </w:rPr>
              <w:t>《长江经济带发展负面清单指南》（试行）相关要求。</w:t>
            </w:r>
          </w:p>
          <w:p w14:paraId="5D94BB2C">
            <w:pPr>
              <w:autoSpaceDE w:val="0"/>
              <w:autoSpaceDN w:val="0"/>
              <w:adjustRightInd w:val="0"/>
              <w:spacing w:line="360" w:lineRule="auto"/>
              <w:ind w:right="105" w:rightChars="50"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w:t>
            </w:r>
            <w:r>
              <w:rPr>
                <w:rFonts w:hint="eastAsia" w:ascii="Times New Roman" w:hAnsi="Times New Roman" w:eastAsia="宋体" w:cs="Times New Roman"/>
                <w:sz w:val="24"/>
                <w:lang w:bidi="ar"/>
              </w:rPr>
              <w:t>与《云南省长江经济带发展负面清单指南实施细则（试行）》相符性分析</w:t>
            </w:r>
          </w:p>
          <w:p w14:paraId="216EECF5">
            <w:pPr>
              <w:autoSpaceDE w:val="0"/>
              <w:autoSpaceDN w:val="0"/>
              <w:adjustRightInd w:val="0"/>
              <w:spacing w:line="360" w:lineRule="auto"/>
              <w:ind w:right="105" w:rightChars="50" w:firstLine="240" w:firstLineChars="100"/>
              <w:jc w:val="left"/>
              <w:rPr>
                <w:lang w:bidi="ar"/>
              </w:rPr>
            </w:pPr>
            <w:r>
              <w:rPr>
                <w:rFonts w:ascii="Times New Roman" w:hAnsi="Times New Roman" w:eastAsia="宋体" w:cs="Times New Roman"/>
                <w:sz w:val="24"/>
                <w:lang w:bidi="ar"/>
              </w:rPr>
              <w:t>2019</w:t>
            </w:r>
            <w:r>
              <w:rPr>
                <w:rFonts w:hint="eastAsia" w:ascii="Times New Roman" w:hAnsi="Times New Roman" w:eastAsia="宋体" w:cs="Times New Roman"/>
                <w:sz w:val="24"/>
                <w:lang w:bidi="ar"/>
              </w:rPr>
              <w:t>年</w:t>
            </w:r>
            <w:r>
              <w:rPr>
                <w:rFonts w:ascii="Times New Roman" w:hAnsi="Times New Roman" w:eastAsia="宋体" w:cs="Times New Roman"/>
                <w:sz w:val="24"/>
                <w:lang w:bidi="ar"/>
              </w:rPr>
              <w:t>11</w:t>
            </w:r>
            <w:r>
              <w:rPr>
                <w:rFonts w:hint="eastAsia" w:ascii="Times New Roman" w:hAnsi="Times New Roman" w:eastAsia="宋体" w:cs="Times New Roman"/>
                <w:sz w:val="24"/>
                <w:lang w:bidi="ar"/>
              </w:rPr>
              <w:t>月</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日，云南省推动长江经济带发展领导小组办公室关于印发《云南省长江经济带发展负面清单指南实施细则（试行）》的通知，项目与其相符性分析如下。</w:t>
            </w:r>
          </w:p>
          <w:p w14:paraId="17A9975E">
            <w:pPr>
              <w:autoSpaceDE w:val="0"/>
              <w:autoSpaceDN w:val="0"/>
              <w:adjustRightInd w:val="0"/>
              <w:ind w:right="105" w:rightChars="50"/>
              <w:jc w:val="left"/>
              <w:rPr>
                <w:rFonts w:ascii="Times New Roman" w:hAnsi="Times New Roman" w:eastAsia="宋体" w:cs="Times New Roman"/>
                <w:b/>
                <w:bCs/>
                <w:lang w:bidi="ar"/>
              </w:rPr>
            </w:pPr>
            <w:r>
              <w:rPr>
                <w:rFonts w:hint="eastAsia" w:ascii="Times New Roman" w:hAnsi="Times New Roman" w:eastAsia="宋体" w:cs="Times New Roman"/>
                <w:b/>
                <w:bCs/>
                <w:lang w:bidi="ar"/>
              </w:rPr>
              <w:t>表1-</w:t>
            </w:r>
            <w:r>
              <w:rPr>
                <w:rFonts w:ascii="Times New Roman" w:hAnsi="Times New Roman" w:eastAsia="宋体" w:cs="Times New Roman"/>
                <w:b/>
                <w:bCs/>
                <w:lang w:bidi="ar"/>
              </w:rPr>
              <w:t>7</w:t>
            </w:r>
            <w:r>
              <w:rPr>
                <w:rFonts w:hint="eastAsia" w:ascii="Times New Roman" w:hAnsi="Times New Roman" w:eastAsia="宋体" w:cs="Times New Roman"/>
                <w:b/>
                <w:bCs/>
                <w:lang w:bidi="ar"/>
              </w:rPr>
              <w:t xml:space="preserve"> 与《云南省长江经济带发展负面清单指南实施细则（试行）》相符性分析一览表</w:t>
            </w:r>
          </w:p>
          <w:tbl>
            <w:tblPr>
              <w:tblStyle w:val="19"/>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87"/>
              <w:gridCol w:w="3063"/>
              <w:gridCol w:w="1091"/>
            </w:tblGrid>
            <w:tr w14:paraId="644E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5CC6B88D">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b/>
                      <w:bCs/>
                      <w:kern w:val="0"/>
                      <w:szCs w:val="21"/>
                    </w:rPr>
                    <w:t>序号</w:t>
                  </w:r>
                </w:p>
              </w:tc>
              <w:tc>
                <w:tcPr>
                  <w:tcW w:w="3287" w:type="dxa"/>
                  <w:vAlign w:val="center"/>
                </w:tcPr>
                <w:p w14:paraId="54962B65">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b/>
                      <w:bCs/>
                      <w:kern w:val="0"/>
                      <w:szCs w:val="21"/>
                    </w:rPr>
                    <w:t>清单内容</w:t>
                  </w:r>
                </w:p>
              </w:tc>
              <w:tc>
                <w:tcPr>
                  <w:tcW w:w="3063" w:type="dxa"/>
                  <w:vAlign w:val="center"/>
                </w:tcPr>
                <w:p w14:paraId="00556ECA">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b/>
                      <w:bCs/>
                      <w:kern w:val="0"/>
                      <w:szCs w:val="21"/>
                    </w:rPr>
                    <w:t>建设项目</w:t>
                  </w:r>
                </w:p>
              </w:tc>
              <w:tc>
                <w:tcPr>
                  <w:tcW w:w="1091" w:type="dxa"/>
                  <w:vAlign w:val="center"/>
                </w:tcPr>
                <w:p w14:paraId="47DD3E15">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b/>
                      <w:bCs/>
                      <w:kern w:val="0"/>
                      <w:szCs w:val="21"/>
                    </w:rPr>
                    <w:t>相符性</w:t>
                  </w:r>
                </w:p>
              </w:tc>
            </w:tr>
            <w:tr w14:paraId="43C5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572423C8">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w:t>
                  </w:r>
                </w:p>
              </w:tc>
              <w:tc>
                <w:tcPr>
                  <w:tcW w:w="3287" w:type="dxa"/>
                  <w:vAlign w:val="center"/>
                </w:tcPr>
                <w:p w14:paraId="7599CC02">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禁止一切不符合主体功能定位的投资建设项目，严禁任意改变用途，因国家重大战略资源勘查需要，在不影响主体功能定位的前提下，经依法批准后予以安排勘查项目</w:t>
                  </w:r>
                </w:p>
              </w:tc>
              <w:tc>
                <w:tcPr>
                  <w:tcW w:w="3063" w:type="dxa"/>
                  <w:vAlign w:val="center"/>
                </w:tcPr>
                <w:p w14:paraId="4966AB1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为病死畜禽无害化处理工程，属于区域环保基础设施；本项目的建成投产即实现了固废的资源化利用，又可避免病死畜禽的二次污染，对推动德宏州农业、畜牧业发展有着积极意义，符合区域发展主体功能定位。</w:t>
                  </w:r>
                </w:p>
              </w:tc>
              <w:tc>
                <w:tcPr>
                  <w:tcW w:w="1091" w:type="dxa"/>
                  <w:vAlign w:val="center"/>
                </w:tcPr>
                <w:p w14:paraId="2EA5F2C1">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0659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6EE5BB48">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2</w:t>
                  </w:r>
                </w:p>
              </w:tc>
              <w:tc>
                <w:tcPr>
                  <w:tcW w:w="3287" w:type="dxa"/>
                  <w:vAlign w:val="center"/>
                </w:tcPr>
                <w:p w14:paraId="5EE3FDCA">
                  <w:pPr>
                    <w:pStyle w:val="2"/>
                    <w:pBdr>
                      <w:bottom w:val="none" w:color="auto" w:sz="0" w:space="0"/>
                    </w:pBdr>
                    <w:ind w:firstLine="210" w:firstLineChars="100"/>
                    <w:jc w:val="left"/>
                    <w:rPr>
                      <w:rFonts w:ascii="Times New Roman" w:hAnsi="Times New Roman" w:eastAsia="宋体" w:cs="Times New Roman"/>
                      <w:lang w:bidi="ar"/>
                    </w:rPr>
                  </w:pPr>
                  <w:r>
                    <w:rPr>
                      <w:rFonts w:hint="eastAsia" w:ascii="Times New Roman" w:hAnsi="Times New Roman" w:cs="Times New Roman"/>
                      <w:sz w:val="21"/>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3063" w:type="dxa"/>
                  <w:vAlign w:val="center"/>
                </w:tcPr>
                <w:p w14:paraId="64163103">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lang w:bidi="ar"/>
                    </w:rPr>
                    <w:t>建设项目不涉及。</w:t>
                  </w:r>
                </w:p>
              </w:tc>
              <w:tc>
                <w:tcPr>
                  <w:tcW w:w="1091" w:type="dxa"/>
                  <w:vAlign w:val="center"/>
                </w:tcPr>
                <w:p w14:paraId="37346E1F">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不冲突</w:t>
                  </w:r>
                </w:p>
              </w:tc>
            </w:tr>
            <w:tr w14:paraId="7F8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49FEBC4B">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3</w:t>
                  </w:r>
                </w:p>
              </w:tc>
              <w:tc>
                <w:tcPr>
                  <w:tcW w:w="3287" w:type="dxa"/>
                  <w:vAlign w:val="center"/>
                </w:tcPr>
                <w:p w14:paraId="70FBA8B8">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生态保护红线范围内投资建设除国家重大战略资源勘查项目、生态保护修复和环境治理项目、重大基础设施项目、军事国防项目以及农牧民基本生产生活等必要的民生项目以外的项目。生态保护红线原则上按禁止开发区域的要求进行管理</w:t>
                  </w:r>
                </w:p>
              </w:tc>
              <w:tc>
                <w:tcPr>
                  <w:tcW w:w="3063" w:type="dxa"/>
                  <w:vAlign w:val="center"/>
                </w:tcPr>
                <w:p w14:paraId="00ED6E4B">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项目厂址不在云南省生态保护红线范围内。</w:t>
                  </w:r>
                </w:p>
              </w:tc>
              <w:tc>
                <w:tcPr>
                  <w:tcW w:w="1091" w:type="dxa"/>
                  <w:vAlign w:val="center"/>
                </w:tcPr>
                <w:p w14:paraId="694AA925">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3C9E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3D5CD3B6">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4</w:t>
                  </w:r>
                </w:p>
              </w:tc>
              <w:tc>
                <w:tcPr>
                  <w:tcW w:w="3287" w:type="dxa"/>
                  <w:vAlign w:val="center"/>
                </w:tcPr>
                <w:p w14:paraId="1B90889F">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永久基本农田范围内投资建设除国家重大战略资源勘查项目、生态保护修复和环境治理项目、重大基础设施项目、军事国防项目以及农牧民基本生产生活等必要的民生项目以外的项目，重大建设项目选址确实难以避让永久基本农田的，需依法依规办理农用地转用和土地征收，并按照“数量不减、质量不降、布局稳定”的要求进行补划和法定程序修改相应的土地利用总体规划</w:t>
                  </w:r>
                </w:p>
              </w:tc>
              <w:tc>
                <w:tcPr>
                  <w:tcW w:w="3063" w:type="dxa"/>
                  <w:vAlign w:val="center"/>
                </w:tcPr>
                <w:p w14:paraId="2D540F2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厂区占地为一般耕地，不占用基本农田。</w:t>
                  </w:r>
                </w:p>
              </w:tc>
              <w:tc>
                <w:tcPr>
                  <w:tcW w:w="1091" w:type="dxa"/>
                  <w:vAlign w:val="center"/>
                </w:tcPr>
                <w:p w14:paraId="0D793BC5">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1D49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164D2AF0">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5</w:t>
                  </w:r>
                </w:p>
              </w:tc>
              <w:tc>
                <w:tcPr>
                  <w:tcW w:w="3287" w:type="dxa"/>
                  <w:vAlign w:val="center"/>
                </w:tcPr>
                <w:p w14:paraId="6E05F16E">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擅自占用和调整已经划定的永久基本农田特别是城市周边永久基本农田，不得多预留永久基本农田为建设占用留有空间，严禁通过擅自调整县乡土地利用总体规划规避占用永久基本农田的审批，严禁未经审批违法违规占用。禁止在永久基本农田范围内建窑、建房、建坟、挖沙、采石、采矿、取土、堆放固体废弃物或者进行其他破坏永久基本农田的活动；禁止任何单位和个人破坏永久基本农田耕作层；禁止任何单位和个人闲置、荒芜永久基本农田。禁止以设施农用地为名违规占用永久基本农田建设休闲旅游、仓储厂房等设施，坚决防止永久基本农田“非农化”</w:t>
                  </w:r>
                </w:p>
              </w:tc>
              <w:tc>
                <w:tcPr>
                  <w:tcW w:w="3063" w:type="dxa"/>
                  <w:vAlign w:val="center"/>
                </w:tcPr>
                <w:p w14:paraId="3AF3490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厂区占地为一般耕地，不占用基本农田。</w:t>
                  </w:r>
                </w:p>
              </w:tc>
              <w:tc>
                <w:tcPr>
                  <w:tcW w:w="1091" w:type="dxa"/>
                  <w:vAlign w:val="center"/>
                </w:tcPr>
                <w:p w14:paraId="0FCAD6DE">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5B46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0F506620">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6</w:t>
                  </w:r>
                </w:p>
              </w:tc>
              <w:tc>
                <w:tcPr>
                  <w:tcW w:w="3287" w:type="dxa"/>
                  <w:vAlign w:val="center"/>
                </w:tcPr>
                <w:p w14:paraId="5CE9DB26">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禁止在金沙江、长江一级支流建设除党中央、国务院、国家投资主管部门、省级有关部门批复同意以外的过江基础设施项目</w:t>
                  </w:r>
                </w:p>
              </w:tc>
              <w:tc>
                <w:tcPr>
                  <w:tcW w:w="3063" w:type="dxa"/>
                  <w:vAlign w:val="center"/>
                </w:tcPr>
                <w:p w14:paraId="5F36AAA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建设项目不涉及。</w:t>
                  </w:r>
                </w:p>
              </w:tc>
              <w:tc>
                <w:tcPr>
                  <w:tcW w:w="1091" w:type="dxa"/>
                  <w:vAlign w:val="center"/>
                </w:tcPr>
                <w:p w14:paraId="4081F6F6">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不冲突</w:t>
                  </w:r>
                </w:p>
              </w:tc>
            </w:tr>
            <w:tr w14:paraId="2996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0FA35B60">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7</w:t>
                  </w:r>
                </w:p>
              </w:tc>
              <w:tc>
                <w:tcPr>
                  <w:tcW w:w="3287" w:type="dxa"/>
                  <w:vAlign w:val="center"/>
                </w:tcPr>
                <w:p w14:paraId="25D0437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自然保护区核心区、缓冲区建设任何生产设施。禁止在自然保护区的实验区内建设污染环境、破坏资源或者景观的生产设施和污染物排放超过国家和地方规定的污染物排放标准的其他项目。禁止在自然保护区内进行砍伐、放牧、狩猎、捕捞、采药、开垦、烧荒、开矿、采石、挖沙等活动，法律、行政法规另有规定的除外</w:t>
                  </w:r>
                </w:p>
              </w:tc>
              <w:tc>
                <w:tcPr>
                  <w:tcW w:w="3063" w:type="dxa"/>
                  <w:vAlign w:val="center"/>
                </w:tcPr>
                <w:p w14:paraId="13832F80">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项目厂址不在敏感生态功能区范围内，不在当地饮用水水源地、风景名胜区、自然保护区等生态保护区内，评价区域无珍稀动植物分布。</w:t>
                  </w:r>
                </w:p>
              </w:tc>
              <w:tc>
                <w:tcPr>
                  <w:tcW w:w="1091" w:type="dxa"/>
                  <w:vAlign w:val="center"/>
                </w:tcPr>
                <w:p w14:paraId="585B2389">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41F0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5901DE12">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8</w:t>
                  </w:r>
                </w:p>
              </w:tc>
              <w:tc>
                <w:tcPr>
                  <w:tcW w:w="3287" w:type="dxa"/>
                  <w:vAlign w:val="center"/>
                </w:tcPr>
                <w:p w14:paraId="4EBD137A">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风景名胜区规划未经批准前或者违反经批准的风景名胜区规划进行各类建设活动。禁止在风景名胜区内设立各类开发区和在核心景区内投资建设宾馆、招待所、培训中心、疗养院以及与风景名胜资源保护无关的其他建筑物。禁止在风景名胜区内进行开山、采石、开矿、开荒、修坟立碑等破坏景观、植被和地形地貌的活动；禁止修建储存爆炸性、易燃性、放射性、毒害性、腐蚀性物品的设施</w:t>
                  </w:r>
                </w:p>
              </w:tc>
              <w:tc>
                <w:tcPr>
                  <w:tcW w:w="3063" w:type="dxa"/>
                  <w:vAlign w:val="center"/>
                </w:tcPr>
                <w:p w14:paraId="6343B180">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建设项目不在当地饮用水水源地、风景名胜区、自然保护区等生态保护区内，评价区域无珍稀动植物分布。</w:t>
                  </w:r>
                </w:p>
              </w:tc>
              <w:tc>
                <w:tcPr>
                  <w:tcW w:w="1091" w:type="dxa"/>
                  <w:vAlign w:val="center"/>
                </w:tcPr>
                <w:p w14:paraId="688B34B8">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0A6D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0A5C0319">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9</w:t>
                  </w:r>
                </w:p>
              </w:tc>
              <w:tc>
                <w:tcPr>
                  <w:tcW w:w="3287" w:type="dxa"/>
                  <w:vAlign w:val="center"/>
                </w:tcPr>
                <w:p w14:paraId="52A22375">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3063" w:type="dxa"/>
                  <w:vAlign w:val="center"/>
                </w:tcPr>
                <w:p w14:paraId="419A258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建设项目不涉及。</w:t>
                  </w:r>
                </w:p>
              </w:tc>
              <w:tc>
                <w:tcPr>
                  <w:tcW w:w="1091" w:type="dxa"/>
                  <w:vAlign w:val="center"/>
                </w:tcPr>
                <w:p w14:paraId="65F7E49C">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不冲突</w:t>
                  </w:r>
                </w:p>
              </w:tc>
            </w:tr>
            <w:tr w14:paraId="270C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71F1A652">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10</w:t>
                  </w:r>
                </w:p>
              </w:tc>
              <w:tc>
                <w:tcPr>
                  <w:tcW w:w="3287" w:type="dxa"/>
                  <w:vAlign w:val="center"/>
                </w:tcPr>
                <w:p w14:paraId="3755545F">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水产种质资源保护区的岸线和河段范围内新建排污口，以及围湖造田、围湖造地或围垦河道等工程。禁止在国家湿地公园范围内从事房地产、度假村、高尔夫球场、风力发电、光伏发电等任何不符合主体功能定位的建设项目和开发活动；禁止开（围）垦、填埋或者排干湿地；禁止截断湿地水源、挖沙、采矿、引入外来物种；禁止擅自放牧、捕捞、取土、取水、排污、放生；禁止其他破坏湿地及其生态功能的活动</w:t>
                  </w:r>
                </w:p>
              </w:tc>
              <w:tc>
                <w:tcPr>
                  <w:tcW w:w="3063" w:type="dxa"/>
                  <w:vAlign w:val="center"/>
                </w:tcPr>
                <w:p w14:paraId="149ADEC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建设项目不涉及。</w:t>
                  </w:r>
                </w:p>
              </w:tc>
              <w:tc>
                <w:tcPr>
                  <w:tcW w:w="1091" w:type="dxa"/>
                  <w:vAlign w:val="center"/>
                </w:tcPr>
                <w:p w14:paraId="5452881A">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不冲突</w:t>
                  </w:r>
                </w:p>
              </w:tc>
            </w:tr>
            <w:tr w14:paraId="4E72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5FA09245">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11</w:t>
                  </w:r>
                </w:p>
              </w:tc>
              <w:tc>
                <w:tcPr>
                  <w:tcW w:w="3287" w:type="dxa"/>
                  <w:vAlign w:val="center"/>
                </w:tcPr>
                <w:p w14:paraId="739359A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禁止在金沙江、长江一级支流岸线边界</w:t>
                  </w:r>
                  <w:r>
                    <w:rPr>
                      <w:rFonts w:ascii="Times New Roman" w:hAnsi="Times New Roman" w:cs="Times New Roman"/>
                      <w:sz w:val="21"/>
                      <w:szCs w:val="21"/>
                    </w:rPr>
                    <w:t>1</w:t>
                  </w:r>
                  <w:r>
                    <w:rPr>
                      <w:rFonts w:hint="eastAsia" w:ascii="Times New Roman" w:hAnsi="Times New Roman" w:cs="Times New Roman"/>
                      <w:sz w:val="21"/>
                      <w:szCs w:val="21"/>
                    </w:rPr>
                    <w:t>公里范围内新建、扩建化工园区和化工项目。新建化工园区充分留足与周边城镇未来扩张发展的安全距离，立足于生态工业园区建设方向，推广绿色化学和绿色化工发展模式。化工园区设立及园区产业发展规划由省级业务主管部门牵头组织专家论证后审定</w:t>
                  </w:r>
                </w:p>
              </w:tc>
              <w:tc>
                <w:tcPr>
                  <w:tcW w:w="3063" w:type="dxa"/>
                  <w:vAlign w:val="center"/>
                </w:tcPr>
                <w:p w14:paraId="4B48798D">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项目厂址不属于金沙江、长江一级支流岸线边界</w:t>
                  </w:r>
                  <w:r>
                    <w:rPr>
                      <w:rFonts w:ascii="Times New Roman" w:hAnsi="Times New Roman" w:cs="Times New Roman"/>
                      <w:sz w:val="21"/>
                      <w:szCs w:val="21"/>
                    </w:rPr>
                    <w:t>1</w:t>
                  </w:r>
                  <w:r>
                    <w:rPr>
                      <w:rFonts w:hint="eastAsia" w:ascii="Times New Roman" w:hAnsi="Times New Roman" w:cs="Times New Roman"/>
                      <w:sz w:val="21"/>
                      <w:szCs w:val="21"/>
                    </w:rPr>
                    <w:t>km范围内，且不属于化工项目。</w:t>
                  </w:r>
                </w:p>
              </w:tc>
              <w:tc>
                <w:tcPr>
                  <w:tcW w:w="1091" w:type="dxa"/>
                  <w:vAlign w:val="center"/>
                </w:tcPr>
                <w:p w14:paraId="46831428">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774D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ABF0EA0">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12</w:t>
                  </w:r>
                </w:p>
              </w:tc>
              <w:tc>
                <w:tcPr>
                  <w:tcW w:w="3287" w:type="dxa"/>
                  <w:vAlign w:val="center"/>
                </w:tcPr>
                <w:p w14:paraId="3A1F3A65">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禁止新建不符合非煤矿山转型升级有关准入标准的非煤矿山。禁止在金沙江岸线</w:t>
                  </w:r>
                  <w:r>
                    <w:rPr>
                      <w:rFonts w:ascii="Times New Roman" w:hAnsi="Times New Roman" w:cs="Times New Roman"/>
                      <w:sz w:val="21"/>
                      <w:szCs w:val="21"/>
                    </w:rPr>
                    <w:t>3</w:t>
                  </w:r>
                  <w:r>
                    <w:rPr>
                      <w:rFonts w:hint="eastAsia" w:ascii="Times New Roman" w:hAnsi="Times New Roman" w:cs="Times New Roman"/>
                      <w:sz w:val="21"/>
                      <w:szCs w:val="21"/>
                    </w:rPr>
                    <w:t>公里、长江一级支流岸线</w:t>
                  </w:r>
                  <w:r>
                    <w:rPr>
                      <w:rFonts w:ascii="Times New Roman" w:hAnsi="Times New Roman" w:cs="Times New Roman"/>
                      <w:sz w:val="21"/>
                      <w:szCs w:val="21"/>
                    </w:rPr>
                    <w:t>1</w:t>
                  </w:r>
                  <w:r>
                    <w:rPr>
                      <w:rFonts w:hint="eastAsia" w:ascii="Times New Roman" w:hAnsi="Times New Roman" w:cs="Times New Roman"/>
                      <w:sz w:val="21"/>
                      <w:szCs w:val="21"/>
                    </w:rPr>
                    <w:t>公里范围内新建、改建、扩建尾矿库</w:t>
                  </w:r>
                </w:p>
              </w:tc>
              <w:tc>
                <w:tcPr>
                  <w:tcW w:w="3063" w:type="dxa"/>
                  <w:vAlign w:val="center"/>
                </w:tcPr>
                <w:p w14:paraId="33B808C4">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建设项目为病死畜禽无害化处理工程，不涉及矿山、尾矿库，且项目建设地点不涉及金沙江岸线</w:t>
                  </w:r>
                  <w:r>
                    <w:rPr>
                      <w:rFonts w:ascii="Times New Roman" w:hAnsi="Times New Roman" w:cs="Times New Roman"/>
                      <w:sz w:val="21"/>
                      <w:szCs w:val="21"/>
                    </w:rPr>
                    <w:t>3</w:t>
                  </w:r>
                  <w:r>
                    <w:rPr>
                      <w:rFonts w:hint="eastAsia" w:ascii="Times New Roman" w:hAnsi="Times New Roman" w:cs="Times New Roman"/>
                      <w:sz w:val="21"/>
                      <w:szCs w:val="21"/>
                    </w:rPr>
                    <w:t>km、长江一级支流岸线</w:t>
                  </w:r>
                  <w:r>
                    <w:rPr>
                      <w:rFonts w:ascii="Times New Roman" w:hAnsi="Times New Roman" w:cs="Times New Roman"/>
                      <w:sz w:val="21"/>
                      <w:szCs w:val="21"/>
                    </w:rPr>
                    <w:t>1</w:t>
                  </w:r>
                  <w:r>
                    <w:rPr>
                      <w:rFonts w:hint="eastAsia" w:ascii="Times New Roman" w:hAnsi="Times New Roman" w:cs="Times New Roman"/>
                      <w:sz w:val="21"/>
                      <w:szCs w:val="21"/>
                    </w:rPr>
                    <w:t>km范围。</w:t>
                  </w:r>
                </w:p>
              </w:tc>
              <w:tc>
                <w:tcPr>
                  <w:tcW w:w="1091" w:type="dxa"/>
                  <w:vAlign w:val="center"/>
                </w:tcPr>
                <w:p w14:paraId="6E21E4C6">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6EE0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F6F0C57">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13</w:t>
                  </w:r>
                </w:p>
              </w:tc>
              <w:tc>
                <w:tcPr>
                  <w:tcW w:w="3287" w:type="dxa"/>
                  <w:vAlign w:val="center"/>
                </w:tcPr>
                <w:p w14:paraId="1502F2DE">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禁止在合规园区外新建、扩建钢铁、石化、化工、焦化、建材、有色等高污染项目。禁止新增钢铁、水泥、平板玻璃等行业建设产能，确有必要建设的，应按规定实施产能等量或减量置换</w:t>
                  </w:r>
                </w:p>
              </w:tc>
              <w:tc>
                <w:tcPr>
                  <w:tcW w:w="3063" w:type="dxa"/>
                  <w:vAlign w:val="center"/>
                </w:tcPr>
                <w:p w14:paraId="59116D0F">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建设项目为病死畜禽无害化处理工程，不属于高污染项目。</w:t>
                  </w:r>
                </w:p>
              </w:tc>
              <w:tc>
                <w:tcPr>
                  <w:tcW w:w="1091" w:type="dxa"/>
                  <w:vAlign w:val="center"/>
                </w:tcPr>
                <w:p w14:paraId="4BE1C976">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6BC8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01791E5">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14</w:t>
                  </w:r>
                </w:p>
              </w:tc>
              <w:tc>
                <w:tcPr>
                  <w:tcW w:w="3287" w:type="dxa"/>
                  <w:vAlign w:val="center"/>
                </w:tcPr>
                <w:p w14:paraId="7789866A">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禁止新建、扩建不符合国家石化、现代煤化工等产业布局规划的项目</w:t>
                  </w:r>
                </w:p>
              </w:tc>
              <w:tc>
                <w:tcPr>
                  <w:tcW w:w="3063" w:type="dxa"/>
                  <w:vAlign w:val="center"/>
                </w:tcPr>
                <w:p w14:paraId="481235C8">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建设项目符合国家、云南省和德宏州的产业布局规划。</w:t>
                  </w:r>
                </w:p>
              </w:tc>
              <w:tc>
                <w:tcPr>
                  <w:tcW w:w="1091" w:type="dxa"/>
                  <w:vAlign w:val="center"/>
                </w:tcPr>
                <w:p w14:paraId="2FEA6E31">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291B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53623980">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15</w:t>
                  </w:r>
                </w:p>
              </w:tc>
              <w:tc>
                <w:tcPr>
                  <w:tcW w:w="3287" w:type="dxa"/>
                  <w:vAlign w:val="center"/>
                </w:tcPr>
                <w:p w14:paraId="160665F6">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新建、扩建法律法规和相关政策明令禁止的落后产能项目，依法依规淘汰不符合要求的电石炉及开放式电石炉、无化产回收的单一炼焦生产设施，依法依规淘汰不符合要求的硫铁矿制酸、硫磺制酸、黄磷生产、有钙焙烧铬化合物生产装置和有机—无机复混肥料、过磷酸钙和钙镁磷肥生产线</w:t>
                  </w:r>
                </w:p>
              </w:tc>
              <w:tc>
                <w:tcPr>
                  <w:tcW w:w="3063" w:type="dxa"/>
                  <w:vAlign w:val="center"/>
                </w:tcPr>
                <w:p w14:paraId="58DE3165">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根据《产业结构调整指导目录（2019年本）》（国家发改委第29号令），本项目属于其中所列的鼓励类。</w:t>
                  </w:r>
                </w:p>
              </w:tc>
              <w:tc>
                <w:tcPr>
                  <w:tcW w:w="1091" w:type="dxa"/>
                  <w:vAlign w:val="center"/>
                </w:tcPr>
                <w:p w14:paraId="59587FD8">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r w14:paraId="41C4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4BEAC1AF">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16</w:t>
                  </w:r>
                </w:p>
              </w:tc>
              <w:tc>
                <w:tcPr>
                  <w:tcW w:w="3287" w:type="dxa"/>
                  <w:vAlign w:val="center"/>
                </w:tcPr>
                <w:p w14:paraId="26A15B4E">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禁止建设高毒高残留以及对环境影响大的农药原药生产装置，严格控制尿素、磷铵、电石、焦炭、黄磷、烧碱、纯碱、聚氯乙烯等行业新增产能</w:t>
                  </w:r>
                </w:p>
              </w:tc>
              <w:tc>
                <w:tcPr>
                  <w:tcW w:w="3063" w:type="dxa"/>
                  <w:vAlign w:val="center"/>
                </w:tcPr>
                <w:p w14:paraId="78793668">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建设项目不涉及。</w:t>
                  </w:r>
                </w:p>
              </w:tc>
              <w:tc>
                <w:tcPr>
                  <w:tcW w:w="1091" w:type="dxa"/>
                  <w:vAlign w:val="center"/>
                </w:tcPr>
                <w:p w14:paraId="30959153">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不冲突</w:t>
                  </w:r>
                </w:p>
              </w:tc>
            </w:tr>
            <w:tr w14:paraId="4633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48DBABAA">
                  <w:pPr>
                    <w:autoSpaceDE w:val="0"/>
                    <w:autoSpaceDN w:val="0"/>
                    <w:adjustRightInd w:val="0"/>
                    <w:ind w:left="105" w:leftChars="50" w:right="105" w:rightChars="50"/>
                    <w:jc w:val="left"/>
                    <w:rPr>
                      <w:rFonts w:ascii="Times New Roman" w:hAnsi="Times New Roman" w:eastAsia="宋体" w:cs="Times New Roman"/>
                      <w:lang w:bidi="ar"/>
                    </w:rPr>
                  </w:pPr>
                  <w:r>
                    <w:rPr>
                      <w:rFonts w:hint="eastAsia" w:ascii="Times New Roman" w:hAnsi="Times New Roman" w:eastAsia="宋体" w:cs="Times New Roman"/>
                      <w:lang w:bidi="ar"/>
                    </w:rPr>
                    <w:t>17</w:t>
                  </w:r>
                </w:p>
              </w:tc>
              <w:tc>
                <w:tcPr>
                  <w:tcW w:w="3287" w:type="dxa"/>
                  <w:vAlign w:val="center"/>
                </w:tcPr>
                <w:p w14:paraId="7E43E61F">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禁止列入《云南省城镇人口密集区危险化学品生产企业搬迁改造名单》的搬迁改造企业在原址新建、扩建危险化学品生产项目，加强搬迁入园、关闭退出企业腾退土地污染风险管控和治理修复，确保腾退土地符合规划用地土壤环境质量标准</w:t>
                  </w:r>
                </w:p>
              </w:tc>
              <w:tc>
                <w:tcPr>
                  <w:tcW w:w="3063" w:type="dxa"/>
                  <w:vAlign w:val="center"/>
                </w:tcPr>
                <w:p w14:paraId="3DBD143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建设项目不属于危险化学品生产项目，不涉及《云南省城镇人口密集区危险化学品生产企业搬迁改造名单》。</w:t>
                  </w:r>
                </w:p>
              </w:tc>
              <w:tc>
                <w:tcPr>
                  <w:tcW w:w="1091" w:type="dxa"/>
                  <w:vAlign w:val="center"/>
                </w:tcPr>
                <w:p w14:paraId="25A6E82C">
                  <w:pPr>
                    <w:autoSpaceDE w:val="0"/>
                    <w:autoSpaceDN w:val="0"/>
                    <w:adjustRightInd w:val="0"/>
                    <w:ind w:left="105" w:leftChars="50" w:right="105" w:rightChars="50"/>
                    <w:jc w:val="center"/>
                    <w:rPr>
                      <w:rFonts w:ascii="Times New Roman" w:hAnsi="Times New Roman" w:eastAsia="宋体" w:cs="Times New Roman"/>
                      <w:lang w:bidi="ar"/>
                    </w:rPr>
                  </w:pPr>
                  <w:r>
                    <w:rPr>
                      <w:rFonts w:hint="eastAsia" w:ascii="Times New Roman" w:hAnsi="Times New Roman" w:eastAsia="宋体" w:cs="Times New Roman"/>
                      <w:kern w:val="0"/>
                      <w:szCs w:val="21"/>
                    </w:rPr>
                    <w:t>符合</w:t>
                  </w:r>
                </w:p>
              </w:tc>
            </w:tr>
          </w:tbl>
          <w:p w14:paraId="550DDAF2">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综上，建设项目符合《云南省长江经济带发展负面清单指南实施细则（试行）》相关要求。</w:t>
            </w:r>
          </w:p>
          <w:p w14:paraId="58A861E5">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 xml:space="preserve">.5 </w:t>
            </w:r>
            <w:r>
              <w:rPr>
                <w:rFonts w:hint="eastAsia" w:ascii="Times New Roman" w:hAnsi="Times New Roman" w:eastAsia="宋体" w:cs="Times New Roman"/>
                <w:b/>
                <w:bCs/>
                <w:kern w:val="0"/>
                <w:sz w:val="24"/>
              </w:rPr>
              <w:t>与《云南省进一步加强病死畜禽无害化处理工作方案》符合性</w:t>
            </w:r>
          </w:p>
          <w:p w14:paraId="0F51411E">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2</w:t>
            </w:r>
            <w:r>
              <w:rPr>
                <w:rFonts w:ascii="Times New Roman" w:hAnsi="Times New Roman" w:eastAsia="宋体" w:cs="Times New Roman"/>
                <w:sz w:val="24"/>
                <w:lang w:bidi="ar"/>
              </w:rPr>
              <w:t>021</w:t>
            </w:r>
            <w:r>
              <w:rPr>
                <w:rFonts w:hint="eastAsia" w:ascii="Times New Roman" w:hAnsi="Times New Roman" w:eastAsia="宋体" w:cs="Times New Roman"/>
                <w:sz w:val="24"/>
                <w:lang w:bidi="ar"/>
              </w:rPr>
              <w:t>年7月8日，云南省农业农村厅、云南省财政厅联合下发了《云南省进一步加强病死畜禽无害化处理工作方案》（云农牧[</w:t>
            </w:r>
            <w:r>
              <w:rPr>
                <w:rFonts w:ascii="Times New Roman" w:hAnsi="Times New Roman" w:eastAsia="宋体" w:cs="Times New Roman"/>
                <w:sz w:val="24"/>
                <w:lang w:bidi="ar"/>
              </w:rPr>
              <w:t>2021]11</w:t>
            </w:r>
            <w:r>
              <w:rPr>
                <w:rFonts w:hint="eastAsia" w:ascii="Times New Roman" w:hAnsi="Times New Roman" w:eastAsia="宋体" w:cs="Times New Roman"/>
                <w:sz w:val="24"/>
                <w:lang w:bidi="ar"/>
              </w:rPr>
              <w:t>号）。</w:t>
            </w:r>
          </w:p>
          <w:p w14:paraId="09967907">
            <w:pPr>
              <w:autoSpaceDE w:val="0"/>
              <w:autoSpaceDN w:val="0"/>
              <w:adjustRightInd w:val="0"/>
              <w:ind w:right="105" w:rightChars="5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表1-</w:t>
            </w:r>
            <w:r>
              <w:rPr>
                <w:rFonts w:ascii="Times New Roman" w:hAnsi="Times New Roman" w:eastAsia="宋体" w:cs="Times New Roman"/>
                <w:b/>
                <w:bCs/>
                <w:lang w:bidi="ar"/>
              </w:rPr>
              <w:t xml:space="preserve">8    </w:t>
            </w:r>
            <w:r>
              <w:rPr>
                <w:rFonts w:hint="eastAsia" w:ascii="Times New Roman" w:hAnsi="Times New Roman" w:eastAsia="宋体" w:cs="Times New Roman"/>
                <w:b/>
                <w:bCs/>
                <w:lang w:bidi="ar"/>
              </w:rPr>
              <w:t>与《云南省进一步加强病死畜禽无害化处理工作方案》相符性</w:t>
            </w:r>
          </w:p>
          <w:tbl>
            <w:tblPr>
              <w:tblStyle w:val="19"/>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544"/>
              <w:gridCol w:w="2860"/>
              <w:gridCol w:w="1091"/>
            </w:tblGrid>
            <w:tr w14:paraId="5563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053C99AD">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序号</w:t>
                  </w:r>
                </w:p>
              </w:tc>
              <w:tc>
                <w:tcPr>
                  <w:tcW w:w="3544" w:type="dxa"/>
                  <w:vAlign w:val="center"/>
                </w:tcPr>
                <w:p w14:paraId="3F1DBBFC">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规定内容</w:t>
                  </w:r>
                </w:p>
              </w:tc>
              <w:tc>
                <w:tcPr>
                  <w:tcW w:w="2860" w:type="dxa"/>
                  <w:vAlign w:val="center"/>
                </w:tcPr>
                <w:p w14:paraId="76B817E2">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建设项目</w:t>
                  </w:r>
                </w:p>
              </w:tc>
              <w:tc>
                <w:tcPr>
                  <w:tcW w:w="1091" w:type="dxa"/>
                  <w:vAlign w:val="center"/>
                </w:tcPr>
                <w:p w14:paraId="1EFB93EA">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符合性</w:t>
                  </w:r>
                </w:p>
              </w:tc>
            </w:tr>
            <w:tr w14:paraId="30BA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24776A25">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1</w:t>
                  </w:r>
                </w:p>
              </w:tc>
              <w:tc>
                <w:tcPr>
                  <w:tcW w:w="3544" w:type="dxa"/>
                  <w:vAlign w:val="center"/>
                </w:tcPr>
                <w:p w14:paraId="7384F997">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一、总体要求</w:t>
                  </w:r>
                </w:p>
                <w:p w14:paraId="39FB82B0">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加快推进病死畜禽无害化处理体系建设</w:t>
                  </w:r>
                  <w:r>
                    <w:rPr>
                      <w:rFonts w:ascii="Times New Roman" w:hAnsi="Times New Roman" w:cs="Times New Roman"/>
                      <w:sz w:val="21"/>
                      <w:szCs w:val="21"/>
                    </w:rPr>
                    <w:t>…</w:t>
                  </w:r>
                  <w:r>
                    <w:rPr>
                      <w:rFonts w:hint="eastAsia" w:ascii="Times New Roman" w:hAnsi="Times New Roman" w:cs="Times New Roman"/>
                      <w:sz w:val="21"/>
                      <w:szCs w:val="21"/>
                    </w:rPr>
                    <w:t>切实保障广大群众动物源性食品安全、生态环境安全、公共卫生安全。力争到</w:t>
                  </w:r>
                  <w:r>
                    <w:rPr>
                      <w:rFonts w:ascii="Times New Roman" w:hAnsi="Times New Roman" w:cs="Times New Roman"/>
                      <w:sz w:val="21"/>
                      <w:szCs w:val="21"/>
                    </w:rPr>
                    <w:t>2025年，基本建成以生猪为重点、兼顾其他畜禽，涵盖饲养、屠宰、经营、运输等各环节的病死畜禽无害化处理体系，基本实现病死畜禽无死角及时处理，构建科学完备、运转高效的病死畜禽无害化处理长效机制。</w:t>
                  </w:r>
                </w:p>
              </w:tc>
              <w:tc>
                <w:tcPr>
                  <w:tcW w:w="2860" w:type="dxa"/>
                  <w:vAlign w:val="center"/>
                </w:tcPr>
                <w:p w14:paraId="68C3CE95">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本项目即为云南省病死畜禽无害化处理体系的一部分，对实现“总体要求”有着积极意义。</w:t>
                  </w:r>
                </w:p>
              </w:tc>
              <w:tc>
                <w:tcPr>
                  <w:tcW w:w="1091" w:type="dxa"/>
                  <w:vAlign w:val="center"/>
                </w:tcPr>
                <w:p w14:paraId="6CF1B2A6">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r w14:paraId="1BF8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3D0B3019">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2</w:t>
                  </w:r>
                </w:p>
              </w:tc>
              <w:tc>
                <w:tcPr>
                  <w:tcW w:w="3544" w:type="dxa"/>
                  <w:vAlign w:val="center"/>
                </w:tcPr>
                <w:p w14:paraId="5EDB4754">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二、主要任务</w:t>
                  </w:r>
                </w:p>
                <w:p w14:paraId="7499511A">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（一）</w:t>
                  </w:r>
                  <w:r>
                    <w:rPr>
                      <w:rFonts w:ascii="Times New Roman" w:hAnsi="Times New Roman" w:cs="Times New Roman"/>
                      <w:sz w:val="21"/>
                      <w:szCs w:val="21"/>
                    </w:rPr>
                    <w:t>…</w:t>
                  </w:r>
                  <w:r>
                    <w:rPr>
                      <w:rFonts w:hint="eastAsia" w:ascii="Times New Roman" w:hAnsi="Times New Roman" w:cs="Times New Roman"/>
                      <w:sz w:val="21"/>
                      <w:szCs w:val="21"/>
                    </w:rPr>
                    <w:t>各地要按照省级规划制定本地收集和处理设施建设方案，在维护无害化处理企业合法权益并确保无害化处理工作正常开展的前提下，根据本地畜禽养殖规模变化情况和畜牧业发展规划，积极稳妥优化调整现有无害化处理场布局。鼓励无害化处理场采取适宜、先进的处理方式，扩大收集区域范围，进行兼并重组。</w:t>
                  </w:r>
                </w:p>
              </w:tc>
              <w:tc>
                <w:tcPr>
                  <w:tcW w:w="2860" w:type="dxa"/>
                  <w:vAlign w:val="center"/>
                </w:tcPr>
                <w:p w14:paraId="5E5F22F1">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本项目属于德宏州规划建设的病死畜禽无害化处理企业，符合德宏州病死畜禽无害化处理规划布局。</w:t>
                  </w:r>
                  <w:r>
                    <w:rPr>
                      <w:rFonts w:ascii="Times New Roman" w:hAnsi="Times New Roman" w:cs="Times New Roman"/>
                      <w:sz w:val="21"/>
                      <w:szCs w:val="21"/>
                    </w:rPr>
                    <w:t>项目采用新型、高效、环保的高温法无害化处理技术和装备，</w:t>
                  </w:r>
                  <w:r>
                    <w:rPr>
                      <w:rFonts w:hint="eastAsia" w:ascii="Times New Roman" w:hAnsi="Times New Roman" w:cs="Times New Roman"/>
                      <w:sz w:val="21"/>
                      <w:szCs w:val="21"/>
                    </w:rPr>
                    <w:t>满足“方案”要求。</w:t>
                  </w:r>
                </w:p>
              </w:tc>
              <w:tc>
                <w:tcPr>
                  <w:tcW w:w="1091" w:type="dxa"/>
                  <w:vAlign w:val="center"/>
                </w:tcPr>
                <w:p w14:paraId="0FDAB73E">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bl>
          <w:p w14:paraId="5E553CC7">
            <w:pPr>
              <w:autoSpaceDE w:val="0"/>
              <w:autoSpaceDN w:val="0"/>
              <w:adjustRightInd w:val="0"/>
              <w:snapToGrid w:val="0"/>
              <w:ind w:left="105" w:leftChars="50" w:right="105" w:rightChars="50" w:firstLine="420" w:firstLineChars="200"/>
              <w:jc w:val="left"/>
              <w:rPr>
                <w:rFonts w:ascii="Times New Roman" w:hAnsi="Times New Roman" w:eastAsia="宋体" w:cs="Times New Roman"/>
                <w:szCs w:val="21"/>
                <w:lang w:bidi="ar"/>
              </w:rPr>
            </w:pPr>
          </w:p>
          <w:p w14:paraId="397E673C">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 xml:space="preserve">.6 </w:t>
            </w:r>
            <w:r>
              <w:rPr>
                <w:rFonts w:hint="eastAsia" w:ascii="Times New Roman" w:hAnsi="Times New Roman" w:eastAsia="宋体" w:cs="Times New Roman"/>
                <w:b/>
                <w:bCs/>
                <w:kern w:val="0"/>
                <w:sz w:val="24"/>
              </w:rPr>
              <w:t>选址合理性分析</w:t>
            </w:r>
          </w:p>
          <w:p w14:paraId="0E344716">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本项目位于</w:t>
            </w:r>
            <w:r>
              <w:rPr>
                <w:rFonts w:hint="eastAsia" w:ascii="Times New Roman" w:hAnsi="Times New Roman" w:eastAsia="宋体" w:cs="Times New Roman"/>
                <w:sz w:val="24"/>
                <w:lang w:bidi="ar"/>
              </w:rPr>
              <w:t>德宏州芒市三台山乡邦外村委会帕当坝村小组</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项目</w:t>
            </w:r>
            <w:r>
              <w:rPr>
                <w:rFonts w:ascii="Times New Roman" w:hAnsi="Times New Roman" w:eastAsia="宋体" w:cs="Times New Roman"/>
                <w:sz w:val="24"/>
                <w:lang w:bidi="ar"/>
              </w:rPr>
              <w:t>总占地8.92亩。</w:t>
            </w:r>
          </w:p>
          <w:p w14:paraId="519D124F">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项目占地为</w:t>
            </w:r>
            <w:r>
              <w:rPr>
                <w:rFonts w:hint="eastAsia" w:ascii="Times New Roman" w:hAnsi="Times New Roman" w:eastAsia="宋体" w:cs="Times New Roman"/>
                <w:sz w:val="24"/>
                <w:lang w:bidi="ar"/>
              </w:rPr>
              <w:t>一般耕地，现状种植菠萝和甘蔗</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建设单位已与农户签订租用合同（见附件）</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根据芒市自然资源局出具的选址意见（2</w:t>
            </w:r>
            <w:r>
              <w:rPr>
                <w:rFonts w:ascii="Times New Roman" w:hAnsi="Times New Roman" w:eastAsia="宋体" w:cs="Times New Roman"/>
                <w:sz w:val="24"/>
                <w:lang w:bidi="ar"/>
              </w:rPr>
              <w:t>021</w:t>
            </w:r>
            <w:r>
              <w:rPr>
                <w:rFonts w:hint="eastAsia" w:ascii="Times New Roman" w:hAnsi="Times New Roman" w:eastAsia="宋体" w:cs="Times New Roman"/>
                <w:sz w:val="24"/>
                <w:lang w:bidi="ar"/>
              </w:rPr>
              <w:t>年1</w:t>
            </w:r>
            <w:r>
              <w:rPr>
                <w:rFonts w:ascii="Times New Roman" w:hAnsi="Times New Roman" w:eastAsia="宋体" w:cs="Times New Roman"/>
                <w:sz w:val="24"/>
                <w:lang w:bidi="ar"/>
              </w:rPr>
              <w:t>1</w:t>
            </w:r>
            <w:r>
              <w:rPr>
                <w:rFonts w:hint="eastAsia" w:ascii="Times New Roman" w:hAnsi="Times New Roman" w:eastAsia="宋体" w:cs="Times New Roman"/>
                <w:sz w:val="24"/>
                <w:lang w:bidi="ar"/>
              </w:rPr>
              <w:t>月），占地范围原规划用地性质为“自然保留地，不涉及永久基本农田”。根据《德宏州人民政府关于芒市2</w:t>
            </w:r>
            <w:r>
              <w:rPr>
                <w:rFonts w:ascii="Times New Roman" w:hAnsi="Times New Roman" w:eastAsia="宋体" w:cs="Times New Roman"/>
                <w:sz w:val="24"/>
                <w:lang w:bidi="ar"/>
              </w:rPr>
              <w:t>022</w:t>
            </w:r>
            <w:r>
              <w:rPr>
                <w:rFonts w:hint="eastAsia" w:ascii="Times New Roman" w:hAnsi="Times New Roman" w:eastAsia="宋体" w:cs="Times New Roman"/>
                <w:sz w:val="24"/>
                <w:lang w:bidi="ar"/>
              </w:rPr>
              <w:t>年度第四批次村庄建设农用地转用的批复》（德政复[</w:t>
            </w:r>
            <w:r>
              <w:rPr>
                <w:rFonts w:ascii="Times New Roman" w:hAnsi="Times New Roman" w:eastAsia="宋体" w:cs="Times New Roman"/>
                <w:sz w:val="24"/>
                <w:lang w:bidi="ar"/>
              </w:rPr>
              <w:t>2022]26</w:t>
            </w:r>
            <w:r>
              <w:rPr>
                <w:rFonts w:hint="eastAsia" w:ascii="Times New Roman" w:hAnsi="Times New Roman" w:eastAsia="宋体" w:cs="Times New Roman"/>
                <w:sz w:val="24"/>
                <w:lang w:bidi="ar"/>
              </w:rPr>
              <w:t>号，6月2</w:t>
            </w:r>
            <w:r>
              <w:rPr>
                <w:rFonts w:ascii="Times New Roman" w:hAnsi="Times New Roman" w:eastAsia="宋体" w:cs="Times New Roman"/>
                <w:sz w:val="24"/>
                <w:lang w:bidi="ar"/>
              </w:rPr>
              <w:t>7</w:t>
            </w:r>
            <w:r>
              <w:rPr>
                <w:rFonts w:hint="eastAsia" w:ascii="Times New Roman" w:hAnsi="Times New Roman" w:eastAsia="宋体" w:cs="Times New Roman"/>
                <w:sz w:val="24"/>
                <w:lang w:bidi="ar"/>
              </w:rPr>
              <w:t>日，见附件），项目占地范围土地性质转批为“集体建设用地”。因此，本项目占用土地属于“集体建设用地”。</w:t>
            </w:r>
            <w:r>
              <w:rPr>
                <w:rFonts w:ascii="Times New Roman" w:hAnsi="Times New Roman" w:eastAsia="宋体" w:cs="Times New Roman"/>
                <w:sz w:val="24"/>
                <w:lang w:bidi="ar"/>
              </w:rPr>
              <w:t>目前</w:t>
            </w:r>
            <w:r>
              <w:rPr>
                <w:rFonts w:hint="eastAsia" w:ascii="Times New Roman" w:hAnsi="Times New Roman" w:eastAsia="宋体" w:cs="Times New Roman"/>
                <w:sz w:val="24"/>
                <w:lang w:bidi="ar"/>
              </w:rPr>
              <w:t>，厂址</w:t>
            </w:r>
            <w:r>
              <w:rPr>
                <w:rFonts w:ascii="Times New Roman" w:hAnsi="Times New Roman" w:eastAsia="宋体" w:cs="Times New Roman"/>
                <w:sz w:val="24"/>
                <w:lang w:bidi="ar"/>
              </w:rPr>
              <w:t>周边环境质量良好，水、电等基础设施建设</w:t>
            </w:r>
            <w:r>
              <w:rPr>
                <w:rFonts w:hint="eastAsia" w:ascii="Times New Roman" w:hAnsi="Times New Roman" w:eastAsia="宋体" w:cs="Times New Roman"/>
                <w:sz w:val="24"/>
                <w:lang w:bidi="ar"/>
              </w:rPr>
              <w:t>较为</w:t>
            </w:r>
            <w:r>
              <w:rPr>
                <w:rFonts w:ascii="Times New Roman" w:hAnsi="Times New Roman" w:eastAsia="宋体" w:cs="Times New Roman"/>
                <w:sz w:val="24"/>
                <w:lang w:bidi="ar"/>
              </w:rPr>
              <w:t>完善，外环境较简单，无重大环境制约因素存在。建设用地周围无需要特殊保护的文物</w:t>
            </w:r>
            <w:r>
              <w:rPr>
                <w:rFonts w:hint="eastAsia" w:ascii="Times New Roman" w:hAnsi="Times New Roman" w:eastAsia="宋体" w:cs="Times New Roman"/>
                <w:sz w:val="24"/>
                <w:lang w:bidi="ar"/>
              </w:rPr>
              <w:t>古迹</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风景</w:t>
            </w:r>
            <w:r>
              <w:rPr>
                <w:rFonts w:ascii="Times New Roman" w:hAnsi="Times New Roman" w:eastAsia="宋体" w:cs="Times New Roman"/>
                <w:sz w:val="24"/>
                <w:lang w:bidi="ar"/>
              </w:rPr>
              <w:t>名胜和文化、自然遗产</w:t>
            </w:r>
            <w:r>
              <w:rPr>
                <w:rFonts w:hint="eastAsia" w:ascii="Times New Roman" w:hAnsi="Times New Roman" w:eastAsia="宋体" w:cs="Times New Roman"/>
                <w:sz w:val="24"/>
                <w:lang w:bidi="ar"/>
              </w:rPr>
              <w:t>地等</w:t>
            </w:r>
            <w:r>
              <w:rPr>
                <w:rFonts w:ascii="Times New Roman" w:hAnsi="Times New Roman" w:eastAsia="宋体" w:cs="Times New Roman"/>
                <w:sz w:val="24"/>
                <w:lang w:bidi="ar"/>
              </w:rPr>
              <w:t>，不</w:t>
            </w:r>
            <w:r>
              <w:rPr>
                <w:rFonts w:hint="eastAsia" w:ascii="Times New Roman" w:hAnsi="Times New Roman" w:eastAsia="宋体" w:cs="Times New Roman"/>
                <w:sz w:val="24"/>
                <w:lang w:bidi="ar"/>
              </w:rPr>
              <w:t>涉及</w:t>
            </w:r>
            <w:r>
              <w:rPr>
                <w:rFonts w:ascii="Times New Roman" w:hAnsi="Times New Roman" w:eastAsia="宋体" w:cs="Times New Roman"/>
                <w:sz w:val="24"/>
                <w:lang w:bidi="ar"/>
              </w:rPr>
              <w:t>自然保护区和</w:t>
            </w:r>
            <w:r>
              <w:rPr>
                <w:rFonts w:hint="eastAsia" w:ascii="Times New Roman" w:hAnsi="Times New Roman" w:eastAsia="宋体" w:cs="Times New Roman"/>
                <w:sz w:val="24"/>
                <w:lang w:bidi="ar"/>
              </w:rPr>
              <w:t>饮用水源地。</w:t>
            </w:r>
            <w:r>
              <w:rPr>
                <w:rFonts w:ascii="Times New Roman" w:hAnsi="Times New Roman" w:eastAsia="宋体" w:cs="Times New Roman"/>
                <w:sz w:val="24"/>
                <w:lang w:bidi="ar"/>
              </w:rPr>
              <w:t>本项目选址满足《动物防疫条件审查办法》中无害化处理场所动物防疫条件要求的相关规定。</w:t>
            </w:r>
          </w:p>
          <w:p w14:paraId="3A3FA1CC">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w:t>
            </w:r>
            <w:r>
              <w:rPr>
                <w:rFonts w:hint="eastAsia" w:ascii="Times New Roman" w:hAnsi="Times New Roman" w:eastAsia="宋体" w:cs="Times New Roman"/>
                <w:sz w:val="24"/>
                <w:lang w:bidi="ar"/>
              </w:rPr>
              <w:t>四周</w:t>
            </w:r>
            <w:r>
              <w:rPr>
                <w:rFonts w:ascii="Times New Roman" w:hAnsi="Times New Roman" w:eastAsia="宋体" w:cs="Times New Roman"/>
                <w:sz w:val="24"/>
                <w:lang w:bidi="ar"/>
              </w:rPr>
              <w:t>均为农用地</w:t>
            </w:r>
            <w:r>
              <w:rPr>
                <w:rFonts w:hint="eastAsia" w:ascii="Times New Roman" w:hAnsi="Times New Roman" w:eastAsia="宋体" w:cs="Times New Roman"/>
                <w:sz w:val="24"/>
                <w:lang w:bidi="ar"/>
              </w:rPr>
              <w:t>和林地</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周边居民点均在2</w:t>
            </w:r>
            <w:r>
              <w:rPr>
                <w:rFonts w:ascii="Times New Roman" w:hAnsi="Times New Roman" w:eastAsia="宋体" w:cs="Times New Roman"/>
                <w:sz w:val="24"/>
                <w:lang w:bidi="ar"/>
              </w:rPr>
              <w:t>20</w:t>
            </w:r>
            <w:r>
              <w:rPr>
                <w:rFonts w:hint="eastAsia" w:ascii="Times New Roman" w:hAnsi="Times New Roman" w:eastAsia="宋体" w:cs="Times New Roman"/>
                <w:sz w:val="24"/>
                <w:lang w:bidi="ar"/>
              </w:rPr>
              <w:t>m外，距离芒市城区在1</w:t>
            </w:r>
            <w:r>
              <w:rPr>
                <w:rFonts w:ascii="Times New Roman" w:hAnsi="Times New Roman" w:eastAsia="宋体" w:cs="Times New Roman"/>
                <w:sz w:val="24"/>
                <w:lang w:bidi="ar"/>
              </w:rPr>
              <w:t>4.6</w:t>
            </w:r>
            <w:r>
              <w:rPr>
                <w:rFonts w:hint="eastAsia" w:ascii="Times New Roman" w:hAnsi="Times New Roman" w:eastAsia="宋体" w:cs="Times New Roman"/>
                <w:sz w:val="24"/>
                <w:lang w:bidi="ar"/>
              </w:rPr>
              <w:t>km以上</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不在集镇规划范围内，周边</w:t>
            </w:r>
            <w:r>
              <w:rPr>
                <w:rFonts w:ascii="Times New Roman" w:hAnsi="Times New Roman" w:eastAsia="宋体" w:cs="Times New Roman"/>
                <w:sz w:val="24"/>
                <w:lang w:bidi="ar"/>
              </w:rPr>
              <w:t>500m内无</w:t>
            </w:r>
            <w:r>
              <w:rPr>
                <w:rFonts w:hint="eastAsia" w:ascii="Times New Roman" w:hAnsi="Times New Roman" w:eastAsia="宋体" w:cs="Times New Roman"/>
                <w:sz w:val="24"/>
                <w:lang w:bidi="ar"/>
              </w:rPr>
              <w:t>大型</w:t>
            </w:r>
            <w:r>
              <w:rPr>
                <w:rFonts w:ascii="Times New Roman" w:hAnsi="Times New Roman" w:eastAsia="宋体" w:cs="Times New Roman"/>
                <w:sz w:val="24"/>
                <w:lang w:bidi="ar"/>
              </w:rPr>
              <w:t>地表</w:t>
            </w:r>
            <w:r>
              <w:rPr>
                <w:rFonts w:hint="eastAsia" w:ascii="Times New Roman" w:hAnsi="Times New Roman" w:eastAsia="宋体" w:cs="Times New Roman"/>
                <w:sz w:val="24"/>
                <w:lang w:bidi="ar"/>
              </w:rPr>
              <w:t>水体。</w:t>
            </w:r>
            <w:r>
              <w:rPr>
                <w:rFonts w:ascii="Times New Roman" w:hAnsi="Times New Roman" w:eastAsia="宋体" w:cs="Times New Roman"/>
                <w:sz w:val="24"/>
                <w:lang w:bidi="ar"/>
              </w:rPr>
              <w:t>项目建成后废水经处理达标后全部综合利用</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不外排</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废气和噪声采取措施后</w:t>
            </w:r>
            <w:r>
              <w:rPr>
                <w:rFonts w:hint="eastAsia" w:ascii="Times New Roman" w:hAnsi="Times New Roman" w:eastAsia="宋体" w:cs="Times New Roman"/>
                <w:sz w:val="24"/>
                <w:lang w:bidi="ar"/>
              </w:rPr>
              <w:t>均</w:t>
            </w:r>
            <w:r>
              <w:rPr>
                <w:rFonts w:ascii="Times New Roman" w:hAnsi="Times New Roman" w:eastAsia="宋体" w:cs="Times New Roman"/>
                <w:sz w:val="24"/>
                <w:lang w:bidi="ar"/>
              </w:rPr>
              <w:t>能做到达标排放，经预测对环境</w:t>
            </w:r>
            <w:r>
              <w:rPr>
                <w:rFonts w:hint="eastAsia" w:ascii="Times New Roman" w:hAnsi="Times New Roman" w:eastAsia="宋体" w:cs="Times New Roman"/>
                <w:sz w:val="24"/>
                <w:lang w:bidi="ar"/>
              </w:rPr>
              <w:t>和居民</w:t>
            </w:r>
            <w:r>
              <w:rPr>
                <w:rFonts w:ascii="Times New Roman" w:hAnsi="Times New Roman" w:eastAsia="宋体" w:cs="Times New Roman"/>
                <w:sz w:val="24"/>
                <w:lang w:bidi="ar"/>
              </w:rPr>
              <w:t>影响小</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固废合理处置不产生二次污染</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采取风险防范措施后，</w:t>
            </w:r>
            <w:r>
              <w:rPr>
                <w:rFonts w:hint="eastAsia" w:ascii="Times New Roman" w:hAnsi="Times New Roman" w:eastAsia="宋体" w:cs="Times New Roman"/>
                <w:sz w:val="24"/>
                <w:lang w:bidi="ar"/>
              </w:rPr>
              <w:t>环境</w:t>
            </w:r>
            <w:r>
              <w:rPr>
                <w:rFonts w:ascii="Times New Roman" w:hAnsi="Times New Roman" w:eastAsia="宋体" w:cs="Times New Roman"/>
                <w:sz w:val="24"/>
                <w:lang w:bidi="ar"/>
              </w:rPr>
              <w:t>风险可接受。</w:t>
            </w:r>
          </w:p>
          <w:p w14:paraId="3333EC20">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建设单位已经向芒市农业农村局、芒市林业和草原局、德宏州生态环境局芒市分局等单位征求项目选址意见，以上单位</w:t>
            </w:r>
            <w:r>
              <w:rPr>
                <w:rFonts w:ascii="Times New Roman" w:hAnsi="Times New Roman" w:eastAsia="宋体" w:cs="Times New Roman"/>
                <w:sz w:val="24"/>
                <w:lang w:bidi="ar"/>
              </w:rPr>
              <w:t>均同意本项目的</w:t>
            </w:r>
            <w:r>
              <w:rPr>
                <w:rFonts w:hint="eastAsia" w:ascii="Times New Roman" w:hAnsi="Times New Roman" w:eastAsia="宋体" w:cs="Times New Roman"/>
                <w:sz w:val="24"/>
                <w:lang w:bidi="ar"/>
              </w:rPr>
              <w:t>选址</w:t>
            </w:r>
            <w:r>
              <w:rPr>
                <w:rFonts w:ascii="Times New Roman" w:hAnsi="Times New Roman" w:eastAsia="宋体" w:cs="Times New Roman"/>
                <w:sz w:val="24"/>
                <w:lang w:bidi="ar"/>
              </w:rPr>
              <w:t xml:space="preserve">（详见 </w:t>
            </w:r>
            <w:r>
              <w:rPr>
                <w:rFonts w:hint="eastAsia" w:ascii="Times New Roman" w:hAnsi="Times New Roman" w:eastAsia="宋体" w:cs="Times New Roman"/>
                <w:sz w:val="24"/>
                <w:lang w:bidi="ar"/>
              </w:rPr>
              <w:t>附件</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经向芒市自然资源局查询，项目选址处不涉及芒市生态保护红线，不影响芒市相关规划。</w:t>
            </w:r>
          </w:p>
          <w:p w14:paraId="2BB3D8B6">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综上所述，项目建设地无重大的环境制约因素，选址合理。</w:t>
            </w:r>
          </w:p>
          <w:p w14:paraId="604E8BB7">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1</w:t>
            </w:r>
            <w:r>
              <w:rPr>
                <w:rFonts w:ascii="Times New Roman" w:hAnsi="Times New Roman" w:eastAsia="宋体" w:cs="Times New Roman"/>
                <w:b/>
                <w:bCs/>
                <w:kern w:val="0"/>
                <w:sz w:val="24"/>
              </w:rPr>
              <w:t>.7 平面布置合理性分析</w:t>
            </w:r>
          </w:p>
          <w:p w14:paraId="6667EC3F">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项目总平面布置分为生产区、办公生活区。项目生产区布置于厂区</w:t>
            </w:r>
            <w:r>
              <w:rPr>
                <w:rFonts w:hint="eastAsia" w:ascii="Times New Roman" w:hAnsi="Times New Roman" w:eastAsia="宋体" w:cs="Times New Roman"/>
                <w:sz w:val="24"/>
                <w:lang w:bidi="ar"/>
              </w:rPr>
              <w:t>东</w:t>
            </w:r>
            <w:r>
              <w:rPr>
                <w:rFonts w:ascii="Times New Roman" w:hAnsi="Times New Roman" w:eastAsia="宋体" w:cs="Times New Roman"/>
                <w:sz w:val="24"/>
                <w:lang w:bidi="ar"/>
              </w:rPr>
              <w:t>部，</w:t>
            </w:r>
            <w:r>
              <w:rPr>
                <w:rFonts w:hint="eastAsia" w:ascii="Times New Roman" w:hAnsi="Times New Roman" w:eastAsia="宋体" w:cs="Times New Roman"/>
                <w:sz w:val="24"/>
                <w:lang w:bidi="ar"/>
              </w:rPr>
              <w:t>办公</w:t>
            </w:r>
            <w:r>
              <w:rPr>
                <w:rFonts w:ascii="Times New Roman" w:hAnsi="Times New Roman" w:eastAsia="宋体" w:cs="Times New Roman"/>
                <w:sz w:val="24"/>
                <w:lang w:bidi="ar"/>
              </w:rPr>
              <w:t>生活区布置于厂区西部，办公</w:t>
            </w:r>
            <w:r>
              <w:rPr>
                <w:rFonts w:hint="eastAsia" w:ascii="Times New Roman" w:hAnsi="Times New Roman" w:eastAsia="宋体" w:cs="Times New Roman"/>
                <w:sz w:val="24"/>
                <w:lang w:bidi="ar"/>
              </w:rPr>
              <w:t>生活</w:t>
            </w:r>
            <w:r>
              <w:rPr>
                <w:rFonts w:ascii="Times New Roman" w:hAnsi="Times New Roman" w:eastAsia="宋体" w:cs="Times New Roman"/>
                <w:sz w:val="24"/>
                <w:lang w:bidi="ar"/>
              </w:rPr>
              <w:t>区</w:t>
            </w:r>
            <w:r>
              <w:rPr>
                <w:rFonts w:hint="eastAsia" w:ascii="Times New Roman" w:hAnsi="Times New Roman" w:eastAsia="宋体" w:cs="Times New Roman"/>
                <w:sz w:val="24"/>
                <w:lang w:bidi="ar"/>
              </w:rPr>
              <w:t>与生产区设挡墙隔离</w:t>
            </w:r>
            <w:r>
              <w:rPr>
                <w:rFonts w:ascii="Times New Roman" w:hAnsi="Times New Roman" w:eastAsia="宋体" w:cs="Times New Roman"/>
                <w:sz w:val="24"/>
                <w:lang w:bidi="ar"/>
              </w:rPr>
              <w:t>。生产区</w:t>
            </w:r>
            <w:r>
              <w:rPr>
                <w:rFonts w:hint="eastAsia" w:ascii="Times New Roman" w:hAnsi="Times New Roman" w:eastAsia="宋体" w:cs="Times New Roman"/>
                <w:sz w:val="24"/>
                <w:lang w:bidi="ar"/>
              </w:rPr>
              <w:t>中部布置无害化处理车间，东部布置喷淋塔、活性炭吸附装置、污水处理站和绿化带，南部布置储物间，北部布置锅炉、冷凝塔、废气处理设施、配电室等。</w:t>
            </w:r>
          </w:p>
          <w:p w14:paraId="2CE4B9CA">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 xml:space="preserve"> </w:t>
            </w:r>
            <w:r>
              <w:rPr>
                <w:rFonts w:hint="eastAsia" w:ascii="Times New Roman" w:hAnsi="Times New Roman" w:eastAsia="宋体" w:cs="Times New Roman"/>
                <w:sz w:val="24"/>
                <w:lang w:bidi="ar"/>
              </w:rPr>
              <w:t>办公生活区内布置办公楼和职工宿舍、食堂等。办公楼南侧布置车辆消毒通道和洗消中心。</w:t>
            </w:r>
          </w:p>
          <w:p w14:paraId="571E06C0">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项目平面布局将生产区、办公生活区分开布置，满足生产人流、物流、生活分离、互不交叉干扰的原则，结构明朗，流程顺畅，布局紧凑，符合生产工艺流程等需求。</w:t>
            </w:r>
          </w:p>
          <w:p w14:paraId="443E514E">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综上分析，项目功能分区明确，做到统一协调，建、构筑物的布置紧凑合理，满足生产系统的储存、操作等主要环节的要求，项目平面布置合理。</w:t>
            </w:r>
          </w:p>
          <w:p w14:paraId="164F9C4E">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1.8 与《云南省主体功能区规划》相符性分析</w:t>
            </w:r>
          </w:p>
          <w:p w14:paraId="5B93CB9D">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根据《云南省主体功能区规划》，云南省禁止开发区包括自然保护区、风景名胜区、世界遗产、森林公园、地质公园、饮用水源保护区等，共359个禁止开发区域</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本项目所在位置不属于《云南省主体功能区规划》中规定的禁止开发区。</w:t>
            </w:r>
          </w:p>
          <w:p w14:paraId="670FF99F">
            <w:pPr>
              <w:autoSpaceDE w:val="0"/>
              <w:autoSpaceDN w:val="0"/>
              <w:adjustRightInd w:val="0"/>
              <w:spacing w:line="360" w:lineRule="auto"/>
              <w:ind w:left="105" w:leftChars="50" w:right="105" w:rightChars="50" w:firstLine="480" w:firstLineChars="200"/>
              <w:jc w:val="left"/>
            </w:pPr>
            <w:r>
              <w:rPr>
                <w:rFonts w:ascii="Times New Roman" w:hAnsi="Times New Roman" w:eastAsia="宋体" w:cs="Times New Roman"/>
                <w:sz w:val="24"/>
                <w:lang w:bidi="ar"/>
              </w:rPr>
              <w:t>根据《云南省主体功能区规划》，云南省限制开发区包括农产品主产区及重点生态功能区，其中农产品主产区共有49个县市， 重点生态功能区包括 38个县市、25个乡镇，对照《云南省主体功能区规划》云南省限制开发区域名录，本项目位于</w:t>
            </w:r>
            <w:r>
              <w:rPr>
                <w:rFonts w:hint="eastAsia" w:ascii="Times New Roman" w:hAnsi="Times New Roman" w:eastAsia="宋体" w:cs="Times New Roman"/>
                <w:sz w:val="24"/>
                <w:lang w:bidi="ar"/>
              </w:rPr>
              <w:t>芒市三台山乡</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芒市</w:t>
            </w:r>
            <w:r>
              <w:rPr>
                <w:rFonts w:ascii="Times New Roman" w:hAnsi="Times New Roman" w:eastAsia="宋体" w:cs="Times New Roman"/>
                <w:sz w:val="24"/>
                <w:lang w:bidi="ar"/>
              </w:rPr>
              <w:t>属于国家农产品主产区，属于限制开发区中的农产品主产区。限制开发区域中的农产品主产区是以提供农产品、保障农产品供给安全为主体功能的区域。</w:t>
            </w:r>
            <w:r>
              <w:rPr>
                <w:rFonts w:hint="eastAsia" w:ascii="Times New Roman" w:hAnsi="Times New Roman" w:eastAsia="宋体" w:cs="Times New Roman"/>
                <w:sz w:val="24"/>
                <w:lang w:bidi="ar"/>
              </w:rPr>
              <w:t>本</w:t>
            </w:r>
            <w:r>
              <w:rPr>
                <w:rFonts w:ascii="Times New Roman" w:hAnsi="Times New Roman" w:eastAsia="宋体" w:cs="Times New Roman"/>
                <w:sz w:val="24"/>
                <w:lang w:bidi="ar"/>
              </w:rPr>
              <w:t>项目属于生态保护和环境治理业，不属于大规模、高强度的工业化城镇化开发</w:t>
            </w:r>
            <w:r>
              <w:rPr>
                <w:rFonts w:hint="eastAsia" w:ascii="Times New Roman" w:hAnsi="Times New Roman" w:eastAsia="宋体" w:cs="Times New Roman"/>
                <w:sz w:val="24"/>
                <w:lang w:bidi="ar"/>
              </w:rPr>
              <w:t>。故</w:t>
            </w:r>
            <w:r>
              <w:rPr>
                <w:rFonts w:ascii="Times New Roman" w:hAnsi="Times New Roman" w:eastAsia="宋体" w:cs="Times New Roman"/>
                <w:sz w:val="24"/>
                <w:lang w:bidi="ar"/>
              </w:rPr>
              <w:t>，本项目与《云南省主体功能区规划》</w:t>
            </w:r>
            <w:r>
              <w:rPr>
                <w:rFonts w:hint="eastAsia" w:ascii="Times New Roman" w:hAnsi="Times New Roman" w:eastAsia="宋体" w:cs="Times New Roman"/>
                <w:sz w:val="24"/>
                <w:lang w:bidi="ar"/>
              </w:rPr>
              <w:t>不冲突。</w:t>
            </w:r>
          </w:p>
          <w:p w14:paraId="15E68F1C">
            <w:pPr>
              <w:autoSpaceDE w:val="0"/>
              <w:autoSpaceDN w:val="0"/>
              <w:adjustRightInd w:val="0"/>
              <w:spacing w:line="360" w:lineRule="auto"/>
              <w:ind w:right="105" w:rightChars="50" w:firstLine="241" w:firstLineChars="100"/>
              <w:jc w:val="left"/>
            </w:pPr>
            <w:r>
              <w:rPr>
                <w:rFonts w:ascii="Times New Roman" w:hAnsi="Times New Roman" w:eastAsia="宋体" w:cs="Times New Roman"/>
                <w:b/>
                <w:bCs/>
                <w:kern w:val="0"/>
                <w:sz w:val="24"/>
              </w:rPr>
              <w:t>1.9 与云南省生态功能区划相符性分析</w:t>
            </w:r>
          </w:p>
          <w:p w14:paraId="61C24A38">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查阅《云南省生态功能区划》，本项目所在的芒市属于Ⅰ</w:t>
            </w:r>
            <w:r>
              <w:rPr>
                <w:rFonts w:hint="eastAsia" w:ascii="Times New Roman" w:hAnsi="Times New Roman" w:eastAsia="宋体" w:cs="Times New Roman"/>
                <w:sz w:val="24"/>
                <w:vertAlign w:val="subscript"/>
                <w:lang w:bidi="ar"/>
              </w:rPr>
              <w:t>3-1</w:t>
            </w:r>
            <w:r>
              <w:rPr>
                <w:rFonts w:hint="eastAsia" w:ascii="Times New Roman" w:hAnsi="Times New Roman" w:eastAsia="宋体" w:cs="Times New Roman"/>
                <w:sz w:val="24"/>
                <w:lang w:bidi="ar"/>
              </w:rPr>
              <w:t>大盈江、南畹河下游中山丘陵农业生态功能区。</w:t>
            </w:r>
          </w:p>
          <w:p w14:paraId="3E4801A9">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主要生态特征：为中山丘陵地貌为主，年降水量1400-1700mm，地带性植被类型为季风常绿阔叶林；地带性土壤类型为赤红壤、红壤。</w:t>
            </w:r>
          </w:p>
          <w:p w14:paraId="26C80D55">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主要生态环境问题：旅游业和不合理的热区开发带来的生态破坏。</w:t>
            </w:r>
          </w:p>
          <w:p w14:paraId="3E80C53D">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生态环境敏感性：生境高度敏感和极为敏感、土壤侵蚀极为敏感。</w:t>
            </w:r>
          </w:p>
          <w:p w14:paraId="24FB3311">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主要生态系统服务功能：发展生态农业和以蔗糖为主热带作物、以澳洲坚果和柠檬为主的热带经济林。</w:t>
            </w:r>
          </w:p>
          <w:p w14:paraId="3892A109">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保护措施与发展方向：保护农业生态环境，防止水土流失和旅游和边境贸易带来的环境污染，推行清洁生产，加强国际大通道的建设。</w:t>
            </w:r>
          </w:p>
          <w:p w14:paraId="5D566468">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本项目占地为</w:t>
            </w:r>
            <w:r>
              <w:rPr>
                <w:rFonts w:hint="eastAsia" w:ascii="Times New Roman" w:hAnsi="Times New Roman" w:eastAsia="宋体" w:cs="Times New Roman"/>
                <w:sz w:val="24"/>
                <w:lang w:bidi="ar"/>
              </w:rPr>
              <w:t>一般耕地</w:t>
            </w:r>
            <w:r>
              <w:rPr>
                <w:rFonts w:ascii="Times New Roman" w:hAnsi="Times New Roman" w:eastAsia="宋体" w:cs="Times New Roman"/>
                <w:sz w:val="24"/>
                <w:lang w:bidi="ar"/>
              </w:rPr>
              <w:t>，不涉及基本农田及林地，同时项目建设后将</w:t>
            </w:r>
            <w:r>
              <w:rPr>
                <w:rFonts w:hint="eastAsia" w:ascii="Times New Roman" w:hAnsi="Times New Roman" w:eastAsia="宋体" w:cs="Times New Roman"/>
                <w:sz w:val="24"/>
                <w:lang w:bidi="ar"/>
              </w:rPr>
              <w:t>将采取严格的污染治理措施和绿化措施</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保护生态环境。</w:t>
            </w:r>
            <w:r>
              <w:rPr>
                <w:rFonts w:ascii="Times New Roman" w:hAnsi="Times New Roman" w:eastAsia="宋体" w:cs="Times New Roman"/>
                <w:sz w:val="24"/>
                <w:lang w:bidi="ar"/>
              </w:rPr>
              <w:t>由此可知，本项目</w:t>
            </w:r>
            <w:r>
              <w:rPr>
                <w:rFonts w:hint="eastAsia" w:ascii="Times New Roman" w:hAnsi="Times New Roman" w:eastAsia="宋体" w:cs="Times New Roman"/>
                <w:sz w:val="24"/>
                <w:lang w:bidi="ar"/>
              </w:rPr>
              <w:t>的</w:t>
            </w:r>
            <w:r>
              <w:rPr>
                <w:rFonts w:ascii="Times New Roman" w:hAnsi="Times New Roman" w:eastAsia="宋体" w:cs="Times New Roman"/>
                <w:sz w:val="24"/>
                <w:lang w:bidi="ar"/>
              </w:rPr>
              <w:t>建设符合云南省生态功能区划。</w:t>
            </w:r>
          </w:p>
          <w:p w14:paraId="52BF9B20">
            <w:pPr>
              <w:autoSpaceDE w:val="0"/>
              <w:autoSpaceDN w:val="0"/>
              <w:adjustRightInd w:val="0"/>
              <w:spacing w:line="360" w:lineRule="auto"/>
              <w:ind w:right="105" w:rightChars="5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1.10 与</w:t>
            </w:r>
            <w:r>
              <w:rPr>
                <w:rFonts w:hint="eastAsia" w:ascii="Times New Roman" w:hAnsi="Times New Roman" w:eastAsia="宋体" w:cs="Times New Roman"/>
                <w:b/>
                <w:bCs/>
                <w:kern w:val="0"/>
                <w:sz w:val="24"/>
              </w:rPr>
              <w:t>《</w:t>
            </w:r>
            <w:r>
              <w:rPr>
                <w:rFonts w:ascii="Times New Roman" w:hAnsi="Times New Roman" w:eastAsia="宋体" w:cs="Times New Roman"/>
                <w:kern w:val="0"/>
                <w:sz w:val="24"/>
              </w:rPr>
              <w:t>云南省病死畜禽无害化处理体系建设规划（2021-2025年）</w:t>
            </w:r>
            <w:r>
              <w:rPr>
                <w:rFonts w:hint="eastAsia" w:ascii="Times New Roman" w:hAnsi="Times New Roman" w:eastAsia="宋体" w:cs="Times New Roman"/>
                <w:b/>
                <w:bCs/>
                <w:kern w:val="0"/>
                <w:sz w:val="24"/>
              </w:rPr>
              <w:t>》</w:t>
            </w:r>
            <w:r>
              <w:rPr>
                <w:rFonts w:ascii="Times New Roman" w:hAnsi="Times New Roman" w:eastAsia="宋体" w:cs="Times New Roman"/>
                <w:b/>
                <w:bCs/>
                <w:kern w:val="0"/>
                <w:sz w:val="24"/>
              </w:rPr>
              <w:t>相符性分析</w:t>
            </w:r>
          </w:p>
          <w:p w14:paraId="683601F4">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2021年7月22日</w:t>
            </w:r>
            <w:r>
              <w:rPr>
                <w:rFonts w:hint="eastAsia" w:ascii="Times New Roman" w:hAnsi="Times New Roman" w:eastAsia="宋体" w:cs="Times New Roman"/>
                <w:sz w:val="24"/>
                <w:lang w:bidi="ar"/>
              </w:rPr>
              <w:t>，</w:t>
            </w:r>
            <w:r>
              <w:rPr>
                <w:rFonts w:ascii="Times New Roman" w:hAnsi="Times New Roman" w:eastAsia="宋体" w:cs="Times New Roman"/>
                <w:sz w:val="24"/>
                <w:lang w:bidi="ar"/>
              </w:rPr>
              <w:t>云南省农业农村厅和云南省财政厅联合印发了《云南省病死畜禽无害化处理体系建设规划（2021-2025年）》</w:t>
            </w:r>
            <w:r>
              <w:rPr>
                <w:rFonts w:hint="eastAsia" w:ascii="Times New Roman" w:hAnsi="Times New Roman" w:eastAsia="宋体" w:cs="Times New Roman"/>
                <w:sz w:val="24"/>
                <w:lang w:bidi="ar"/>
              </w:rPr>
              <w:t>，本项目与该规划符合性分析见下表。</w:t>
            </w:r>
          </w:p>
          <w:p w14:paraId="10E02238">
            <w:pPr>
              <w:autoSpaceDE w:val="0"/>
              <w:autoSpaceDN w:val="0"/>
              <w:adjustRightInd w:val="0"/>
              <w:ind w:right="105" w:rightChars="5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表1-</w:t>
            </w:r>
            <w:r>
              <w:rPr>
                <w:rFonts w:ascii="Times New Roman" w:hAnsi="Times New Roman" w:eastAsia="宋体" w:cs="Times New Roman"/>
                <w:b/>
                <w:bCs/>
                <w:lang w:bidi="ar"/>
              </w:rPr>
              <w:t xml:space="preserve">9    </w:t>
            </w:r>
            <w:r>
              <w:rPr>
                <w:rFonts w:hint="eastAsia" w:ascii="Times New Roman" w:hAnsi="Times New Roman" w:eastAsia="宋体" w:cs="Times New Roman"/>
                <w:b/>
                <w:bCs/>
                <w:lang w:bidi="ar"/>
              </w:rPr>
              <w:t>与《</w:t>
            </w:r>
            <w:r>
              <w:rPr>
                <w:rFonts w:ascii="Times New Roman" w:hAnsi="Times New Roman" w:eastAsia="宋体" w:cs="Times New Roman"/>
                <w:b/>
                <w:bCs/>
                <w:lang w:bidi="ar"/>
              </w:rPr>
              <w:t>云南省病死畜禽无害化处理体系建设规划</w:t>
            </w:r>
            <w:r>
              <w:rPr>
                <w:rFonts w:hint="eastAsia" w:ascii="Times New Roman" w:hAnsi="Times New Roman" w:eastAsia="宋体" w:cs="Times New Roman"/>
                <w:b/>
                <w:bCs/>
                <w:lang w:bidi="ar"/>
              </w:rPr>
              <w:t>》相符性</w:t>
            </w:r>
          </w:p>
          <w:tbl>
            <w:tblPr>
              <w:tblStyle w:val="19"/>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544"/>
              <w:gridCol w:w="2860"/>
              <w:gridCol w:w="1091"/>
            </w:tblGrid>
            <w:tr w14:paraId="1F97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092C61DC">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序号</w:t>
                  </w:r>
                </w:p>
              </w:tc>
              <w:tc>
                <w:tcPr>
                  <w:tcW w:w="3544" w:type="dxa"/>
                  <w:vAlign w:val="center"/>
                </w:tcPr>
                <w:p w14:paraId="484FB151">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规定内容</w:t>
                  </w:r>
                </w:p>
              </w:tc>
              <w:tc>
                <w:tcPr>
                  <w:tcW w:w="2860" w:type="dxa"/>
                  <w:vAlign w:val="center"/>
                </w:tcPr>
                <w:p w14:paraId="576CF732">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建设项目</w:t>
                  </w:r>
                </w:p>
              </w:tc>
              <w:tc>
                <w:tcPr>
                  <w:tcW w:w="1091" w:type="dxa"/>
                  <w:vAlign w:val="center"/>
                </w:tcPr>
                <w:p w14:paraId="1364D9A6">
                  <w:pPr>
                    <w:autoSpaceDE w:val="0"/>
                    <w:autoSpaceDN w:val="0"/>
                    <w:adjustRightInd w:val="0"/>
                    <w:jc w:val="center"/>
                    <w:rPr>
                      <w:rFonts w:ascii="Times New Roman" w:hAnsi="Times New Roman" w:eastAsia="宋体" w:cs="Times New Roman"/>
                      <w:b/>
                      <w:bCs/>
                      <w:lang w:bidi="ar"/>
                    </w:rPr>
                  </w:pPr>
                  <w:r>
                    <w:rPr>
                      <w:rFonts w:hint="eastAsia" w:ascii="Times New Roman" w:hAnsi="Times New Roman" w:eastAsia="宋体" w:cs="Times New Roman"/>
                      <w:b/>
                      <w:bCs/>
                      <w:lang w:bidi="ar"/>
                    </w:rPr>
                    <w:t>符合性</w:t>
                  </w:r>
                </w:p>
              </w:tc>
            </w:tr>
            <w:tr w14:paraId="5982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187422E7">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1</w:t>
                  </w:r>
                </w:p>
              </w:tc>
              <w:tc>
                <w:tcPr>
                  <w:tcW w:w="3544" w:type="dxa"/>
                  <w:vAlign w:val="center"/>
                </w:tcPr>
                <w:p w14:paraId="5FE085E0">
                  <w:pPr>
                    <w:pStyle w:val="2"/>
                    <w:pBdr>
                      <w:bottom w:val="none" w:color="auto" w:sz="0" w:space="0"/>
                    </w:pBdr>
                    <w:ind w:firstLine="211" w:firstLineChars="100"/>
                    <w:jc w:val="left"/>
                    <w:rPr>
                      <w:rFonts w:ascii="Times New Roman" w:hAnsi="Times New Roman" w:cs="Times New Roman"/>
                      <w:sz w:val="21"/>
                      <w:szCs w:val="21"/>
                    </w:rPr>
                  </w:pPr>
                  <w:r>
                    <w:rPr>
                      <w:rFonts w:ascii="Times New Roman" w:hAnsi="Times New Roman" w:cs="Times New Roman"/>
                      <w:b/>
                      <w:bCs/>
                      <w:sz w:val="21"/>
                      <w:szCs w:val="21"/>
                    </w:rPr>
                    <w:t>工作目标：</w:t>
                  </w:r>
                  <w:r>
                    <w:rPr>
                      <w:rFonts w:ascii="Times New Roman" w:hAnsi="Times New Roman" w:cs="Times New Roman"/>
                      <w:sz w:val="21"/>
                      <w:szCs w:val="21"/>
                    </w:rPr>
                    <w:t>力争到2025年，畜牧养殖大县和牛、羊、禽等养殖密集区域基本形成专业无害化处理场、病死畜禽收集暂存站点全覆盖，暂时不具备集中处理条件的区域内养殖场等全面配备无害化处理设施的病死畜禽无害化处理体系。</w:t>
                  </w:r>
                </w:p>
              </w:tc>
              <w:tc>
                <w:tcPr>
                  <w:tcW w:w="2860" w:type="dxa"/>
                  <w:vAlign w:val="center"/>
                </w:tcPr>
                <w:p w14:paraId="742E8F69">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本项目即为德宏州拟建的专业无害化处理厂，属于实现规划“工作目标”的组成部分。</w:t>
                  </w:r>
                </w:p>
              </w:tc>
              <w:tc>
                <w:tcPr>
                  <w:tcW w:w="1091" w:type="dxa"/>
                  <w:vAlign w:val="center"/>
                </w:tcPr>
                <w:p w14:paraId="29323872">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r w14:paraId="3BFC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Align w:val="center"/>
                </w:tcPr>
                <w:p w14:paraId="2DC4759E">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2</w:t>
                  </w:r>
                </w:p>
              </w:tc>
              <w:tc>
                <w:tcPr>
                  <w:tcW w:w="3544" w:type="dxa"/>
                  <w:vAlign w:val="center"/>
                </w:tcPr>
                <w:p w14:paraId="6EB0FA2D">
                  <w:pPr>
                    <w:pStyle w:val="2"/>
                    <w:pBdr>
                      <w:bottom w:val="none" w:color="auto" w:sz="0" w:space="0"/>
                    </w:pBdr>
                    <w:ind w:firstLine="211" w:firstLineChars="100"/>
                    <w:jc w:val="left"/>
                    <w:rPr>
                      <w:rFonts w:ascii="Times New Roman" w:hAnsi="Times New Roman" w:cs="Times New Roman"/>
                      <w:b/>
                      <w:bCs/>
                      <w:sz w:val="21"/>
                      <w:szCs w:val="21"/>
                    </w:rPr>
                  </w:pPr>
                  <w:r>
                    <w:rPr>
                      <w:rFonts w:ascii="Times New Roman" w:hAnsi="Times New Roman" w:cs="Times New Roman"/>
                      <w:b/>
                      <w:bCs/>
                      <w:sz w:val="21"/>
                      <w:szCs w:val="21"/>
                    </w:rPr>
                    <w:t>主要建设任务：</w:t>
                  </w:r>
                </w:p>
                <w:p w14:paraId="36E2710F">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（一）建设病死畜禽专业无害化处理场。2024年底前，寻甸县、石林县、麒麟区…石屏县、丘北县等畜牧养殖大县全面建成区域性专业无害化处理场覆盖的病死动物无害化处理体系。</w:t>
                  </w:r>
                </w:p>
                <w:p w14:paraId="3479FA17">
                  <w:pPr>
                    <w:pStyle w:val="2"/>
                    <w:pBdr>
                      <w:bottom w:val="none" w:color="auto" w:sz="0" w:space="0"/>
                    </w:pBdr>
                    <w:ind w:firstLine="210" w:firstLineChars="100"/>
                    <w:jc w:val="left"/>
                    <w:rPr>
                      <w:rFonts w:ascii="Times New Roman" w:hAnsi="Times New Roman" w:cs="Times New Roman"/>
                      <w:sz w:val="21"/>
                      <w:szCs w:val="21"/>
                    </w:rPr>
                  </w:pPr>
                  <w:r>
                    <w:rPr>
                      <w:rFonts w:ascii="Times New Roman" w:hAnsi="Times New Roman" w:cs="Times New Roman"/>
                      <w:sz w:val="21"/>
                      <w:szCs w:val="21"/>
                    </w:rPr>
                    <w:t>（二）建设病死畜禽收集暂存站点。2025年底前，畜牧养殖大县及全省牛、羊、禽等养殖密集区域全面建成病死畜禽收集暂存站点覆盖辖区重点养殖区域及屠宰场（点）的处理体系。</w:t>
                  </w:r>
                </w:p>
                <w:p w14:paraId="036E4955">
                  <w:pPr>
                    <w:pStyle w:val="2"/>
                    <w:pBdr>
                      <w:bottom w:val="none" w:color="auto" w:sz="0" w:space="0"/>
                    </w:pBdr>
                    <w:ind w:firstLine="210" w:firstLineChars="100"/>
                    <w:jc w:val="left"/>
                  </w:pPr>
                  <w:r>
                    <w:rPr>
                      <w:rFonts w:ascii="Times New Roman" w:hAnsi="Times New Roman" w:cs="Times New Roman"/>
                      <w:sz w:val="21"/>
                      <w:szCs w:val="21"/>
                    </w:rPr>
                    <w:t>（三）建设动物饲养场等无害化处理设施。2024年底前，山区、牧区、边远地区等暂时不具备集中处理条件区域的动物饲养场和隔离场所、动物屠宰加工场所、畜禽交易市场等全面配备与其规模相适应的病死动物、病害动物产品无害化处理设施设备，严格按照相关技术规范进行处理。</w:t>
                  </w:r>
                </w:p>
              </w:tc>
              <w:tc>
                <w:tcPr>
                  <w:tcW w:w="2860" w:type="dxa"/>
                  <w:vAlign w:val="center"/>
                </w:tcPr>
                <w:p w14:paraId="7A79BF4A">
                  <w:pPr>
                    <w:pStyle w:val="2"/>
                    <w:pBdr>
                      <w:bottom w:val="none" w:color="auto" w:sz="0" w:space="0"/>
                    </w:pBdr>
                    <w:ind w:firstLine="210" w:firstLineChars="100"/>
                    <w:jc w:val="left"/>
                    <w:rPr>
                      <w:rFonts w:ascii="Times New Roman" w:hAnsi="Times New Roman" w:cs="Times New Roman"/>
                      <w:sz w:val="21"/>
                      <w:szCs w:val="21"/>
                    </w:rPr>
                  </w:pPr>
                  <w:r>
                    <w:rPr>
                      <w:rFonts w:hint="eastAsia" w:ascii="Times New Roman" w:hAnsi="Times New Roman" w:cs="Times New Roman"/>
                      <w:sz w:val="21"/>
                      <w:szCs w:val="21"/>
                    </w:rPr>
                    <w:t>本项目即为德宏州拟建的专业无害化处理厂，对云南省病死畜禽无害化处理体系建设有着积极意义；本项目配套设有收集站点（不包含在本工程内），本项目为德宏州所属的病死畜禽集中无害化处理厂，服务范围将覆盖芒市及周边县市。</w:t>
                  </w:r>
                </w:p>
              </w:tc>
              <w:tc>
                <w:tcPr>
                  <w:tcW w:w="1091" w:type="dxa"/>
                  <w:vAlign w:val="center"/>
                </w:tcPr>
                <w:p w14:paraId="323BB1AC">
                  <w:pPr>
                    <w:autoSpaceDE w:val="0"/>
                    <w:autoSpaceDN w:val="0"/>
                    <w:adjustRightInd w:val="0"/>
                    <w:jc w:val="center"/>
                    <w:rPr>
                      <w:rFonts w:ascii="Times New Roman" w:hAnsi="Times New Roman" w:eastAsia="宋体" w:cs="Times New Roman"/>
                      <w:lang w:bidi="ar"/>
                    </w:rPr>
                  </w:pPr>
                  <w:r>
                    <w:rPr>
                      <w:rFonts w:hint="eastAsia" w:ascii="Times New Roman" w:hAnsi="Times New Roman" w:eastAsia="宋体" w:cs="Times New Roman"/>
                      <w:lang w:bidi="ar"/>
                    </w:rPr>
                    <w:t>符合</w:t>
                  </w:r>
                </w:p>
              </w:tc>
            </w:tr>
          </w:tbl>
          <w:p w14:paraId="6437E1A1">
            <w:pPr>
              <w:pStyle w:val="2"/>
              <w:pBdr>
                <w:bottom w:val="none" w:color="auto" w:sz="0" w:space="0"/>
              </w:pBdr>
              <w:jc w:val="both"/>
              <w:rPr>
                <w:rFonts w:ascii="Times New Roman" w:hAnsi="Times New Roman" w:eastAsia="宋体" w:cs="Times New Roman"/>
                <w:sz w:val="21"/>
                <w:szCs w:val="21"/>
                <w:lang w:bidi="ar"/>
              </w:rPr>
            </w:pPr>
          </w:p>
          <w:p w14:paraId="6C856E41">
            <w:pPr>
              <w:autoSpaceDE w:val="0"/>
              <w:autoSpaceDN w:val="0"/>
              <w:adjustRightInd w:val="0"/>
              <w:spacing w:line="360" w:lineRule="auto"/>
              <w:ind w:left="105" w:leftChars="50" w:right="105" w:rightChars="50" w:firstLine="480" w:firstLineChars="2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综上，本项目的建设与</w:t>
            </w:r>
            <w:r>
              <w:rPr>
                <w:rFonts w:ascii="Times New Roman" w:hAnsi="Times New Roman" w:eastAsia="宋体" w:cs="Times New Roman"/>
                <w:sz w:val="24"/>
                <w:lang w:bidi="ar"/>
              </w:rPr>
              <w:t>《云南省病死畜禽无害化处理体系建设规划（2021-2025年）》</w:t>
            </w:r>
            <w:r>
              <w:rPr>
                <w:rFonts w:hint="eastAsia" w:ascii="Times New Roman" w:hAnsi="Times New Roman" w:eastAsia="宋体" w:cs="Times New Roman"/>
                <w:sz w:val="24"/>
                <w:lang w:bidi="ar"/>
              </w:rPr>
              <w:t>相符。</w:t>
            </w:r>
          </w:p>
          <w:p w14:paraId="1ADDBDF1">
            <w:pPr>
              <w:pStyle w:val="2"/>
              <w:pBdr>
                <w:bottom w:val="none" w:color="auto" w:sz="0" w:space="0"/>
              </w:pBdr>
              <w:jc w:val="both"/>
            </w:pPr>
          </w:p>
          <w:p w14:paraId="25BB5EED"/>
          <w:p w14:paraId="185192A7">
            <w:pPr>
              <w:pStyle w:val="2"/>
              <w:pBdr>
                <w:bottom w:val="none" w:color="auto" w:sz="0" w:space="0"/>
              </w:pBdr>
              <w:jc w:val="both"/>
            </w:pPr>
          </w:p>
          <w:p w14:paraId="58B8CB08"/>
          <w:p w14:paraId="1F632C2E">
            <w:pPr>
              <w:pStyle w:val="2"/>
              <w:pBdr>
                <w:bottom w:val="none" w:color="auto" w:sz="0" w:space="0"/>
              </w:pBdr>
              <w:jc w:val="both"/>
            </w:pPr>
          </w:p>
          <w:p w14:paraId="3F03D886">
            <w:pPr>
              <w:pStyle w:val="2"/>
              <w:pBdr>
                <w:bottom w:val="none" w:color="auto" w:sz="0" w:space="0"/>
              </w:pBdr>
              <w:jc w:val="both"/>
            </w:pPr>
          </w:p>
          <w:p w14:paraId="57F59EB5">
            <w:pPr>
              <w:pStyle w:val="2"/>
              <w:pBdr>
                <w:bottom w:val="none" w:color="auto" w:sz="0" w:space="0"/>
              </w:pBdr>
              <w:jc w:val="both"/>
            </w:pPr>
          </w:p>
          <w:p w14:paraId="17E46441"/>
        </w:tc>
      </w:tr>
    </w:tbl>
    <w:p w14:paraId="7D899A06">
      <w:pPr>
        <w:spacing w:line="360" w:lineRule="auto"/>
        <w:rPr>
          <w:rFonts w:ascii="Times New Roman" w:hAnsi="Times New Roman" w:eastAsia="黑体" w:cs="Times New Roman"/>
          <w:sz w:val="30"/>
          <w:lang w:bidi="ar"/>
        </w:rPr>
        <w:sectPr>
          <w:footerReference r:id="rId4" w:type="default"/>
          <w:pgSz w:w="11906" w:h="16838"/>
          <w:pgMar w:top="1702" w:right="1531" w:bottom="1702" w:left="1531" w:header="851" w:footer="1077" w:gutter="0"/>
          <w:pgNumType w:start="1"/>
          <w:cols w:space="425" w:num="1"/>
          <w:docGrid w:type="lines" w:linePitch="312" w:charSpace="0"/>
        </w:sectPr>
      </w:pPr>
    </w:p>
    <w:p w14:paraId="4F0F2DBF">
      <w:pPr>
        <w:pStyle w:val="16"/>
        <w:spacing w:before="312" w:beforeLines="100" w:beforeAutospacing="0" w:after="312" w:afterLines="100" w:afterAutospacing="0"/>
        <w:jc w:val="center"/>
        <w:outlineLvl w:val="0"/>
        <w:rPr>
          <w:rFonts w:ascii="黑体" w:eastAsia="黑体" w:cs="黑体"/>
          <w:sz w:val="30"/>
          <w:szCs w:val="30"/>
        </w:rPr>
      </w:pPr>
      <w:bookmarkStart w:id="10" w:name="_Toc16225"/>
      <w:r>
        <w:rPr>
          <w:rFonts w:ascii="黑体" w:eastAsia="黑体" w:cs="黑体"/>
          <w:snapToGrid w:val="0"/>
          <w:sz w:val="30"/>
          <w:szCs w:val="30"/>
        </w:rPr>
        <w:t>二、建设项目工程分析</w:t>
      </w:r>
      <w:bookmarkEnd w:id="10"/>
    </w:p>
    <w:tbl>
      <w:tblPr>
        <w:tblStyle w:val="18"/>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590"/>
      </w:tblGrid>
      <w:tr w14:paraId="6150C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8" w:hRule="atLeast"/>
          <w:jc w:val="center"/>
        </w:trPr>
        <w:tc>
          <w:tcPr>
            <w:tcW w:w="554" w:type="dxa"/>
            <w:tcBorders>
              <w:top w:val="single" w:color="auto" w:sz="8" w:space="0"/>
              <w:left w:val="single" w:color="auto" w:sz="8" w:space="0"/>
              <w:bottom w:val="single" w:color="auto" w:sz="4" w:space="0"/>
              <w:right w:val="single" w:color="auto" w:sz="4" w:space="0"/>
            </w:tcBorders>
            <w:shd w:val="clear" w:color="auto" w:fill="auto"/>
            <w:vAlign w:val="center"/>
          </w:tcPr>
          <w:p w14:paraId="5B6489D5">
            <w:pPr>
              <w:pStyle w:val="16"/>
              <w:adjustRightInd w:val="0"/>
              <w:snapToGrid w:val="0"/>
              <w:spacing w:beforeAutospacing="0" w:afterAutospacing="0"/>
              <w:jc w:val="center"/>
              <w:rPr>
                <w:rFonts w:cs="宋体"/>
                <w:sz w:val="21"/>
                <w:szCs w:val="21"/>
              </w:rPr>
            </w:pPr>
            <w:r>
              <w:rPr>
                <w:rFonts w:cs="宋体"/>
                <w:sz w:val="21"/>
                <w:szCs w:val="21"/>
              </w:rPr>
              <w:t>建设内容</w:t>
            </w:r>
          </w:p>
        </w:tc>
        <w:tc>
          <w:tcPr>
            <w:tcW w:w="8430" w:type="dxa"/>
            <w:tcBorders>
              <w:top w:val="single" w:color="auto" w:sz="8" w:space="0"/>
              <w:left w:val="single" w:color="auto" w:sz="4" w:space="0"/>
              <w:bottom w:val="single" w:color="auto" w:sz="4" w:space="0"/>
              <w:right w:val="single" w:color="auto" w:sz="8" w:space="0"/>
            </w:tcBorders>
            <w:shd w:val="clear" w:color="auto" w:fill="auto"/>
          </w:tcPr>
          <w:p w14:paraId="2DD5DE29">
            <w:pPr>
              <w:pStyle w:val="11"/>
              <w:spacing w:after="0" w:line="360" w:lineRule="auto"/>
              <w:ind w:left="0" w:leftChars="0"/>
              <w:jc w:val="left"/>
              <w:rPr>
                <w:b/>
                <w:bCs/>
                <w:sz w:val="24"/>
              </w:rPr>
            </w:pPr>
            <w:r>
              <w:rPr>
                <w:rFonts w:hint="eastAsia" w:ascii="Times New Roman" w:hAnsi="Times New Roman" w:eastAsia="宋体" w:cs="Times New Roman"/>
                <w:b/>
                <w:bCs/>
                <w:kern w:val="0"/>
                <w:sz w:val="24"/>
              </w:rPr>
              <w:t>2</w:t>
            </w:r>
            <w:r>
              <w:rPr>
                <w:rFonts w:ascii="Times New Roman" w:hAnsi="Times New Roman" w:eastAsia="宋体" w:cs="Times New Roman"/>
                <w:b/>
                <w:bCs/>
                <w:kern w:val="0"/>
                <w:sz w:val="24"/>
              </w:rPr>
              <w:t>.1</w:t>
            </w:r>
            <w:r>
              <w:rPr>
                <w:b/>
                <w:bCs/>
                <w:sz w:val="24"/>
              </w:rPr>
              <w:t>项目背景</w:t>
            </w:r>
          </w:p>
          <w:p w14:paraId="3A9A2557">
            <w:pPr>
              <w:pStyle w:val="10"/>
              <w:spacing w:line="360" w:lineRule="auto"/>
              <w:ind w:left="0" w:right="105" w:rightChars="50" w:firstLine="480" w:firstLineChars="200"/>
              <w:rPr>
                <w:rFonts w:ascii="Times New Roman" w:hAnsi="Times New Roman" w:cs="Times New Roman"/>
                <w:bCs/>
              </w:rPr>
            </w:pPr>
            <w:bookmarkStart w:id="11" w:name="_Hlk92908821"/>
            <w:r>
              <w:rPr>
                <w:rFonts w:ascii="Times New Roman" w:hAnsi="Times New Roman" w:cs="Times New Roman"/>
                <w:bCs/>
              </w:rPr>
              <w:t>随着国家大力扶持畜禽养殖产业，</w:t>
            </w:r>
            <w:r>
              <w:rPr>
                <w:rFonts w:hint="eastAsia" w:ascii="Times New Roman" w:hAnsi="Times New Roman" w:cs="Times New Roman"/>
                <w:bCs/>
              </w:rPr>
              <w:t>德宏州</w:t>
            </w:r>
            <w:r>
              <w:rPr>
                <w:rFonts w:ascii="Times New Roman" w:hAnsi="Times New Roman" w:cs="Times New Roman"/>
                <w:bCs/>
              </w:rPr>
              <w:t>畜禽养殖量逐年递增，与此同时， 病死畜禽的数量也大大增加，产生了较大的动物疫情隐患和畜禽产品安全问题， 主要包括：一是农村散养户产生的少量的病死畜禽自行采取就近掩埋的方法甚至随处丢弃；二是无害化处理不规范，部分养殖（户）主缺乏病死畜禽无害化处理常识，在处理过程中常会出现焚烧、掩埋不彻底、消毒不严等问题，对周围环境和地下水源等造成较大污染，甚至有可能造成动物间甚至人与动物间的疾病传播，从而引发公共卫生及食品安全事件。为了有效控制畜禽疫病传播扩散，有效解决病死畜禽环境污染等问题，从源头上遏制病死畜禽流向市场或随意丢弃，国务院办公厅发布了《关于建立病死畜禽无害化处理机制的意见》国办发（2014）47号文件，农业部印发《建立病死猪无害化处理长效机制试点方案》的通知。 因此，</w:t>
            </w:r>
            <w:r>
              <w:rPr>
                <w:rFonts w:hint="eastAsia" w:ascii="Times New Roman" w:hAnsi="Times New Roman" w:cs="Times New Roman"/>
                <w:bCs/>
              </w:rPr>
              <w:t>德宏益源生物科技有限公司</w:t>
            </w:r>
            <w:r>
              <w:rPr>
                <w:rFonts w:ascii="Times New Roman" w:hAnsi="Times New Roman" w:cs="Times New Roman"/>
                <w:bCs/>
              </w:rPr>
              <w:t>（以下简称“</w:t>
            </w:r>
            <w:r>
              <w:rPr>
                <w:rFonts w:hint="eastAsia" w:ascii="Times New Roman" w:hAnsi="Times New Roman" w:cs="Times New Roman"/>
                <w:bCs/>
              </w:rPr>
              <w:t>益源公司</w:t>
            </w:r>
            <w:r>
              <w:rPr>
                <w:rFonts w:ascii="Times New Roman" w:hAnsi="Times New Roman" w:cs="Times New Roman"/>
                <w:bCs/>
              </w:rPr>
              <w:t>”）拟选址于</w:t>
            </w:r>
            <w:r>
              <w:rPr>
                <w:rFonts w:hint="eastAsia" w:ascii="Times New Roman" w:hAnsi="Times New Roman" w:cs="Times New Roman"/>
                <w:bCs/>
              </w:rPr>
              <w:t>芒市三台山乡邦外村委会帕当坝村小组</w:t>
            </w:r>
            <w:r>
              <w:rPr>
                <w:rFonts w:ascii="Times New Roman" w:hAnsi="Times New Roman" w:cs="Times New Roman"/>
                <w:bCs/>
              </w:rPr>
              <w:t>建设</w:t>
            </w:r>
            <w:r>
              <w:rPr>
                <w:rFonts w:hint="eastAsia" w:ascii="Times New Roman" w:hAnsi="Times New Roman" w:cs="Times New Roman"/>
                <w:bCs/>
              </w:rPr>
              <w:t>“德宏州病死畜禽无害化处理项目”</w:t>
            </w:r>
            <w:r>
              <w:rPr>
                <w:rFonts w:ascii="Times New Roman" w:hAnsi="Times New Roman" w:cs="Times New Roman"/>
                <w:bCs/>
              </w:rPr>
              <w:t>，对</w:t>
            </w:r>
            <w:r>
              <w:rPr>
                <w:rFonts w:hint="eastAsia" w:ascii="Times New Roman" w:hAnsi="Times New Roman" w:cs="Times New Roman"/>
                <w:bCs/>
              </w:rPr>
              <w:t>芒市及周边县市</w:t>
            </w:r>
            <w:r>
              <w:rPr>
                <w:rFonts w:ascii="Times New Roman" w:hAnsi="Times New Roman" w:cs="Times New Roman"/>
                <w:bCs/>
              </w:rPr>
              <w:t>的病死畜禽进行无害化处理。</w:t>
            </w:r>
          </w:p>
          <w:p w14:paraId="201DD46A">
            <w:pPr>
              <w:pStyle w:val="10"/>
              <w:spacing w:line="360" w:lineRule="auto"/>
              <w:ind w:left="0" w:right="105" w:rightChars="50" w:firstLine="480" w:firstLineChars="200"/>
              <w:rPr>
                <w:rFonts w:ascii="Times New Roman" w:hAnsi="Times New Roman" w:cs="Times New Roman"/>
                <w:bCs/>
              </w:rPr>
            </w:pPr>
            <w:r>
              <w:rPr>
                <w:rFonts w:ascii="Times New Roman" w:hAnsi="Times New Roman" w:cs="Times New Roman"/>
                <w:bCs/>
              </w:rPr>
              <w:t>对病死畜禽进行无害化处理，是指用物理、化学等方法处理病死动物尸体及相关动物产品，消灭其携带的病原微生物，消除动物尸体危害的过程。《病死及病害动物无害化处理技术规范》（农医发 [2017]25号）中规定的方法有焚烧法、高温干法化制、掩埋法和化制法和硫酸分解法等，本项目采用该技术规范中的“高温干法化制”对病死畜禽进行无害化处理。</w:t>
            </w:r>
          </w:p>
          <w:p w14:paraId="7EA93631">
            <w:pPr>
              <w:pStyle w:val="10"/>
              <w:spacing w:line="360" w:lineRule="auto"/>
              <w:ind w:left="0" w:right="105" w:rightChars="50" w:firstLine="480" w:firstLineChars="200"/>
              <w:rPr>
                <w:rFonts w:ascii="Times New Roman" w:hAnsi="Times New Roman" w:cs="Times New Roman"/>
                <w:bCs/>
              </w:rPr>
            </w:pPr>
            <w:r>
              <w:rPr>
                <w:rFonts w:ascii="Times New Roman" w:hAnsi="Times New Roman" w:cs="Times New Roman"/>
                <w:bCs/>
              </w:rPr>
              <w:t>根据《中华人民共和国环境保护法》、《中华人民共和国环境影响评价法》 和《建设项目环境保护管理条例》的规定，本项目应开展环境影响评价工作。根据国家《建设项目环境影响评价分类管理名录》（2021年版）规定，该项目属于 “四十七、生态保护和环境治理业 102 医疗废物处置、病死及病害动物无害化处理”，应当编制环境影响报告表。为此，</w:t>
            </w:r>
            <w:r>
              <w:rPr>
                <w:rFonts w:hint="eastAsia" w:ascii="Times New Roman" w:hAnsi="Times New Roman" w:cs="Times New Roman"/>
                <w:bCs/>
              </w:rPr>
              <w:t>德宏益源生物科技有限公司</w:t>
            </w:r>
            <w:r>
              <w:rPr>
                <w:rFonts w:ascii="Times New Roman" w:hAnsi="Times New Roman" w:cs="Times New Roman"/>
                <w:bCs/>
              </w:rPr>
              <w:t>委托</w:t>
            </w:r>
            <w:r>
              <w:rPr>
                <w:rFonts w:hint="eastAsia" w:ascii="Times New Roman" w:hAnsi="Times New Roman" w:cs="Times New Roman"/>
                <w:bCs/>
              </w:rPr>
              <w:t>广东临风企业服务咨询有限公司</w:t>
            </w:r>
            <w:r>
              <w:rPr>
                <w:rFonts w:ascii="Times New Roman" w:hAnsi="Times New Roman" w:cs="Times New Roman"/>
                <w:bCs/>
              </w:rPr>
              <w:t>（以下简称“我单位”）承担该项目的环境影响评价工作。我单位接受委托后进行了实地踏勘，收集有关资料，按照环境影响评价有关技术规范，编制了《</w:t>
            </w:r>
            <w:r>
              <w:rPr>
                <w:rFonts w:hint="eastAsia" w:ascii="Times New Roman" w:hAnsi="Times New Roman" w:cs="Times New Roman"/>
                <w:bCs/>
              </w:rPr>
              <w:t>德宏州病死畜禽无害化处理项目</w:t>
            </w:r>
            <w:r>
              <w:rPr>
                <w:rFonts w:ascii="Times New Roman" w:hAnsi="Times New Roman" w:cs="Times New Roman"/>
                <w:bCs/>
              </w:rPr>
              <w:t>环境影响报告表》，供建设单位上报审批。</w:t>
            </w:r>
          </w:p>
          <w:bookmarkEnd w:id="11"/>
          <w:p w14:paraId="2F61B1DB">
            <w:pPr>
              <w:pStyle w:val="11"/>
              <w:spacing w:after="0" w:line="360" w:lineRule="auto"/>
              <w:ind w:left="0" w:leftChars="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2</w:t>
            </w:r>
            <w:r>
              <w:rPr>
                <w:rFonts w:ascii="Times New Roman" w:hAnsi="Times New Roman" w:eastAsia="宋体" w:cs="Times New Roman"/>
                <w:b/>
                <w:bCs/>
                <w:kern w:val="0"/>
                <w:sz w:val="24"/>
              </w:rPr>
              <w:t xml:space="preserve">.2 </w:t>
            </w:r>
            <w:r>
              <w:rPr>
                <w:rFonts w:hint="eastAsia" w:ascii="Times New Roman" w:hAnsi="Times New Roman" w:eastAsia="宋体" w:cs="Times New Roman"/>
                <w:b/>
                <w:bCs/>
                <w:kern w:val="0"/>
                <w:sz w:val="24"/>
              </w:rPr>
              <w:t>工程概况</w:t>
            </w:r>
          </w:p>
          <w:p w14:paraId="462B4CF9">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.2.1 </w:t>
            </w:r>
            <w:r>
              <w:rPr>
                <w:rFonts w:hint="eastAsia" w:ascii="Times New Roman" w:hAnsi="Times New Roman" w:cs="Times New Roman"/>
                <w:b/>
              </w:rPr>
              <w:t>项目概况</w:t>
            </w:r>
          </w:p>
          <w:p w14:paraId="2F2DD2C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项目名称：</w:t>
            </w:r>
            <w:r>
              <w:rPr>
                <w:rFonts w:hint="eastAsia" w:ascii="Times New Roman" w:hAnsi="Times New Roman" w:cs="Times New Roman"/>
                <w:bCs/>
              </w:rPr>
              <w:t>德宏州病死畜禽无害化处理项目</w:t>
            </w:r>
          </w:p>
          <w:p w14:paraId="4D566E5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建设单位：</w:t>
            </w:r>
            <w:r>
              <w:rPr>
                <w:rFonts w:hint="eastAsia" w:ascii="Times New Roman" w:hAnsi="Times New Roman" w:cs="Times New Roman"/>
                <w:bCs/>
              </w:rPr>
              <w:t>德宏益源生物科技有限公司</w:t>
            </w:r>
          </w:p>
          <w:p w14:paraId="0593624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建设性质：</w:t>
            </w:r>
            <w:r>
              <w:rPr>
                <w:rFonts w:hint="eastAsia" w:ascii="Times New Roman" w:hAnsi="Times New Roman" w:cs="Times New Roman"/>
                <w:bCs/>
              </w:rPr>
              <w:t>新建</w:t>
            </w:r>
          </w:p>
          <w:p w14:paraId="394F327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建设规模：项目占地5944m</w:t>
            </w:r>
            <w:r>
              <w:rPr>
                <w:rFonts w:ascii="Times New Roman" w:hAnsi="Times New Roman" w:cs="Times New Roman"/>
                <w:bCs/>
                <w:vertAlign w:val="superscript"/>
              </w:rPr>
              <w:t>2</w:t>
            </w:r>
            <w:r>
              <w:rPr>
                <w:rFonts w:hint="eastAsia" w:ascii="Times New Roman" w:hAnsi="Times New Roman" w:cs="Times New Roman"/>
                <w:bCs/>
              </w:rPr>
              <w:t>（</w:t>
            </w:r>
            <w:r>
              <w:rPr>
                <w:rFonts w:ascii="Times New Roman" w:hAnsi="Times New Roman" w:cs="Times New Roman"/>
                <w:bCs/>
              </w:rPr>
              <w:t>8.92</w:t>
            </w:r>
            <w:r>
              <w:rPr>
                <w:rFonts w:hint="eastAsia" w:ascii="Times New Roman" w:hAnsi="Times New Roman" w:cs="Times New Roman"/>
                <w:bCs/>
              </w:rPr>
              <w:t>亩）</w:t>
            </w:r>
            <w:r>
              <w:rPr>
                <w:rFonts w:ascii="Times New Roman" w:hAnsi="Times New Roman" w:cs="Times New Roman"/>
                <w:bCs/>
              </w:rPr>
              <w:t>，总建筑面积2322m</w:t>
            </w:r>
            <w:r>
              <w:rPr>
                <w:rFonts w:ascii="Times New Roman" w:hAnsi="Times New Roman" w:cs="Times New Roman"/>
                <w:bCs/>
                <w:vertAlign w:val="superscript"/>
              </w:rPr>
              <w:t>2</w:t>
            </w:r>
            <w:r>
              <w:rPr>
                <w:rFonts w:ascii="Times New Roman" w:hAnsi="Times New Roman" w:cs="Times New Roman"/>
                <w:bCs/>
              </w:rPr>
              <w:t>，建设内容主要包括主体工程、辅助工程、公用工程、储运工程以及环保工程</w:t>
            </w:r>
            <w:r>
              <w:rPr>
                <w:rFonts w:hint="eastAsia" w:ascii="Times New Roman" w:hAnsi="Times New Roman" w:cs="Times New Roman"/>
                <w:bCs/>
              </w:rPr>
              <w:t>等</w:t>
            </w:r>
            <w:r>
              <w:rPr>
                <w:rFonts w:ascii="Times New Roman" w:hAnsi="Times New Roman" w:cs="Times New Roman"/>
                <w:bCs/>
              </w:rPr>
              <w:t>。建成后日处理病死畜禽10t， 综合年处理量为3000t/a，附带产品包括骨肉料（可作有机肥原料）600t/a、油脂（可作生物柴油原料）300t/a。</w:t>
            </w:r>
            <w:r>
              <w:rPr>
                <w:rFonts w:hint="eastAsia" w:ascii="Times New Roman" w:hAnsi="Times New Roman" w:cs="Times New Roman"/>
                <w:bCs/>
              </w:rPr>
              <w:t>本次建设内容不包含病死畜禽收集点工程。</w:t>
            </w:r>
          </w:p>
          <w:p w14:paraId="63EA116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项目总投资：2000</w:t>
            </w:r>
            <w:r>
              <w:rPr>
                <w:rFonts w:hint="eastAsia" w:ascii="Times New Roman" w:hAnsi="Times New Roman" w:cs="Times New Roman"/>
                <w:bCs/>
              </w:rPr>
              <w:t>万元</w:t>
            </w:r>
            <w:r>
              <w:rPr>
                <w:rFonts w:ascii="Times New Roman" w:hAnsi="Times New Roman" w:cs="Times New Roman"/>
                <w:bCs/>
              </w:rPr>
              <w:t>，其中环保投资148.7</w:t>
            </w:r>
            <w:r>
              <w:rPr>
                <w:rFonts w:hint="eastAsia" w:ascii="Times New Roman" w:hAnsi="Times New Roman" w:cs="Times New Roman"/>
                <w:bCs/>
              </w:rPr>
              <w:t>万元，占总投资的</w:t>
            </w:r>
            <w:r>
              <w:rPr>
                <w:rFonts w:ascii="Times New Roman" w:hAnsi="Times New Roman" w:cs="Times New Roman"/>
                <w:bCs/>
              </w:rPr>
              <w:t>7.44</w:t>
            </w:r>
            <w:r>
              <w:rPr>
                <w:rFonts w:hint="eastAsia" w:ascii="Times New Roman" w:hAnsi="Times New Roman" w:cs="Times New Roman"/>
                <w:bCs/>
              </w:rPr>
              <w:t>%。</w:t>
            </w:r>
          </w:p>
          <w:p w14:paraId="2C9E8FD8">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建设地点</w:t>
            </w:r>
            <w:r>
              <w:rPr>
                <w:rFonts w:hint="eastAsia" w:ascii="Times New Roman" w:hAnsi="Times New Roman" w:cs="Times New Roman"/>
                <w:bCs/>
              </w:rPr>
              <w:t>：芒市三台山乡邦外村委会帕当坝村小组，见附图2</w:t>
            </w:r>
            <w:r>
              <w:rPr>
                <w:rFonts w:ascii="Times New Roman" w:hAnsi="Times New Roman" w:cs="Times New Roman"/>
                <w:bCs/>
              </w:rPr>
              <w:t>-1</w:t>
            </w:r>
            <w:r>
              <w:rPr>
                <w:rFonts w:hint="eastAsia" w:ascii="Times New Roman" w:hAnsi="Times New Roman" w:cs="Times New Roman"/>
                <w:bCs/>
              </w:rPr>
              <w:t>。</w:t>
            </w:r>
          </w:p>
          <w:p w14:paraId="7D18CB35">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.2.2 </w:t>
            </w:r>
            <w:r>
              <w:rPr>
                <w:rFonts w:hint="eastAsia" w:ascii="Times New Roman" w:hAnsi="Times New Roman" w:cs="Times New Roman"/>
                <w:b/>
              </w:rPr>
              <w:t>建设内容</w:t>
            </w:r>
          </w:p>
          <w:p w14:paraId="7B56803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本项目由主体工程、辅助工程、公用工程</w:t>
            </w:r>
            <w:r>
              <w:rPr>
                <w:rFonts w:hint="eastAsia" w:ascii="Times New Roman" w:hAnsi="Times New Roman" w:cs="Times New Roman"/>
                <w:bCs/>
              </w:rPr>
              <w:t>、储运工程</w:t>
            </w:r>
            <w:r>
              <w:rPr>
                <w:rFonts w:ascii="Times New Roman" w:hAnsi="Times New Roman" w:cs="Times New Roman"/>
                <w:bCs/>
              </w:rPr>
              <w:t>和环保工程</w:t>
            </w:r>
            <w:r>
              <w:rPr>
                <w:rFonts w:hint="eastAsia" w:ascii="Times New Roman" w:hAnsi="Times New Roman" w:cs="Times New Roman"/>
                <w:bCs/>
              </w:rPr>
              <w:t>等</w:t>
            </w:r>
            <w:r>
              <w:rPr>
                <w:rFonts w:ascii="Times New Roman" w:hAnsi="Times New Roman" w:cs="Times New Roman"/>
                <w:bCs/>
              </w:rPr>
              <w:t>组成，具体见表2-1。</w:t>
            </w:r>
          </w:p>
          <w:p w14:paraId="087AC542">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表2-1    项目组成一览表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485"/>
              <w:gridCol w:w="871"/>
              <w:gridCol w:w="5188"/>
              <w:gridCol w:w="887"/>
            </w:tblGrid>
            <w:tr w14:paraId="1603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F18885">
                  <w:pPr>
                    <w:jc w:val="center"/>
                    <w:rPr>
                      <w:rFonts w:ascii="Times New Roman" w:hAnsi="Times New Roman" w:cs="Times New Roman"/>
                      <w:b/>
                      <w:bCs/>
                      <w:szCs w:val="21"/>
                    </w:rPr>
                  </w:pPr>
                  <w:bookmarkStart w:id="12" w:name="_Hlk97468764"/>
                  <w:r>
                    <w:rPr>
                      <w:rFonts w:ascii="Times New Roman" w:hAnsi="Times New Roman" w:cs="Times New Roman"/>
                      <w:b/>
                      <w:bCs/>
                      <w:szCs w:val="21"/>
                    </w:rPr>
                    <w:t>工程</w:t>
                  </w:r>
                </w:p>
                <w:p w14:paraId="2587D7B5">
                  <w:pPr>
                    <w:jc w:val="center"/>
                    <w:rPr>
                      <w:rFonts w:ascii="Times New Roman" w:hAnsi="Times New Roman" w:cs="Times New Roman"/>
                      <w:b/>
                      <w:bCs/>
                      <w:szCs w:val="21"/>
                    </w:rPr>
                  </w:pPr>
                  <w:r>
                    <w:rPr>
                      <w:rFonts w:ascii="Times New Roman" w:hAnsi="Times New Roman" w:cs="Times New Roman"/>
                      <w:b/>
                      <w:bCs/>
                      <w:szCs w:val="21"/>
                    </w:rPr>
                    <w:t>组成</w:t>
                  </w:r>
                </w:p>
              </w:tc>
              <w:tc>
                <w:tcPr>
                  <w:tcW w:w="1356" w:type="dxa"/>
                  <w:gridSpan w:val="2"/>
                  <w:vAlign w:val="center"/>
                </w:tcPr>
                <w:p w14:paraId="193F26D2">
                  <w:pPr>
                    <w:jc w:val="center"/>
                    <w:rPr>
                      <w:rFonts w:ascii="Times New Roman" w:hAnsi="Times New Roman" w:cs="Times New Roman"/>
                      <w:b/>
                      <w:bCs/>
                      <w:szCs w:val="21"/>
                    </w:rPr>
                  </w:pPr>
                  <w:r>
                    <w:rPr>
                      <w:rFonts w:ascii="Times New Roman" w:hAnsi="Times New Roman" w:cs="Times New Roman"/>
                      <w:b/>
                      <w:bCs/>
                      <w:szCs w:val="21"/>
                    </w:rPr>
                    <w:t>工程</w:t>
                  </w:r>
                </w:p>
                <w:p w14:paraId="08EE9F1D">
                  <w:pPr>
                    <w:jc w:val="center"/>
                    <w:rPr>
                      <w:rFonts w:ascii="Times New Roman" w:hAnsi="Times New Roman" w:cs="Times New Roman"/>
                      <w:b/>
                      <w:bCs/>
                      <w:szCs w:val="21"/>
                    </w:rPr>
                  </w:pPr>
                  <w:r>
                    <w:rPr>
                      <w:rFonts w:ascii="Times New Roman" w:hAnsi="Times New Roman" w:cs="Times New Roman"/>
                      <w:b/>
                      <w:bCs/>
                      <w:szCs w:val="21"/>
                    </w:rPr>
                    <w:t>名称</w:t>
                  </w:r>
                </w:p>
              </w:tc>
              <w:tc>
                <w:tcPr>
                  <w:tcW w:w="5188" w:type="dxa"/>
                  <w:vAlign w:val="center"/>
                </w:tcPr>
                <w:p w14:paraId="3272A537">
                  <w:pPr>
                    <w:jc w:val="center"/>
                    <w:rPr>
                      <w:rFonts w:ascii="Times New Roman" w:hAnsi="Times New Roman" w:cs="Times New Roman"/>
                      <w:b/>
                      <w:bCs/>
                      <w:szCs w:val="21"/>
                    </w:rPr>
                  </w:pPr>
                  <w:r>
                    <w:rPr>
                      <w:rFonts w:ascii="Times New Roman" w:hAnsi="Times New Roman" w:cs="Times New Roman"/>
                      <w:b/>
                      <w:bCs/>
                      <w:szCs w:val="21"/>
                    </w:rPr>
                    <w:t>规模及内容</w:t>
                  </w:r>
                </w:p>
              </w:tc>
              <w:tc>
                <w:tcPr>
                  <w:tcW w:w="887" w:type="dxa"/>
                  <w:vAlign w:val="center"/>
                </w:tcPr>
                <w:p w14:paraId="6CA832E5">
                  <w:pPr>
                    <w:jc w:val="center"/>
                    <w:rPr>
                      <w:rFonts w:ascii="Times New Roman" w:hAnsi="Times New Roman" w:cs="Times New Roman"/>
                      <w:b/>
                      <w:bCs/>
                      <w:szCs w:val="21"/>
                    </w:rPr>
                  </w:pPr>
                  <w:r>
                    <w:rPr>
                      <w:rFonts w:ascii="Times New Roman" w:hAnsi="Times New Roman" w:cs="Times New Roman"/>
                      <w:b/>
                      <w:bCs/>
                      <w:szCs w:val="21"/>
                    </w:rPr>
                    <w:t>备注</w:t>
                  </w:r>
                </w:p>
              </w:tc>
            </w:tr>
            <w:tr w14:paraId="6D7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Merge w:val="restart"/>
                  <w:vAlign w:val="center"/>
                </w:tcPr>
                <w:p w14:paraId="07A2BF6C">
                  <w:pPr>
                    <w:jc w:val="center"/>
                    <w:rPr>
                      <w:rFonts w:ascii="Times New Roman" w:hAnsi="Times New Roman" w:cs="Times New Roman"/>
                      <w:szCs w:val="21"/>
                    </w:rPr>
                  </w:pPr>
                  <w:r>
                    <w:rPr>
                      <w:rFonts w:ascii="Times New Roman" w:hAnsi="Times New Roman" w:cs="Times New Roman"/>
                      <w:szCs w:val="21"/>
                    </w:rPr>
                    <w:t>主体</w:t>
                  </w:r>
                </w:p>
                <w:p w14:paraId="4ABFCE16">
                  <w:pPr>
                    <w:jc w:val="center"/>
                    <w:rPr>
                      <w:rFonts w:ascii="Times New Roman" w:hAnsi="Times New Roman" w:cs="Times New Roman"/>
                      <w:szCs w:val="21"/>
                    </w:rPr>
                  </w:pPr>
                  <w:r>
                    <w:rPr>
                      <w:rFonts w:ascii="Times New Roman" w:hAnsi="Times New Roman" w:cs="Times New Roman"/>
                      <w:szCs w:val="21"/>
                    </w:rPr>
                    <w:t>工程</w:t>
                  </w:r>
                </w:p>
              </w:tc>
              <w:tc>
                <w:tcPr>
                  <w:tcW w:w="1356" w:type="dxa"/>
                  <w:gridSpan w:val="2"/>
                  <w:vAlign w:val="center"/>
                </w:tcPr>
                <w:p w14:paraId="7100EEBF">
                  <w:pPr>
                    <w:jc w:val="center"/>
                    <w:rPr>
                      <w:rFonts w:ascii="Times New Roman" w:hAnsi="Times New Roman" w:cs="Times New Roman"/>
                      <w:szCs w:val="21"/>
                    </w:rPr>
                  </w:pPr>
                  <w:r>
                    <w:t>无害化厂房</w:t>
                  </w:r>
                </w:p>
              </w:tc>
              <w:tc>
                <w:tcPr>
                  <w:tcW w:w="5188" w:type="dxa"/>
                  <w:vAlign w:val="center"/>
                </w:tcPr>
                <w:p w14:paraId="4F634857">
                  <w:pPr>
                    <w:ind w:firstLine="210" w:firstLineChars="100"/>
                    <w:jc w:val="left"/>
                    <w:rPr>
                      <w:rFonts w:ascii="Times New Roman" w:hAnsi="Times New Roman" w:cs="Times New Roman"/>
                      <w:szCs w:val="21"/>
                    </w:rPr>
                  </w:pPr>
                  <w:r>
                    <w:rPr>
                      <w:rFonts w:ascii="Times New Roman" w:hAnsi="Times New Roman" w:cs="Times New Roman"/>
                      <w:szCs w:val="21"/>
                    </w:rPr>
                    <w:t>建筑面积 1500m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单层，</w:t>
                  </w:r>
                  <w:r>
                    <w:rPr>
                      <w:rFonts w:ascii="Times New Roman" w:hAnsi="Times New Roman" w:cs="Times New Roman"/>
                      <w:szCs w:val="21"/>
                    </w:rPr>
                    <w:t>钢架结构，层高7m，位于</w:t>
                  </w:r>
                  <w:r>
                    <w:rPr>
                      <w:rFonts w:hint="eastAsia" w:ascii="Times New Roman" w:hAnsi="Times New Roman" w:cs="Times New Roman"/>
                      <w:szCs w:val="21"/>
                    </w:rPr>
                    <w:t>厂</w:t>
                  </w:r>
                  <w:r>
                    <w:rPr>
                      <w:rFonts w:ascii="Times New Roman" w:hAnsi="Times New Roman" w:cs="Times New Roman"/>
                      <w:szCs w:val="21"/>
                    </w:rPr>
                    <w:t>区中部</w:t>
                  </w:r>
                  <w:r>
                    <w:rPr>
                      <w:rFonts w:hint="eastAsia" w:ascii="Times New Roman" w:hAnsi="Times New Roman" w:cs="Times New Roman"/>
                      <w:szCs w:val="21"/>
                    </w:rPr>
                    <w:t>，</w:t>
                  </w:r>
                  <w:r>
                    <w:rPr>
                      <w:rFonts w:ascii="Times New Roman" w:hAnsi="Times New Roman" w:cs="Times New Roman"/>
                      <w:szCs w:val="21"/>
                    </w:rPr>
                    <w:t>内置</w:t>
                  </w:r>
                  <w:r>
                    <w:rPr>
                      <w:rFonts w:hint="eastAsia" w:ascii="Times New Roman" w:hAnsi="Times New Roman" w:cs="Times New Roman"/>
                      <w:szCs w:val="21"/>
                    </w:rPr>
                    <w:t>预碎料仓1台、</w:t>
                  </w:r>
                  <w:r>
                    <w:rPr>
                      <w:rFonts w:ascii="Times New Roman" w:hAnsi="Times New Roman" w:cs="Times New Roman"/>
                      <w:szCs w:val="21"/>
                    </w:rPr>
                    <w:t>破碎机1台、化制</w:t>
                  </w:r>
                  <w:r>
                    <w:rPr>
                      <w:rFonts w:hint="eastAsia" w:ascii="Times New Roman" w:hAnsi="Times New Roman" w:cs="Times New Roman"/>
                      <w:szCs w:val="21"/>
                    </w:rPr>
                    <w:t>机</w:t>
                  </w:r>
                  <w:r>
                    <w:rPr>
                      <w:rFonts w:ascii="Times New Roman" w:hAnsi="Times New Roman" w:cs="Times New Roman"/>
                      <w:szCs w:val="21"/>
                    </w:rPr>
                    <w:t>1台、</w:t>
                  </w:r>
                  <w:r>
                    <w:rPr>
                      <w:rFonts w:hint="eastAsia" w:ascii="Times New Roman" w:hAnsi="Times New Roman" w:cs="Times New Roman"/>
                      <w:szCs w:val="21"/>
                    </w:rPr>
                    <w:t>烘干机</w:t>
                  </w:r>
                  <w:r>
                    <w:rPr>
                      <w:rFonts w:ascii="Times New Roman" w:hAnsi="Times New Roman" w:cs="Times New Roman"/>
                      <w:szCs w:val="21"/>
                    </w:rPr>
                    <w:t>1台、</w:t>
                  </w:r>
                  <w:r>
                    <w:rPr>
                      <w:rFonts w:hint="eastAsia" w:ascii="Times New Roman" w:hAnsi="Times New Roman" w:cs="Times New Roman"/>
                      <w:szCs w:val="21"/>
                    </w:rPr>
                    <w:t>缓存料仓</w:t>
                  </w:r>
                  <w:r>
                    <w:rPr>
                      <w:rFonts w:ascii="Times New Roman" w:hAnsi="Times New Roman" w:cs="Times New Roman"/>
                      <w:szCs w:val="21"/>
                    </w:rPr>
                    <w:t>1台、榨油机1台、卧式离心分离机1台、油罐1个</w:t>
                  </w:r>
                  <w:r>
                    <w:rPr>
                      <w:rFonts w:hint="eastAsia" w:ascii="Times New Roman" w:hAnsi="Times New Roman" w:cs="Times New Roman"/>
                      <w:szCs w:val="21"/>
                    </w:rPr>
                    <w:t>、油脂暂存箱1个、导油泵2台，</w:t>
                  </w:r>
                  <w:r>
                    <w:rPr>
                      <w:rFonts w:ascii="Times New Roman" w:hAnsi="Times New Roman" w:cs="Times New Roman"/>
                      <w:szCs w:val="21"/>
                    </w:rPr>
                    <w:t>以及成品存放区等。</w:t>
                  </w:r>
                </w:p>
              </w:tc>
              <w:tc>
                <w:tcPr>
                  <w:tcW w:w="887" w:type="dxa"/>
                  <w:vAlign w:val="center"/>
                </w:tcPr>
                <w:p w14:paraId="56E0F79D">
                  <w:pPr>
                    <w:jc w:val="center"/>
                    <w:rPr>
                      <w:rFonts w:ascii="Times New Roman" w:hAnsi="Times New Roman" w:eastAsia="Calibri" w:cs="Times New Roman"/>
                      <w:szCs w:val="21"/>
                    </w:rPr>
                  </w:pPr>
                </w:p>
              </w:tc>
            </w:tr>
            <w:tr w14:paraId="0306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50D7EDD">
                  <w:pPr>
                    <w:jc w:val="center"/>
                    <w:rPr>
                      <w:rFonts w:ascii="Times New Roman" w:hAnsi="Times New Roman" w:cs="Times New Roman"/>
                      <w:szCs w:val="21"/>
                    </w:rPr>
                  </w:pPr>
                </w:p>
              </w:tc>
              <w:tc>
                <w:tcPr>
                  <w:tcW w:w="1356" w:type="dxa"/>
                  <w:gridSpan w:val="2"/>
                  <w:vAlign w:val="center"/>
                </w:tcPr>
                <w:p w14:paraId="46DC2A7D">
                  <w:pPr>
                    <w:jc w:val="center"/>
                    <w:rPr>
                      <w:rFonts w:ascii="Times New Roman" w:hAnsi="Times New Roman" w:cs="Times New Roman"/>
                      <w:szCs w:val="21"/>
                    </w:rPr>
                  </w:pPr>
                  <w:r>
                    <w:t>扑杀间</w:t>
                  </w:r>
                </w:p>
              </w:tc>
              <w:tc>
                <w:tcPr>
                  <w:tcW w:w="5188" w:type="dxa"/>
                  <w:vAlign w:val="center"/>
                </w:tcPr>
                <w:p w14:paraId="76C7ED77">
                  <w:pPr>
                    <w:ind w:firstLine="210" w:firstLineChars="100"/>
                    <w:jc w:val="left"/>
                    <w:rPr>
                      <w:rFonts w:ascii="Times New Roman" w:hAnsi="Times New Roman" w:cs="Times New Roman"/>
                      <w:szCs w:val="21"/>
                    </w:rPr>
                  </w:pPr>
                  <w:r>
                    <w:rPr>
                      <w:rFonts w:ascii="Times New Roman" w:hAnsi="Times New Roman" w:cs="Times New Roman"/>
                      <w:szCs w:val="21"/>
                    </w:rPr>
                    <w:t>设置于无害化厂房内，建筑面积30m</w:t>
                  </w:r>
                  <w:r>
                    <w:rPr>
                      <w:rFonts w:ascii="Times New Roman" w:hAnsi="Times New Roman" w:cs="Times New Roman"/>
                      <w:szCs w:val="21"/>
                      <w:vertAlign w:val="superscript"/>
                    </w:rPr>
                    <w:t>2</w:t>
                  </w:r>
                  <w:r>
                    <w:rPr>
                      <w:rFonts w:ascii="Times New Roman" w:hAnsi="Times New Roman" w:cs="Times New Roman"/>
                      <w:szCs w:val="21"/>
                    </w:rPr>
                    <w:t>，用于处理活体病害畜禽</w:t>
                  </w:r>
                  <w:r>
                    <w:rPr>
                      <w:rFonts w:hint="eastAsia" w:ascii="Times New Roman" w:hAnsi="Times New Roman" w:cs="Times New Roman"/>
                      <w:szCs w:val="21"/>
                    </w:rPr>
                    <w:t>。</w:t>
                  </w:r>
                </w:p>
              </w:tc>
              <w:tc>
                <w:tcPr>
                  <w:tcW w:w="887" w:type="dxa"/>
                  <w:vAlign w:val="center"/>
                </w:tcPr>
                <w:p w14:paraId="2A3A0B05">
                  <w:pPr>
                    <w:jc w:val="center"/>
                    <w:rPr>
                      <w:rFonts w:ascii="Times New Roman" w:hAnsi="Times New Roman" w:eastAsia="Calibri" w:cs="Times New Roman"/>
                      <w:szCs w:val="21"/>
                    </w:rPr>
                  </w:pPr>
                </w:p>
              </w:tc>
            </w:tr>
            <w:tr w14:paraId="2B1F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746F28CD">
                  <w:pPr>
                    <w:jc w:val="center"/>
                    <w:rPr>
                      <w:rFonts w:ascii="Times New Roman" w:hAnsi="Times New Roman" w:cs="Times New Roman"/>
                      <w:szCs w:val="21"/>
                      <w:highlight w:val="yellow"/>
                    </w:rPr>
                  </w:pPr>
                  <w:r>
                    <w:rPr>
                      <w:rFonts w:ascii="Times New Roman" w:hAnsi="Times New Roman" w:cs="Times New Roman"/>
                      <w:szCs w:val="21"/>
                    </w:rPr>
                    <w:t>配套工程</w:t>
                  </w:r>
                </w:p>
              </w:tc>
              <w:tc>
                <w:tcPr>
                  <w:tcW w:w="1356" w:type="dxa"/>
                  <w:gridSpan w:val="2"/>
                  <w:vAlign w:val="center"/>
                </w:tcPr>
                <w:p w14:paraId="3F49FE73">
                  <w:pPr>
                    <w:jc w:val="center"/>
                    <w:rPr>
                      <w:rFonts w:ascii="Times New Roman" w:hAnsi="Times New Roman" w:cs="Times New Roman"/>
                      <w:szCs w:val="21"/>
                      <w:highlight w:val="yellow"/>
                    </w:rPr>
                  </w:pPr>
                  <w:r>
                    <w:rPr>
                      <w:rFonts w:hint="eastAsia" w:ascii="Times New Roman" w:hAnsi="Times New Roman" w:cs="Times New Roman"/>
                      <w:szCs w:val="21"/>
                    </w:rPr>
                    <w:t>锅炉房</w:t>
                  </w:r>
                </w:p>
              </w:tc>
              <w:tc>
                <w:tcPr>
                  <w:tcW w:w="5188" w:type="dxa"/>
                  <w:vAlign w:val="center"/>
                </w:tcPr>
                <w:p w14:paraId="4D718290">
                  <w:pPr>
                    <w:ind w:firstLine="210" w:firstLineChars="100"/>
                    <w:jc w:val="left"/>
                    <w:rPr>
                      <w:rFonts w:ascii="Times New Roman" w:hAnsi="Times New Roman" w:cs="Times New Roman"/>
                      <w:szCs w:val="21"/>
                      <w:highlight w:val="yellow"/>
                    </w:rPr>
                  </w:pPr>
                  <w:r>
                    <w:rPr>
                      <w:rFonts w:ascii="Times New Roman" w:hAnsi="Times New Roman" w:cs="Times New Roman"/>
                      <w:szCs w:val="21"/>
                    </w:rPr>
                    <w:t>建筑面积24m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单层，位于厂区东北角，设置2t导热油锅炉1台。</w:t>
                  </w:r>
                </w:p>
              </w:tc>
              <w:tc>
                <w:tcPr>
                  <w:tcW w:w="887" w:type="dxa"/>
                  <w:vAlign w:val="center"/>
                </w:tcPr>
                <w:p w14:paraId="68533AF1">
                  <w:pPr>
                    <w:jc w:val="center"/>
                    <w:rPr>
                      <w:rFonts w:ascii="Times New Roman" w:hAnsi="Times New Roman" w:eastAsia="Calibri" w:cs="Times New Roman"/>
                      <w:szCs w:val="21"/>
                    </w:rPr>
                  </w:pPr>
                </w:p>
              </w:tc>
            </w:tr>
            <w:tr w14:paraId="28E3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CAC0DB7">
                  <w:pPr>
                    <w:jc w:val="center"/>
                    <w:rPr>
                      <w:rFonts w:ascii="Times New Roman" w:hAnsi="Times New Roman" w:cs="Times New Roman"/>
                      <w:szCs w:val="21"/>
                      <w:highlight w:val="yellow"/>
                    </w:rPr>
                  </w:pPr>
                </w:p>
              </w:tc>
              <w:tc>
                <w:tcPr>
                  <w:tcW w:w="1356" w:type="dxa"/>
                  <w:gridSpan w:val="2"/>
                  <w:vAlign w:val="center"/>
                </w:tcPr>
                <w:p w14:paraId="63714023">
                  <w:pPr>
                    <w:jc w:val="center"/>
                    <w:rPr>
                      <w:rFonts w:ascii="Times New Roman" w:hAnsi="Times New Roman" w:cs="Times New Roman"/>
                      <w:szCs w:val="21"/>
                    </w:rPr>
                  </w:pPr>
                  <w:r>
                    <w:rPr>
                      <w:rFonts w:hint="eastAsia" w:ascii="Times New Roman" w:hAnsi="Times New Roman" w:cs="Times New Roman"/>
                      <w:szCs w:val="21"/>
                    </w:rPr>
                    <w:t>燃料堆棚</w:t>
                  </w:r>
                </w:p>
              </w:tc>
              <w:tc>
                <w:tcPr>
                  <w:tcW w:w="5188" w:type="dxa"/>
                  <w:vAlign w:val="center"/>
                </w:tcPr>
                <w:p w14:paraId="39DD7433">
                  <w:pPr>
                    <w:ind w:firstLine="210" w:firstLineChars="100"/>
                    <w:jc w:val="left"/>
                    <w:rPr>
                      <w:rFonts w:ascii="Times New Roman" w:hAnsi="Times New Roman" w:cs="Times New Roman"/>
                      <w:szCs w:val="21"/>
                    </w:rPr>
                  </w:pPr>
                  <w:r>
                    <w:rPr>
                      <w:rFonts w:hint="eastAsia" w:ascii="Times New Roman" w:hAnsi="Times New Roman" w:cs="Times New Roman"/>
                      <w:szCs w:val="21"/>
                    </w:rPr>
                    <w:t>锅炉旁设1</w:t>
                  </w:r>
                  <w:r>
                    <w:rPr>
                      <w:rFonts w:ascii="Times New Roman" w:hAnsi="Times New Roman" w:cs="Times New Roman"/>
                      <w:szCs w:val="21"/>
                    </w:rPr>
                    <w:t>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封闭式燃料堆棚，地面硬化处理，用于暂存生物质燃料，日常储量3</w:t>
                  </w:r>
                  <w:r>
                    <w:rPr>
                      <w:rFonts w:ascii="Times New Roman" w:hAnsi="Times New Roman" w:cs="Times New Roman"/>
                      <w:szCs w:val="21"/>
                    </w:rPr>
                    <w:t>0</w:t>
                  </w:r>
                  <w:r>
                    <w:rPr>
                      <w:rFonts w:hint="eastAsia" w:ascii="Times New Roman" w:hAnsi="Times New Roman" w:cs="Times New Roman"/>
                      <w:szCs w:val="21"/>
                    </w:rPr>
                    <w:t>t。</w:t>
                  </w:r>
                </w:p>
              </w:tc>
              <w:tc>
                <w:tcPr>
                  <w:tcW w:w="887" w:type="dxa"/>
                  <w:vAlign w:val="center"/>
                </w:tcPr>
                <w:p w14:paraId="3BE85291">
                  <w:pPr>
                    <w:jc w:val="center"/>
                    <w:rPr>
                      <w:rFonts w:ascii="Times New Roman" w:hAnsi="Times New Roman" w:eastAsia="Calibri" w:cs="Times New Roman"/>
                      <w:szCs w:val="21"/>
                    </w:rPr>
                  </w:pPr>
                </w:p>
              </w:tc>
            </w:tr>
            <w:tr w14:paraId="15A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B1B4D9F">
                  <w:pPr>
                    <w:jc w:val="center"/>
                    <w:rPr>
                      <w:rFonts w:ascii="Times New Roman" w:hAnsi="Times New Roman" w:cs="Times New Roman"/>
                      <w:szCs w:val="21"/>
                      <w:highlight w:val="yellow"/>
                    </w:rPr>
                  </w:pPr>
                </w:p>
              </w:tc>
              <w:tc>
                <w:tcPr>
                  <w:tcW w:w="1356" w:type="dxa"/>
                  <w:gridSpan w:val="2"/>
                  <w:vAlign w:val="center"/>
                </w:tcPr>
                <w:p w14:paraId="69719022">
                  <w:pPr>
                    <w:jc w:val="center"/>
                    <w:rPr>
                      <w:rFonts w:ascii="Times New Roman" w:hAnsi="Times New Roman" w:cs="Times New Roman"/>
                      <w:szCs w:val="21"/>
                      <w:highlight w:val="yellow"/>
                    </w:rPr>
                  </w:pPr>
                  <w:r>
                    <w:rPr>
                      <w:rFonts w:hint="eastAsia" w:ascii="Times New Roman" w:hAnsi="Times New Roman" w:cs="Times New Roman"/>
                      <w:szCs w:val="21"/>
                    </w:rPr>
                    <w:t>冷凝房</w:t>
                  </w:r>
                </w:p>
              </w:tc>
              <w:tc>
                <w:tcPr>
                  <w:tcW w:w="5188" w:type="dxa"/>
                  <w:vAlign w:val="center"/>
                </w:tcPr>
                <w:p w14:paraId="46216C42">
                  <w:pPr>
                    <w:ind w:firstLine="210" w:firstLineChars="100"/>
                    <w:jc w:val="left"/>
                    <w:rPr>
                      <w:rFonts w:ascii="Times New Roman" w:hAnsi="Times New Roman" w:cs="Times New Roman"/>
                      <w:szCs w:val="21"/>
                    </w:rPr>
                  </w:pPr>
                  <w:r>
                    <w:rPr>
                      <w:rFonts w:ascii="Times New Roman" w:hAnsi="Times New Roman" w:cs="Times New Roman"/>
                      <w:szCs w:val="21"/>
                    </w:rPr>
                    <w:t>建筑面积52m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单层，位于厂区北部，设置冷凝器1台。</w:t>
                  </w:r>
                </w:p>
              </w:tc>
              <w:tc>
                <w:tcPr>
                  <w:tcW w:w="887" w:type="dxa"/>
                  <w:vAlign w:val="center"/>
                </w:tcPr>
                <w:p w14:paraId="30CCB190">
                  <w:pPr>
                    <w:jc w:val="center"/>
                    <w:rPr>
                      <w:rFonts w:ascii="Times New Roman" w:hAnsi="Times New Roman" w:eastAsia="Calibri" w:cs="Times New Roman"/>
                      <w:szCs w:val="21"/>
                    </w:rPr>
                  </w:pPr>
                </w:p>
              </w:tc>
            </w:tr>
            <w:tr w14:paraId="24BA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61794DD">
                  <w:pPr>
                    <w:jc w:val="center"/>
                    <w:rPr>
                      <w:rFonts w:ascii="Times New Roman" w:hAnsi="Times New Roman" w:cs="Times New Roman"/>
                      <w:szCs w:val="21"/>
                      <w:highlight w:val="yellow"/>
                    </w:rPr>
                  </w:pPr>
                </w:p>
              </w:tc>
              <w:tc>
                <w:tcPr>
                  <w:tcW w:w="1356" w:type="dxa"/>
                  <w:gridSpan w:val="2"/>
                  <w:vAlign w:val="center"/>
                </w:tcPr>
                <w:p w14:paraId="56969D50">
                  <w:pPr>
                    <w:jc w:val="center"/>
                    <w:rPr>
                      <w:rFonts w:ascii="Times New Roman" w:hAnsi="Times New Roman" w:cs="Times New Roman"/>
                      <w:szCs w:val="21"/>
                    </w:rPr>
                  </w:pPr>
                  <w:r>
                    <w:rPr>
                      <w:rFonts w:hint="eastAsia" w:ascii="Times New Roman" w:hAnsi="Times New Roman" w:cs="Times New Roman"/>
                      <w:szCs w:val="21"/>
                    </w:rPr>
                    <w:t>收集车消洗中心</w:t>
                  </w:r>
                </w:p>
              </w:tc>
              <w:tc>
                <w:tcPr>
                  <w:tcW w:w="5188" w:type="dxa"/>
                  <w:vAlign w:val="center"/>
                </w:tcPr>
                <w:p w14:paraId="7061F7EC">
                  <w:pPr>
                    <w:ind w:firstLine="210" w:firstLineChars="100"/>
                    <w:jc w:val="left"/>
                    <w:rPr>
                      <w:rFonts w:ascii="Times New Roman" w:hAnsi="Times New Roman" w:cs="Times New Roman"/>
                      <w:szCs w:val="21"/>
                    </w:rPr>
                  </w:pPr>
                  <w:r>
                    <w:rPr>
                      <w:rFonts w:hint="eastAsia" w:ascii="Times New Roman" w:hAnsi="Times New Roman" w:cs="Times New Roman"/>
                      <w:szCs w:val="21"/>
                    </w:rPr>
                    <w:t>占地面积</w:t>
                  </w:r>
                  <w:r>
                    <w:rPr>
                      <w:rFonts w:ascii="Times New Roman" w:hAnsi="Times New Roman" w:cs="Times New Roman"/>
                      <w:szCs w:val="21"/>
                    </w:rPr>
                    <w:t>72</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，长</w:t>
                  </w:r>
                  <w:r>
                    <w:rPr>
                      <w:rFonts w:ascii="Times New Roman" w:hAnsi="Times New Roman" w:cs="Times New Roman"/>
                      <w:szCs w:val="21"/>
                    </w:rPr>
                    <w:t>12</w:t>
                  </w:r>
                  <w:r>
                    <w:rPr>
                      <w:rFonts w:hint="eastAsia" w:ascii="Times New Roman" w:hAnsi="Times New Roman" w:cs="Times New Roman"/>
                      <w:szCs w:val="21"/>
                    </w:rPr>
                    <w:t>m，宽</w:t>
                  </w:r>
                  <w:r>
                    <w:rPr>
                      <w:rFonts w:ascii="Times New Roman" w:hAnsi="Times New Roman" w:cs="Times New Roman"/>
                      <w:szCs w:val="21"/>
                    </w:rPr>
                    <w:t>6</w:t>
                  </w:r>
                  <w:r>
                    <w:rPr>
                      <w:rFonts w:hint="eastAsia" w:ascii="Times New Roman" w:hAnsi="Times New Roman" w:cs="Times New Roman"/>
                      <w:szCs w:val="21"/>
                    </w:rPr>
                    <w:t>m，位于车辆消毒通道旁，地面进行防渗处理。</w:t>
                  </w:r>
                </w:p>
              </w:tc>
              <w:tc>
                <w:tcPr>
                  <w:tcW w:w="887" w:type="dxa"/>
                  <w:vAlign w:val="center"/>
                </w:tcPr>
                <w:p w14:paraId="4414040B">
                  <w:pPr>
                    <w:jc w:val="center"/>
                    <w:rPr>
                      <w:rFonts w:ascii="Times New Roman" w:hAnsi="Times New Roman" w:eastAsia="Calibri" w:cs="Times New Roman"/>
                      <w:szCs w:val="21"/>
                    </w:rPr>
                  </w:pPr>
                </w:p>
              </w:tc>
            </w:tr>
            <w:tr w14:paraId="4F96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EA9FA55">
                  <w:pPr>
                    <w:jc w:val="center"/>
                    <w:rPr>
                      <w:rFonts w:ascii="Times New Roman" w:hAnsi="Times New Roman" w:cs="Times New Roman"/>
                      <w:szCs w:val="21"/>
                      <w:highlight w:val="yellow"/>
                    </w:rPr>
                  </w:pPr>
                </w:p>
              </w:tc>
              <w:tc>
                <w:tcPr>
                  <w:tcW w:w="1356" w:type="dxa"/>
                  <w:gridSpan w:val="2"/>
                  <w:vAlign w:val="center"/>
                </w:tcPr>
                <w:p w14:paraId="73C2A9B6">
                  <w:pPr>
                    <w:jc w:val="center"/>
                    <w:rPr>
                      <w:rFonts w:ascii="Times New Roman" w:hAnsi="Times New Roman" w:cs="Times New Roman"/>
                      <w:szCs w:val="21"/>
                    </w:rPr>
                  </w:pPr>
                  <w:r>
                    <w:rPr>
                      <w:rFonts w:hint="eastAsia" w:ascii="Times New Roman" w:hAnsi="Times New Roman" w:cs="Times New Roman"/>
                      <w:szCs w:val="21"/>
                    </w:rPr>
                    <w:t>车辆消毒通道</w:t>
                  </w:r>
                </w:p>
              </w:tc>
              <w:tc>
                <w:tcPr>
                  <w:tcW w:w="5188" w:type="dxa"/>
                  <w:vAlign w:val="center"/>
                </w:tcPr>
                <w:p w14:paraId="25B935FA">
                  <w:pPr>
                    <w:ind w:firstLine="210" w:firstLineChars="100"/>
                    <w:jc w:val="left"/>
                    <w:rPr>
                      <w:rFonts w:ascii="Times New Roman" w:hAnsi="Times New Roman" w:cs="Times New Roman"/>
                      <w:szCs w:val="21"/>
                    </w:rPr>
                  </w:pPr>
                  <w:r>
                    <w:rPr>
                      <w:rFonts w:hint="eastAsia" w:ascii="Times New Roman" w:hAnsi="Times New Roman" w:cs="Times New Roman"/>
                      <w:szCs w:val="21"/>
                    </w:rPr>
                    <w:t>占地面积4</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，长9m，宽5m，深0</w:t>
                  </w:r>
                  <w:r>
                    <w:rPr>
                      <w:rFonts w:ascii="Times New Roman" w:hAnsi="Times New Roman" w:cs="Times New Roman"/>
                      <w:szCs w:val="21"/>
                    </w:rPr>
                    <w:t>.4</w:t>
                  </w:r>
                  <w:r>
                    <w:rPr>
                      <w:rFonts w:hint="eastAsia" w:ascii="Times New Roman" w:hAnsi="Times New Roman" w:cs="Times New Roman"/>
                      <w:szCs w:val="21"/>
                    </w:rPr>
                    <w:t>m，位于进厂口处，池体进行防渗处理。</w:t>
                  </w:r>
                </w:p>
              </w:tc>
              <w:tc>
                <w:tcPr>
                  <w:tcW w:w="887" w:type="dxa"/>
                  <w:vAlign w:val="center"/>
                </w:tcPr>
                <w:p w14:paraId="3A65EF77">
                  <w:pPr>
                    <w:jc w:val="center"/>
                    <w:rPr>
                      <w:rFonts w:ascii="Times New Roman" w:hAnsi="Times New Roman" w:eastAsia="Calibri" w:cs="Times New Roman"/>
                      <w:szCs w:val="21"/>
                    </w:rPr>
                  </w:pPr>
                </w:p>
              </w:tc>
            </w:tr>
            <w:tr w14:paraId="3C32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46E5864">
                  <w:pPr>
                    <w:jc w:val="center"/>
                    <w:rPr>
                      <w:rFonts w:ascii="Times New Roman" w:hAnsi="Times New Roman" w:cs="Times New Roman"/>
                      <w:szCs w:val="21"/>
                      <w:highlight w:val="yellow"/>
                    </w:rPr>
                  </w:pPr>
                </w:p>
              </w:tc>
              <w:tc>
                <w:tcPr>
                  <w:tcW w:w="1356" w:type="dxa"/>
                  <w:gridSpan w:val="2"/>
                  <w:vAlign w:val="center"/>
                </w:tcPr>
                <w:p w14:paraId="790750F3">
                  <w:pPr>
                    <w:jc w:val="center"/>
                    <w:rPr>
                      <w:rFonts w:ascii="Times New Roman" w:hAnsi="Times New Roman" w:cs="Times New Roman"/>
                      <w:szCs w:val="21"/>
                    </w:rPr>
                  </w:pPr>
                  <w:r>
                    <w:rPr>
                      <w:rFonts w:hint="eastAsia" w:ascii="Times New Roman" w:hAnsi="Times New Roman" w:cs="Times New Roman"/>
                      <w:szCs w:val="21"/>
                    </w:rPr>
                    <w:t>人员消毒通道</w:t>
                  </w:r>
                </w:p>
              </w:tc>
              <w:tc>
                <w:tcPr>
                  <w:tcW w:w="5188" w:type="dxa"/>
                  <w:vAlign w:val="center"/>
                </w:tcPr>
                <w:p w14:paraId="6BFB219C">
                  <w:pPr>
                    <w:ind w:firstLine="210" w:firstLineChars="100"/>
                    <w:jc w:val="left"/>
                    <w:rPr>
                      <w:rFonts w:ascii="Times New Roman" w:hAnsi="Times New Roman" w:cs="Times New Roman"/>
                      <w:szCs w:val="21"/>
                    </w:rPr>
                  </w:pPr>
                  <w:r>
                    <w:rPr>
                      <w:rFonts w:hint="eastAsia" w:ascii="Times New Roman" w:hAnsi="Times New Roman" w:cs="Times New Roman"/>
                      <w:szCs w:val="21"/>
                    </w:rPr>
                    <w:t>占地面积</w:t>
                  </w:r>
                  <w:r>
                    <w:rPr>
                      <w:rFonts w:ascii="Times New Roman" w:hAnsi="Times New Roman" w:cs="Times New Roman"/>
                      <w:szCs w:val="21"/>
                    </w:rPr>
                    <w:t>32</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，长</w:t>
                  </w:r>
                  <w:r>
                    <w:rPr>
                      <w:rFonts w:ascii="Times New Roman" w:hAnsi="Times New Roman" w:cs="Times New Roman"/>
                      <w:szCs w:val="21"/>
                    </w:rPr>
                    <w:t>8</w:t>
                  </w:r>
                  <w:r>
                    <w:rPr>
                      <w:rFonts w:hint="eastAsia" w:ascii="Times New Roman" w:hAnsi="Times New Roman" w:cs="Times New Roman"/>
                      <w:szCs w:val="21"/>
                    </w:rPr>
                    <w:t>m，宽</w:t>
                  </w:r>
                  <w:r>
                    <w:rPr>
                      <w:rFonts w:ascii="Times New Roman" w:hAnsi="Times New Roman" w:cs="Times New Roman"/>
                      <w:szCs w:val="21"/>
                    </w:rPr>
                    <w:t>4</w:t>
                  </w:r>
                  <w:r>
                    <w:rPr>
                      <w:rFonts w:hint="eastAsia" w:ascii="Times New Roman" w:hAnsi="Times New Roman" w:cs="Times New Roman"/>
                      <w:szCs w:val="21"/>
                    </w:rPr>
                    <w:t>m，位于厂房进出口处，地面进行防渗处理。</w:t>
                  </w:r>
                </w:p>
              </w:tc>
              <w:tc>
                <w:tcPr>
                  <w:tcW w:w="887" w:type="dxa"/>
                  <w:vAlign w:val="center"/>
                </w:tcPr>
                <w:p w14:paraId="743C396E">
                  <w:pPr>
                    <w:jc w:val="center"/>
                    <w:rPr>
                      <w:rFonts w:ascii="Times New Roman" w:hAnsi="Times New Roman" w:eastAsia="Calibri" w:cs="Times New Roman"/>
                      <w:szCs w:val="21"/>
                    </w:rPr>
                  </w:pPr>
                  <w:r>
                    <w:rPr>
                      <w:rFonts w:hint="eastAsia" w:ascii="宋体" w:hAnsi="宋体" w:eastAsia="宋体" w:cs="宋体"/>
                      <w:szCs w:val="21"/>
                    </w:rPr>
                    <w:t>含更衣室</w:t>
                  </w:r>
                </w:p>
              </w:tc>
            </w:tr>
            <w:tr w14:paraId="03DC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2662868">
                  <w:pPr>
                    <w:jc w:val="center"/>
                    <w:rPr>
                      <w:rFonts w:ascii="Times New Roman" w:hAnsi="Times New Roman" w:cs="Times New Roman"/>
                      <w:szCs w:val="21"/>
                      <w:highlight w:val="yellow"/>
                    </w:rPr>
                  </w:pPr>
                </w:p>
              </w:tc>
              <w:tc>
                <w:tcPr>
                  <w:tcW w:w="1356" w:type="dxa"/>
                  <w:gridSpan w:val="2"/>
                  <w:vAlign w:val="center"/>
                </w:tcPr>
                <w:p w14:paraId="00C36639">
                  <w:pPr>
                    <w:jc w:val="center"/>
                    <w:rPr>
                      <w:rFonts w:ascii="Times New Roman" w:hAnsi="Times New Roman" w:cs="Times New Roman"/>
                      <w:szCs w:val="21"/>
                    </w:rPr>
                  </w:pPr>
                  <w:r>
                    <w:rPr>
                      <w:rFonts w:hint="eastAsia" w:ascii="Times New Roman" w:hAnsi="Times New Roman" w:cs="Times New Roman"/>
                      <w:szCs w:val="21"/>
                    </w:rPr>
                    <w:t>储物间</w:t>
                  </w:r>
                </w:p>
              </w:tc>
              <w:tc>
                <w:tcPr>
                  <w:tcW w:w="5188" w:type="dxa"/>
                  <w:vAlign w:val="center"/>
                </w:tcPr>
                <w:p w14:paraId="1F976246">
                  <w:pPr>
                    <w:ind w:firstLine="210" w:firstLineChars="100"/>
                    <w:jc w:val="left"/>
                    <w:rPr>
                      <w:rFonts w:ascii="Times New Roman" w:hAnsi="Times New Roman" w:cs="Times New Roman"/>
                      <w:szCs w:val="21"/>
                    </w:rPr>
                  </w:pPr>
                  <w:r>
                    <w:rPr>
                      <w:rFonts w:hint="eastAsia" w:ascii="Times New Roman" w:hAnsi="Times New Roman" w:cs="Times New Roman"/>
                      <w:szCs w:val="21"/>
                    </w:rPr>
                    <w:t>建筑面积</w:t>
                  </w:r>
                  <w:r>
                    <w:rPr>
                      <w:rFonts w:ascii="Times New Roman" w:hAnsi="Times New Roman" w:cs="Times New Roman"/>
                      <w:szCs w:val="21"/>
                    </w:rPr>
                    <w:t>75</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，单层，位于厂房进出口处。</w:t>
                  </w:r>
                </w:p>
              </w:tc>
              <w:tc>
                <w:tcPr>
                  <w:tcW w:w="887" w:type="dxa"/>
                  <w:vAlign w:val="center"/>
                </w:tcPr>
                <w:p w14:paraId="0EDE644F">
                  <w:pPr>
                    <w:jc w:val="center"/>
                    <w:rPr>
                      <w:rFonts w:ascii="宋体" w:hAnsi="宋体" w:eastAsia="宋体" w:cs="宋体"/>
                      <w:szCs w:val="21"/>
                    </w:rPr>
                  </w:pPr>
                </w:p>
              </w:tc>
            </w:tr>
            <w:tr w14:paraId="7A40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4DEEC64">
                  <w:pPr>
                    <w:jc w:val="center"/>
                    <w:rPr>
                      <w:rFonts w:ascii="Times New Roman" w:hAnsi="Times New Roman" w:cs="Times New Roman"/>
                      <w:szCs w:val="21"/>
                      <w:highlight w:val="yellow"/>
                    </w:rPr>
                  </w:pPr>
                </w:p>
              </w:tc>
              <w:tc>
                <w:tcPr>
                  <w:tcW w:w="1356" w:type="dxa"/>
                  <w:gridSpan w:val="2"/>
                  <w:vAlign w:val="center"/>
                </w:tcPr>
                <w:p w14:paraId="5D48F4C1">
                  <w:pPr>
                    <w:jc w:val="center"/>
                    <w:rPr>
                      <w:rFonts w:ascii="Times New Roman" w:hAnsi="Times New Roman" w:cs="Times New Roman"/>
                      <w:szCs w:val="21"/>
                    </w:rPr>
                  </w:pPr>
                  <w:r>
                    <w:rPr>
                      <w:rFonts w:hint="eastAsia" w:ascii="Times New Roman" w:hAnsi="Times New Roman" w:cs="Times New Roman"/>
                      <w:szCs w:val="21"/>
                    </w:rPr>
                    <w:t>配电室</w:t>
                  </w:r>
                </w:p>
              </w:tc>
              <w:tc>
                <w:tcPr>
                  <w:tcW w:w="5188" w:type="dxa"/>
                  <w:vAlign w:val="center"/>
                </w:tcPr>
                <w:p w14:paraId="0E686B5C">
                  <w:pPr>
                    <w:ind w:firstLine="210" w:firstLineChars="100"/>
                    <w:jc w:val="left"/>
                    <w:rPr>
                      <w:rFonts w:ascii="Times New Roman" w:hAnsi="Times New Roman" w:cs="Times New Roman"/>
                      <w:szCs w:val="21"/>
                    </w:rPr>
                  </w:pPr>
                  <w:r>
                    <w:rPr>
                      <w:rFonts w:ascii="Times New Roman" w:hAnsi="Times New Roman" w:cs="Times New Roman"/>
                      <w:szCs w:val="21"/>
                    </w:rPr>
                    <w:t>建筑面积32m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位于厂区北部，设置降压器1台和配电系统1套。</w:t>
                  </w:r>
                </w:p>
              </w:tc>
              <w:tc>
                <w:tcPr>
                  <w:tcW w:w="887" w:type="dxa"/>
                  <w:vAlign w:val="center"/>
                </w:tcPr>
                <w:p w14:paraId="512CD953">
                  <w:pPr>
                    <w:jc w:val="center"/>
                    <w:rPr>
                      <w:rFonts w:ascii="Times New Roman" w:hAnsi="Times New Roman" w:eastAsia="Calibri" w:cs="Times New Roman"/>
                      <w:szCs w:val="21"/>
                    </w:rPr>
                  </w:pPr>
                </w:p>
              </w:tc>
            </w:tr>
            <w:tr w14:paraId="5B19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3B9F65A0">
                  <w:pPr>
                    <w:jc w:val="center"/>
                    <w:rPr>
                      <w:rFonts w:ascii="Times New Roman" w:hAnsi="Times New Roman" w:cs="Times New Roman"/>
                      <w:szCs w:val="21"/>
                    </w:rPr>
                  </w:pPr>
                  <w:r>
                    <w:rPr>
                      <w:rFonts w:ascii="Times New Roman" w:hAnsi="Times New Roman" w:cs="Times New Roman"/>
                      <w:szCs w:val="21"/>
                    </w:rPr>
                    <w:t>辅助工程</w:t>
                  </w:r>
                </w:p>
              </w:tc>
              <w:tc>
                <w:tcPr>
                  <w:tcW w:w="1356" w:type="dxa"/>
                  <w:gridSpan w:val="2"/>
                  <w:vAlign w:val="center"/>
                </w:tcPr>
                <w:p w14:paraId="0D17D44F">
                  <w:pPr>
                    <w:jc w:val="center"/>
                    <w:rPr>
                      <w:rFonts w:ascii="Times New Roman" w:hAnsi="Times New Roman" w:cs="Times New Roman"/>
                      <w:szCs w:val="21"/>
                    </w:rPr>
                  </w:pPr>
                  <w:r>
                    <w:rPr>
                      <w:rFonts w:hint="eastAsia" w:ascii="Times New Roman" w:hAnsi="Times New Roman" w:cs="Times New Roman"/>
                      <w:szCs w:val="21"/>
                    </w:rPr>
                    <w:t>办公生活用房</w:t>
                  </w:r>
                </w:p>
              </w:tc>
              <w:tc>
                <w:tcPr>
                  <w:tcW w:w="5188" w:type="dxa"/>
                  <w:vAlign w:val="center"/>
                </w:tcPr>
                <w:p w14:paraId="1ABFAF6E">
                  <w:pPr>
                    <w:ind w:firstLine="210" w:firstLineChars="100"/>
                    <w:jc w:val="left"/>
                    <w:rPr>
                      <w:rFonts w:ascii="Times New Roman" w:hAnsi="Times New Roman" w:cs="Times New Roman"/>
                      <w:szCs w:val="21"/>
                    </w:rPr>
                  </w:pPr>
                  <w:r>
                    <w:rPr>
                      <w:rFonts w:ascii="Times New Roman" w:hAnsi="Times New Roman" w:cs="Times New Roman"/>
                      <w:szCs w:val="21"/>
                    </w:rPr>
                    <w:t>1栋</w:t>
                  </w:r>
                  <w:r>
                    <w:rPr>
                      <w:rFonts w:hint="eastAsia" w:ascii="Times New Roman" w:hAnsi="Times New Roman" w:cs="Times New Roman"/>
                      <w:szCs w:val="21"/>
                    </w:rPr>
                    <w:t>，2</w:t>
                  </w:r>
                  <w:r>
                    <w:rPr>
                      <w:rFonts w:ascii="Times New Roman" w:hAnsi="Times New Roman" w:cs="Times New Roman"/>
                      <w:szCs w:val="21"/>
                    </w:rPr>
                    <w:t>层</w:t>
                  </w:r>
                  <w:r>
                    <w:rPr>
                      <w:rFonts w:hint="eastAsia" w:ascii="Times New Roman" w:hAnsi="Times New Roman" w:cs="Times New Roman"/>
                      <w:szCs w:val="21"/>
                    </w:rPr>
                    <w:t>，</w:t>
                  </w:r>
                  <w:r>
                    <w:rPr>
                      <w:rFonts w:ascii="Times New Roman" w:hAnsi="Times New Roman" w:cs="Times New Roman"/>
                      <w:szCs w:val="21"/>
                    </w:rPr>
                    <w:t>钢架结构，建筑面积480m</w:t>
                  </w:r>
                  <w:r>
                    <w:rPr>
                      <w:rFonts w:ascii="Times New Roman" w:hAnsi="Times New Roman" w:cs="Times New Roman"/>
                      <w:szCs w:val="21"/>
                      <w:vertAlign w:val="superscript"/>
                    </w:rPr>
                    <w:t>2</w:t>
                  </w:r>
                  <w:r>
                    <w:rPr>
                      <w:rFonts w:ascii="Times New Roman" w:hAnsi="Times New Roman" w:cs="Times New Roman"/>
                      <w:szCs w:val="21"/>
                    </w:rPr>
                    <w:t>，位于项目区</w:t>
                  </w:r>
                  <w:r>
                    <w:rPr>
                      <w:rFonts w:hint="eastAsia" w:ascii="Times New Roman" w:hAnsi="Times New Roman" w:cs="Times New Roman"/>
                      <w:szCs w:val="21"/>
                    </w:rPr>
                    <w:t>西</w:t>
                  </w:r>
                  <w:r>
                    <w:rPr>
                      <w:rFonts w:ascii="Times New Roman" w:hAnsi="Times New Roman" w:cs="Times New Roman"/>
                      <w:szCs w:val="21"/>
                    </w:rPr>
                    <w:t>部</w:t>
                  </w:r>
                  <w:r>
                    <w:rPr>
                      <w:rFonts w:hint="eastAsia" w:ascii="Times New Roman" w:hAnsi="Times New Roman" w:cs="Times New Roman"/>
                      <w:szCs w:val="21"/>
                    </w:rPr>
                    <w:t>，含办公用房、食堂和浴室。</w:t>
                  </w:r>
                </w:p>
              </w:tc>
              <w:tc>
                <w:tcPr>
                  <w:tcW w:w="887" w:type="dxa"/>
                  <w:vAlign w:val="center"/>
                </w:tcPr>
                <w:p w14:paraId="526ED240">
                  <w:pPr>
                    <w:jc w:val="center"/>
                    <w:rPr>
                      <w:rFonts w:ascii="Times New Roman" w:hAnsi="Times New Roman" w:eastAsia="Calibri" w:cs="Times New Roman"/>
                      <w:szCs w:val="21"/>
                    </w:rPr>
                  </w:pPr>
                </w:p>
              </w:tc>
            </w:tr>
            <w:tr w14:paraId="25BC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16D74F3">
                  <w:pPr>
                    <w:jc w:val="center"/>
                    <w:rPr>
                      <w:rFonts w:ascii="Times New Roman" w:hAnsi="Times New Roman" w:cs="Times New Roman"/>
                      <w:szCs w:val="21"/>
                    </w:rPr>
                  </w:pPr>
                </w:p>
              </w:tc>
              <w:tc>
                <w:tcPr>
                  <w:tcW w:w="1356" w:type="dxa"/>
                  <w:gridSpan w:val="2"/>
                  <w:vAlign w:val="center"/>
                </w:tcPr>
                <w:p w14:paraId="098DBA07">
                  <w:pPr>
                    <w:jc w:val="center"/>
                    <w:rPr>
                      <w:rFonts w:ascii="Times New Roman" w:hAnsi="Times New Roman" w:cs="Times New Roman"/>
                      <w:szCs w:val="21"/>
                    </w:rPr>
                  </w:pPr>
                  <w:r>
                    <w:rPr>
                      <w:rFonts w:hint="eastAsia" w:ascii="Times New Roman" w:hAnsi="Times New Roman" w:cs="Times New Roman"/>
                      <w:szCs w:val="21"/>
                    </w:rPr>
                    <w:t>检验室</w:t>
                  </w:r>
                </w:p>
              </w:tc>
              <w:tc>
                <w:tcPr>
                  <w:tcW w:w="5188" w:type="dxa"/>
                  <w:vAlign w:val="center"/>
                </w:tcPr>
                <w:p w14:paraId="1367B55E">
                  <w:pPr>
                    <w:ind w:firstLine="210" w:firstLineChars="100"/>
                    <w:jc w:val="left"/>
                    <w:rPr>
                      <w:rFonts w:ascii="Times New Roman" w:hAnsi="Times New Roman" w:cs="Times New Roman"/>
                      <w:szCs w:val="21"/>
                    </w:rPr>
                  </w:pPr>
                  <w:r>
                    <w:rPr>
                      <w:rFonts w:ascii="Times New Roman" w:hAnsi="Times New Roman" w:cs="Times New Roman"/>
                      <w:szCs w:val="21"/>
                    </w:rPr>
                    <w:t>设置于办公楼内，建筑面积30m</w:t>
                  </w:r>
                  <w:r>
                    <w:rPr>
                      <w:rFonts w:ascii="Times New Roman" w:hAnsi="Times New Roman" w:cs="Times New Roman"/>
                      <w:szCs w:val="21"/>
                      <w:vertAlign w:val="superscript"/>
                    </w:rPr>
                    <w:t>2</w:t>
                  </w:r>
                  <w:r>
                    <w:rPr>
                      <w:rFonts w:hint="eastAsia" w:ascii="Times New Roman" w:hAnsi="Times New Roman" w:cs="Times New Roman"/>
                      <w:szCs w:val="21"/>
                    </w:rPr>
                    <w:t>，</w:t>
                  </w:r>
                  <w:r>
                    <w:rPr>
                      <w:rFonts w:ascii="Times New Roman" w:hAnsi="Times New Roman" w:cs="Times New Roman"/>
                      <w:szCs w:val="21"/>
                    </w:rPr>
                    <w:t>用于检验非洲猪瘟病毒，以及污水处理站出水水质检测。</w:t>
                  </w:r>
                </w:p>
              </w:tc>
              <w:tc>
                <w:tcPr>
                  <w:tcW w:w="887" w:type="dxa"/>
                  <w:vAlign w:val="center"/>
                </w:tcPr>
                <w:p w14:paraId="599808BB">
                  <w:pPr>
                    <w:jc w:val="center"/>
                    <w:rPr>
                      <w:rFonts w:ascii="Times New Roman" w:hAnsi="Times New Roman" w:cs="Times New Roman"/>
                      <w:szCs w:val="21"/>
                    </w:rPr>
                  </w:pPr>
                </w:p>
              </w:tc>
            </w:tr>
            <w:tr w14:paraId="4202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412D9E2D">
                  <w:pPr>
                    <w:jc w:val="center"/>
                    <w:rPr>
                      <w:rFonts w:ascii="Times New Roman" w:hAnsi="Times New Roman" w:cs="Times New Roman"/>
                      <w:szCs w:val="21"/>
                    </w:rPr>
                  </w:pPr>
                  <w:r>
                    <w:rPr>
                      <w:rFonts w:hint="eastAsia" w:ascii="Times New Roman" w:hAnsi="Times New Roman" w:cs="Times New Roman"/>
                      <w:szCs w:val="21"/>
                    </w:rPr>
                    <w:t>公用工程</w:t>
                  </w:r>
                </w:p>
              </w:tc>
              <w:tc>
                <w:tcPr>
                  <w:tcW w:w="1356" w:type="dxa"/>
                  <w:gridSpan w:val="2"/>
                  <w:vAlign w:val="center"/>
                </w:tcPr>
                <w:p w14:paraId="471911AD">
                  <w:pPr>
                    <w:jc w:val="center"/>
                    <w:rPr>
                      <w:rFonts w:ascii="Times New Roman" w:hAnsi="Times New Roman" w:cs="Times New Roman"/>
                      <w:szCs w:val="21"/>
                    </w:rPr>
                  </w:pPr>
                  <w:r>
                    <w:rPr>
                      <w:rFonts w:ascii="Times New Roman" w:hAnsi="Times New Roman" w:cs="Times New Roman"/>
                      <w:szCs w:val="21"/>
                    </w:rPr>
                    <w:t>给水设施</w:t>
                  </w:r>
                </w:p>
              </w:tc>
              <w:tc>
                <w:tcPr>
                  <w:tcW w:w="5188" w:type="dxa"/>
                  <w:vAlign w:val="center"/>
                </w:tcPr>
                <w:p w14:paraId="76079A3A">
                  <w:pPr>
                    <w:ind w:firstLine="210" w:firstLineChars="100"/>
                    <w:jc w:val="left"/>
                    <w:rPr>
                      <w:rFonts w:ascii="Times New Roman" w:hAnsi="Times New Roman" w:cs="Times New Roman"/>
                      <w:szCs w:val="21"/>
                    </w:rPr>
                  </w:pPr>
                  <w:r>
                    <w:rPr>
                      <w:rFonts w:ascii="Times New Roman" w:hAnsi="Times New Roman" w:cs="Times New Roman"/>
                      <w:szCs w:val="21"/>
                    </w:rPr>
                    <w:t>项目</w:t>
                  </w:r>
                  <w:r>
                    <w:rPr>
                      <w:rFonts w:hint="eastAsia" w:ascii="Times New Roman" w:hAnsi="Times New Roman" w:cs="Times New Roman"/>
                      <w:szCs w:val="21"/>
                    </w:rPr>
                    <w:t>所需新鲜水</w:t>
                  </w:r>
                  <w:r>
                    <w:rPr>
                      <w:rFonts w:ascii="Times New Roman" w:hAnsi="Times New Roman" w:cs="Times New Roman"/>
                      <w:szCs w:val="21"/>
                    </w:rPr>
                    <w:t>来于</w:t>
                  </w:r>
                  <w:r>
                    <w:rPr>
                      <w:rFonts w:hint="eastAsia" w:ascii="Times New Roman" w:hAnsi="Times New Roman" w:cs="Times New Roman"/>
                      <w:szCs w:val="21"/>
                    </w:rPr>
                    <w:t>附近村庄</w:t>
                  </w:r>
                  <w:r>
                    <w:rPr>
                      <w:rFonts w:ascii="Times New Roman" w:hAnsi="Times New Roman" w:cs="Times New Roman"/>
                      <w:szCs w:val="21"/>
                    </w:rPr>
                    <w:t>供水管网</w:t>
                  </w:r>
                  <w:r>
                    <w:rPr>
                      <w:rFonts w:hint="eastAsia" w:ascii="Times New Roman" w:hAnsi="Times New Roman" w:cs="Times New Roman"/>
                      <w:szCs w:val="21"/>
                    </w:rPr>
                    <w:t>，</w:t>
                  </w:r>
                  <w:r>
                    <w:rPr>
                      <w:rFonts w:ascii="Times New Roman" w:hAnsi="Times New Roman" w:cs="Times New Roman"/>
                      <w:szCs w:val="21"/>
                    </w:rPr>
                    <w:t>水量、水质能满足项目生产和生活用水。</w:t>
                  </w:r>
                  <w:r>
                    <w:rPr>
                      <w:rFonts w:hint="eastAsia" w:ascii="Times New Roman" w:hAnsi="Times New Roman" w:cs="Times New Roman"/>
                      <w:szCs w:val="21"/>
                    </w:rPr>
                    <w:t>办公楼顶设1个</w:t>
                  </w:r>
                  <w:r>
                    <w:rPr>
                      <w:rFonts w:ascii="Times New Roman" w:hAnsi="Times New Roman" w:cs="Times New Roman"/>
                      <w:szCs w:val="21"/>
                    </w:rPr>
                    <w:t>10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储水罐。</w:t>
                  </w:r>
                </w:p>
              </w:tc>
              <w:tc>
                <w:tcPr>
                  <w:tcW w:w="887" w:type="dxa"/>
                  <w:vAlign w:val="center"/>
                </w:tcPr>
                <w:p w14:paraId="4356162D">
                  <w:pPr>
                    <w:jc w:val="center"/>
                    <w:rPr>
                      <w:rFonts w:ascii="宋体" w:hAnsi="宋体" w:eastAsia="宋体" w:cs="宋体"/>
                      <w:szCs w:val="21"/>
                    </w:rPr>
                  </w:pPr>
                </w:p>
              </w:tc>
            </w:tr>
            <w:tr w14:paraId="4D87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BEDA87B">
                  <w:pPr>
                    <w:jc w:val="center"/>
                    <w:rPr>
                      <w:rFonts w:ascii="Times New Roman" w:hAnsi="Times New Roman" w:cs="Times New Roman"/>
                      <w:szCs w:val="21"/>
                    </w:rPr>
                  </w:pPr>
                </w:p>
              </w:tc>
              <w:tc>
                <w:tcPr>
                  <w:tcW w:w="1356" w:type="dxa"/>
                  <w:gridSpan w:val="2"/>
                  <w:vAlign w:val="center"/>
                </w:tcPr>
                <w:p w14:paraId="7315D67D">
                  <w:pPr>
                    <w:jc w:val="center"/>
                    <w:rPr>
                      <w:rFonts w:ascii="Times New Roman" w:hAnsi="Times New Roman" w:cs="Times New Roman"/>
                      <w:szCs w:val="21"/>
                    </w:rPr>
                  </w:pPr>
                  <w:r>
                    <w:rPr>
                      <w:rFonts w:hint="eastAsia" w:ascii="Times New Roman" w:hAnsi="Times New Roman" w:cs="Times New Roman"/>
                      <w:szCs w:val="21"/>
                    </w:rPr>
                    <w:t>排水</w:t>
                  </w:r>
                </w:p>
              </w:tc>
              <w:tc>
                <w:tcPr>
                  <w:tcW w:w="5188" w:type="dxa"/>
                  <w:vAlign w:val="center"/>
                </w:tcPr>
                <w:p w14:paraId="4F934F8F">
                  <w:pPr>
                    <w:ind w:firstLine="210" w:firstLineChars="100"/>
                    <w:jc w:val="left"/>
                    <w:rPr>
                      <w:rFonts w:ascii="Times New Roman" w:hAnsi="Times New Roman" w:cs="Times New Roman"/>
                      <w:szCs w:val="21"/>
                    </w:rPr>
                  </w:pPr>
                  <w:r>
                    <w:rPr>
                      <w:rFonts w:ascii="Times New Roman" w:hAnsi="Times New Roman" w:cs="Times New Roman"/>
                      <w:szCs w:val="21"/>
                    </w:rPr>
                    <w:t>项目排水采用雨污分流的排水方式。消毒废水经消毒池收集后循环使用，不外排；冷却塔定期排水和锅炉强制排水，采用收集桶收集后回用于无害化车间冲洗，不外排；食堂含油废水先经隔油池处理后再与其他生活污水一并进入化粪池处理，最终进入自建污水处理站处理；定期更换的喷淋废水</w:t>
                  </w:r>
                  <w:r>
                    <w:rPr>
                      <w:rFonts w:hint="eastAsia" w:ascii="Times New Roman" w:hAnsi="Times New Roman" w:cs="Times New Roman"/>
                      <w:szCs w:val="21"/>
                    </w:rPr>
                    <w:t>送</w:t>
                  </w:r>
                  <w:r>
                    <w:rPr>
                      <w:rFonts w:ascii="Times New Roman" w:hAnsi="Times New Roman" w:cs="Times New Roman"/>
                      <w:szCs w:val="21"/>
                    </w:rPr>
                    <w:t>污水处理站处理；工艺废水经地埋式储存罐收集，设备、车间、车辆清洗废水经管道收集，然后一并进入自建污水处理站处理；厂区综合污水经污水处理站处理达（GB5084-2021）《农田灌溉水质标准》后，暂存于1个容积为250m</w:t>
                  </w:r>
                  <w:r>
                    <w:rPr>
                      <w:rFonts w:ascii="Times New Roman" w:hAnsi="Times New Roman" w:cs="Times New Roman"/>
                      <w:szCs w:val="21"/>
                      <w:vertAlign w:val="superscript"/>
                    </w:rPr>
                    <w:t>3</w:t>
                  </w:r>
                  <w:r>
                    <w:rPr>
                      <w:rFonts w:ascii="Times New Roman" w:hAnsi="Times New Roman" w:cs="Times New Roman"/>
                      <w:szCs w:val="21"/>
                    </w:rPr>
                    <w:t>的储水池内；灌溉前再次对水质进行检测，确保水质达《农田灌溉水质标准》（GB5084-2021）后，通过水泵、管道抽至租用的耕地内进行灌溉，耕地设置沟渠和</w:t>
                  </w:r>
                  <w:r>
                    <w:rPr>
                      <w:rFonts w:hint="eastAsia" w:ascii="Times New Roman" w:hAnsi="Times New Roman" w:cs="Times New Roman"/>
                      <w:szCs w:val="21"/>
                    </w:rPr>
                    <w:t>5</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退水收集池，收集农田退水。</w:t>
                  </w:r>
                </w:p>
              </w:tc>
              <w:tc>
                <w:tcPr>
                  <w:tcW w:w="887" w:type="dxa"/>
                  <w:vAlign w:val="center"/>
                </w:tcPr>
                <w:p w14:paraId="2BACC40D">
                  <w:pPr>
                    <w:jc w:val="center"/>
                    <w:rPr>
                      <w:rFonts w:ascii="Times New Roman" w:hAnsi="Times New Roman" w:cs="Times New Roman"/>
                      <w:szCs w:val="21"/>
                    </w:rPr>
                  </w:pPr>
                </w:p>
              </w:tc>
            </w:tr>
            <w:tr w14:paraId="4DA0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61516DA">
                  <w:pPr>
                    <w:jc w:val="center"/>
                    <w:rPr>
                      <w:rFonts w:ascii="Times New Roman" w:hAnsi="Times New Roman" w:cs="Times New Roman"/>
                      <w:szCs w:val="21"/>
                    </w:rPr>
                  </w:pPr>
                </w:p>
              </w:tc>
              <w:tc>
                <w:tcPr>
                  <w:tcW w:w="1356" w:type="dxa"/>
                  <w:gridSpan w:val="2"/>
                  <w:vAlign w:val="center"/>
                </w:tcPr>
                <w:p w14:paraId="7F732928">
                  <w:pPr>
                    <w:jc w:val="center"/>
                    <w:rPr>
                      <w:rFonts w:ascii="Times New Roman" w:hAnsi="Times New Roman" w:cs="Times New Roman"/>
                      <w:szCs w:val="21"/>
                    </w:rPr>
                  </w:pPr>
                  <w:r>
                    <w:rPr>
                      <w:rFonts w:ascii="Times New Roman" w:hAnsi="Times New Roman" w:cs="Times New Roman"/>
                      <w:szCs w:val="21"/>
                    </w:rPr>
                    <w:t>供电系统</w:t>
                  </w:r>
                </w:p>
              </w:tc>
              <w:tc>
                <w:tcPr>
                  <w:tcW w:w="5188" w:type="dxa"/>
                  <w:vAlign w:val="center"/>
                </w:tcPr>
                <w:p w14:paraId="66B304E2">
                  <w:pPr>
                    <w:ind w:firstLine="210" w:firstLineChars="100"/>
                    <w:jc w:val="left"/>
                    <w:rPr>
                      <w:rFonts w:ascii="Times New Roman" w:hAnsi="Times New Roman" w:cs="Times New Roman"/>
                      <w:szCs w:val="21"/>
                    </w:rPr>
                  </w:pPr>
                  <w:r>
                    <w:rPr>
                      <w:rFonts w:ascii="Times New Roman" w:hAnsi="Times New Roman" w:cs="Times New Roman"/>
                      <w:szCs w:val="21"/>
                    </w:rPr>
                    <w:t>拟建厂址供电源来自</w:t>
                  </w:r>
                  <w:r>
                    <w:rPr>
                      <w:rFonts w:hint="eastAsia" w:ascii="Times New Roman" w:hAnsi="Times New Roman" w:cs="Times New Roman"/>
                      <w:szCs w:val="21"/>
                    </w:rPr>
                    <w:t>附近农村电网</w:t>
                  </w:r>
                  <w:r>
                    <w:rPr>
                      <w:rFonts w:ascii="Times New Roman" w:hAnsi="Times New Roman" w:cs="Times New Roman"/>
                      <w:szCs w:val="21"/>
                    </w:rPr>
                    <w:t>，</w:t>
                  </w:r>
                  <w:r>
                    <w:rPr>
                      <w:rFonts w:hint="eastAsia" w:ascii="Times New Roman" w:hAnsi="Times New Roman" w:cs="Times New Roman"/>
                      <w:szCs w:val="21"/>
                    </w:rPr>
                    <w:t>厂内设降压和配电设备。</w:t>
                  </w:r>
                  <w:r>
                    <w:rPr>
                      <w:rFonts w:ascii="Times New Roman" w:hAnsi="Times New Roman" w:cs="Times New Roman"/>
                      <w:szCs w:val="21"/>
                    </w:rPr>
                    <w:t xml:space="preserve"> </w:t>
                  </w:r>
                </w:p>
              </w:tc>
              <w:tc>
                <w:tcPr>
                  <w:tcW w:w="887" w:type="dxa"/>
                  <w:vAlign w:val="center"/>
                </w:tcPr>
                <w:p w14:paraId="511E7E89">
                  <w:pPr>
                    <w:jc w:val="center"/>
                    <w:rPr>
                      <w:rFonts w:ascii="Times New Roman" w:hAnsi="Times New Roman" w:cs="Times New Roman"/>
                      <w:szCs w:val="21"/>
                    </w:rPr>
                  </w:pPr>
                </w:p>
              </w:tc>
            </w:tr>
            <w:tr w14:paraId="00D2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E2A8B19">
                  <w:pPr>
                    <w:jc w:val="center"/>
                    <w:rPr>
                      <w:rFonts w:ascii="Times New Roman" w:hAnsi="Times New Roman" w:cs="Times New Roman"/>
                      <w:szCs w:val="21"/>
                    </w:rPr>
                  </w:pPr>
                </w:p>
              </w:tc>
              <w:tc>
                <w:tcPr>
                  <w:tcW w:w="1356" w:type="dxa"/>
                  <w:gridSpan w:val="2"/>
                  <w:vAlign w:val="center"/>
                </w:tcPr>
                <w:p w14:paraId="2456C09E">
                  <w:pPr>
                    <w:jc w:val="center"/>
                    <w:rPr>
                      <w:rFonts w:ascii="Times New Roman" w:hAnsi="Times New Roman" w:cs="Times New Roman"/>
                      <w:szCs w:val="21"/>
                    </w:rPr>
                  </w:pPr>
                  <w:r>
                    <w:rPr>
                      <w:rFonts w:hint="eastAsia" w:ascii="Times New Roman" w:hAnsi="Times New Roman" w:cs="Times New Roman"/>
                      <w:szCs w:val="21"/>
                    </w:rPr>
                    <w:t>供热</w:t>
                  </w:r>
                </w:p>
              </w:tc>
              <w:tc>
                <w:tcPr>
                  <w:tcW w:w="5188" w:type="dxa"/>
                  <w:vAlign w:val="center"/>
                </w:tcPr>
                <w:p w14:paraId="09825588">
                  <w:pPr>
                    <w:ind w:firstLine="210" w:firstLineChars="100"/>
                    <w:jc w:val="left"/>
                    <w:rPr>
                      <w:rFonts w:ascii="Times New Roman" w:hAnsi="Times New Roman" w:cs="Times New Roman"/>
                      <w:szCs w:val="21"/>
                    </w:rPr>
                  </w:pPr>
                  <w:r>
                    <w:t>锅炉房</w:t>
                  </w:r>
                  <w:r>
                    <w:rPr>
                      <w:rFonts w:hint="eastAsia" w:ascii="Times New Roman" w:hAnsi="Times New Roman" w:cs="Times New Roman"/>
                      <w:szCs w:val="21"/>
                    </w:rPr>
                    <w:t>设置1台2t导热油锅炉，</w:t>
                  </w:r>
                  <w:r>
                    <w:t>为高温化制处理过程供热以及为输油管道和储油罐保温</w:t>
                  </w:r>
                  <w:r>
                    <w:rPr>
                      <w:rFonts w:hint="eastAsia"/>
                    </w:rPr>
                    <w:t>。</w:t>
                  </w:r>
                </w:p>
              </w:tc>
              <w:tc>
                <w:tcPr>
                  <w:tcW w:w="887" w:type="dxa"/>
                  <w:vAlign w:val="center"/>
                </w:tcPr>
                <w:p w14:paraId="5A6A98E5">
                  <w:pPr>
                    <w:jc w:val="center"/>
                    <w:rPr>
                      <w:rFonts w:ascii="Times New Roman" w:hAnsi="Times New Roman" w:cs="Times New Roman"/>
                      <w:szCs w:val="21"/>
                    </w:rPr>
                  </w:pPr>
                </w:p>
              </w:tc>
            </w:tr>
            <w:tr w14:paraId="17A8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45600F0D">
                  <w:pPr>
                    <w:jc w:val="center"/>
                    <w:rPr>
                      <w:rFonts w:ascii="Times New Roman" w:hAnsi="Times New Roman" w:cs="Times New Roman"/>
                      <w:szCs w:val="21"/>
                    </w:rPr>
                  </w:pPr>
                </w:p>
              </w:tc>
              <w:tc>
                <w:tcPr>
                  <w:tcW w:w="1356" w:type="dxa"/>
                  <w:gridSpan w:val="2"/>
                  <w:vAlign w:val="center"/>
                </w:tcPr>
                <w:p w14:paraId="35155F31">
                  <w:pPr>
                    <w:jc w:val="center"/>
                    <w:rPr>
                      <w:rFonts w:ascii="Times New Roman" w:hAnsi="Times New Roman" w:cs="Times New Roman"/>
                      <w:szCs w:val="21"/>
                    </w:rPr>
                  </w:pPr>
                  <w:r>
                    <w:t>冷却塔</w:t>
                  </w:r>
                </w:p>
              </w:tc>
              <w:tc>
                <w:tcPr>
                  <w:tcW w:w="5188" w:type="dxa"/>
                  <w:vAlign w:val="center"/>
                </w:tcPr>
                <w:p w14:paraId="56A70522">
                  <w:pPr>
                    <w:ind w:firstLine="210" w:firstLineChars="100"/>
                    <w:jc w:val="left"/>
                    <w:rPr>
                      <w:rFonts w:ascii="Times New Roman" w:hAnsi="Times New Roman" w:cs="Times New Roman"/>
                    </w:rPr>
                  </w:pPr>
                  <w:r>
                    <w:rPr>
                      <w:rFonts w:ascii="Times New Roman" w:hAnsi="Times New Roman" w:cs="Times New Roman"/>
                    </w:rPr>
                    <w:t>项目区设</w:t>
                  </w:r>
                  <w:r>
                    <w:rPr>
                      <w:rFonts w:ascii="Times New Roman" w:hAnsi="Times New Roman" w:cs="Times New Roman"/>
                      <w:szCs w:val="21"/>
                    </w:rPr>
                    <w:t>2</w:t>
                  </w:r>
                  <w:r>
                    <w:rPr>
                      <w:rFonts w:ascii="Times New Roman" w:hAnsi="Times New Roman" w:cs="Times New Roman"/>
                    </w:rPr>
                    <w:t>座</w:t>
                  </w:r>
                  <w:r>
                    <w:rPr>
                      <w:rFonts w:ascii="Times New Roman" w:hAnsi="Times New Roman" w:cs="Times New Roman"/>
                      <w:szCs w:val="21"/>
                    </w:rPr>
                    <w:t>SYJW-150型</w:t>
                  </w:r>
                  <w:r>
                    <w:rPr>
                      <w:rFonts w:ascii="Times New Roman" w:hAnsi="Times New Roman" w:cs="Times New Roman"/>
                    </w:rPr>
                    <w:t xml:space="preserve">冷却塔，1用1备，单台循环水量为 </w:t>
                  </w:r>
                  <w:r>
                    <w:rPr>
                      <w:rFonts w:ascii="Times New Roman" w:hAnsi="Times New Roman" w:cs="Times New Roman"/>
                      <w:szCs w:val="21"/>
                    </w:rPr>
                    <w:t>150m</w:t>
                  </w:r>
                  <w:r>
                    <w:rPr>
                      <w:rFonts w:ascii="Times New Roman" w:hAnsi="Times New Roman" w:cs="Times New Roman"/>
                      <w:szCs w:val="21"/>
                      <w:vertAlign w:val="superscript"/>
                    </w:rPr>
                    <w:t>3</w:t>
                  </w:r>
                  <w:r>
                    <w:rPr>
                      <w:rFonts w:ascii="Times New Roman" w:hAnsi="Times New Roman" w:cs="Times New Roman"/>
                      <w:szCs w:val="21"/>
                    </w:rPr>
                    <w:t xml:space="preserve"> /h</w:t>
                  </w:r>
                  <w:r>
                    <w:rPr>
                      <w:rFonts w:ascii="Times New Roman" w:hAnsi="Times New Roman" w:cs="Times New Roman"/>
                    </w:rPr>
                    <w:t>，布设于厂房北侧，为工艺废气冷凝等提供冷源。</w:t>
                  </w:r>
                </w:p>
              </w:tc>
              <w:tc>
                <w:tcPr>
                  <w:tcW w:w="887" w:type="dxa"/>
                  <w:vAlign w:val="center"/>
                </w:tcPr>
                <w:p w14:paraId="646E596F">
                  <w:pPr>
                    <w:jc w:val="center"/>
                    <w:rPr>
                      <w:rFonts w:ascii="Times New Roman" w:hAnsi="Times New Roman" w:cs="Times New Roman"/>
                      <w:szCs w:val="21"/>
                    </w:rPr>
                  </w:pPr>
                </w:p>
              </w:tc>
            </w:tr>
            <w:tr w14:paraId="4CF1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05CCF40D">
                  <w:pPr>
                    <w:jc w:val="center"/>
                    <w:rPr>
                      <w:rFonts w:ascii="Times New Roman" w:hAnsi="Times New Roman" w:cs="Times New Roman"/>
                      <w:szCs w:val="21"/>
                    </w:rPr>
                  </w:pPr>
                  <w:r>
                    <w:rPr>
                      <w:rFonts w:hint="eastAsia" w:ascii="Times New Roman" w:hAnsi="Times New Roman" w:cs="Times New Roman"/>
                      <w:szCs w:val="21"/>
                    </w:rPr>
                    <w:t>储运工程</w:t>
                  </w:r>
                </w:p>
              </w:tc>
              <w:tc>
                <w:tcPr>
                  <w:tcW w:w="1356" w:type="dxa"/>
                  <w:gridSpan w:val="2"/>
                  <w:vAlign w:val="center"/>
                </w:tcPr>
                <w:p w14:paraId="5F7017D7">
                  <w:pPr>
                    <w:jc w:val="center"/>
                    <w:rPr>
                      <w:rFonts w:ascii="Times New Roman" w:hAnsi="Times New Roman" w:cs="Times New Roman"/>
                      <w:szCs w:val="21"/>
                    </w:rPr>
                  </w:pPr>
                  <w:r>
                    <w:rPr>
                      <w:rFonts w:hint="eastAsia" w:ascii="Times New Roman" w:hAnsi="Times New Roman" w:cs="Times New Roman"/>
                      <w:szCs w:val="21"/>
                    </w:rPr>
                    <w:t>道路</w:t>
                  </w:r>
                </w:p>
              </w:tc>
              <w:tc>
                <w:tcPr>
                  <w:tcW w:w="5188" w:type="dxa"/>
                  <w:vAlign w:val="center"/>
                </w:tcPr>
                <w:p w14:paraId="1B03FCB2">
                  <w:pPr>
                    <w:ind w:firstLine="210" w:firstLineChars="100"/>
                    <w:jc w:val="left"/>
                    <w:rPr>
                      <w:rFonts w:ascii="Times New Roman" w:hAnsi="Times New Roman" w:cs="Times New Roman"/>
                      <w:szCs w:val="21"/>
                    </w:rPr>
                  </w:pPr>
                  <w:r>
                    <w:rPr>
                      <w:rFonts w:hint="eastAsia" w:ascii="Times New Roman" w:hAnsi="Times New Roman" w:cs="Times New Roman"/>
                      <w:szCs w:val="21"/>
                    </w:rPr>
                    <w:t>厂内</w:t>
                  </w:r>
                  <w:r>
                    <w:rPr>
                      <w:rFonts w:ascii="Times New Roman" w:hAnsi="Times New Roman" w:cs="Times New Roman"/>
                      <w:szCs w:val="21"/>
                    </w:rPr>
                    <w:t>主要道路宽8m，次要道路宽5m，水泥硬化路面</w:t>
                  </w:r>
                  <w:r>
                    <w:rPr>
                      <w:rFonts w:hint="eastAsia" w:ascii="Times New Roman" w:hAnsi="Times New Roman" w:cs="Times New Roman"/>
                      <w:szCs w:val="21"/>
                    </w:rPr>
                    <w:t>。</w:t>
                  </w:r>
                </w:p>
              </w:tc>
              <w:tc>
                <w:tcPr>
                  <w:tcW w:w="887" w:type="dxa"/>
                  <w:vAlign w:val="center"/>
                </w:tcPr>
                <w:p w14:paraId="4862FBA6">
                  <w:pPr>
                    <w:jc w:val="center"/>
                    <w:rPr>
                      <w:rFonts w:ascii="宋体" w:hAnsi="宋体" w:eastAsia="宋体" w:cs="宋体"/>
                      <w:szCs w:val="21"/>
                    </w:rPr>
                  </w:pPr>
                </w:p>
              </w:tc>
            </w:tr>
            <w:tr w14:paraId="3238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58144C7">
                  <w:pPr>
                    <w:jc w:val="center"/>
                    <w:rPr>
                      <w:rFonts w:ascii="Times New Roman" w:hAnsi="Times New Roman" w:cs="Times New Roman"/>
                      <w:szCs w:val="21"/>
                    </w:rPr>
                  </w:pPr>
                </w:p>
              </w:tc>
              <w:tc>
                <w:tcPr>
                  <w:tcW w:w="1356" w:type="dxa"/>
                  <w:gridSpan w:val="2"/>
                  <w:vAlign w:val="center"/>
                </w:tcPr>
                <w:p w14:paraId="543FEB7E">
                  <w:pPr>
                    <w:jc w:val="center"/>
                    <w:rPr>
                      <w:rFonts w:ascii="Times New Roman" w:hAnsi="Times New Roman" w:cs="Times New Roman"/>
                      <w:szCs w:val="21"/>
                    </w:rPr>
                  </w:pPr>
                  <w:r>
                    <w:t>冷库</w:t>
                  </w:r>
                </w:p>
              </w:tc>
              <w:tc>
                <w:tcPr>
                  <w:tcW w:w="5188" w:type="dxa"/>
                  <w:vAlign w:val="center"/>
                </w:tcPr>
                <w:p w14:paraId="4D10E9DC">
                  <w:pPr>
                    <w:ind w:firstLine="210" w:firstLineChars="100"/>
                    <w:jc w:val="left"/>
                    <w:rPr>
                      <w:rFonts w:ascii="Times New Roman" w:hAnsi="Times New Roman" w:cs="Times New Roman"/>
                      <w:szCs w:val="21"/>
                    </w:rPr>
                  </w:pPr>
                  <w:r>
                    <w:rPr>
                      <w:rFonts w:ascii="Times New Roman" w:hAnsi="Times New Roman" w:cs="Times New Roman"/>
                      <w:szCs w:val="21"/>
                    </w:rPr>
                    <w:t>设216m</w:t>
                  </w:r>
                  <w:r>
                    <w:rPr>
                      <w:rFonts w:ascii="Times New Roman" w:hAnsi="Times New Roman" w:cs="Times New Roman"/>
                      <w:szCs w:val="21"/>
                      <w:vertAlign w:val="superscript"/>
                    </w:rPr>
                    <w:t>3</w:t>
                  </w:r>
                  <w:r>
                    <w:rPr>
                      <w:rFonts w:ascii="Times New Roman" w:hAnsi="Times New Roman" w:cs="Times New Roman"/>
                    </w:rPr>
                    <w:t>冷库1座</w:t>
                  </w:r>
                  <w:r>
                    <w:rPr>
                      <w:rFonts w:ascii="Times New Roman" w:hAnsi="Times New Roman" w:cs="Times New Roman"/>
                      <w:szCs w:val="21"/>
                    </w:rPr>
                    <w:t>，位于无害化厂房内，用于应急暂存过多的病死畜禽尸体。</w:t>
                  </w:r>
                </w:p>
              </w:tc>
              <w:tc>
                <w:tcPr>
                  <w:tcW w:w="887" w:type="dxa"/>
                  <w:vAlign w:val="center"/>
                </w:tcPr>
                <w:p w14:paraId="6605098F">
                  <w:pPr>
                    <w:jc w:val="center"/>
                    <w:rPr>
                      <w:rFonts w:ascii="宋体" w:hAnsi="宋体" w:eastAsia="宋体" w:cs="宋体"/>
                      <w:szCs w:val="21"/>
                    </w:rPr>
                  </w:pPr>
                </w:p>
              </w:tc>
            </w:tr>
            <w:tr w14:paraId="709C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FF01023">
                  <w:pPr>
                    <w:jc w:val="center"/>
                    <w:rPr>
                      <w:rFonts w:ascii="Times New Roman" w:hAnsi="Times New Roman" w:cs="Times New Roman"/>
                      <w:szCs w:val="21"/>
                    </w:rPr>
                  </w:pPr>
                </w:p>
              </w:tc>
              <w:tc>
                <w:tcPr>
                  <w:tcW w:w="1356" w:type="dxa"/>
                  <w:gridSpan w:val="2"/>
                  <w:vAlign w:val="center"/>
                </w:tcPr>
                <w:p w14:paraId="3D3F9070">
                  <w:pPr>
                    <w:jc w:val="center"/>
                  </w:pPr>
                  <w:r>
                    <w:t>运输</w:t>
                  </w:r>
                </w:p>
              </w:tc>
              <w:tc>
                <w:tcPr>
                  <w:tcW w:w="5188" w:type="dxa"/>
                  <w:vAlign w:val="center"/>
                </w:tcPr>
                <w:p w14:paraId="4056A022">
                  <w:pPr>
                    <w:ind w:firstLine="210" w:firstLineChars="100"/>
                    <w:jc w:val="left"/>
                    <w:rPr>
                      <w:rFonts w:ascii="Times New Roman" w:hAnsi="Times New Roman" w:cs="Times New Roman"/>
                      <w:szCs w:val="21"/>
                    </w:rPr>
                  </w:pPr>
                  <w:r>
                    <w:rPr>
                      <w:rFonts w:ascii="Times New Roman" w:hAnsi="Times New Roman" w:cs="Times New Roman"/>
                      <w:szCs w:val="21"/>
                    </w:rPr>
                    <w:t>项目原料病死畜禽尸体运输由公司的8辆TQCL-86专车运输。</w:t>
                  </w:r>
                </w:p>
              </w:tc>
              <w:tc>
                <w:tcPr>
                  <w:tcW w:w="887" w:type="dxa"/>
                  <w:vAlign w:val="center"/>
                </w:tcPr>
                <w:p w14:paraId="3FB63496">
                  <w:pPr>
                    <w:jc w:val="center"/>
                    <w:rPr>
                      <w:rFonts w:ascii="宋体" w:hAnsi="宋体" w:eastAsia="宋体" w:cs="宋体"/>
                      <w:szCs w:val="21"/>
                    </w:rPr>
                  </w:pPr>
                </w:p>
              </w:tc>
            </w:tr>
            <w:tr w14:paraId="1AC6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C839F68">
                  <w:pPr>
                    <w:jc w:val="center"/>
                    <w:rPr>
                      <w:rFonts w:ascii="Times New Roman" w:hAnsi="Times New Roman" w:cs="Times New Roman"/>
                      <w:szCs w:val="21"/>
                    </w:rPr>
                  </w:pPr>
                </w:p>
              </w:tc>
              <w:tc>
                <w:tcPr>
                  <w:tcW w:w="1356" w:type="dxa"/>
                  <w:gridSpan w:val="2"/>
                  <w:vAlign w:val="center"/>
                </w:tcPr>
                <w:p w14:paraId="44251C02">
                  <w:pPr>
                    <w:jc w:val="center"/>
                  </w:pPr>
                  <w:r>
                    <w:t>油罐</w:t>
                  </w:r>
                </w:p>
              </w:tc>
              <w:tc>
                <w:tcPr>
                  <w:tcW w:w="5188" w:type="dxa"/>
                  <w:vAlign w:val="center"/>
                </w:tcPr>
                <w:p w14:paraId="79CD1658">
                  <w:pPr>
                    <w:ind w:firstLine="210" w:firstLineChars="100"/>
                    <w:jc w:val="left"/>
                    <w:rPr>
                      <w:rFonts w:ascii="Times New Roman" w:hAnsi="Times New Roman" w:cs="Times New Roman"/>
                      <w:szCs w:val="21"/>
                    </w:rPr>
                  </w:pPr>
                  <w:r>
                    <w:rPr>
                      <w:rFonts w:ascii="Times New Roman" w:hAnsi="Times New Roman" w:cs="Times New Roman"/>
                      <w:szCs w:val="21"/>
                    </w:rPr>
                    <w:t>无害化厂房</w:t>
                  </w:r>
                  <w:r>
                    <w:rPr>
                      <w:rFonts w:hint="eastAsia" w:ascii="Times New Roman" w:hAnsi="Times New Roman" w:cs="Times New Roman"/>
                      <w:szCs w:val="21"/>
                    </w:rPr>
                    <w:t>内</w:t>
                  </w:r>
                  <w:r>
                    <w:rPr>
                      <w:rFonts w:ascii="Times New Roman" w:hAnsi="Times New Roman" w:cs="Times New Roman"/>
                      <w:szCs w:val="21"/>
                    </w:rPr>
                    <w:t>设</w:t>
                  </w:r>
                  <w:r>
                    <w:rPr>
                      <w:rFonts w:hint="eastAsia" w:ascii="Times New Roman" w:hAnsi="Times New Roman" w:cs="Times New Roman"/>
                      <w:szCs w:val="21"/>
                    </w:rPr>
                    <w:t>SYCYG-15型1</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储油罐</w:t>
                  </w:r>
                  <w:r>
                    <w:rPr>
                      <w:rFonts w:ascii="Times New Roman" w:hAnsi="Times New Roman" w:cs="Times New Roman"/>
                      <w:szCs w:val="21"/>
                    </w:rPr>
                    <w:t>1个，可储油</w:t>
                  </w:r>
                  <w:r>
                    <w:rPr>
                      <w:rFonts w:hint="eastAsia" w:ascii="Times New Roman" w:hAnsi="Times New Roman" w:cs="Times New Roman"/>
                      <w:szCs w:val="21"/>
                    </w:rPr>
                    <w:t>约1</w:t>
                  </w:r>
                  <w:r>
                    <w:rPr>
                      <w:rFonts w:ascii="Times New Roman" w:hAnsi="Times New Roman" w:cs="Times New Roman"/>
                      <w:szCs w:val="21"/>
                    </w:rPr>
                    <w:t>5t，油罐区地面硬化防渗</w:t>
                  </w:r>
                  <w:r>
                    <w:rPr>
                      <w:rFonts w:hint="eastAsia" w:ascii="Times New Roman" w:hAnsi="Times New Roman" w:cs="Times New Roman"/>
                      <w:szCs w:val="21"/>
                    </w:rPr>
                    <w:t>处理</w:t>
                  </w:r>
                  <w:r>
                    <w:rPr>
                      <w:rFonts w:ascii="Times New Roman" w:hAnsi="Times New Roman" w:cs="Times New Roman"/>
                      <w:szCs w:val="21"/>
                    </w:rPr>
                    <w:t>，四周设置不低于0.3m围堰防止油脂泄漏。</w:t>
                  </w:r>
                </w:p>
              </w:tc>
              <w:tc>
                <w:tcPr>
                  <w:tcW w:w="887" w:type="dxa"/>
                  <w:vAlign w:val="center"/>
                </w:tcPr>
                <w:p w14:paraId="6E542640">
                  <w:pPr>
                    <w:jc w:val="center"/>
                    <w:rPr>
                      <w:rFonts w:ascii="宋体" w:hAnsi="宋体" w:eastAsia="宋体" w:cs="宋体"/>
                      <w:szCs w:val="21"/>
                    </w:rPr>
                  </w:pPr>
                </w:p>
              </w:tc>
            </w:tr>
            <w:tr w14:paraId="73C7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4AA88789">
                  <w:pPr>
                    <w:jc w:val="center"/>
                    <w:rPr>
                      <w:rFonts w:ascii="Times New Roman" w:hAnsi="Times New Roman" w:cs="Times New Roman"/>
                      <w:szCs w:val="21"/>
                    </w:rPr>
                  </w:pPr>
                </w:p>
              </w:tc>
              <w:tc>
                <w:tcPr>
                  <w:tcW w:w="1356" w:type="dxa"/>
                  <w:gridSpan w:val="2"/>
                  <w:vAlign w:val="center"/>
                </w:tcPr>
                <w:p w14:paraId="11ACFF09">
                  <w:pPr>
                    <w:jc w:val="center"/>
                  </w:pPr>
                  <w:r>
                    <w:t>骨肉料存放区</w:t>
                  </w:r>
                </w:p>
              </w:tc>
              <w:tc>
                <w:tcPr>
                  <w:tcW w:w="5188" w:type="dxa"/>
                  <w:vAlign w:val="center"/>
                </w:tcPr>
                <w:p w14:paraId="668CF0A8">
                  <w:pPr>
                    <w:ind w:firstLine="210" w:firstLineChars="100"/>
                    <w:jc w:val="left"/>
                    <w:rPr>
                      <w:rFonts w:ascii="Times New Roman" w:hAnsi="Times New Roman" w:cs="Times New Roman"/>
                      <w:szCs w:val="21"/>
                    </w:rPr>
                  </w:pPr>
                  <w:r>
                    <w:rPr>
                      <w:rFonts w:ascii="Times New Roman" w:hAnsi="Times New Roman" w:cs="Times New Roman"/>
                      <w:szCs w:val="21"/>
                    </w:rPr>
                    <w:t>位于无害化厂房</w:t>
                  </w:r>
                  <w:r>
                    <w:rPr>
                      <w:rFonts w:hint="eastAsia" w:ascii="Times New Roman" w:hAnsi="Times New Roman" w:cs="Times New Roman"/>
                      <w:szCs w:val="21"/>
                    </w:rPr>
                    <w:t>内</w:t>
                  </w:r>
                  <w:r>
                    <w:rPr>
                      <w:rFonts w:ascii="Times New Roman" w:hAnsi="Times New Roman" w:cs="Times New Roman"/>
                      <w:szCs w:val="21"/>
                    </w:rPr>
                    <w:t>，占地100m</w:t>
                  </w:r>
                  <w:r>
                    <w:rPr>
                      <w:rFonts w:ascii="Times New Roman" w:hAnsi="Times New Roman" w:cs="Times New Roman"/>
                      <w:szCs w:val="21"/>
                      <w:vertAlign w:val="superscript"/>
                    </w:rPr>
                    <w:t>2</w:t>
                  </w:r>
                  <w:r>
                    <w:rPr>
                      <w:rFonts w:ascii="Times New Roman" w:hAnsi="Times New Roman" w:cs="Times New Roman"/>
                      <w:szCs w:val="21"/>
                    </w:rPr>
                    <w:t>，用于存放肉骨粉。</w:t>
                  </w:r>
                </w:p>
              </w:tc>
              <w:tc>
                <w:tcPr>
                  <w:tcW w:w="887" w:type="dxa"/>
                  <w:vAlign w:val="center"/>
                </w:tcPr>
                <w:p w14:paraId="67759B1E">
                  <w:pPr>
                    <w:jc w:val="center"/>
                    <w:rPr>
                      <w:rFonts w:ascii="宋体" w:hAnsi="宋体" w:eastAsia="宋体" w:cs="宋体"/>
                      <w:szCs w:val="21"/>
                    </w:rPr>
                  </w:pPr>
                </w:p>
              </w:tc>
            </w:tr>
            <w:tr w14:paraId="60C8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14:paraId="670BE2A9">
                  <w:pPr>
                    <w:jc w:val="center"/>
                    <w:rPr>
                      <w:rFonts w:ascii="Times New Roman" w:hAnsi="Times New Roman" w:cs="Times New Roman"/>
                      <w:szCs w:val="21"/>
                    </w:rPr>
                  </w:pPr>
                  <w:r>
                    <w:rPr>
                      <w:rFonts w:ascii="Times New Roman" w:hAnsi="Times New Roman" w:cs="Times New Roman"/>
                      <w:szCs w:val="21"/>
                    </w:rPr>
                    <w:t>环保工程</w:t>
                  </w:r>
                </w:p>
              </w:tc>
              <w:tc>
                <w:tcPr>
                  <w:tcW w:w="1356" w:type="dxa"/>
                  <w:gridSpan w:val="2"/>
                  <w:vAlign w:val="center"/>
                </w:tcPr>
                <w:p w14:paraId="1B5545BA">
                  <w:pPr>
                    <w:jc w:val="center"/>
                    <w:rPr>
                      <w:rFonts w:ascii="Times New Roman" w:hAnsi="Times New Roman" w:cs="Times New Roman"/>
                      <w:szCs w:val="21"/>
                    </w:rPr>
                  </w:pPr>
                  <w:r>
                    <w:rPr>
                      <w:rFonts w:hint="eastAsia" w:ascii="Times New Roman" w:hAnsi="Times New Roman" w:cs="Times New Roman"/>
                      <w:szCs w:val="21"/>
                    </w:rPr>
                    <w:t>雨污分流</w:t>
                  </w:r>
                </w:p>
              </w:tc>
              <w:tc>
                <w:tcPr>
                  <w:tcW w:w="5188" w:type="dxa"/>
                  <w:vAlign w:val="center"/>
                </w:tcPr>
                <w:p w14:paraId="06D01181">
                  <w:pPr>
                    <w:ind w:firstLine="210" w:firstLineChars="100"/>
                    <w:jc w:val="left"/>
                    <w:rPr>
                      <w:rFonts w:ascii="Times New Roman" w:hAnsi="Times New Roman" w:cs="Times New Roman"/>
                      <w:szCs w:val="21"/>
                    </w:rPr>
                  </w:pPr>
                  <w:r>
                    <w:rPr>
                      <w:rFonts w:hint="eastAsia"/>
                    </w:rPr>
                    <w:t>厂</w:t>
                  </w:r>
                  <w:r>
                    <w:t>区采用雨污分流系统。</w:t>
                  </w:r>
                </w:p>
              </w:tc>
              <w:tc>
                <w:tcPr>
                  <w:tcW w:w="887" w:type="dxa"/>
                  <w:vAlign w:val="center"/>
                </w:tcPr>
                <w:p w14:paraId="7FB67A9C">
                  <w:pPr>
                    <w:jc w:val="center"/>
                    <w:rPr>
                      <w:rFonts w:ascii="Times New Roman" w:hAnsi="Times New Roman" w:cs="Times New Roman"/>
                      <w:szCs w:val="21"/>
                    </w:rPr>
                  </w:pPr>
                </w:p>
              </w:tc>
            </w:tr>
            <w:tr w14:paraId="6ACC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80ED80B">
                  <w:pPr>
                    <w:jc w:val="center"/>
                    <w:rPr>
                      <w:rFonts w:ascii="Times New Roman" w:hAnsi="Times New Roman" w:cs="Times New Roman"/>
                      <w:szCs w:val="21"/>
                    </w:rPr>
                  </w:pPr>
                </w:p>
              </w:tc>
              <w:tc>
                <w:tcPr>
                  <w:tcW w:w="1356" w:type="dxa"/>
                  <w:gridSpan w:val="2"/>
                  <w:vAlign w:val="center"/>
                </w:tcPr>
                <w:p w14:paraId="25ABF59B">
                  <w:pPr>
                    <w:jc w:val="center"/>
                    <w:rPr>
                      <w:rFonts w:ascii="Times New Roman" w:hAnsi="Times New Roman" w:cs="Times New Roman"/>
                      <w:szCs w:val="21"/>
                    </w:rPr>
                  </w:pPr>
                  <w:r>
                    <w:rPr>
                      <w:rFonts w:ascii="Times New Roman" w:hAnsi="Times New Roman" w:cs="Times New Roman"/>
                      <w:szCs w:val="21"/>
                    </w:rPr>
                    <w:t>雨水管网</w:t>
                  </w:r>
                </w:p>
              </w:tc>
              <w:tc>
                <w:tcPr>
                  <w:tcW w:w="5188" w:type="dxa"/>
                  <w:vAlign w:val="center"/>
                </w:tcPr>
                <w:p w14:paraId="57BB8E6A">
                  <w:pPr>
                    <w:ind w:firstLine="210" w:firstLineChars="100"/>
                    <w:jc w:val="left"/>
                    <w:rPr>
                      <w:rFonts w:ascii="Times New Roman" w:hAnsi="Times New Roman" w:cs="Times New Roman"/>
                      <w:szCs w:val="21"/>
                    </w:rPr>
                  </w:pPr>
                  <w:r>
                    <w:rPr>
                      <w:rFonts w:hint="eastAsia" w:ascii="Times New Roman" w:hAnsi="Times New Roman" w:cs="Times New Roman"/>
                      <w:szCs w:val="21"/>
                    </w:rPr>
                    <w:t>雨水管沟总长约</w:t>
                  </w:r>
                  <w:r>
                    <w:rPr>
                      <w:rFonts w:ascii="Times New Roman" w:hAnsi="Times New Roman" w:cs="Times New Roman"/>
                      <w:szCs w:val="21"/>
                    </w:rPr>
                    <w:t>290</w:t>
                  </w:r>
                  <w:r>
                    <w:rPr>
                      <w:rFonts w:hint="eastAsia" w:ascii="Times New Roman" w:hAnsi="Times New Roman" w:cs="Times New Roman"/>
                      <w:szCs w:val="21"/>
                    </w:rPr>
                    <w:t>m。</w:t>
                  </w:r>
                </w:p>
              </w:tc>
              <w:tc>
                <w:tcPr>
                  <w:tcW w:w="887" w:type="dxa"/>
                  <w:vAlign w:val="center"/>
                </w:tcPr>
                <w:p w14:paraId="58E8DB0B">
                  <w:pPr>
                    <w:jc w:val="center"/>
                    <w:rPr>
                      <w:rFonts w:ascii="Times New Roman" w:hAnsi="Times New Roman" w:cs="Times New Roman"/>
                      <w:szCs w:val="21"/>
                    </w:rPr>
                  </w:pPr>
                </w:p>
              </w:tc>
            </w:tr>
            <w:tr w14:paraId="1BC5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2672E21">
                  <w:pPr>
                    <w:jc w:val="center"/>
                    <w:rPr>
                      <w:rFonts w:ascii="Times New Roman" w:hAnsi="Times New Roman" w:cs="Times New Roman"/>
                      <w:szCs w:val="21"/>
                    </w:rPr>
                  </w:pPr>
                </w:p>
              </w:tc>
              <w:tc>
                <w:tcPr>
                  <w:tcW w:w="485" w:type="dxa"/>
                  <w:vMerge w:val="restart"/>
                  <w:vAlign w:val="center"/>
                </w:tcPr>
                <w:p w14:paraId="5A98C973">
                  <w:pPr>
                    <w:jc w:val="center"/>
                    <w:rPr>
                      <w:rFonts w:ascii="Times New Roman" w:hAnsi="Times New Roman" w:cs="Times New Roman"/>
                      <w:szCs w:val="21"/>
                    </w:rPr>
                  </w:pPr>
                  <w:r>
                    <w:rPr>
                      <w:rFonts w:hint="eastAsia" w:ascii="Times New Roman" w:hAnsi="Times New Roman" w:cs="Times New Roman"/>
                      <w:szCs w:val="21"/>
                    </w:rPr>
                    <w:t>污水处理</w:t>
                  </w:r>
                </w:p>
              </w:tc>
              <w:tc>
                <w:tcPr>
                  <w:tcW w:w="871" w:type="dxa"/>
                  <w:vAlign w:val="center"/>
                </w:tcPr>
                <w:p w14:paraId="1FB4AEF9">
                  <w:pPr>
                    <w:jc w:val="center"/>
                    <w:rPr>
                      <w:rFonts w:ascii="Times New Roman" w:hAnsi="Times New Roman" w:cs="Times New Roman"/>
                      <w:szCs w:val="21"/>
                    </w:rPr>
                  </w:pPr>
                  <w:r>
                    <w:rPr>
                      <w:rFonts w:ascii="Times New Roman" w:hAnsi="Times New Roman" w:cs="Times New Roman"/>
                      <w:szCs w:val="21"/>
                    </w:rPr>
                    <w:t>排污管网</w:t>
                  </w:r>
                </w:p>
              </w:tc>
              <w:tc>
                <w:tcPr>
                  <w:tcW w:w="5188" w:type="dxa"/>
                  <w:vAlign w:val="center"/>
                </w:tcPr>
                <w:p w14:paraId="1DEFD64B">
                  <w:pPr>
                    <w:ind w:firstLine="210" w:firstLineChars="100"/>
                    <w:jc w:val="left"/>
                    <w:rPr>
                      <w:rFonts w:ascii="Times New Roman" w:hAnsi="Times New Roman" w:eastAsia="Calibri" w:cs="Times New Roman"/>
                      <w:szCs w:val="21"/>
                    </w:rPr>
                  </w:pPr>
                  <w:r>
                    <w:rPr>
                      <w:rFonts w:ascii="Times New Roman" w:hAnsi="Times New Roman" w:cs="Times New Roman"/>
                      <w:szCs w:val="21"/>
                    </w:rPr>
                    <w:t>收集厂区</w:t>
                  </w:r>
                  <w:r>
                    <w:rPr>
                      <w:rFonts w:hint="eastAsia" w:ascii="Times New Roman" w:hAnsi="Times New Roman" w:cs="Times New Roman"/>
                      <w:szCs w:val="21"/>
                    </w:rPr>
                    <w:t>污废水，P</w:t>
                  </w:r>
                  <w:r>
                    <w:rPr>
                      <w:rFonts w:ascii="Times New Roman" w:hAnsi="Times New Roman" w:cs="Times New Roman"/>
                      <w:szCs w:val="21"/>
                    </w:rPr>
                    <w:t>VC</w:t>
                  </w:r>
                  <w:r>
                    <w:rPr>
                      <w:rFonts w:hint="eastAsia" w:ascii="Times New Roman" w:hAnsi="Times New Roman" w:cs="Times New Roman"/>
                      <w:szCs w:val="21"/>
                    </w:rPr>
                    <w:t>管，总长约</w:t>
                  </w:r>
                  <w:r>
                    <w:rPr>
                      <w:rFonts w:ascii="Times New Roman" w:hAnsi="Times New Roman" w:cs="Times New Roman"/>
                      <w:szCs w:val="21"/>
                    </w:rPr>
                    <w:t>120</w:t>
                  </w:r>
                  <w:r>
                    <w:rPr>
                      <w:rFonts w:hint="eastAsia" w:ascii="Times New Roman" w:hAnsi="Times New Roman" w:cs="Times New Roman"/>
                      <w:szCs w:val="21"/>
                    </w:rPr>
                    <w:t>m。</w:t>
                  </w:r>
                </w:p>
              </w:tc>
              <w:tc>
                <w:tcPr>
                  <w:tcW w:w="887" w:type="dxa"/>
                  <w:vAlign w:val="center"/>
                </w:tcPr>
                <w:p w14:paraId="529185BC">
                  <w:pPr>
                    <w:jc w:val="center"/>
                    <w:rPr>
                      <w:rFonts w:ascii="Times New Roman" w:hAnsi="Times New Roman" w:eastAsia="Calibri" w:cs="Times New Roman"/>
                      <w:szCs w:val="21"/>
                    </w:rPr>
                  </w:pPr>
                </w:p>
              </w:tc>
            </w:tr>
            <w:tr w14:paraId="4E83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47E37DC6">
                  <w:pPr>
                    <w:jc w:val="center"/>
                    <w:rPr>
                      <w:rFonts w:ascii="Times New Roman" w:hAnsi="Times New Roman" w:cs="Times New Roman"/>
                      <w:szCs w:val="21"/>
                    </w:rPr>
                  </w:pPr>
                </w:p>
              </w:tc>
              <w:tc>
                <w:tcPr>
                  <w:tcW w:w="485" w:type="dxa"/>
                  <w:vMerge w:val="continue"/>
                  <w:vAlign w:val="center"/>
                </w:tcPr>
                <w:p w14:paraId="10C8C348">
                  <w:pPr>
                    <w:jc w:val="center"/>
                    <w:rPr>
                      <w:rFonts w:ascii="Times New Roman" w:hAnsi="Times New Roman" w:cs="Times New Roman"/>
                      <w:szCs w:val="21"/>
                    </w:rPr>
                  </w:pPr>
                </w:p>
              </w:tc>
              <w:tc>
                <w:tcPr>
                  <w:tcW w:w="871" w:type="dxa"/>
                  <w:vAlign w:val="center"/>
                </w:tcPr>
                <w:p w14:paraId="4558BC51">
                  <w:pPr>
                    <w:jc w:val="center"/>
                    <w:rPr>
                      <w:rFonts w:ascii="Times New Roman" w:hAnsi="Times New Roman" w:cs="Times New Roman"/>
                      <w:szCs w:val="21"/>
                    </w:rPr>
                  </w:pPr>
                  <w:r>
                    <w:rPr>
                      <w:rFonts w:ascii="Times New Roman" w:hAnsi="Times New Roman" w:cs="Times New Roman"/>
                      <w:szCs w:val="21"/>
                    </w:rPr>
                    <w:t>隔油池</w:t>
                  </w:r>
                </w:p>
              </w:tc>
              <w:tc>
                <w:tcPr>
                  <w:tcW w:w="5188" w:type="dxa"/>
                  <w:vAlign w:val="center"/>
                </w:tcPr>
                <w:p w14:paraId="5DC692F2">
                  <w:pPr>
                    <w:ind w:firstLine="210" w:firstLineChars="100"/>
                    <w:jc w:val="left"/>
                    <w:rPr>
                      <w:rFonts w:ascii="Times New Roman" w:hAnsi="Times New Roman" w:cs="Times New Roman"/>
                      <w:szCs w:val="21"/>
                    </w:rPr>
                  </w:pPr>
                  <w:r>
                    <w:rPr>
                      <w:rFonts w:ascii="Times New Roman" w:hAnsi="Times New Roman" w:cs="Times New Roman"/>
                      <w:szCs w:val="21"/>
                    </w:rPr>
                    <w:t>1个，容积为0.1m</w:t>
                  </w:r>
                  <w:r>
                    <w:rPr>
                      <w:rFonts w:ascii="Times New Roman" w:hAnsi="Times New Roman" w:cs="Times New Roman"/>
                      <w:szCs w:val="21"/>
                      <w:vertAlign w:val="superscript"/>
                    </w:rPr>
                    <w:t>3</w:t>
                  </w:r>
                  <w:r>
                    <w:rPr>
                      <w:rFonts w:ascii="Times New Roman" w:hAnsi="Times New Roman" w:cs="Times New Roman"/>
                      <w:szCs w:val="21"/>
                    </w:rPr>
                    <w:t>，位于</w:t>
                  </w:r>
                  <w:r>
                    <w:rPr>
                      <w:rFonts w:hint="eastAsia" w:ascii="Times New Roman" w:hAnsi="Times New Roman" w:cs="Times New Roman"/>
                      <w:szCs w:val="21"/>
                    </w:rPr>
                    <w:t>食堂旁。</w:t>
                  </w:r>
                </w:p>
              </w:tc>
              <w:tc>
                <w:tcPr>
                  <w:tcW w:w="887" w:type="dxa"/>
                  <w:vAlign w:val="center"/>
                </w:tcPr>
                <w:p w14:paraId="656AB494">
                  <w:pPr>
                    <w:jc w:val="center"/>
                    <w:rPr>
                      <w:rFonts w:ascii="宋体" w:hAnsi="宋体" w:eastAsia="宋体" w:cs="宋体"/>
                      <w:szCs w:val="21"/>
                    </w:rPr>
                  </w:pPr>
                </w:p>
              </w:tc>
            </w:tr>
            <w:tr w14:paraId="0E27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77D395E3">
                  <w:pPr>
                    <w:jc w:val="center"/>
                    <w:rPr>
                      <w:rFonts w:ascii="Times New Roman" w:hAnsi="Times New Roman" w:cs="Times New Roman"/>
                      <w:szCs w:val="21"/>
                    </w:rPr>
                  </w:pPr>
                </w:p>
              </w:tc>
              <w:tc>
                <w:tcPr>
                  <w:tcW w:w="485" w:type="dxa"/>
                  <w:vMerge w:val="continue"/>
                  <w:vAlign w:val="center"/>
                </w:tcPr>
                <w:p w14:paraId="0A7998BD">
                  <w:pPr>
                    <w:jc w:val="center"/>
                    <w:rPr>
                      <w:rFonts w:ascii="Times New Roman" w:hAnsi="Times New Roman" w:cs="Times New Roman"/>
                      <w:szCs w:val="21"/>
                    </w:rPr>
                  </w:pPr>
                </w:p>
              </w:tc>
              <w:tc>
                <w:tcPr>
                  <w:tcW w:w="871" w:type="dxa"/>
                  <w:vAlign w:val="center"/>
                </w:tcPr>
                <w:p w14:paraId="1759A217">
                  <w:pPr>
                    <w:jc w:val="center"/>
                    <w:rPr>
                      <w:rFonts w:ascii="Times New Roman" w:hAnsi="Times New Roman" w:cs="Times New Roman"/>
                      <w:szCs w:val="21"/>
                    </w:rPr>
                  </w:pPr>
                  <w:r>
                    <w:rPr>
                      <w:rFonts w:ascii="Times New Roman" w:hAnsi="Times New Roman" w:cs="Times New Roman"/>
                      <w:szCs w:val="21"/>
                    </w:rPr>
                    <w:t>化粪池</w:t>
                  </w:r>
                </w:p>
              </w:tc>
              <w:tc>
                <w:tcPr>
                  <w:tcW w:w="5188" w:type="dxa"/>
                  <w:vAlign w:val="center"/>
                </w:tcPr>
                <w:p w14:paraId="7897E7BA">
                  <w:pPr>
                    <w:ind w:firstLine="210" w:firstLineChars="100"/>
                    <w:jc w:val="left"/>
                    <w:rPr>
                      <w:rFonts w:ascii="Times New Roman" w:hAnsi="Times New Roman" w:cs="Times New Roman"/>
                      <w:szCs w:val="21"/>
                    </w:rPr>
                  </w:pPr>
                  <w:r>
                    <w:rPr>
                      <w:rFonts w:ascii="Times New Roman" w:hAnsi="Times New Roman" w:cs="Times New Roman"/>
                      <w:szCs w:val="21"/>
                    </w:rPr>
                    <w:t>1个，容积5m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地埋式，</w:t>
                  </w:r>
                  <w:r>
                    <w:rPr>
                      <w:rFonts w:ascii="Times New Roman" w:hAnsi="Times New Roman" w:cs="Times New Roman"/>
                      <w:szCs w:val="21"/>
                    </w:rPr>
                    <w:t>位于</w:t>
                  </w:r>
                  <w:r>
                    <w:rPr>
                      <w:rFonts w:hint="eastAsia" w:ascii="Times New Roman" w:hAnsi="Times New Roman" w:cs="Times New Roman"/>
                      <w:szCs w:val="21"/>
                    </w:rPr>
                    <w:t>办公生活楼旁。</w:t>
                  </w:r>
                </w:p>
              </w:tc>
              <w:tc>
                <w:tcPr>
                  <w:tcW w:w="887" w:type="dxa"/>
                  <w:vAlign w:val="center"/>
                </w:tcPr>
                <w:p w14:paraId="36757EE0">
                  <w:pPr>
                    <w:jc w:val="center"/>
                    <w:rPr>
                      <w:rFonts w:ascii="宋体" w:hAnsi="宋体" w:eastAsia="宋体" w:cs="宋体"/>
                      <w:szCs w:val="21"/>
                    </w:rPr>
                  </w:pPr>
                </w:p>
              </w:tc>
            </w:tr>
            <w:tr w14:paraId="19D1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179066F">
                  <w:pPr>
                    <w:jc w:val="center"/>
                    <w:rPr>
                      <w:rFonts w:ascii="Times New Roman" w:hAnsi="Times New Roman" w:cs="Times New Roman"/>
                      <w:szCs w:val="21"/>
                    </w:rPr>
                  </w:pPr>
                </w:p>
              </w:tc>
              <w:tc>
                <w:tcPr>
                  <w:tcW w:w="485" w:type="dxa"/>
                  <w:vMerge w:val="continue"/>
                  <w:vAlign w:val="center"/>
                </w:tcPr>
                <w:p w14:paraId="23493C06">
                  <w:pPr>
                    <w:jc w:val="center"/>
                    <w:rPr>
                      <w:rFonts w:ascii="Times New Roman" w:hAnsi="Times New Roman" w:cs="Times New Roman"/>
                      <w:szCs w:val="21"/>
                    </w:rPr>
                  </w:pPr>
                </w:p>
              </w:tc>
              <w:tc>
                <w:tcPr>
                  <w:tcW w:w="871" w:type="dxa"/>
                  <w:vAlign w:val="center"/>
                </w:tcPr>
                <w:p w14:paraId="445B84E8">
                  <w:pPr>
                    <w:jc w:val="center"/>
                    <w:rPr>
                      <w:rFonts w:ascii="Times New Roman" w:hAnsi="Times New Roman" w:cs="Times New Roman"/>
                      <w:szCs w:val="21"/>
                    </w:rPr>
                  </w:pPr>
                  <w:r>
                    <w:rPr>
                      <w:rFonts w:hint="eastAsia" w:ascii="Times New Roman" w:hAnsi="Times New Roman" w:cs="Times New Roman"/>
                      <w:szCs w:val="21"/>
                    </w:rPr>
                    <w:t>污水处理设施</w:t>
                  </w:r>
                </w:p>
              </w:tc>
              <w:tc>
                <w:tcPr>
                  <w:tcW w:w="5188" w:type="dxa"/>
                  <w:vAlign w:val="center"/>
                </w:tcPr>
                <w:p w14:paraId="66C2AB63">
                  <w:pPr>
                    <w:ind w:firstLine="210" w:firstLineChars="100"/>
                    <w:jc w:val="left"/>
                    <w:rPr>
                      <w:rFonts w:ascii="Times New Roman" w:hAnsi="Times New Roman" w:cs="Times New Roman"/>
                      <w:szCs w:val="21"/>
                    </w:rPr>
                  </w:pPr>
                  <w:r>
                    <w:rPr>
                      <w:rFonts w:hint="eastAsia" w:ascii="Times New Roman" w:hAnsi="Times New Roman" w:cs="Times New Roman"/>
                      <w:szCs w:val="21"/>
                    </w:rPr>
                    <w:t>厂区东部</w:t>
                  </w:r>
                  <w:r>
                    <w:rPr>
                      <w:rFonts w:ascii="Times New Roman" w:hAnsi="Times New Roman" w:cs="Times New Roman"/>
                      <w:szCs w:val="21"/>
                    </w:rPr>
                    <w:t>拟设置1座处理规模为15m</w:t>
                  </w:r>
                  <w:r>
                    <w:rPr>
                      <w:rFonts w:ascii="Times New Roman" w:hAnsi="Times New Roman" w:cs="Times New Roman"/>
                      <w:szCs w:val="21"/>
                      <w:vertAlign w:val="superscript"/>
                    </w:rPr>
                    <w:t>3</w:t>
                  </w:r>
                  <w:r>
                    <w:rPr>
                      <w:rFonts w:ascii="Times New Roman" w:hAnsi="Times New Roman" w:cs="Times New Roman"/>
                      <w:szCs w:val="21"/>
                    </w:rPr>
                    <w:t>/d 的污水处理站，处理工艺为“隔油+调节+AAO</w:t>
                  </w:r>
                  <w:r>
                    <w:rPr>
                      <w:rFonts w:hint="eastAsia" w:ascii="Times New Roman" w:hAnsi="Times New Roman" w:cs="Times New Roman"/>
                      <w:szCs w:val="21"/>
                    </w:rPr>
                    <w:t>处理</w:t>
                  </w:r>
                  <w:r>
                    <w:rPr>
                      <w:rFonts w:ascii="Times New Roman" w:hAnsi="Times New Roman" w:cs="Times New Roman"/>
                      <w:szCs w:val="21"/>
                    </w:rPr>
                    <w:t>+消毒”，对项目区生产废水和生活污水进行处理</w:t>
                  </w:r>
                  <w:r>
                    <w:rPr>
                      <w:rFonts w:hint="eastAsia" w:ascii="Times New Roman" w:hAnsi="Times New Roman" w:cs="Times New Roman"/>
                      <w:szCs w:val="21"/>
                    </w:rPr>
                    <w:t>，出水全部用作租用耕地灌溉，不外排。</w:t>
                  </w:r>
                </w:p>
              </w:tc>
              <w:tc>
                <w:tcPr>
                  <w:tcW w:w="887" w:type="dxa"/>
                  <w:vAlign w:val="center"/>
                </w:tcPr>
                <w:p w14:paraId="7816DAD6">
                  <w:pPr>
                    <w:jc w:val="center"/>
                    <w:rPr>
                      <w:rFonts w:ascii="宋体" w:hAnsi="宋体" w:eastAsia="宋体" w:cs="宋体"/>
                      <w:b/>
                      <w:bCs/>
                      <w:szCs w:val="21"/>
                    </w:rPr>
                  </w:pPr>
                </w:p>
              </w:tc>
            </w:tr>
            <w:tr w14:paraId="1DBD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04DA81C">
                  <w:pPr>
                    <w:jc w:val="center"/>
                    <w:rPr>
                      <w:rFonts w:ascii="Times New Roman" w:hAnsi="Times New Roman" w:cs="Times New Roman"/>
                      <w:szCs w:val="21"/>
                    </w:rPr>
                  </w:pPr>
                </w:p>
              </w:tc>
              <w:tc>
                <w:tcPr>
                  <w:tcW w:w="485" w:type="dxa"/>
                  <w:vMerge w:val="continue"/>
                  <w:vAlign w:val="center"/>
                </w:tcPr>
                <w:p w14:paraId="60C9239B">
                  <w:pPr>
                    <w:jc w:val="center"/>
                    <w:rPr>
                      <w:rFonts w:ascii="Times New Roman" w:hAnsi="Times New Roman" w:cs="Times New Roman"/>
                      <w:szCs w:val="21"/>
                    </w:rPr>
                  </w:pPr>
                </w:p>
              </w:tc>
              <w:tc>
                <w:tcPr>
                  <w:tcW w:w="871" w:type="dxa"/>
                  <w:vAlign w:val="center"/>
                </w:tcPr>
                <w:p w14:paraId="2A3BDCBF">
                  <w:pPr>
                    <w:jc w:val="center"/>
                    <w:rPr>
                      <w:rFonts w:ascii="Times New Roman" w:hAnsi="Times New Roman" w:cs="Times New Roman"/>
                      <w:szCs w:val="21"/>
                    </w:rPr>
                  </w:pPr>
                  <w:r>
                    <w:rPr>
                      <w:rFonts w:hint="eastAsia" w:ascii="Times New Roman" w:hAnsi="Times New Roman" w:cs="Times New Roman"/>
                      <w:szCs w:val="21"/>
                    </w:rPr>
                    <w:t>事故池</w:t>
                  </w:r>
                </w:p>
              </w:tc>
              <w:tc>
                <w:tcPr>
                  <w:tcW w:w="5188" w:type="dxa"/>
                  <w:vAlign w:val="center"/>
                </w:tcPr>
                <w:p w14:paraId="36A97772">
                  <w:pPr>
                    <w:ind w:firstLine="210" w:firstLineChars="100"/>
                    <w:jc w:val="left"/>
                    <w:rPr>
                      <w:rFonts w:ascii="Times New Roman" w:hAnsi="Times New Roman" w:cs="Times New Roman"/>
                      <w:szCs w:val="21"/>
                    </w:rPr>
                  </w:pPr>
                  <w:r>
                    <w:rPr>
                      <w:rFonts w:hint="eastAsia" w:ascii="Times New Roman" w:hAnsi="Times New Roman" w:cs="Times New Roman"/>
                      <w:szCs w:val="21"/>
                    </w:rPr>
                    <w:t>设1个2</w:t>
                  </w:r>
                  <w:r>
                    <w:rPr>
                      <w:rFonts w:ascii="Times New Roman" w:hAnsi="Times New Roman" w:cs="Times New Roman"/>
                      <w:szCs w:val="21"/>
                    </w:rPr>
                    <w:t>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应急</w:t>
                  </w:r>
                  <w:r>
                    <w:rPr>
                      <w:rFonts w:ascii="Times New Roman" w:hAnsi="Times New Roman" w:cs="Times New Roman"/>
                      <w:szCs w:val="21"/>
                    </w:rPr>
                    <w:t>事故池</w:t>
                  </w:r>
                  <w:r>
                    <w:rPr>
                      <w:rFonts w:hint="eastAsia" w:ascii="Times New Roman" w:hAnsi="Times New Roman" w:cs="Times New Roman"/>
                      <w:szCs w:val="21"/>
                    </w:rPr>
                    <w:t>（兼消防废水池），池体防渗处理。</w:t>
                  </w:r>
                </w:p>
              </w:tc>
              <w:tc>
                <w:tcPr>
                  <w:tcW w:w="887" w:type="dxa"/>
                  <w:vAlign w:val="center"/>
                </w:tcPr>
                <w:p w14:paraId="3D32143F">
                  <w:pPr>
                    <w:jc w:val="center"/>
                    <w:rPr>
                      <w:rFonts w:ascii="宋体" w:hAnsi="宋体" w:eastAsia="宋体" w:cs="宋体"/>
                      <w:b/>
                      <w:bCs/>
                      <w:szCs w:val="21"/>
                    </w:rPr>
                  </w:pPr>
                </w:p>
              </w:tc>
            </w:tr>
            <w:tr w14:paraId="5B03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1E750DD">
                  <w:pPr>
                    <w:jc w:val="center"/>
                    <w:rPr>
                      <w:rFonts w:ascii="Times New Roman" w:hAnsi="Times New Roman" w:cs="Times New Roman"/>
                      <w:szCs w:val="21"/>
                    </w:rPr>
                  </w:pPr>
                </w:p>
              </w:tc>
              <w:tc>
                <w:tcPr>
                  <w:tcW w:w="485" w:type="dxa"/>
                  <w:vMerge w:val="continue"/>
                  <w:vAlign w:val="center"/>
                </w:tcPr>
                <w:p w14:paraId="617E10E6">
                  <w:pPr>
                    <w:jc w:val="center"/>
                    <w:rPr>
                      <w:rFonts w:ascii="Times New Roman" w:hAnsi="Times New Roman" w:cs="Times New Roman"/>
                      <w:szCs w:val="21"/>
                    </w:rPr>
                  </w:pPr>
                </w:p>
              </w:tc>
              <w:tc>
                <w:tcPr>
                  <w:tcW w:w="871" w:type="dxa"/>
                  <w:vAlign w:val="center"/>
                </w:tcPr>
                <w:p w14:paraId="3A440C45">
                  <w:pPr>
                    <w:jc w:val="center"/>
                    <w:rPr>
                      <w:rFonts w:ascii="Times New Roman" w:hAnsi="Times New Roman" w:cs="Times New Roman"/>
                      <w:szCs w:val="21"/>
                    </w:rPr>
                  </w:pPr>
                  <w:r>
                    <w:t>检验废 水收集 桶</w:t>
                  </w:r>
                </w:p>
              </w:tc>
              <w:tc>
                <w:tcPr>
                  <w:tcW w:w="5188" w:type="dxa"/>
                  <w:vAlign w:val="center"/>
                </w:tcPr>
                <w:p w14:paraId="1F1177D0">
                  <w:pPr>
                    <w:ind w:firstLine="210" w:firstLineChars="100"/>
                    <w:jc w:val="left"/>
                    <w:rPr>
                      <w:rFonts w:ascii="Times New Roman" w:hAnsi="Times New Roman" w:cs="Times New Roman"/>
                      <w:szCs w:val="21"/>
                    </w:rPr>
                  </w:pPr>
                  <w:r>
                    <w:rPr>
                      <w:rFonts w:ascii="Times New Roman" w:hAnsi="Times New Roman" w:cs="Times New Roman"/>
                      <w:szCs w:val="21"/>
                    </w:rPr>
                    <w:t>检验室设置1个</w:t>
                  </w:r>
                  <w:r>
                    <w:rPr>
                      <w:rFonts w:hint="eastAsia" w:ascii="Times New Roman" w:hAnsi="Times New Roman" w:cs="Times New Roman"/>
                      <w:szCs w:val="21"/>
                    </w:rPr>
                    <w:t>1</w:t>
                  </w:r>
                  <w:r>
                    <w:rPr>
                      <w:rFonts w:ascii="Times New Roman" w:hAnsi="Times New Roman" w:cs="Times New Roman"/>
                      <w:szCs w:val="21"/>
                    </w:rPr>
                    <w:t>00L检验废水收集桶，用于收集预处理检验废水。</w:t>
                  </w:r>
                </w:p>
              </w:tc>
              <w:tc>
                <w:tcPr>
                  <w:tcW w:w="887" w:type="dxa"/>
                  <w:vAlign w:val="center"/>
                </w:tcPr>
                <w:p w14:paraId="13042156">
                  <w:pPr>
                    <w:jc w:val="center"/>
                    <w:rPr>
                      <w:rFonts w:ascii="宋体" w:hAnsi="宋体" w:eastAsia="宋体" w:cs="宋体"/>
                      <w:b/>
                      <w:bCs/>
                      <w:szCs w:val="21"/>
                    </w:rPr>
                  </w:pPr>
                </w:p>
              </w:tc>
            </w:tr>
            <w:tr w14:paraId="5EFB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52EDBE90">
                  <w:pPr>
                    <w:jc w:val="center"/>
                    <w:rPr>
                      <w:rFonts w:ascii="Times New Roman" w:hAnsi="Times New Roman" w:cs="Times New Roman"/>
                      <w:szCs w:val="21"/>
                    </w:rPr>
                  </w:pPr>
                </w:p>
              </w:tc>
              <w:tc>
                <w:tcPr>
                  <w:tcW w:w="485" w:type="dxa"/>
                  <w:vMerge w:val="continue"/>
                  <w:vAlign w:val="center"/>
                </w:tcPr>
                <w:p w14:paraId="156DFD82">
                  <w:pPr>
                    <w:jc w:val="center"/>
                    <w:rPr>
                      <w:rFonts w:ascii="Times New Roman" w:hAnsi="Times New Roman" w:cs="Times New Roman"/>
                      <w:szCs w:val="21"/>
                    </w:rPr>
                  </w:pPr>
                </w:p>
              </w:tc>
              <w:tc>
                <w:tcPr>
                  <w:tcW w:w="871" w:type="dxa"/>
                  <w:vAlign w:val="center"/>
                </w:tcPr>
                <w:p w14:paraId="4E43D080">
                  <w:pPr>
                    <w:jc w:val="center"/>
                    <w:rPr>
                      <w:rFonts w:ascii="Times New Roman" w:hAnsi="Times New Roman" w:cs="Times New Roman"/>
                      <w:szCs w:val="21"/>
                    </w:rPr>
                  </w:pPr>
                  <w:r>
                    <w:t>储水池</w:t>
                  </w:r>
                </w:p>
              </w:tc>
              <w:tc>
                <w:tcPr>
                  <w:tcW w:w="5188" w:type="dxa"/>
                  <w:vAlign w:val="center"/>
                </w:tcPr>
                <w:p w14:paraId="495BE725">
                  <w:pPr>
                    <w:ind w:firstLine="210" w:firstLineChars="100"/>
                    <w:jc w:val="left"/>
                    <w:rPr>
                      <w:rFonts w:ascii="Times New Roman" w:hAnsi="Times New Roman" w:cs="Times New Roman"/>
                      <w:szCs w:val="21"/>
                    </w:rPr>
                  </w:pPr>
                  <w:r>
                    <w:rPr>
                      <w:rFonts w:ascii="Times New Roman" w:hAnsi="Times New Roman" w:cs="Times New Roman"/>
                      <w:szCs w:val="21"/>
                    </w:rPr>
                    <w:t>1个，容积为250m</w:t>
                  </w:r>
                  <w:r>
                    <w:rPr>
                      <w:rFonts w:ascii="Times New Roman" w:hAnsi="Times New Roman" w:cs="Times New Roman"/>
                      <w:szCs w:val="21"/>
                      <w:vertAlign w:val="superscript"/>
                    </w:rPr>
                    <w:t>3</w:t>
                  </w:r>
                  <w:r>
                    <w:rPr>
                      <w:rFonts w:ascii="Times New Roman" w:hAnsi="Times New Roman" w:cs="Times New Roman"/>
                      <w:szCs w:val="21"/>
                    </w:rPr>
                    <w:t>，用于暂存处理达标后的</w:t>
                  </w:r>
                  <w:r>
                    <w:rPr>
                      <w:rFonts w:hint="eastAsia" w:ascii="Times New Roman" w:hAnsi="Times New Roman" w:cs="Times New Roman"/>
                      <w:szCs w:val="21"/>
                    </w:rPr>
                    <w:t>尾水，池体防渗处理。</w:t>
                  </w:r>
                </w:p>
              </w:tc>
              <w:tc>
                <w:tcPr>
                  <w:tcW w:w="887" w:type="dxa"/>
                  <w:vAlign w:val="center"/>
                </w:tcPr>
                <w:p w14:paraId="0D95385D">
                  <w:pPr>
                    <w:jc w:val="center"/>
                    <w:rPr>
                      <w:rFonts w:ascii="宋体" w:hAnsi="宋体" w:eastAsia="宋体" w:cs="宋体"/>
                      <w:b/>
                      <w:bCs/>
                      <w:szCs w:val="21"/>
                    </w:rPr>
                  </w:pPr>
                </w:p>
              </w:tc>
            </w:tr>
            <w:tr w14:paraId="2432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CF9C12B">
                  <w:pPr>
                    <w:jc w:val="center"/>
                    <w:rPr>
                      <w:rFonts w:ascii="Times New Roman" w:hAnsi="Times New Roman" w:cs="Times New Roman"/>
                      <w:szCs w:val="21"/>
                    </w:rPr>
                  </w:pPr>
                </w:p>
              </w:tc>
              <w:tc>
                <w:tcPr>
                  <w:tcW w:w="485" w:type="dxa"/>
                  <w:vMerge w:val="continue"/>
                  <w:vAlign w:val="center"/>
                </w:tcPr>
                <w:p w14:paraId="2C185FD3">
                  <w:pPr>
                    <w:jc w:val="center"/>
                    <w:rPr>
                      <w:rFonts w:ascii="Times New Roman" w:hAnsi="Times New Roman" w:cs="Times New Roman"/>
                      <w:szCs w:val="21"/>
                    </w:rPr>
                  </w:pPr>
                </w:p>
              </w:tc>
              <w:tc>
                <w:tcPr>
                  <w:tcW w:w="871" w:type="dxa"/>
                  <w:vAlign w:val="center"/>
                </w:tcPr>
                <w:p w14:paraId="4ED1FE39">
                  <w:pPr>
                    <w:jc w:val="center"/>
                  </w:pPr>
                  <w:r>
                    <w:t>耕地+农田退水收集池</w:t>
                  </w:r>
                </w:p>
              </w:tc>
              <w:tc>
                <w:tcPr>
                  <w:tcW w:w="5188" w:type="dxa"/>
                  <w:vAlign w:val="center"/>
                </w:tcPr>
                <w:p w14:paraId="33FD694E">
                  <w:pPr>
                    <w:ind w:firstLine="210" w:firstLineChars="100"/>
                    <w:jc w:val="left"/>
                    <w:rPr>
                      <w:rFonts w:ascii="Times New Roman" w:hAnsi="Times New Roman" w:cs="Times New Roman"/>
                      <w:szCs w:val="21"/>
                    </w:rPr>
                  </w:pPr>
                  <w:r>
                    <w:rPr>
                      <w:rFonts w:hint="eastAsia" w:ascii="Times New Roman" w:hAnsi="Times New Roman" w:cs="Times New Roman"/>
                      <w:szCs w:val="21"/>
                    </w:rPr>
                    <w:t>中水消纳配套</w:t>
                  </w:r>
                  <w:r>
                    <w:rPr>
                      <w:rFonts w:ascii="Times New Roman" w:hAnsi="Times New Roman" w:cs="Times New Roman"/>
                      <w:szCs w:val="21"/>
                    </w:rPr>
                    <w:t>耕地131</w:t>
                  </w:r>
                  <w:r>
                    <w:rPr>
                      <w:rFonts w:hint="eastAsia" w:ascii="Times New Roman" w:hAnsi="Times New Roman" w:cs="Times New Roman"/>
                      <w:szCs w:val="21"/>
                    </w:rPr>
                    <w:t>亩</w:t>
                  </w:r>
                  <w:r>
                    <w:rPr>
                      <w:rFonts w:ascii="Times New Roman" w:hAnsi="Times New Roman" w:cs="Times New Roman"/>
                      <w:szCs w:val="21"/>
                    </w:rPr>
                    <w:t>，</w:t>
                  </w:r>
                  <w:r>
                    <w:rPr>
                      <w:rFonts w:hint="eastAsia" w:ascii="Times New Roman" w:hAnsi="Times New Roman" w:cs="Times New Roman"/>
                      <w:szCs w:val="21"/>
                    </w:rPr>
                    <w:t>设5</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退水收集池1个，</w:t>
                  </w:r>
                  <w:r>
                    <w:rPr>
                      <w:rFonts w:hint="eastAsia" w:ascii="Times New Roman" w:hAnsi="Times New Roman" w:cs="Times New Roman"/>
                      <w:szCs w:val="21"/>
                    </w:rPr>
                    <w:t>农田退水</w:t>
                  </w:r>
                  <w:r>
                    <w:rPr>
                      <w:rFonts w:ascii="Times New Roman" w:hAnsi="Times New Roman" w:cs="Times New Roman"/>
                      <w:szCs w:val="21"/>
                    </w:rPr>
                    <w:t>收集</w:t>
                  </w:r>
                  <w:r>
                    <w:rPr>
                      <w:rFonts w:hint="eastAsia" w:ascii="Times New Roman" w:hAnsi="Times New Roman" w:cs="Times New Roman"/>
                      <w:szCs w:val="21"/>
                    </w:rPr>
                    <w:t>后</w:t>
                  </w:r>
                  <w:r>
                    <w:rPr>
                      <w:rFonts w:ascii="Times New Roman" w:hAnsi="Times New Roman" w:cs="Times New Roman"/>
                      <w:szCs w:val="21"/>
                    </w:rPr>
                    <w:t>，定期回用于灌溉。</w:t>
                  </w:r>
                </w:p>
              </w:tc>
              <w:tc>
                <w:tcPr>
                  <w:tcW w:w="887" w:type="dxa"/>
                  <w:vAlign w:val="center"/>
                </w:tcPr>
                <w:p w14:paraId="1E401B48">
                  <w:pPr>
                    <w:jc w:val="center"/>
                    <w:rPr>
                      <w:rFonts w:ascii="宋体" w:hAnsi="宋体" w:eastAsia="宋体" w:cs="宋体"/>
                      <w:b/>
                      <w:bCs/>
                      <w:szCs w:val="21"/>
                    </w:rPr>
                  </w:pPr>
                </w:p>
              </w:tc>
            </w:tr>
            <w:tr w14:paraId="61F8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A2661A6">
                  <w:pPr>
                    <w:jc w:val="center"/>
                    <w:rPr>
                      <w:rFonts w:ascii="Times New Roman" w:hAnsi="Times New Roman" w:cs="Times New Roman"/>
                      <w:szCs w:val="21"/>
                    </w:rPr>
                  </w:pPr>
                </w:p>
              </w:tc>
              <w:tc>
                <w:tcPr>
                  <w:tcW w:w="485" w:type="dxa"/>
                  <w:vMerge w:val="restart"/>
                  <w:vAlign w:val="center"/>
                </w:tcPr>
                <w:p w14:paraId="76884AA2">
                  <w:pPr>
                    <w:jc w:val="center"/>
                    <w:rPr>
                      <w:rFonts w:ascii="Times New Roman" w:hAnsi="Times New Roman" w:cs="Times New Roman"/>
                      <w:szCs w:val="21"/>
                    </w:rPr>
                  </w:pPr>
                  <w:r>
                    <w:rPr>
                      <w:rFonts w:hint="eastAsia" w:ascii="Times New Roman" w:hAnsi="Times New Roman" w:cs="Times New Roman"/>
                      <w:szCs w:val="21"/>
                    </w:rPr>
                    <w:t>废气治理</w:t>
                  </w:r>
                </w:p>
              </w:tc>
              <w:tc>
                <w:tcPr>
                  <w:tcW w:w="871" w:type="dxa"/>
                  <w:vAlign w:val="center"/>
                </w:tcPr>
                <w:p w14:paraId="49E4B4E4">
                  <w:pPr>
                    <w:jc w:val="center"/>
                    <w:rPr>
                      <w:rFonts w:ascii="Times New Roman" w:hAnsi="Times New Roman" w:cs="Times New Roman"/>
                      <w:szCs w:val="21"/>
                    </w:rPr>
                  </w:pPr>
                  <w:r>
                    <w:rPr>
                      <w:rFonts w:hint="eastAsia" w:ascii="Times New Roman" w:hAnsi="Times New Roman" w:cs="Times New Roman"/>
                      <w:szCs w:val="21"/>
                    </w:rPr>
                    <w:t>锅炉排气筒</w:t>
                  </w:r>
                </w:p>
              </w:tc>
              <w:tc>
                <w:tcPr>
                  <w:tcW w:w="5188" w:type="dxa"/>
                  <w:vAlign w:val="center"/>
                </w:tcPr>
                <w:p w14:paraId="6ACE9803">
                  <w:pPr>
                    <w:ind w:firstLine="210" w:firstLineChars="100"/>
                    <w:jc w:val="left"/>
                    <w:rPr>
                      <w:rFonts w:ascii="Times New Roman" w:hAnsi="Times New Roman" w:cs="Times New Roman"/>
                      <w:szCs w:val="21"/>
                    </w:rPr>
                  </w:pPr>
                  <w:r>
                    <w:rPr>
                      <w:rFonts w:hint="eastAsia" w:ascii="Times New Roman" w:hAnsi="Times New Roman" w:cs="Times New Roman"/>
                      <w:szCs w:val="21"/>
                    </w:rPr>
                    <w:t>锅炉设1根φ</w:t>
                  </w:r>
                  <w:r>
                    <w:rPr>
                      <w:rFonts w:ascii="Times New Roman" w:hAnsi="Times New Roman" w:cs="Times New Roman"/>
                      <w:szCs w:val="21"/>
                    </w:rPr>
                    <w:t>4</w:t>
                  </w:r>
                  <w:r>
                    <w:rPr>
                      <w:rFonts w:hint="eastAsia" w:ascii="Times New Roman" w:hAnsi="Times New Roman" w:cs="Times New Roman"/>
                      <w:szCs w:val="21"/>
                    </w:rPr>
                    <w:t>00的</w:t>
                  </w:r>
                  <w:r>
                    <w:rPr>
                      <w:rFonts w:ascii="Times New Roman" w:hAnsi="Times New Roman" w:cs="Times New Roman"/>
                      <w:szCs w:val="21"/>
                    </w:rPr>
                    <w:t>35</w:t>
                  </w:r>
                  <w:r>
                    <w:rPr>
                      <w:rFonts w:hint="eastAsia" w:ascii="Times New Roman" w:hAnsi="Times New Roman" w:cs="Times New Roman"/>
                      <w:szCs w:val="21"/>
                    </w:rPr>
                    <w:t>m排气筒</w:t>
                  </w:r>
                  <w:r>
                    <w:rPr>
                      <w:rFonts w:ascii="Times New Roman" w:hAnsi="Times New Roman" w:cs="Times New Roman"/>
                      <w:szCs w:val="21"/>
                    </w:rPr>
                    <w:t>（DA001）</w:t>
                  </w:r>
                  <w:r>
                    <w:rPr>
                      <w:rFonts w:hint="eastAsia" w:ascii="Times New Roman" w:hAnsi="Times New Roman" w:cs="Times New Roman"/>
                      <w:szCs w:val="21"/>
                    </w:rPr>
                    <w:t>。</w:t>
                  </w:r>
                </w:p>
              </w:tc>
              <w:tc>
                <w:tcPr>
                  <w:tcW w:w="887" w:type="dxa"/>
                  <w:vAlign w:val="center"/>
                </w:tcPr>
                <w:p w14:paraId="5F40556F">
                  <w:pPr>
                    <w:jc w:val="center"/>
                    <w:rPr>
                      <w:rFonts w:ascii="宋体" w:hAnsi="宋体" w:eastAsia="宋体" w:cs="宋体"/>
                      <w:szCs w:val="21"/>
                    </w:rPr>
                  </w:pPr>
                </w:p>
              </w:tc>
            </w:tr>
            <w:tr w14:paraId="1564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CFE2D86">
                  <w:pPr>
                    <w:jc w:val="center"/>
                    <w:rPr>
                      <w:rFonts w:ascii="Times New Roman" w:hAnsi="Times New Roman" w:cs="Times New Roman"/>
                      <w:szCs w:val="21"/>
                    </w:rPr>
                  </w:pPr>
                </w:p>
              </w:tc>
              <w:tc>
                <w:tcPr>
                  <w:tcW w:w="485" w:type="dxa"/>
                  <w:vMerge w:val="continue"/>
                  <w:vAlign w:val="center"/>
                </w:tcPr>
                <w:p w14:paraId="5A8657BE">
                  <w:pPr>
                    <w:jc w:val="center"/>
                    <w:rPr>
                      <w:rFonts w:ascii="Times New Roman" w:hAnsi="Times New Roman" w:cs="Times New Roman"/>
                      <w:szCs w:val="21"/>
                    </w:rPr>
                  </w:pPr>
                </w:p>
              </w:tc>
              <w:tc>
                <w:tcPr>
                  <w:tcW w:w="871" w:type="dxa"/>
                  <w:vAlign w:val="center"/>
                </w:tcPr>
                <w:p w14:paraId="7DABF190">
                  <w:pPr>
                    <w:jc w:val="center"/>
                    <w:rPr>
                      <w:rFonts w:ascii="Times New Roman" w:hAnsi="Times New Roman" w:cs="Times New Roman"/>
                      <w:szCs w:val="21"/>
                    </w:rPr>
                  </w:pPr>
                  <w:r>
                    <w:t>工艺废 气</w:t>
                  </w:r>
                </w:p>
              </w:tc>
              <w:tc>
                <w:tcPr>
                  <w:tcW w:w="5188" w:type="dxa"/>
                  <w:vAlign w:val="center"/>
                </w:tcPr>
                <w:p w14:paraId="5B3FE737">
                  <w:pPr>
                    <w:ind w:firstLine="210" w:firstLineChars="100"/>
                    <w:jc w:val="left"/>
                    <w:rPr>
                      <w:rFonts w:ascii="Times New Roman" w:hAnsi="Times New Roman" w:cs="Times New Roman"/>
                      <w:szCs w:val="21"/>
                    </w:rPr>
                  </w:pPr>
                  <w:r>
                    <w:rPr>
                      <w:rFonts w:ascii="Times New Roman" w:hAnsi="Times New Roman" w:cs="Times New Roman"/>
                      <w:szCs w:val="21"/>
                    </w:rPr>
                    <w:t>项目破碎机、化制罐、干燥机、榨油机均为密闭设置，拟在这4台机器上设置集气</w:t>
                  </w:r>
                  <w:r>
                    <w:rPr>
                      <w:rFonts w:hint="eastAsia" w:ascii="Times New Roman" w:hAnsi="Times New Roman" w:cs="Times New Roman"/>
                      <w:szCs w:val="21"/>
                    </w:rPr>
                    <w:t>管</w:t>
                  </w:r>
                  <w:r>
                    <w:rPr>
                      <w:rFonts w:ascii="Times New Roman" w:hAnsi="Times New Roman" w:cs="Times New Roman"/>
                      <w:szCs w:val="21"/>
                    </w:rPr>
                    <w:t>，恶臭气体经集气</w:t>
                  </w:r>
                  <w:r>
                    <w:rPr>
                      <w:rFonts w:hint="eastAsia" w:ascii="Times New Roman" w:hAnsi="Times New Roman" w:cs="Times New Roman"/>
                      <w:szCs w:val="21"/>
                    </w:rPr>
                    <w:t>管罩</w:t>
                  </w:r>
                  <w:r>
                    <w:rPr>
                      <w:rFonts w:ascii="Times New Roman" w:hAnsi="Times New Roman" w:cs="Times New Roman"/>
                      <w:szCs w:val="21"/>
                    </w:rPr>
                    <w:t>收集后，通过“冷凝+喷淋+焚烧”处理后通过1根35m高的排气筒排放（DA001</w:t>
                  </w:r>
                  <w:r>
                    <w:rPr>
                      <w:rFonts w:hint="eastAsia" w:ascii="Times New Roman" w:hAnsi="Times New Roman" w:cs="Times New Roman"/>
                      <w:szCs w:val="21"/>
                    </w:rPr>
                    <w:t>，即锅炉排气筒</w:t>
                  </w:r>
                  <w:r>
                    <w:rPr>
                      <w:rFonts w:ascii="Times New Roman" w:hAnsi="Times New Roman" w:cs="Times New Roman"/>
                      <w:szCs w:val="21"/>
                    </w:rPr>
                    <w:t>）。</w:t>
                  </w:r>
                </w:p>
              </w:tc>
              <w:tc>
                <w:tcPr>
                  <w:tcW w:w="887" w:type="dxa"/>
                  <w:vAlign w:val="center"/>
                </w:tcPr>
                <w:p w14:paraId="5167C69E">
                  <w:pPr>
                    <w:jc w:val="center"/>
                    <w:rPr>
                      <w:rFonts w:ascii="宋体" w:hAnsi="宋体" w:eastAsia="宋体" w:cs="宋体"/>
                      <w:szCs w:val="21"/>
                    </w:rPr>
                  </w:pPr>
                </w:p>
              </w:tc>
            </w:tr>
            <w:tr w14:paraId="2383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87286B1">
                  <w:pPr>
                    <w:jc w:val="center"/>
                    <w:rPr>
                      <w:rFonts w:ascii="Times New Roman" w:hAnsi="Times New Roman" w:cs="Times New Roman"/>
                      <w:szCs w:val="21"/>
                    </w:rPr>
                  </w:pPr>
                </w:p>
              </w:tc>
              <w:tc>
                <w:tcPr>
                  <w:tcW w:w="485" w:type="dxa"/>
                  <w:vMerge w:val="continue"/>
                  <w:vAlign w:val="center"/>
                </w:tcPr>
                <w:p w14:paraId="4E52FC17">
                  <w:pPr>
                    <w:jc w:val="center"/>
                    <w:rPr>
                      <w:rFonts w:ascii="Times New Roman" w:hAnsi="Times New Roman" w:cs="Times New Roman"/>
                      <w:szCs w:val="21"/>
                    </w:rPr>
                  </w:pPr>
                </w:p>
              </w:tc>
              <w:tc>
                <w:tcPr>
                  <w:tcW w:w="871" w:type="dxa"/>
                  <w:vAlign w:val="center"/>
                </w:tcPr>
                <w:p w14:paraId="5ED0E1D9">
                  <w:pPr>
                    <w:jc w:val="center"/>
                  </w:pPr>
                  <w:r>
                    <w:t>车间废 气</w:t>
                  </w:r>
                </w:p>
              </w:tc>
              <w:tc>
                <w:tcPr>
                  <w:tcW w:w="5188" w:type="dxa"/>
                  <w:vAlign w:val="center"/>
                </w:tcPr>
                <w:p w14:paraId="31DAEA60">
                  <w:pPr>
                    <w:ind w:firstLine="210" w:firstLineChars="100"/>
                    <w:jc w:val="left"/>
                    <w:rPr>
                      <w:rFonts w:ascii="Times New Roman" w:hAnsi="Times New Roman" w:cs="Times New Roman"/>
                      <w:szCs w:val="21"/>
                    </w:rPr>
                  </w:pPr>
                  <w:r>
                    <w:rPr>
                      <w:rFonts w:ascii="Times New Roman" w:hAnsi="Times New Roman" w:cs="Times New Roman"/>
                      <w:szCs w:val="21"/>
                    </w:rPr>
                    <w:t>无害化车间密闭设置，无法由集气</w:t>
                  </w:r>
                  <w:r>
                    <w:rPr>
                      <w:rFonts w:hint="eastAsia" w:ascii="Times New Roman" w:hAnsi="Times New Roman" w:cs="Times New Roman"/>
                      <w:szCs w:val="21"/>
                    </w:rPr>
                    <w:t>管</w:t>
                  </w:r>
                  <w:r>
                    <w:rPr>
                      <w:rFonts w:ascii="Times New Roman" w:hAnsi="Times New Roman" w:cs="Times New Roman"/>
                      <w:szCs w:val="21"/>
                    </w:rPr>
                    <w:t>收集的恶臭气体通过负压收集，然后进入一套</w:t>
                  </w:r>
                  <w:r>
                    <w:rPr>
                      <w:rFonts w:hint="eastAsia" w:ascii="Times New Roman" w:hAnsi="Times New Roman" w:cs="Times New Roman"/>
                      <w:szCs w:val="21"/>
                    </w:rPr>
                    <w:t>二级</w:t>
                  </w:r>
                  <w:r>
                    <w:rPr>
                      <w:rFonts w:ascii="Times New Roman" w:hAnsi="Times New Roman" w:cs="Times New Roman"/>
                      <w:szCs w:val="21"/>
                    </w:rPr>
                    <w:t>活性炭吸附</w:t>
                  </w:r>
                  <w:r>
                    <w:rPr>
                      <w:rFonts w:hint="eastAsia" w:ascii="Times New Roman" w:hAnsi="Times New Roman" w:cs="Times New Roman"/>
                      <w:szCs w:val="21"/>
                    </w:rPr>
                    <w:t>+高效过滤</w:t>
                  </w:r>
                  <w:r>
                    <w:rPr>
                      <w:rFonts w:ascii="Times New Roman" w:hAnsi="Times New Roman" w:cs="Times New Roman"/>
                      <w:szCs w:val="21"/>
                    </w:rPr>
                    <w:t>装置处理后，通过1根15m高排气筒排放（DA002）。</w:t>
                  </w:r>
                </w:p>
              </w:tc>
              <w:tc>
                <w:tcPr>
                  <w:tcW w:w="887" w:type="dxa"/>
                  <w:vAlign w:val="center"/>
                </w:tcPr>
                <w:p w14:paraId="09FA802C">
                  <w:pPr>
                    <w:jc w:val="center"/>
                    <w:rPr>
                      <w:rFonts w:ascii="宋体" w:hAnsi="宋体" w:eastAsia="宋体" w:cs="宋体"/>
                      <w:szCs w:val="21"/>
                    </w:rPr>
                  </w:pPr>
                </w:p>
              </w:tc>
            </w:tr>
            <w:tr w14:paraId="1CCC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790EA61">
                  <w:pPr>
                    <w:jc w:val="center"/>
                    <w:rPr>
                      <w:rFonts w:ascii="Times New Roman" w:hAnsi="Times New Roman" w:cs="Times New Roman"/>
                      <w:szCs w:val="21"/>
                    </w:rPr>
                  </w:pPr>
                </w:p>
              </w:tc>
              <w:tc>
                <w:tcPr>
                  <w:tcW w:w="485" w:type="dxa"/>
                  <w:vMerge w:val="continue"/>
                  <w:vAlign w:val="center"/>
                </w:tcPr>
                <w:p w14:paraId="5EA9CAA9">
                  <w:pPr>
                    <w:jc w:val="center"/>
                    <w:rPr>
                      <w:rFonts w:ascii="Times New Roman" w:hAnsi="Times New Roman" w:cs="Times New Roman"/>
                      <w:szCs w:val="21"/>
                    </w:rPr>
                  </w:pPr>
                </w:p>
              </w:tc>
              <w:tc>
                <w:tcPr>
                  <w:tcW w:w="871" w:type="dxa"/>
                  <w:vAlign w:val="center"/>
                </w:tcPr>
                <w:p w14:paraId="6C03E23C">
                  <w:pPr>
                    <w:jc w:val="center"/>
                    <w:rPr>
                      <w:rFonts w:ascii="Times New Roman" w:hAnsi="Times New Roman" w:cs="Times New Roman"/>
                      <w:szCs w:val="21"/>
                    </w:rPr>
                  </w:pPr>
                  <w:r>
                    <w:t>食堂油烟</w:t>
                  </w:r>
                </w:p>
              </w:tc>
              <w:tc>
                <w:tcPr>
                  <w:tcW w:w="5188" w:type="dxa"/>
                  <w:vAlign w:val="center"/>
                </w:tcPr>
                <w:p w14:paraId="1B3222B8">
                  <w:pPr>
                    <w:ind w:firstLine="210" w:firstLineChars="100"/>
                    <w:jc w:val="left"/>
                    <w:rPr>
                      <w:rFonts w:ascii="Times New Roman" w:hAnsi="Times New Roman" w:cs="Times New Roman"/>
                      <w:szCs w:val="21"/>
                    </w:rPr>
                  </w:pPr>
                  <w:r>
                    <w:rPr>
                      <w:rFonts w:ascii="Times New Roman" w:hAnsi="Times New Roman" w:cs="Times New Roman"/>
                      <w:szCs w:val="21"/>
                    </w:rPr>
                    <w:t>项目厨房设置1套油烟净化器，油烟净化效率不低于 60%</w:t>
                  </w:r>
                  <w:r>
                    <w:rPr>
                      <w:rFonts w:hint="eastAsia" w:ascii="Times New Roman" w:hAnsi="Times New Roman" w:cs="Times New Roman"/>
                      <w:szCs w:val="21"/>
                    </w:rPr>
                    <w:t>。</w:t>
                  </w:r>
                </w:p>
              </w:tc>
              <w:tc>
                <w:tcPr>
                  <w:tcW w:w="887" w:type="dxa"/>
                  <w:vAlign w:val="center"/>
                </w:tcPr>
                <w:p w14:paraId="0A480118">
                  <w:pPr>
                    <w:jc w:val="center"/>
                    <w:rPr>
                      <w:rFonts w:ascii="宋体" w:hAnsi="宋体" w:eastAsia="宋体" w:cs="宋体"/>
                      <w:szCs w:val="21"/>
                    </w:rPr>
                  </w:pPr>
                </w:p>
              </w:tc>
            </w:tr>
            <w:tr w14:paraId="1408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1CAAA8B5">
                  <w:pPr>
                    <w:jc w:val="center"/>
                    <w:rPr>
                      <w:rFonts w:ascii="Times New Roman" w:hAnsi="Times New Roman" w:cs="Times New Roman"/>
                      <w:szCs w:val="21"/>
                    </w:rPr>
                  </w:pPr>
                </w:p>
              </w:tc>
              <w:tc>
                <w:tcPr>
                  <w:tcW w:w="1356" w:type="dxa"/>
                  <w:gridSpan w:val="2"/>
                  <w:vAlign w:val="center"/>
                </w:tcPr>
                <w:p w14:paraId="1C29CF6B">
                  <w:pPr>
                    <w:jc w:val="center"/>
                  </w:pPr>
                  <w:r>
                    <w:rPr>
                      <w:rFonts w:hint="eastAsia" w:ascii="Times New Roman" w:hAnsi="Times New Roman" w:cs="Times New Roman"/>
                      <w:szCs w:val="21"/>
                    </w:rPr>
                    <w:t>噪声</w:t>
                  </w:r>
                </w:p>
              </w:tc>
              <w:tc>
                <w:tcPr>
                  <w:tcW w:w="5188" w:type="dxa"/>
                  <w:vAlign w:val="center"/>
                </w:tcPr>
                <w:p w14:paraId="07F48EA7">
                  <w:pPr>
                    <w:ind w:firstLine="210" w:firstLineChars="100"/>
                    <w:jc w:val="left"/>
                    <w:rPr>
                      <w:rFonts w:ascii="Times New Roman" w:hAnsi="Times New Roman" w:cs="Times New Roman"/>
                      <w:szCs w:val="21"/>
                    </w:rPr>
                  </w:pPr>
                  <w:r>
                    <w:t>所有产噪设备</w:t>
                  </w:r>
                  <w:r>
                    <w:rPr>
                      <w:rFonts w:hint="eastAsia"/>
                    </w:rPr>
                    <w:t>均</w:t>
                  </w:r>
                  <w:r>
                    <w:t>设置于</w:t>
                  </w:r>
                  <w:r>
                    <w:rPr>
                      <w:rFonts w:hint="eastAsia"/>
                    </w:rPr>
                    <w:t>车间</w:t>
                  </w:r>
                  <w:r>
                    <w:t>内，主要产噪</w:t>
                  </w:r>
                  <w:r>
                    <w:rPr>
                      <w:rFonts w:hint="eastAsia"/>
                    </w:rPr>
                    <w:t>固定</w:t>
                  </w:r>
                  <w:r>
                    <w:t>设备基础安装</w:t>
                  </w:r>
                  <w:r>
                    <w:rPr>
                      <w:rFonts w:hint="eastAsia"/>
                    </w:rPr>
                    <w:t>减振</w:t>
                  </w:r>
                  <w:r>
                    <w:t>垫</w:t>
                  </w:r>
                  <w:r>
                    <w:rPr>
                      <w:rFonts w:hint="eastAsia"/>
                    </w:rPr>
                    <w:t>，风机加装消声器。</w:t>
                  </w:r>
                </w:p>
              </w:tc>
              <w:tc>
                <w:tcPr>
                  <w:tcW w:w="887" w:type="dxa"/>
                  <w:vAlign w:val="center"/>
                </w:tcPr>
                <w:p w14:paraId="6FCEB83D">
                  <w:pPr>
                    <w:jc w:val="center"/>
                    <w:rPr>
                      <w:rFonts w:ascii="宋体" w:hAnsi="宋体" w:eastAsia="宋体" w:cs="宋体"/>
                      <w:szCs w:val="21"/>
                    </w:rPr>
                  </w:pPr>
                </w:p>
              </w:tc>
            </w:tr>
            <w:tr w14:paraId="3E69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00E6583B">
                  <w:pPr>
                    <w:jc w:val="center"/>
                    <w:rPr>
                      <w:rFonts w:ascii="Times New Roman" w:hAnsi="Times New Roman" w:cs="Times New Roman"/>
                      <w:szCs w:val="21"/>
                    </w:rPr>
                  </w:pPr>
                </w:p>
              </w:tc>
              <w:tc>
                <w:tcPr>
                  <w:tcW w:w="485" w:type="dxa"/>
                  <w:vMerge w:val="restart"/>
                  <w:vAlign w:val="center"/>
                </w:tcPr>
                <w:p w14:paraId="6E70CF0E">
                  <w:pPr>
                    <w:jc w:val="center"/>
                    <w:rPr>
                      <w:rFonts w:ascii="Times New Roman" w:hAnsi="Times New Roman" w:cs="Times New Roman"/>
                      <w:szCs w:val="21"/>
                    </w:rPr>
                  </w:pPr>
                  <w:r>
                    <w:rPr>
                      <w:rFonts w:hint="eastAsia" w:ascii="Times New Roman" w:hAnsi="Times New Roman" w:cs="Times New Roman"/>
                      <w:szCs w:val="21"/>
                    </w:rPr>
                    <w:t>固废处置</w:t>
                  </w:r>
                </w:p>
              </w:tc>
              <w:tc>
                <w:tcPr>
                  <w:tcW w:w="871" w:type="dxa"/>
                  <w:vAlign w:val="center"/>
                </w:tcPr>
                <w:p w14:paraId="1F42534B">
                  <w:pPr>
                    <w:jc w:val="center"/>
                    <w:rPr>
                      <w:rFonts w:ascii="Times New Roman" w:hAnsi="Times New Roman" w:cs="Times New Roman"/>
                      <w:szCs w:val="21"/>
                    </w:rPr>
                  </w:pPr>
                  <w:r>
                    <w:rPr>
                      <w:rFonts w:ascii="Times New Roman" w:hAnsi="Times New Roman" w:cs="Times New Roman"/>
                      <w:szCs w:val="21"/>
                    </w:rPr>
                    <w:t>垃圾收集</w:t>
                  </w:r>
                </w:p>
              </w:tc>
              <w:tc>
                <w:tcPr>
                  <w:tcW w:w="5188" w:type="dxa"/>
                  <w:vAlign w:val="center"/>
                </w:tcPr>
                <w:p w14:paraId="38DC0BCB">
                  <w:pPr>
                    <w:ind w:firstLine="210" w:firstLineChars="100"/>
                    <w:jc w:val="left"/>
                    <w:rPr>
                      <w:rFonts w:ascii="Times New Roman" w:hAnsi="Times New Roman" w:cs="Times New Roman"/>
                      <w:szCs w:val="21"/>
                    </w:rPr>
                  </w:pPr>
                  <w:r>
                    <w:rPr>
                      <w:rFonts w:hint="eastAsia" w:ascii="Times New Roman" w:hAnsi="Times New Roman" w:cs="Times New Roman"/>
                      <w:szCs w:val="21"/>
                    </w:rPr>
                    <w:t>设加盖型</w:t>
                  </w:r>
                  <w:r>
                    <w:rPr>
                      <w:rFonts w:ascii="Times New Roman" w:hAnsi="Times New Roman" w:cs="Times New Roman"/>
                      <w:szCs w:val="21"/>
                    </w:rPr>
                    <w:t>垃圾桶</w:t>
                  </w:r>
                  <w:r>
                    <w:rPr>
                      <w:rFonts w:hint="eastAsia" w:ascii="Times New Roman" w:hAnsi="Times New Roman" w:cs="Times New Roman"/>
                      <w:szCs w:val="21"/>
                    </w:rPr>
                    <w:t>5个</w:t>
                  </w:r>
                  <w:r>
                    <w:rPr>
                      <w:rFonts w:ascii="Times New Roman" w:hAnsi="Times New Roman" w:cs="Times New Roman"/>
                      <w:szCs w:val="21"/>
                    </w:rPr>
                    <w:t>，</w:t>
                  </w:r>
                  <w:r>
                    <w:rPr>
                      <w:rFonts w:hint="eastAsia" w:ascii="Times New Roman" w:hAnsi="Times New Roman" w:cs="Times New Roman"/>
                      <w:szCs w:val="21"/>
                    </w:rPr>
                    <w:t>小型垃圾桶若干。</w:t>
                  </w:r>
                </w:p>
              </w:tc>
              <w:tc>
                <w:tcPr>
                  <w:tcW w:w="887" w:type="dxa"/>
                  <w:vAlign w:val="center"/>
                </w:tcPr>
                <w:p w14:paraId="634B21E4">
                  <w:pPr>
                    <w:jc w:val="center"/>
                    <w:rPr>
                      <w:rFonts w:ascii="宋体" w:hAnsi="宋体" w:eastAsia="宋体" w:cs="宋体"/>
                      <w:szCs w:val="21"/>
                    </w:rPr>
                  </w:pPr>
                </w:p>
              </w:tc>
            </w:tr>
            <w:tr w14:paraId="2A0A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3F13EFF">
                  <w:pPr>
                    <w:jc w:val="center"/>
                    <w:rPr>
                      <w:rFonts w:ascii="Times New Roman" w:hAnsi="Times New Roman" w:cs="Times New Roman"/>
                      <w:szCs w:val="21"/>
                    </w:rPr>
                  </w:pPr>
                </w:p>
              </w:tc>
              <w:tc>
                <w:tcPr>
                  <w:tcW w:w="485" w:type="dxa"/>
                  <w:vMerge w:val="continue"/>
                  <w:vAlign w:val="center"/>
                </w:tcPr>
                <w:p w14:paraId="72043DB9">
                  <w:pPr>
                    <w:jc w:val="center"/>
                    <w:rPr>
                      <w:rFonts w:ascii="Times New Roman" w:hAnsi="Times New Roman" w:cs="Times New Roman"/>
                      <w:szCs w:val="21"/>
                    </w:rPr>
                  </w:pPr>
                </w:p>
              </w:tc>
              <w:tc>
                <w:tcPr>
                  <w:tcW w:w="871" w:type="dxa"/>
                  <w:vAlign w:val="center"/>
                </w:tcPr>
                <w:p w14:paraId="6E681755">
                  <w:pPr>
                    <w:jc w:val="center"/>
                    <w:rPr>
                      <w:rFonts w:ascii="Times New Roman" w:hAnsi="Times New Roman" w:cs="Times New Roman"/>
                      <w:szCs w:val="21"/>
                    </w:rPr>
                  </w:pPr>
                  <w:r>
                    <w:t>泔水收 集桶</w:t>
                  </w:r>
                </w:p>
              </w:tc>
              <w:tc>
                <w:tcPr>
                  <w:tcW w:w="5188" w:type="dxa"/>
                  <w:vAlign w:val="center"/>
                </w:tcPr>
                <w:p w14:paraId="72EB0C9F">
                  <w:pPr>
                    <w:ind w:firstLine="210" w:firstLineChars="100"/>
                    <w:jc w:val="left"/>
                    <w:rPr>
                      <w:rFonts w:ascii="Times New Roman" w:hAnsi="Times New Roman" w:cs="Times New Roman"/>
                      <w:szCs w:val="21"/>
                    </w:rPr>
                  </w:pPr>
                  <w:r>
                    <w:rPr>
                      <w:rFonts w:hint="eastAsia" w:ascii="Times New Roman" w:hAnsi="Times New Roman" w:cs="Times New Roman"/>
                      <w:szCs w:val="21"/>
                    </w:rPr>
                    <w:t>食堂配</w:t>
                  </w:r>
                  <w:r>
                    <w:rPr>
                      <w:rFonts w:ascii="Times New Roman" w:hAnsi="Times New Roman" w:cs="Times New Roman"/>
                      <w:szCs w:val="21"/>
                    </w:rPr>
                    <w:t>置2个泔水收集桶（</w:t>
                  </w:r>
                  <w:r>
                    <w:rPr>
                      <w:rFonts w:hint="eastAsia" w:ascii="Times New Roman" w:hAnsi="Times New Roman" w:cs="Times New Roman"/>
                      <w:szCs w:val="21"/>
                    </w:rPr>
                    <w:t>1</w:t>
                  </w:r>
                  <w:r>
                    <w:rPr>
                      <w:rFonts w:ascii="Times New Roman" w:hAnsi="Times New Roman" w:cs="Times New Roman"/>
                      <w:szCs w:val="21"/>
                    </w:rPr>
                    <w:t>用</w:t>
                  </w:r>
                  <w:r>
                    <w:rPr>
                      <w:rFonts w:hint="eastAsia" w:ascii="Times New Roman" w:hAnsi="Times New Roman" w:cs="Times New Roman"/>
                      <w:szCs w:val="21"/>
                    </w:rPr>
                    <w:t>1</w:t>
                  </w:r>
                  <w:r>
                    <w:rPr>
                      <w:rFonts w:ascii="Times New Roman" w:hAnsi="Times New Roman" w:cs="Times New Roman"/>
                      <w:szCs w:val="21"/>
                    </w:rPr>
                    <w:t>备），食堂泔收集后</w:t>
                  </w:r>
                  <w:r>
                    <w:rPr>
                      <w:rFonts w:hint="eastAsia" w:ascii="Times New Roman" w:hAnsi="Times New Roman" w:cs="Times New Roman"/>
                      <w:szCs w:val="21"/>
                    </w:rPr>
                    <w:t>按</w:t>
                  </w:r>
                  <w:r>
                    <w:rPr>
                      <w:rFonts w:hint="eastAsia" w:ascii="Times New Roman" w:hAnsi="Times New Roman" w:cs="Times New Roman"/>
                    </w:rPr>
                    <w:t>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hint="eastAsia" w:ascii="Times New Roman" w:hAnsi="Times New Roman" w:cs="Times New Roman"/>
                      <w:szCs w:val="21"/>
                    </w:rPr>
                    <w:t>。</w:t>
                  </w:r>
                </w:p>
              </w:tc>
              <w:tc>
                <w:tcPr>
                  <w:tcW w:w="887" w:type="dxa"/>
                  <w:vAlign w:val="center"/>
                </w:tcPr>
                <w:p w14:paraId="081F4A6A">
                  <w:pPr>
                    <w:jc w:val="center"/>
                    <w:rPr>
                      <w:rFonts w:ascii="宋体" w:hAnsi="宋体" w:eastAsia="宋体" w:cs="宋体"/>
                      <w:szCs w:val="21"/>
                    </w:rPr>
                  </w:pPr>
                </w:p>
              </w:tc>
            </w:tr>
            <w:tr w14:paraId="170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69ED6DE0">
                  <w:pPr>
                    <w:jc w:val="center"/>
                    <w:rPr>
                      <w:rFonts w:ascii="Times New Roman" w:hAnsi="Times New Roman" w:cs="Times New Roman"/>
                      <w:szCs w:val="21"/>
                    </w:rPr>
                  </w:pPr>
                </w:p>
              </w:tc>
              <w:tc>
                <w:tcPr>
                  <w:tcW w:w="485" w:type="dxa"/>
                  <w:vMerge w:val="continue"/>
                  <w:vAlign w:val="center"/>
                </w:tcPr>
                <w:p w14:paraId="240CAB59">
                  <w:pPr>
                    <w:jc w:val="center"/>
                    <w:rPr>
                      <w:rFonts w:ascii="Times New Roman" w:hAnsi="Times New Roman" w:cs="Times New Roman"/>
                      <w:szCs w:val="21"/>
                    </w:rPr>
                  </w:pPr>
                </w:p>
              </w:tc>
              <w:tc>
                <w:tcPr>
                  <w:tcW w:w="871" w:type="dxa"/>
                  <w:vAlign w:val="center"/>
                </w:tcPr>
                <w:p w14:paraId="4AFC7C94">
                  <w:pPr>
                    <w:jc w:val="center"/>
                  </w:pPr>
                  <w:r>
                    <w:rPr>
                      <w:rFonts w:hint="eastAsia"/>
                    </w:rPr>
                    <w:t>废油脂收集桶</w:t>
                  </w:r>
                </w:p>
              </w:tc>
              <w:tc>
                <w:tcPr>
                  <w:tcW w:w="5188" w:type="dxa"/>
                  <w:vAlign w:val="center"/>
                </w:tcPr>
                <w:p w14:paraId="314A5B15">
                  <w:pPr>
                    <w:ind w:firstLine="210" w:firstLineChars="100"/>
                    <w:jc w:val="left"/>
                    <w:rPr>
                      <w:rFonts w:ascii="Times New Roman" w:hAnsi="Times New Roman" w:cs="Times New Roman"/>
                      <w:szCs w:val="21"/>
                    </w:rPr>
                  </w:pPr>
                  <w:r>
                    <w:rPr>
                      <w:rFonts w:ascii="Times New Roman" w:hAnsi="Times New Roman" w:cs="Times New Roman"/>
                      <w:szCs w:val="21"/>
                    </w:rPr>
                    <w:t>设置2个废油脂收集桶（</w:t>
                  </w:r>
                  <w:r>
                    <w:rPr>
                      <w:rFonts w:hint="eastAsia" w:ascii="Times New Roman" w:hAnsi="Times New Roman" w:cs="Times New Roman"/>
                      <w:szCs w:val="21"/>
                    </w:rPr>
                    <w:t>1</w:t>
                  </w:r>
                  <w:r>
                    <w:rPr>
                      <w:rFonts w:ascii="Times New Roman" w:hAnsi="Times New Roman" w:cs="Times New Roman"/>
                      <w:szCs w:val="21"/>
                    </w:rPr>
                    <w:t>用</w:t>
                  </w:r>
                  <w:r>
                    <w:rPr>
                      <w:rFonts w:hint="eastAsia" w:ascii="Times New Roman" w:hAnsi="Times New Roman" w:cs="Times New Roman"/>
                      <w:szCs w:val="21"/>
                    </w:rPr>
                    <w:t>1</w:t>
                  </w:r>
                  <w:r>
                    <w:rPr>
                      <w:rFonts w:ascii="Times New Roman" w:hAnsi="Times New Roman" w:cs="Times New Roman"/>
                      <w:szCs w:val="21"/>
                    </w:rPr>
                    <w:t>备），收集后全部进入化制罐内化制后作为生物柴油原料外售。</w:t>
                  </w:r>
                </w:p>
              </w:tc>
              <w:tc>
                <w:tcPr>
                  <w:tcW w:w="887" w:type="dxa"/>
                  <w:vAlign w:val="center"/>
                </w:tcPr>
                <w:p w14:paraId="6FBB1930">
                  <w:pPr>
                    <w:jc w:val="center"/>
                    <w:rPr>
                      <w:rFonts w:ascii="宋体" w:hAnsi="宋体" w:eastAsia="宋体" w:cs="宋体"/>
                      <w:szCs w:val="21"/>
                    </w:rPr>
                  </w:pPr>
                </w:p>
              </w:tc>
            </w:tr>
            <w:tr w14:paraId="6CAB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2D006A0E">
                  <w:pPr>
                    <w:jc w:val="center"/>
                    <w:rPr>
                      <w:rFonts w:ascii="Times New Roman" w:hAnsi="Times New Roman" w:cs="Times New Roman"/>
                      <w:szCs w:val="21"/>
                    </w:rPr>
                  </w:pPr>
                </w:p>
              </w:tc>
              <w:tc>
                <w:tcPr>
                  <w:tcW w:w="485" w:type="dxa"/>
                  <w:vMerge w:val="continue"/>
                  <w:vAlign w:val="center"/>
                </w:tcPr>
                <w:p w14:paraId="24AF599E">
                  <w:pPr>
                    <w:jc w:val="center"/>
                    <w:rPr>
                      <w:rFonts w:ascii="Times New Roman" w:hAnsi="Times New Roman" w:cs="Times New Roman"/>
                      <w:szCs w:val="21"/>
                    </w:rPr>
                  </w:pPr>
                </w:p>
              </w:tc>
              <w:tc>
                <w:tcPr>
                  <w:tcW w:w="871" w:type="dxa"/>
                  <w:vAlign w:val="center"/>
                </w:tcPr>
                <w:p w14:paraId="63D6DDF9">
                  <w:pPr>
                    <w:jc w:val="center"/>
                    <w:rPr>
                      <w:rFonts w:ascii="Times New Roman" w:hAnsi="Times New Roman" w:cs="Times New Roman"/>
                      <w:szCs w:val="21"/>
                    </w:rPr>
                  </w:pPr>
                  <w:r>
                    <w:rPr>
                      <w:rFonts w:ascii="Times New Roman" w:hAnsi="Times New Roman" w:cs="Times New Roman"/>
                      <w:szCs w:val="21"/>
                    </w:rPr>
                    <w:t>危废暂存间</w:t>
                  </w:r>
                </w:p>
              </w:tc>
              <w:tc>
                <w:tcPr>
                  <w:tcW w:w="5188" w:type="dxa"/>
                  <w:vAlign w:val="center"/>
                </w:tcPr>
                <w:p w14:paraId="2551FB7B">
                  <w:pPr>
                    <w:ind w:firstLine="210" w:firstLineChars="100"/>
                    <w:jc w:val="left"/>
                  </w:pPr>
                  <w:r>
                    <w:rPr>
                      <w:rFonts w:hint="eastAsia" w:ascii="Times New Roman" w:hAnsi="Times New Roman" w:cs="Times New Roman"/>
                      <w:szCs w:val="21"/>
                    </w:rPr>
                    <w:t>位于厂区东南部，建筑面积约</w:t>
                  </w:r>
                  <w:r>
                    <w:rPr>
                      <w:rFonts w:ascii="Times New Roman" w:hAnsi="Times New Roman" w:cs="Times New Roman"/>
                      <w:szCs w:val="21"/>
                    </w:rPr>
                    <w:t>10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，内部设有防泄漏收集槽，地面防渗处理</w:t>
                  </w:r>
                  <w:r>
                    <w:t>，配套设置危废收集容器，危险废物分类分区</w:t>
                  </w:r>
                  <w:r>
                    <w:rPr>
                      <w:rFonts w:hint="eastAsia"/>
                    </w:rPr>
                    <w:t>堆放，最终委托有资质单位处置。</w:t>
                  </w:r>
                </w:p>
              </w:tc>
              <w:tc>
                <w:tcPr>
                  <w:tcW w:w="887" w:type="dxa"/>
                  <w:vAlign w:val="center"/>
                </w:tcPr>
                <w:p w14:paraId="4E1FD4CC">
                  <w:pPr>
                    <w:jc w:val="center"/>
                    <w:rPr>
                      <w:rFonts w:ascii="宋体" w:hAnsi="宋体" w:eastAsia="宋体" w:cs="宋体"/>
                      <w:szCs w:val="21"/>
                    </w:rPr>
                  </w:pPr>
                </w:p>
              </w:tc>
            </w:tr>
            <w:tr w14:paraId="00E7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14:paraId="3F0346A4">
                  <w:pPr>
                    <w:jc w:val="center"/>
                    <w:rPr>
                      <w:rFonts w:ascii="Times New Roman" w:hAnsi="Times New Roman" w:cs="Times New Roman"/>
                      <w:szCs w:val="21"/>
                    </w:rPr>
                  </w:pPr>
                </w:p>
              </w:tc>
              <w:tc>
                <w:tcPr>
                  <w:tcW w:w="1356" w:type="dxa"/>
                  <w:gridSpan w:val="2"/>
                  <w:vAlign w:val="center"/>
                </w:tcPr>
                <w:p w14:paraId="271A56D1">
                  <w:pPr>
                    <w:jc w:val="center"/>
                    <w:rPr>
                      <w:rFonts w:ascii="Times New Roman" w:hAnsi="Times New Roman" w:cs="Times New Roman"/>
                      <w:szCs w:val="21"/>
                    </w:rPr>
                  </w:pPr>
                  <w:r>
                    <w:rPr>
                      <w:rFonts w:ascii="Times New Roman" w:hAnsi="Times New Roman" w:cs="Times New Roman"/>
                      <w:szCs w:val="21"/>
                    </w:rPr>
                    <w:t>绿化</w:t>
                  </w:r>
                </w:p>
              </w:tc>
              <w:tc>
                <w:tcPr>
                  <w:tcW w:w="5188" w:type="dxa"/>
                  <w:vAlign w:val="center"/>
                </w:tcPr>
                <w:p w14:paraId="0F316B80">
                  <w:pPr>
                    <w:ind w:firstLine="210" w:firstLineChars="100"/>
                    <w:jc w:val="left"/>
                    <w:rPr>
                      <w:rFonts w:ascii="Times New Roman" w:hAnsi="Times New Roman" w:cs="Times New Roman"/>
                      <w:szCs w:val="21"/>
                    </w:rPr>
                  </w:pPr>
                  <w:r>
                    <w:rPr>
                      <w:rFonts w:hint="eastAsia" w:ascii="Times New Roman" w:hAnsi="Times New Roman" w:cs="Times New Roman"/>
                      <w:szCs w:val="21"/>
                    </w:rPr>
                    <w:t>厂区绿化面积</w:t>
                  </w:r>
                  <w:r>
                    <w:rPr>
                      <w:rFonts w:ascii="Times New Roman" w:hAnsi="Times New Roman" w:cs="Times New Roman"/>
                      <w:szCs w:val="21"/>
                    </w:rPr>
                    <w:t>500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cs="Times New Roman"/>
                      <w:szCs w:val="21"/>
                    </w:rPr>
                    <w:t>。</w:t>
                  </w:r>
                </w:p>
              </w:tc>
              <w:tc>
                <w:tcPr>
                  <w:tcW w:w="887" w:type="dxa"/>
                  <w:vAlign w:val="center"/>
                </w:tcPr>
                <w:p w14:paraId="292EFAFE">
                  <w:pPr>
                    <w:jc w:val="center"/>
                    <w:rPr>
                      <w:rFonts w:ascii="Times New Roman" w:hAnsi="Times New Roman" w:eastAsia="Calibri" w:cs="Times New Roman"/>
                      <w:b/>
                      <w:bCs/>
                      <w:szCs w:val="21"/>
                    </w:rPr>
                  </w:pPr>
                </w:p>
              </w:tc>
            </w:tr>
            <w:bookmarkEnd w:id="12"/>
          </w:tbl>
          <w:p w14:paraId="4CC451C9">
            <w:pPr>
              <w:pStyle w:val="10"/>
              <w:snapToGrid w:val="0"/>
              <w:ind w:left="0" w:right="105" w:rightChars="50"/>
              <w:jc w:val="center"/>
              <w:rPr>
                <w:rFonts w:ascii="Times New Roman" w:hAnsi="Times New Roman" w:cs="Times New Roman"/>
                <w:bCs/>
                <w:sz w:val="21"/>
                <w:szCs w:val="21"/>
                <w:lang w:val="en-US"/>
              </w:rPr>
            </w:pPr>
          </w:p>
          <w:p w14:paraId="004E53EE">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2.2.3 主要设备</w:t>
            </w:r>
          </w:p>
          <w:p w14:paraId="1D576B7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主要为自动化设备，主要设备见表2-2</w:t>
            </w:r>
            <w:r>
              <w:rPr>
                <w:rFonts w:hint="eastAsia" w:ascii="Times New Roman" w:hAnsi="Times New Roman" w:cs="Times New Roman"/>
                <w:bCs/>
              </w:rPr>
              <w:t>。</w:t>
            </w:r>
          </w:p>
          <w:p w14:paraId="7B86EC99">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表2-2    主要设备一览表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632"/>
              <w:gridCol w:w="1643"/>
              <w:gridCol w:w="992"/>
              <w:gridCol w:w="962"/>
            </w:tblGrid>
            <w:tr w14:paraId="0385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87" w:type="dxa"/>
                  <w:vAlign w:val="center"/>
                </w:tcPr>
                <w:p w14:paraId="16DC0E5B">
                  <w:pPr>
                    <w:jc w:val="center"/>
                    <w:rPr>
                      <w:rFonts w:ascii="Times New Roman" w:hAnsi="Times New Roman" w:cs="Times New Roman"/>
                      <w:b/>
                      <w:bCs/>
                      <w:szCs w:val="21"/>
                    </w:rPr>
                  </w:pPr>
                  <w:bookmarkStart w:id="13" w:name="_Hlk92183651"/>
                  <w:r>
                    <w:rPr>
                      <w:rFonts w:ascii="Times New Roman" w:hAnsi="Times New Roman" w:cs="Times New Roman"/>
                      <w:b/>
                      <w:bCs/>
                      <w:szCs w:val="21"/>
                    </w:rPr>
                    <w:t>序号</w:t>
                  </w:r>
                </w:p>
              </w:tc>
              <w:tc>
                <w:tcPr>
                  <w:tcW w:w="2632" w:type="dxa"/>
                  <w:vAlign w:val="center"/>
                </w:tcPr>
                <w:p w14:paraId="52BA787F">
                  <w:pPr>
                    <w:jc w:val="center"/>
                    <w:rPr>
                      <w:rFonts w:ascii="Times New Roman" w:hAnsi="Times New Roman" w:cs="Times New Roman"/>
                      <w:b/>
                      <w:bCs/>
                      <w:szCs w:val="21"/>
                    </w:rPr>
                  </w:pPr>
                  <w:r>
                    <w:rPr>
                      <w:rFonts w:ascii="Times New Roman" w:hAnsi="Times New Roman" w:cs="Times New Roman"/>
                      <w:b/>
                      <w:bCs/>
                      <w:szCs w:val="21"/>
                    </w:rPr>
                    <w:t>生产设备名称</w:t>
                  </w:r>
                </w:p>
              </w:tc>
              <w:tc>
                <w:tcPr>
                  <w:tcW w:w="1643" w:type="dxa"/>
                  <w:vAlign w:val="center"/>
                </w:tcPr>
                <w:p w14:paraId="25DC76ED">
                  <w:pPr>
                    <w:jc w:val="center"/>
                    <w:rPr>
                      <w:rFonts w:ascii="Times New Roman" w:hAnsi="Times New Roman" w:cs="Times New Roman"/>
                      <w:b/>
                      <w:bCs/>
                      <w:szCs w:val="21"/>
                    </w:rPr>
                  </w:pPr>
                  <w:r>
                    <w:rPr>
                      <w:rFonts w:hint="eastAsia" w:ascii="Times New Roman" w:hAnsi="Times New Roman" w:cs="Times New Roman"/>
                      <w:b/>
                      <w:bCs/>
                      <w:szCs w:val="21"/>
                    </w:rPr>
                    <w:t>型号</w:t>
                  </w:r>
                </w:p>
              </w:tc>
              <w:tc>
                <w:tcPr>
                  <w:tcW w:w="992" w:type="dxa"/>
                </w:tcPr>
                <w:p w14:paraId="5D686D74">
                  <w:pPr>
                    <w:jc w:val="center"/>
                    <w:rPr>
                      <w:rFonts w:ascii="Times New Roman" w:hAnsi="Times New Roman" w:cs="Times New Roman"/>
                      <w:b/>
                      <w:bCs/>
                      <w:szCs w:val="21"/>
                    </w:rPr>
                  </w:pPr>
                  <w:r>
                    <w:rPr>
                      <w:rFonts w:hint="eastAsia" w:ascii="Times New Roman" w:hAnsi="Times New Roman" w:cs="Times New Roman"/>
                      <w:b/>
                      <w:bCs/>
                      <w:szCs w:val="21"/>
                    </w:rPr>
                    <w:t>单位</w:t>
                  </w:r>
                </w:p>
              </w:tc>
              <w:tc>
                <w:tcPr>
                  <w:tcW w:w="962" w:type="dxa"/>
                  <w:vAlign w:val="center"/>
                </w:tcPr>
                <w:p w14:paraId="1A929967">
                  <w:pPr>
                    <w:jc w:val="center"/>
                    <w:rPr>
                      <w:rFonts w:ascii="Times New Roman" w:hAnsi="Times New Roman" w:cs="Times New Roman"/>
                      <w:b/>
                      <w:bCs/>
                      <w:szCs w:val="21"/>
                    </w:rPr>
                  </w:pPr>
                  <w:r>
                    <w:rPr>
                      <w:rFonts w:hint="eastAsia" w:ascii="Times New Roman" w:hAnsi="Times New Roman" w:cs="Times New Roman"/>
                      <w:b/>
                      <w:bCs/>
                      <w:szCs w:val="21"/>
                    </w:rPr>
                    <w:t>数量</w:t>
                  </w:r>
                </w:p>
              </w:tc>
            </w:tr>
            <w:tr w14:paraId="6B6D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16" w:type="dxa"/>
                  <w:gridSpan w:val="5"/>
                  <w:vAlign w:val="center"/>
                </w:tcPr>
                <w:p w14:paraId="31CA7B1B">
                  <w:pPr>
                    <w:jc w:val="center"/>
                    <w:rPr>
                      <w:rFonts w:ascii="Times New Roman" w:hAnsi="Times New Roman" w:cs="Times New Roman"/>
                      <w:b/>
                      <w:bCs/>
                      <w:szCs w:val="21"/>
                    </w:rPr>
                  </w:pPr>
                  <w:r>
                    <w:rPr>
                      <w:rFonts w:hint="eastAsia" w:ascii="Times New Roman" w:hAnsi="Times New Roman" w:cs="Times New Roman"/>
                      <w:szCs w:val="21"/>
                    </w:rPr>
                    <w:t>一、破碎、输送系统</w:t>
                  </w:r>
                </w:p>
              </w:tc>
            </w:tr>
            <w:tr w14:paraId="5352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60803F2">
                  <w:pPr>
                    <w:jc w:val="center"/>
                    <w:rPr>
                      <w:rFonts w:ascii="Times New Roman" w:hAnsi="Times New Roman" w:cs="Times New Roman"/>
                      <w:szCs w:val="21"/>
                    </w:rPr>
                  </w:pPr>
                  <w:r>
                    <w:rPr>
                      <w:rFonts w:ascii="Times New Roman" w:hAnsi="Times New Roman" w:cs="Times New Roman"/>
                      <w:szCs w:val="21"/>
                    </w:rPr>
                    <w:t>1</w:t>
                  </w:r>
                </w:p>
              </w:tc>
              <w:tc>
                <w:tcPr>
                  <w:tcW w:w="2632" w:type="dxa"/>
                  <w:vAlign w:val="center"/>
                </w:tcPr>
                <w:p w14:paraId="705420AC">
                  <w:pPr>
                    <w:jc w:val="center"/>
                    <w:rPr>
                      <w:rFonts w:ascii="Times New Roman" w:hAnsi="Times New Roman" w:cs="Times New Roman"/>
                      <w:szCs w:val="21"/>
                    </w:rPr>
                  </w:pPr>
                  <w:r>
                    <w:rPr>
                      <w:rFonts w:hint="eastAsia" w:ascii="Times New Roman" w:hAnsi="Times New Roman" w:cs="Times New Roman"/>
                      <w:szCs w:val="21"/>
                    </w:rPr>
                    <w:t>预碎料仓</w:t>
                  </w:r>
                </w:p>
              </w:tc>
              <w:tc>
                <w:tcPr>
                  <w:tcW w:w="1643" w:type="dxa"/>
                  <w:vAlign w:val="center"/>
                </w:tcPr>
                <w:p w14:paraId="68B94018">
                  <w:pPr>
                    <w:jc w:val="center"/>
                    <w:rPr>
                      <w:rFonts w:ascii="Times New Roman" w:hAnsi="Times New Roman" w:cs="Times New Roman"/>
                      <w:szCs w:val="21"/>
                    </w:rPr>
                  </w:pPr>
                  <w:r>
                    <w:rPr>
                      <w:rFonts w:hint="eastAsia" w:ascii="Times New Roman" w:hAnsi="Times New Roman" w:cs="Times New Roman"/>
                      <w:szCs w:val="21"/>
                    </w:rPr>
                    <w:t>SYYSLC-10</w:t>
                  </w:r>
                </w:p>
              </w:tc>
              <w:tc>
                <w:tcPr>
                  <w:tcW w:w="992" w:type="dxa"/>
                  <w:vAlign w:val="center"/>
                </w:tcPr>
                <w:p w14:paraId="1D89334A">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577A0EAC">
                  <w:pPr>
                    <w:jc w:val="center"/>
                    <w:rPr>
                      <w:rFonts w:ascii="Times New Roman" w:hAnsi="Times New Roman" w:cs="Times New Roman"/>
                      <w:szCs w:val="21"/>
                    </w:rPr>
                  </w:pPr>
                  <w:r>
                    <w:rPr>
                      <w:rFonts w:hint="eastAsia" w:ascii="Times New Roman" w:hAnsi="Times New Roman" w:cs="Times New Roman"/>
                      <w:szCs w:val="21"/>
                    </w:rPr>
                    <w:t>1</w:t>
                  </w:r>
                </w:p>
              </w:tc>
            </w:tr>
            <w:tr w14:paraId="274A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5E9AEF80">
                  <w:pPr>
                    <w:jc w:val="center"/>
                    <w:rPr>
                      <w:rFonts w:ascii="Times New Roman" w:hAnsi="Times New Roman" w:cs="Times New Roman"/>
                      <w:szCs w:val="21"/>
                    </w:rPr>
                  </w:pPr>
                  <w:r>
                    <w:rPr>
                      <w:rFonts w:ascii="Times New Roman" w:hAnsi="Times New Roman" w:cs="Times New Roman"/>
                      <w:szCs w:val="21"/>
                    </w:rPr>
                    <w:t>2</w:t>
                  </w:r>
                </w:p>
              </w:tc>
              <w:tc>
                <w:tcPr>
                  <w:tcW w:w="2632" w:type="dxa"/>
                  <w:vAlign w:val="center"/>
                </w:tcPr>
                <w:p w14:paraId="257F8B39">
                  <w:pPr>
                    <w:jc w:val="center"/>
                    <w:rPr>
                      <w:rFonts w:ascii="Times New Roman" w:hAnsi="Times New Roman" w:cs="Times New Roman"/>
                      <w:szCs w:val="21"/>
                    </w:rPr>
                  </w:pPr>
                  <w:r>
                    <w:rPr>
                      <w:rFonts w:hint="eastAsia" w:ascii="Times New Roman" w:hAnsi="Times New Roman" w:cs="Times New Roman"/>
                      <w:szCs w:val="21"/>
                    </w:rPr>
                    <w:t>单轴破碎机</w:t>
                  </w:r>
                </w:p>
              </w:tc>
              <w:tc>
                <w:tcPr>
                  <w:tcW w:w="1643" w:type="dxa"/>
                  <w:vAlign w:val="center"/>
                </w:tcPr>
                <w:p w14:paraId="6C0A3017">
                  <w:pPr>
                    <w:jc w:val="center"/>
                    <w:rPr>
                      <w:rFonts w:ascii="Times New Roman" w:hAnsi="Times New Roman" w:cs="Times New Roman"/>
                      <w:szCs w:val="21"/>
                    </w:rPr>
                  </w:pPr>
                  <w:r>
                    <w:rPr>
                      <w:rFonts w:hint="eastAsia" w:ascii="Times New Roman" w:hAnsi="Times New Roman" w:cs="Times New Roman"/>
                      <w:szCs w:val="21"/>
                    </w:rPr>
                    <w:t>SYPS-500</w:t>
                  </w:r>
                </w:p>
              </w:tc>
              <w:tc>
                <w:tcPr>
                  <w:tcW w:w="992" w:type="dxa"/>
                  <w:vAlign w:val="center"/>
                </w:tcPr>
                <w:p w14:paraId="3034A227">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401496E">
                  <w:pPr>
                    <w:jc w:val="center"/>
                    <w:rPr>
                      <w:rFonts w:ascii="Times New Roman" w:hAnsi="Times New Roman" w:cs="Times New Roman"/>
                      <w:szCs w:val="21"/>
                    </w:rPr>
                  </w:pPr>
                  <w:r>
                    <w:rPr>
                      <w:rFonts w:hint="eastAsia" w:ascii="Times New Roman" w:hAnsi="Times New Roman" w:cs="Times New Roman"/>
                      <w:szCs w:val="21"/>
                    </w:rPr>
                    <w:t>1</w:t>
                  </w:r>
                </w:p>
              </w:tc>
            </w:tr>
            <w:tr w14:paraId="4252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37EC1B9">
                  <w:pPr>
                    <w:jc w:val="center"/>
                    <w:rPr>
                      <w:rFonts w:ascii="Times New Roman" w:hAnsi="Times New Roman" w:cs="Times New Roman"/>
                      <w:szCs w:val="21"/>
                    </w:rPr>
                  </w:pPr>
                  <w:r>
                    <w:rPr>
                      <w:rFonts w:ascii="Times New Roman" w:hAnsi="Times New Roman" w:cs="Times New Roman"/>
                      <w:szCs w:val="21"/>
                    </w:rPr>
                    <w:t>3</w:t>
                  </w:r>
                </w:p>
              </w:tc>
              <w:tc>
                <w:tcPr>
                  <w:tcW w:w="2632" w:type="dxa"/>
                  <w:vAlign w:val="center"/>
                </w:tcPr>
                <w:p w14:paraId="09F2322E">
                  <w:pPr>
                    <w:jc w:val="center"/>
                    <w:rPr>
                      <w:rFonts w:ascii="Times New Roman" w:hAnsi="Times New Roman" w:cs="Times New Roman"/>
                      <w:szCs w:val="21"/>
                    </w:rPr>
                  </w:pPr>
                  <w:r>
                    <w:rPr>
                      <w:rFonts w:hint="eastAsia" w:ascii="Times New Roman" w:hAnsi="Times New Roman" w:cs="Times New Roman"/>
                      <w:szCs w:val="21"/>
                    </w:rPr>
                    <w:t>无轴螺旋输送机</w:t>
                  </w:r>
                </w:p>
              </w:tc>
              <w:tc>
                <w:tcPr>
                  <w:tcW w:w="1643" w:type="dxa"/>
                  <w:vAlign w:val="center"/>
                </w:tcPr>
                <w:p w14:paraId="7096870D">
                  <w:pPr>
                    <w:jc w:val="center"/>
                    <w:rPr>
                      <w:rFonts w:ascii="Times New Roman" w:hAnsi="Times New Roman" w:cs="Times New Roman"/>
                      <w:szCs w:val="21"/>
                    </w:rPr>
                  </w:pPr>
                  <w:r>
                    <w:rPr>
                      <w:rFonts w:hint="eastAsia" w:ascii="Times New Roman" w:hAnsi="Times New Roman" w:cs="Times New Roman"/>
                      <w:szCs w:val="21"/>
                    </w:rPr>
                    <w:t>SYLS-400</w:t>
                  </w:r>
                </w:p>
              </w:tc>
              <w:tc>
                <w:tcPr>
                  <w:tcW w:w="992" w:type="dxa"/>
                  <w:vAlign w:val="center"/>
                </w:tcPr>
                <w:p w14:paraId="3DEFF8C6">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3314EA4B">
                  <w:pPr>
                    <w:jc w:val="center"/>
                    <w:rPr>
                      <w:rFonts w:ascii="Times New Roman" w:hAnsi="Times New Roman" w:cs="Times New Roman"/>
                      <w:szCs w:val="21"/>
                    </w:rPr>
                  </w:pPr>
                  <w:r>
                    <w:rPr>
                      <w:rFonts w:hint="eastAsia" w:ascii="Times New Roman" w:hAnsi="Times New Roman" w:cs="Times New Roman"/>
                      <w:szCs w:val="21"/>
                    </w:rPr>
                    <w:t>2</w:t>
                  </w:r>
                </w:p>
              </w:tc>
            </w:tr>
            <w:tr w14:paraId="2178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1A2605FD">
                  <w:pPr>
                    <w:jc w:val="center"/>
                    <w:rPr>
                      <w:rFonts w:ascii="Times New Roman" w:hAnsi="Times New Roman" w:cs="Times New Roman"/>
                      <w:szCs w:val="21"/>
                    </w:rPr>
                  </w:pPr>
                  <w:r>
                    <w:rPr>
                      <w:rFonts w:hint="eastAsia" w:ascii="Times New Roman" w:hAnsi="Times New Roman" w:cs="Times New Roman"/>
                      <w:szCs w:val="21"/>
                    </w:rPr>
                    <w:t>二、化制、烘干系统</w:t>
                  </w:r>
                </w:p>
              </w:tc>
            </w:tr>
            <w:tr w14:paraId="00FE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1C9C4C65">
                  <w:pPr>
                    <w:jc w:val="center"/>
                    <w:rPr>
                      <w:rFonts w:ascii="Times New Roman" w:hAnsi="Times New Roman" w:cs="Times New Roman"/>
                      <w:szCs w:val="21"/>
                    </w:rPr>
                  </w:pPr>
                  <w:r>
                    <w:rPr>
                      <w:rFonts w:ascii="Times New Roman" w:hAnsi="Times New Roman" w:cs="Times New Roman"/>
                      <w:szCs w:val="21"/>
                    </w:rPr>
                    <w:t>4</w:t>
                  </w:r>
                </w:p>
              </w:tc>
              <w:tc>
                <w:tcPr>
                  <w:tcW w:w="2632" w:type="dxa"/>
                  <w:vAlign w:val="center"/>
                </w:tcPr>
                <w:p w14:paraId="2A6D60F5">
                  <w:pPr>
                    <w:jc w:val="center"/>
                    <w:rPr>
                      <w:rFonts w:ascii="Times New Roman" w:hAnsi="Times New Roman" w:cs="Times New Roman"/>
                      <w:szCs w:val="21"/>
                    </w:rPr>
                  </w:pPr>
                  <w:r>
                    <w:rPr>
                      <w:rFonts w:hint="eastAsia" w:ascii="Times New Roman" w:hAnsi="Times New Roman" w:cs="Times New Roman"/>
                      <w:szCs w:val="21"/>
                    </w:rPr>
                    <w:t>化制机</w:t>
                  </w:r>
                </w:p>
              </w:tc>
              <w:tc>
                <w:tcPr>
                  <w:tcW w:w="1643" w:type="dxa"/>
                  <w:vAlign w:val="center"/>
                </w:tcPr>
                <w:p w14:paraId="670C415E">
                  <w:pPr>
                    <w:jc w:val="center"/>
                    <w:rPr>
                      <w:rFonts w:ascii="Times New Roman" w:hAnsi="Times New Roman" w:cs="Times New Roman"/>
                      <w:szCs w:val="21"/>
                    </w:rPr>
                  </w:pPr>
                  <w:r>
                    <w:rPr>
                      <w:rFonts w:hint="eastAsia" w:ascii="Times New Roman" w:hAnsi="Times New Roman" w:cs="Times New Roman"/>
                      <w:szCs w:val="21"/>
                    </w:rPr>
                    <w:t>SYHZ-800</w:t>
                  </w:r>
                </w:p>
              </w:tc>
              <w:tc>
                <w:tcPr>
                  <w:tcW w:w="992" w:type="dxa"/>
                  <w:vAlign w:val="center"/>
                </w:tcPr>
                <w:p w14:paraId="29B30D29">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36EB9F5C">
                  <w:pPr>
                    <w:jc w:val="center"/>
                    <w:rPr>
                      <w:rFonts w:ascii="Times New Roman" w:hAnsi="Times New Roman" w:cs="Times New Roman"/>
                      <w:szCs w:val="21"/>
                    </w:rPr>
                  </w:pPr>
                  <w:r>
                    <w:rPr>
                      <w:rFonts w:hint="eastAsia" w:ascii="Times New Roman" w:hAnsi="Times New Roman" w:cs="Times New Roman"/>
                      <w:szCs w:val="21"/>
                    </w:rPr>
                    <w:t>1</w:t>
                  </w:r>
                </w:p>
              </w:tc>
            </w:tr>
            <w:tr w14:paraId="618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673C3D1F">
                  <w:pPr>
                    <w:jc w:val="center"/>
                    <w:rPr>
                      <w:rFonts w:ascii="Times New Roman" w:hAnsi="Times New Roman" w:cs="Times New Roman"/>
                      <w:szCs w:val="21"/>
                    </w:rPr>
                  </w:pPr>
                  <w:r>
                    <w:rPr>
                      <w:rFonts w:ascii="Times New Roman" w:hAnsi="Times New Roman" w:cs="Times New Roman"/>
                      <w:szCs w:val="21"/>
                    </w:rPr>
                    <w:t>5</w:t>
                  </w:r>
                </w:p>
              </w:tc>
              <w:tc>
                <w:tcPr>
                  <w:tcW w:w="2632" w:type="dxa"/>
                  <w:vAlign w:val="center"/>
                </w:tcPr>
                <w:p w14:paraId="40026716">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7BDE2EB5">
                  <w:pPr>
                    <w:jc w:val="center"/>
                    <w:rPr>
                      <w:rFonts w:ascii="Times New Roman" w:hAnsi="Times New Roman" w:cs="Times New Roman"/>
                      <w:szCs w:val="21"/>
                    </w:rPr>
                  </w:pPr>
                  <w:r>
                    <w:rPr>
                      <w:rFonts w:hint="eastAsia" w:ascii="Times New Roman" w:hAnsi="Times New Roman" w:cs="Times New Roman"/>
                      <w:szCs w:val="21"/>
                    </w:rPr>
                    <w:t>SYLS-15</w:t>
                  </w:r>
                </w:p>
              </w:tc>
              <w:tc>
                <w:tcPr>
                  <w:tcW w:w="992" w:type="dxa"/>
                  <w:vAlign w:val="center"/>
                </w:tcPr>
                <w:p w14:paraId="165F6844">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039EDF72">
                  <w:pPr>
                    <w:jc w:val="center"/>
                    <w:rPr>
                      <w:rFonts w:ascii="Times New Roman" w:hAnsi="Times New Roman" w:cs="Times New Roman"/>
                      <w:szCs w:val="21"/>
                    </w:rPr>
                  </w:pPr>
                  <w:r>
                    <w:rPr>
                      <w:rFonts w:hint="eastAsia" w:ascii="Times New Roman" w:hAnsi="Times New Roman" w:cs="Times New Roman"/>
                      <w:szCs w:val="21"/>
                    </w:rPr>
                    <w:t>1</w:t>
                  </w:r>
                </w:p>
              </w:tc>
            </w:tr>
            <w:tr w14:paraId="5ADE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23125CF">
                  <w:pPr>
                    <w:jc w:val="center"/>
                    <w:rPr>
                      <w:rFonts w:ascii="Times New Roman" w:hAnsi="Times New Roman" w:cs="Times New Roman"/>
                      <w:szCs w:val="21"/>
                    </w:rPr>
                  </w:pPr>
                  <w:r>
                    <w:rPr>
                      <w:rFonts w:ascii="Times New Roman" w:hAnsi="Times New Roman" w:cs="Times New Roman"/>
                      <w:szCs w:val="21"/>
                    </w:rPr>
                    <w:t>6</w:t>
                  </w:r>
                </w:p>
              </w:tc>
              <w:tc>
                <w:tcPr>
                  <w:tcW w:w="2632" w:type="dxa"/>
                  <w:vAlign w:val="center"/>
                </w:tcPr>
                <w:p w14:paraId="6A549C09">
                  <w:pPr>
                    <w:jc w:val="center"/>
                    <w:rPr>
                      <w:rFonts w:ascii="Times New Roman" w:hAnsi="Times New Roman" w:cs="Times New Roman"/>
                      <w:szCs w:val="21"/>
                    </w:rPr>
                  </w:pPr>
                  <w:r>
                    <w:rPr>
                      <w:rFonts w:hint="eastAsia" w:ascii="Times New Roman" w:hAnsi="Times New Roman" w:cs="Times New Roman"/>
                      <w:szCs w:val="21"/>
                    </w:rPr>
                    <w:t>烘干机</w:t>
                  </w:r>
                </w:p>
              </w:tc>
              <w:tc>
                <w:tcPr>
                  <w:tcW w:w="1643" w:type="dxa"/>
                  <w:vAlign w:val="center"/>
                </w:tcPr>
                <w:p w14:paraId="749149EA">
                  <w:pPr>
                    <w:jc w:val="center"/>
                    <w:rPr>
                      <w:rFonts w:ascii="Times New Roman" w:hAnsi="Times New Roman" w:cs="Times New Roman"/>
                      <w:szCs w:val="21"/>
                    </w:rPr>
                  </w:pPr>
                  <w:r>
                    <w:rPr>
                      <w:rFonts w:hint="eastAsia" w:ascii="Times New Roman" w:hAnsi="Times New Roman" w:cs="Times New Roman"/>
                      <w:szCs w:val="21"/>
                    </w:rPr>
                    <w:t>SYHG-800</w:t>
                  </w:r>
                </w:p>
              </w:tc>
              <w:tc>
                <w:tcPr>
                  <w:tcW w:w="992" w:type="dxa"/>
                  <w:vAlign w:val="center"/>
                </w:tcPr>
                <w:p w14:paraId="6412387D">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14969937">
                  <w:pPr>
                    <w:jc w:val="center"/>
                    <w:rPr>
                      <w:rFonts w:ascii="Times New Roman" w:hAnsi="Times New Roman" w:cs="Times New Roman"/>
                      <w:szCs w:val="21"/>
                    </w:rPr>
                  </w:pPr>
                  <w:r>
                    <w:rPr>
                      <w:rFonts w:hint="eastAsia" w:ascii="Times New Roman" w:hAnsi="Times New Roman" w:cs="Times New Roman"/>
                      <w:szCs w:val="21"/>
                    </w:rPr>
                    <w:t>1</w:t>
                  </w:r>
                </w:p>
              </w:tc>
            </w:tr>
            <w:tr w14:paraId="02A3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1E10FF4C">
                  <w:pPr>
                    <w:jc w:val="center"/>
                    <w:rPr>
                      <w:rFonts w:ascii="Times New Roman" w:hAnsi="Times New Roman" w:cs="Times New Roman"/>
                      <w:szCs w:val="21"/>
                    </w:rPr>
                  </w:pPr>
                  <w:r>
                    <w:rPr>
                      <w:rFonts w:ascii="Times New Roman" w:hAnsi="Times New Roman" w:cs="Times New Roman"/>
                      <w:szCs w:val="21"/>
                    </w:rPr>
                    <w:t>7</w:t>
                  </w:r>
                </w:p>
              </w:tc>
              <w:tc>
                <w:tcPr>
                  <w:tcW w:w="2632" w:type="dxa"/>
                  <w:vAlign w:val="center"/>
                </w:tcPr>
                <w:p w14:paraId="3771F1D0">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39750C38">
                  <w:pPr>
                    <w:jc w:val="center"/>
                    <w:rPr>
                      <w:rFonts w:ascii="Times New Roman" w:hAnsi="Times New Roman" w:cs="Times New Roman"/>
                      <w:szCs w:val="21"/>
                    </w:rPr>
                  </w:pPr>
                  <w:r>
                    <w:rPr>
                      <w:rFonts w:hint="eastAsia" w:ascii="Times New Roman" w:hAnsi="Times New Roman" w:cs="Times New Roman"/>
                      <w:szCs w:val="21"/>
                    </w:rPr>
                    <w:t>SYLU-10</w:t>
                  </w:r>
                </w:p>
              </w:tc>
              <w:tc>
                <w:tcPr>
                  <w:tcW w:w="992" w:type="dxa"/>
                  <w:vAlign w:val="center"/>
                </w:tcPr>
                <w:p w14:paraId="39B05B89">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541701A6">
                  <w:pPr>
                    <w:jc w:val="center"/>
                    <w:rPr>
                      <w:rFonts w:ascii="Times New Roman" w:hAnsi="Times New Roman" w:cs="Times New Roman"/>
                      <w:szCs w:val="21"/>
                    </w:rPr>
                  </w:pPr>
                  <w:r>
                    <w:rPr>
                      <w:rFonts w:hint="eastAsia" w:ascii="Times New Roman" w:hAnsi="Times New Roman" w:cs="Times New Roman"/>
                      <w:szCs w:val="21"/>
                    </w:rPr>
                    <w:t>1</w:t>
                  </w:r>
                </w:p>
              </w:tc>
            </w:tr>
            <w:tr w14:paraId="680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6410273">
                  <w:pPr>
                    <w:jc w:val="center"/>
                    <w:rPr>
                      <w:rFonts w:ascii="Times New Roman" w:hAnsi="Times New Roman" w:cs="Times New Roman"/>
                      <w:szCs w:val="21"/>
                    </w:rPr>
                  </w:pPr>
                  <w:r>
                    <w:rPr>
                      <w:rFonts w:ascii="Times New Roman" w:hAnsi="Times New Roman" w:cs="Times New Roman"/>
                      <w:szCs w:val="21"/>
                    </w:rPr>
                    <w:t>8</w:t>
                  </w:r>
                </w:p>
              </w:tc>
              <w:tc>
                <w:tcPr>
                  <w:tcW w:w="2632" w:type="dxa"/>
                  <w:vAlign w:val="center"/>
                </w:tcPr>
                <w:p w14:paraId="3C88F98B">
                  <w:pPr>
                    <w:jc w:val="center"/>
                    <w:rPr>
                      <w:rFonts w:ascii="Times New Roman" w:hAnsi="Times New Roman" w:cs="Times New Roman"/>
                      <w:szCs w:val="21"/>
                    </w:rPr>
                  </w:pPr>
                  <w:r>
                    <w:rPr>
                      <w:rFonts w:hint="eastAsia" w:ascii="Times New Roman" w:hAnsi="Times New Roman" w:cs="Times New Roman"/>
                      <w:szCs w:val="21"/>
                    </w:rPr>
                    <w:t>缓存料仓</w:t>
                  </w:r>
                </w:p>
              </w:tc>
              <w:tc>
                <w:tcPr>
                  <w:tcW w:w="1643" w:type="dxa"/>
                  <w:vAlign w:val="center"/>
                </w:tcPr>
                <w:p w14:paraId="630D9A13">
                  <w:pPr>
                    <w:jc w:val="center"/>
                    <w:rPr>
                      <w:rFonts w:ascii="Times New Roman" w:hAnsi="Times New Roman" w:cs="Times New Roman"/>
                      <w:szCs w:val="21"/>
                    </w:rPr>
                  </w:pPr>
                  <w:r>
                    <w:rPr>
                      <w:rFonts w:hint="eastAsia" w:ascii="Times New Roman" w:hAnsi="Times New Roman" w:cs="Times New Roman"/>
                      <w:szCs w:val="21"/>
                    </w:rPr>
                    <w:t>SYHCLC-03</w:t>
                  </w:r>
                </w:p>
              </w:tc>
              <w:tc>
                <w:tcPr>
                  <w:tcW w:w="992" w:type="dxa"/>
                  <w:vAlign w:val="center"/>
                </w:tcPr>
                <w:p w14:paraId="2EA0DF04">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2162519A">
                  <w:pPr>
                    <w:jc w:val="center"/>
                    <w:rPr>
                      <w:rFonts w:ascii="Times New Roman" w:hAnsi="Times New Roman" w:cs="Times New Roman"/>
                      <w:szCs w:val="21"/>
                    </w:rPr>
                  </w:pPr>
                  <w:r>
                    <w:rPr>
                      <w:rFonts w:hint="eastAsia" w:ascii="Times New Roman" w:hAnsi="Times New Roman" w:cs="Times New Roman"/>
                      <w:szCs w:val="21"/>
                    </w:rPr>
                    <w:t>1</w:t>
                  </w:r>
                </w:p>
              </w:tc>
            </w:tr>
            <w:tr w14:paraId="629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2C757390">
                  <w:pPr>
                    <w:jc w:val="center"/>
                    <w:rPr>
                      <w:rFonts w:ascii="Times New Roman" w:hAnsi="Times New Roman" w:cs="Times New Roman"/>
                      <w:szCs w:val="21"/>
                    </w:rPr>
                  </w:pPr>
                  <w:r>
                    <w:rPr>
                      <w:rFonts w:ascii="Times New Roman" w:hAnsi="Times New Roman" w:cs="Times New Roman"/>
                      <w:szCs w:val="21"/>
                    </w:rPr>
                    <w:t>9</w:t>
                  </w:r>
                </w:p>
              </w:tc>
              <w:tc>
                <w:tcPr>
                  <w:tcW w:w="2632" w:type="dxa"/>
                  <w:vAlign w:val="center"/>
                </w:tcPr>
                <w:p w14:paraId="358D4E97">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237ECFA6">
                  <w:pPr>
                    <w:jc w:val="center"/>
                    <w:rPr>
                      <w:rFonts w:ascii="Times New Roman" w:hAnsi="Times New Roman" w:cs="Times New Roman"/>
                      <w:szCs w:val="21"/>
                    </w:rPr>
                  </w:pPr>
                  <w:r>
                    <w:rPr>
                      <w:rFonts w:hint="eastAsia" w:ascii="Times New Roman" w:hAnsi="Times New Roman" w:cs="Times New Roman"/>
                      <w:szCs w:val="21"/>
                    </w:rPr>
                    <w:t>SYLU-10</w:t>
                  </w:r>
                </w:p>
              </w:tc>
              <w:tc>
                <w:tcPr>
                  <w:tcW w:w="992" w:type="dxa"/>
                  <w:vAlign w:val="center"/>
                </w:tcPr>
                <w:p w14:paraId="0A607564">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58DBDAB8">
                  <w:pPr>
                    <w:jc w:val="center"/>
                    <w:rPr>
                      <w:rFonts w:ascii="Times New Roman" w:hAnsi="Times New Roman" w:cs="Times New Roman"/>
                      <w:szCs w:val="21"/>
                    </w:rPr>
                  </w:pPr>
                  <w:r>
                    <w:rPr>
                      <w:rFonts w:hint="eastAsia" w:ascii="Times New Roman" w:hAnsi="Times New Roman" w:cs="Times New Roman"/>
                      <w:szCs w:val="21"/>
                    </w:rPr>
                    <w:t>1</w:t>
                  </w:r>
                </w:p>
              </w:tc>
            </w:tr>
            <w:tr w14:paraId="584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4C3A3EA3">
                  <w:pPr>
                    <w:jc w:val="center"/>
                    <w:rPr>
                      <w:rFonts w:ascii="Times New Roman" w:hAnsi="Times New Roman" w:cs="Times New Roman"/>
                      <w:szCs w:val="21"/>
                    </w:rPr>
                  </w:pPr>
                  <w:r>
                    <w:rPr>
                      <w:rFonts w:hint="eastAsia" w:ascii="Times New Roman" w:hAnsi="Times New Roman" w:cs="Times New Roman"/>
                      <w:szCs w:val="21"/>
                    </w:rPr>
                    <w:t>三、脱脂、包装系统</w:t>
                  </w:r>
                </w:p>
              </w:tc>
            </w:tr>
            <w:tr w14:paraId="775F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87" w:type="dxa"/>
                  <w:vAlign w:val="center"/>
                </w:tcPr>
                <w:p w14:paraId="0F3AEEB4">
                  <w:pPr>
                    <w:jc w:val="center"/>
                    <w:rPr>
                      <w:rFonts w:ascii="Times New Roman" w:hAnsi="Times New Roman" w:cs="Times New Roman"/>
                      <w:szCs w:val="21"/>
                    </w:rPr>
                  </w:pPr>
                  <w:r>
                    <w:rPr>
                      <w:rFonts w:ascii="Times New Roman" w:hAnsi="Times New Roman" w:cs="Times New Roman"/>
                      <w:szCs w:val="21"/>
                    </w:rPr>
                    <w:t>10</w:t>
                  </w:r>
                </w:p>
              </w:tc>
              <w:tc>
                <w:tcPr>
                  <w:tcW w:w="2632" w:type="dxa"/>
                  <w:vAlign w:val="center"/>
                </w:tcPr>
                <w:p w14:paraId="0F742A13">
                  <w:pPr>
                    <w:jc w:val="center"/>
                    <w:rPr>
                      <w:rFonts w:ascii="Times New Roman" w:hAnsi="Times New Roman" w:cs="Times New Roman"/>
                      <w:szCs w:val="21"/>
                    </w:rPr>
                  </w:pPr>
                  <w:r>
                    <w:rPr>
                      <w:rFonts w:hint="eastAsia" w:ascii="Times New Roman" w:hAnsi="Times New Roman" w:cs="Times New Roman"/>
                      <w:szCs w:val="21"/>
                    </w:rPr>
                    <w:t>榨油机</w:t>
                  </w:r>
                </w:p>
              </w:tc>
              <w:tc>
                <w:tcPr>
                  <w:tcW w:w="1643" w:type="dxa"/>
                  <w:vAlign w:val="center"/>
                </w:tcPr>
                <w:p w14:paraId="1AA6723C">
                  <w:pPr>
                    <w:jc w:val="center"/>
                    <w:rPr>
                      <w:rFonts w:ascii="Times New Roman" w:hAnsi="Times New Roman" w:cs="Times New Roman"/>
                      <w:szCs w:val="21"/>
                    </w:rPr>
                  </w:pPr>
                  <w:r>
                    <w:rPr>
                      <w:rFonts w:hint="eastAsia" w:ascii="Times New Roman" w:hAnsi="Times New Roman" w:cs="Times New Roman"/>
                      <w:szCs w:val="21"/>
                    </w:rPr>
                    <w:t>SYZYJ-10</w:t>
                  </w:r>
                </w:p>
              </w:tc>
              <w:tc>
                <w:tcPr>
                  <w:tcW w:w="992" w:type="dxa"/>
                  <w:vAlign w:val="center"/>
                </w:tcPr>
                <w:p w14:paraId="2BC416A3">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71BEF9BF">
                  <w:pPr>
                    <w:jc w:val="center"/>
                    <w:rPr>
                      <w:rFonts w:ascii="Times New Roman" w:hAnsi="Times New Roman" w:cs="Times New Roman"/>
                      <w:szCs w:val="21"/>
                    </w:rPr>
                  </w:pPr>
                  <w:r>
                    <w:rPr>
                      <w:rFonts w:hint="eastAsia" w:ascii="Times New Roman" w:hAnsi="Times New Roman" w:cs="Times New Roman"/>
                      <w:szCs w:val="21"/>
                    </w:rPr>
                    <w:t>1</w:t>
                  </w:r>
                </w:p>
              </w:tc>
            </w:tr>
            <w:tr w14:paraId="11E9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0A42AE7A">
                  <w:pPr>
                    <w:jc w:val="center"/>
                    <w:rPr>
                      <w:rFonts w:ascii="Times New Roman" w:hAnsi="Times New Roman" w:cs="Times New Roman"/>
                      <w:szCs w:val="21"/>
                    </w:rPr>
                  </w:pPr>
                  <w:r>
                    <w:rPr>
                      <w:rFonts w:ascii="Times New Roman" w:hAnsi="Times New Roman" w:cs="Times New Roman"/>
                      <w:szCs w:val="21"/>
                    </w:rPr>
                    <w:t>11</w:t>
                  </w:r>
                </w:p>
              </w:tc>
              <w:tc>
                <w:tcPr>
                  <w:tcW w:w="2632" w:type="dxa"/>
                  <w:vAlign w:val="center"/>
                </w:tcPr>
                <w:p w14:paraId="55497631">
                  <w:pPr>
                    <w:jc w:val="center"/>
                    <w:rPr>
                      <w:rFonts w:ascii="Times New Roman" w:hAnsi="Times New Roman" w:cs="Times New Roman"/>
                      <w:szCs w:val="21"/>
                    </w:rPr>
                  </w:pPr>
                  <w:r>
                    <w:rPr>
                      <w:rFonts w:hint="eastAsia" w:ascii="Times New Roman" w:hAnsi="Times New Roman" w:cs="Times New Roman"/>
                      <w:szCs w:val="21"/>
                    </w:rPr>
                    <w:t>螺旋输送机</w:t>
                  </w:r>
                </w:p>
              </w:tc>
              <w:tc>
                <w:tcPr>
                  <w:tcW w:w="1643" w:type="dxa"/>
                  <w:vAlign w:val="center"/>
                </w:tcPr>
                <w:p w14:paraId="60DE56CE">
                  <w:pPr>
                    <w:jc w:val="center"/>
                    <w:rPr>
                      <w:rFonts w:ascii="Times New Roman" w:hAnsi="Times New Roman" w:cs="Times New Roman"/>
                      <w:szCs w:val="21"/>
                    </w:rPr>
                  </w:pPr>
                  <w:r>
                    <w:rPr>
                      <w:rFonts w:hint="eastAsia" w:ascii="Times New Roman" w:hAnsi="Times New Roman" w:cs="Times New Roman"/>
                      <w:szCs w:val="21"/>
                    </w:rPr>
                    <w:t>SYLU-10</w:t>
                  </w:r>
                </w:p>
              </w:tc>
              <w:tc>
                <w:tcPr>
                  <w:tcW w:w="992" w:type="dxa"/>
                  <w:vAlign w:val="center"/>
                </w:tcPr>
                <w:p w14:paraId="557DFD0D">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7AC12CE7">
                  <w:pPr>
                    <w:jc w:val="center"/>
                    <w:rPr>
                      <w:rFonts w:ascii="Times New Roman" w:hAnsi="Times New Roman" w:cs="Times New Roman"/>
                      <w:szCs w:val="21"/>
                    </w:rPr>
                  </w:pPr>
                  <w:r>
                    <w:rPr>
                      <w:rFonts w:hint="eastAsia" w:ascii="Times New Roman" w:hAnsi="Times New Roman" w:cs="Times New Roman"/>
                      <w:szCs w:val="21"/>
                    </w:rPr>
                    <w:t>1</w:t>
                  </w:r>
                </w:p>
              </w:tc>
            </w:tr>
            <w:tr w14:paraId="7BD1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5A7951B1">
                  <w:pPr>
                    <w:jc w:val="center"/>
                    <w:rPr>
                      <w:rFonts w:ascii="Times New Roman" w:hAnsi="Times New Roman" w:cs="Times New Roman"/>
                      <w:szCs w:val="21"/>
                    </w:rPr>
                  </w:pPr>
                  <w:r>
                    <w:rPr>
                      <w:rFonts w:ascii="Times New Roman" w:hAnsi="Times New Roman" w:cs="Times New Roman"/>
                      <w:szCs w:val="21"/>
                    </w:rPr>
                    <w:t>12</w:t>
                  </w:r>
                </w:p>
              </w:tc>
              <w:tc>
                <w:tcPr>
                  <w:tcW w:w="2632" w:type="dxa"/>
                  <w:vAlign w:val="center"/>
                </w:tcPr>
                <w:p w14:paraId="20A7D447">
                  <w:pPr>
                    <w:jc w:val="center"/>
                    <w:rPr>
                      <w:rFonts w:ascii="Times New Roman" w:hAnsi="Times New Roman" w:cs="Times New Roman"/>
                      <w:szCs w:val="21"/>
                    </w:rPr>
                  </w:pPr>
                  <w:r>
                    <w:rPr>
                      <w:rFonts w:hint="eastAsia" w:ascii="Times New Roman" w:hAnsi="Times New Roman" w:cs="Times New Roman"/>
                      <w:szCs w:val="21"/>
                    </w:rPr>
                    <w:t>离心机</w:t>
                  </w:r>
                </w:p>
              </w:tc>
              <w:tc>
                <w:tcPr>
                  <w:tcW w:w="1643" w:type="dxa"/>
                  <w:vAlign w:val="center"/>
                </w:tcPr>
                <w:p w14:paraId="6C2FFB15">
                  <w:pPr>
                    <w:jc w:val="center"/>
                    <w:rPr>
                      <w:rFonts w:ascii="Times New Roman" w:hAnsi="Times New Roman" w:cs="Times New Roman"/>
                      <w:szCs w:val="21"/>
                    </w:rPr>
                  </w:pPr>
                  <w:r>
                    <w:rPr>
                      <w:rFonts w:hint="eastAsia" w:ascii="Times New Roman" w:hAnsi="Times New Roman" w:cs="Times New Roman"/>
                      <w:szCs w:val="21"/>
                    </w:rPr>
                    <w:t>SYLXJ-05</w:t>
                  </w:r>
                </w:p>
              </w:tc>
              <w:tc>
                <w:tcPr>
                  <w:tcW w:w="992" w:type="dxa"/>
                  <w:vAlign w:val="center"/>
                </w:tcPr>
                <w:p w14:paraId="0D9DF3DB">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4E121687">
                  <w:pPr>
                    <w:jc w:val="center"/>
                    <w:rPr>
                      <w:rFonts w:ascii="Times New Roman" w:hAnsi="Times New Roman" w:cs="Times New Roman"/>
                      <w:szCs w:val="21"/>
                    </w:rPr>
                  </w:pPr>
                  <w:r>
                    <w:rPr>
                      <w:rFonts w:hint="eastAsia" w:ascii="Times New Roman" w:hAnsi="Times New Roman" w:cs="Times New Roman"/>
                      <w:szCs w:val="21"/>
                    </w:rPr>
                    <w:t>1</w:t>
                  </w:r>
                </w:p>
              </w:tc>
            </w:tr>
            <w:tr w14:paraId="07F1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245F169">
                  <w:pPr>
                    <w:jc w:val="center"/>
                    <w:rPr>
                      <w:rFonts w:ascii="Times New Roman" w:hAnsi="Times New Roman" w:cs="Times New Roman"/>
                      <w:szCs w:val="21"/>
                    </w:rPr>
                  </w:pPr>
                  <w:r>
                    <w:rPr>
                      <w:rFonts w:ascii="Times New Roman" w:hAnsi="Times New Roman" w:cs="Times New Roman"/>
                      <w:szCs w:val="21"/>
                    </w:rPr>
                    <w:t>13</w:t>
                  </w:r>
                </w:p>
              </w:tc>
              <w:tc>
                <w:tcPr>
                  <w:tcW w:w="2632" w:type="dxa"/>
                  <w:vAlign w:val="center"/>
                </w:tcPr>
                <w:p w14:paraId="2363FBC3">
                  <w:pPr>
                    <w:jc w:val="center"/>
                    <w:rPr>
                      <w:rFonts w:ascii="Times New Roman" w:hAnsi="Times New Roman" w:cs="Times New Roman"/>
                      <w:szCs w:val="21"/>
                    </w:rPr>
                  </w:pPr>
                  <w:r>
                    <w:rPr>
                      <w:rFonts w:hint="eastAsia" w:ascii="Times New Roman" w:hAnsi="Times New Roman" w:cs="Times New Roman"/>
                      <w:szCs w:val="21"/>
                    </w:rPr>
                    <w:t>加热搅拌罐</w:t>
                  </w:r>
                </w:p>
              </w:tc>
              <w:tc>
                <w:tcPr>
                  <w:tcW w:w="1643" w:type="dxa"/>
                  <w:vAlign w:val="center"/>
                </w:tcPr>
                <w:p w14:paraId="35B59436">
                  <w:pPr>
                    <w:jc w:val="center"/>
                    <w:rPr>
                      <w:rFonts w:ascii="Times New Roman" w:hAnsi="Times New Roman" w:cs="Times New Roman"/>
                      <w:szCs w:val="21"/>
                    </w:rPr>
                  </w:pPr>
                  <w:r>
                    <w:rPr>
                      <w:rFonts w:hint="eastAsia" w:ascii="Times New Roman" w:hAnsi="Times New Roman" w:cs="Times New Roman"/>
                      <w:szCs w:val="21"/>
                    </w:rPr>
                    <w:t>SYJBG-01</w:t>
                  </w:r>
                </w:p>
              </w:tc>
              <w:tc>
                <w:tcPr>
                  <w:tcW w:w="992" w:type="dxa"/>
                  <w:vAlign w:val="center"/>
                </w:tcPr>
                <w:p w14:paraId="4C4873FB">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9150F4F">
                  <w:pPr>
                    <w:jc w:val="center"/>
                    <w:rPr>
                      <w:rFonts w:ascii="Times New Roman" w:hAnsi="Times New Roman" w:cs="Times New Roman"/>
                      <w:szCs w:val="21"/>
                    </w:rPr>
                  </w:pPr>
                  <w:r>
                    <w:rPr>
                      <w:rFonts w:hint="eastAsia" w:ascii="Times New Roman" w:hAnsi="Times New Roman" w:cs="Times New Roman"/>
                      <w:szCs w:val="21"/>
                    </w:rPr>
                    <w:t>1</w:t>
                  </w:r>
                </w:p>
              </w:tc>
            </w:tr>
            <w:tr w14:paraId="350B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79E1CEB7">
                  <w:pPr>
                    <w:jc w:val="center"/>
                    <w:rPr>
                      <w:rFonts w:ascii="Times New Roman" w:hAnsi="Times New Roman" w:cs="Times New Roman"/>
                      <w:szCs w:val="21"/>
                    </w:rPr>
                  </w:pPr>
                  <w:r>
                    <w:rPr>
                      <w:rFonts w:ascii="Times New Roman" w:hAnsi="Times New Roman" w:cs="Times New Roman"/>
                      <w:szCs w:val="21"/>
                    </w:rPr>
                    <w:t>14</w:t>
                  </w:r>
                </w:p>
              </w:tc>
              <w:tc>
                <w:tcPr>
                  <w:tcW w:w="2632" w:type="dxa"/>
                  <w:vAlign w:val="center"/>
                </w:tcPr>
                <w:p w14:paraId="0DAB19DC">
                  <w:pPr>
                    <w:jc w:val="center"/>
                    <w:rPr>
                      <w:rFonts w:ascii="Times New Roman" w:hAnsi="Times New Roman" w:cs="Times New Roman"/>
                      <w:szCs w:val="21"/>
                    </w:rPr>
                  </w:pPr>
                  <w:r>
                    <w:rPr>
                      <w:rFonts w:hint="eastAsia" w:ascii="Times New Roman" w:hAnsi="Times New Roman" w:cs="Times New Roman"/>
                      <w:szCs w:val="21"/>
                    </w:rPr>
                    <w:t>储油罐</w:t>
                  </w:r>
                </w:p>
              </w:tc>
              <w:tc>
                <w:tcPr>
                  <w:tcW w:w="1643" w:type="dxa"/>
                  <w:vAlign w:val="center"/>
                </w:tcPr>
                <w:p w14:paraId="2B7F2376">
                  <w:pPr>
                    <w:jc w:val="center"/>
                    <w:rPr>
                      <w:rFonts w:ascii="Times New Roman" w:hAnsi="Times New Roman" w:cs="Times New Roman"/>
                      <w:szCs w:val="21"/>
                    </w:rPr>
                  </w:pPr>
                  <w:r>
                    <w:rPr>
                      <w:rFonts w:hint="eastAsia" w:ascii="Times New Roman" w:hAnsi="Times New Roman" w:cs="Times New Roman"/>
                      <w:szCs w:val="21"/>
                    </w:rPr>
                    <w:t>SYCYG-15</w:t>
                  </w:r>
                </w:p>
              </w:tc>
              <w:tc>
                <w:tcPr>
                  <w:tcW w:w="992" w:type="dxa"/>
                  <w:vAlign w:val="center"/>
                </w:tcPr>
                <w:p w14:paraId="35CD0B46">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52DF2A76">
                  <w:pPr>
                    <w:jc w:val="center"/>
                    <w:rPr>
                      <w:rFonts w:ascii="Times New Roman" w:hAnsi="Times New Roman" w:cs="Times New Roman"/>
                      <w:szCs w:val="21"/>
                    </w:rPr>
                  </w:pPr>
                  <w:r>
                    <w:rPr>
                      <w:rFonts w:hint="eastAsia" w:ascii="Times New Roman" w:hAnsi="Times New Roman" w:cs="Times New Roman"/>
                      <w:szCs w:val="21"/>
                    </w:rPr>
                    <w:t>1</w:t>
                  </w:r>
                </w:p>
              </w:tc>
            </w:tr>
            <w:tr w14:paraId="580B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110D35F8">
                  <w:pPr>
                    <w:jc w:val="center"/>
                    <w:rPr>
                      <w:rFonts w:ascii="Times New Roman" w:hAnsi="Times New Roman" w:cs="Times New Roman"/>
                      <w:szCs w:val="21"/>
                    </w:rPr>
                  </w:pPr>
                  <w:r>
                    <w:rPr>
                      <w:rFonts w:ascii="Times New Roman" w:hAnsi="Times New Roman" w:cs="Times New Roman"/>
                      <w:szCs w:val="21"/>
                    </w:rPr>
                    <w:t>15</w:t>
                  </w:r>
                </w:p>
              </w:tc>
              <w:tc>
                <w:tcPr>
                  <w:tcW w:w="2632" w:type="dxa"/>
                  <w:vAlign w:val="center"/>
                </w:tcPr>
                <w:p w14:paraId="3410A237">
                  <w:pPr>
                    <w:jc w:val="center"/>
                    <w:rPr>
                      <w:rFonts w:ascii="Times New Roman" w:hAnsi="Times New Roman" w:cs="Times New Roman"/>
                      <w:szCs w:val="21"/>
                    </w:rPr>
                  </w:pPr>
                  <w:r>
                    <w:rPr>
                      <w:rFonts w:hint="eastAsia" w:ascii="Times New Roman" w:hAnsi="Times New Roman" w:cs="Times New Roman"/>
                      <w:szCs w:val="21"/>
                    </w:rPr>
                    <w:t>油脂暂存箱</w:t>
                  </w:r>
                </w:p>
              </w:tc>
              <w:tc>
                <w:tcPr>
                  <w:tcW w:w="1643" w:type="dxa"/>
                  <w:vAlign w:val="center"/>
                </w:tcPr>
                <w:p w14:paraId="254A7BA7">
                  <w:pPr>
                    <w:jc w:val="center"/>
                    <w:rPr>
                      <w:rFonts w:ascii="Times New Roman" w:hAnsi="Times New Roman" w:cs="Times New Roman"/>
                      <w:szCs w:val="21"/>
                    </w:rPr>
                  </w:pPr>
                  <w:r>
                    <w:rPr>
                      <w:rFonts w:hint="eastAsia" w:ascii="Times New Roman" w:hAnsi="Times New Roman" w:cs="Times New Roman"/>
                      <w:szCs w:val="21"/>
                    </w:rPr>
                    <w:t>/</w:t>
                  </w:r>
                </w:p>
              </w:tc>
              <w:tc>
                <w:tcPr>
                  <w:tcW w:w="992" w:type="dxa"/>
                  <w:vAlign w:val="center"/>
                </w:tcPr>
                <w:p w14:paraId="7ACBAD9A">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604F3B2A">
                  <w:pPr>
                    <w:jc w:val="center"/>
                    <w:rPr>
                      <w:rFonts w:ascii="Times New Roman" w:hAnsi="Times New Roman" w:cs="Times New Roman"/>
                      <w:szCs w:val="21"/>
                    </w:rPr>
                  </w:pPr>
                  <w:r>
                    <w:rPr>
                      <w:rFonts w:hint="eastAsia" w:ascii="Times New Roman" w:hAnsi="Times New Roman" w:cs="Times New Roman"/>
                      <w:szCs w:val="21"/>
                    </w:rPr>
                    <w:t>1</w:t>
                  </w:r>
                </w:p>
              </w:tc>
            </w:tr>
            <w:tr w14:paraId="7685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3272F13B">
                  <w:pPr>
                    <w:jc w:val="center"/>
                    <w:rPr>
                      <w:rFonts w:ascii="Times New Roman" w:hAnsi="Times New Roman" w:cs="Times New Roman"/>
                      <w:szCs w:val="21"/>
                    </w:rPr>
                  </w:pPr>
                  <w:r>
                    <w:rPr>
                      <w:rFonts w:ascii="Times New Roman" w:hAnsi="Times New Roman" w:cs="Times New Roman"/>
                      <w:szCs w:val="21"/>
                    </w:rPr>
                    <w:t>16</w:t>
                  </w:r>
                </w:p>
              </w:tc>
              <w:tc>
                <w:tcPr>
                  <w:tcW w:w="2632" w:type="dxa"/>
                  <w:vAlign w:val="center"/>
                </w:tcPr>
                <w:p w14:paraId="6F9C5F2A">
                  <w:pPr>
                    <w:jc w:val="center"/>
                    <w:rPr>
                      <w:rFonts w:ascii="Times New Roman" w:hAnsi="Times New Roman" w:cs="Times New Roman"/>
                      <w:szCs w:val="21"/>
                    </w:rPr>
                  </w:pPr>
                  <w:r>
                    <w:rPr>
                      <w:rFonts w:hint="eastAsia" w:ascii="Times New Roman" w:hAnsi="Times New Roman" w:cs="Times New Roman"/>
                      <w:szCs w:val="21"/>
                    </w:rPr>
                    <w:t>导油泵</w:t>
                  </w:r>
                </w:p>
              </w:tc>
              <w:tc>
                <w:tcPr>
                  <w:tcW w:w="1643" w:type="dxa"/>
                  <w:vAlign w:val="center"/>
                </w:tcPr>
                <w:p w14:paraId="04740A24">
                  <w:pPr>
                    <w:jc w:val="center"/>
                    <w:rPr>
                      <w:rFonts w:ascii="Times New Roman" w:hAnsi="Times New Roman" w:cs="Times New Roman"/>
                      <w:szCs w:val="21"/>
                    </w:rPr>
                  </w:pPr>
                  <w:r>
                    <w:rPr>
                      <w:rFonts w:hint="eastAsia" w:ascii="Times New Roman" w:hAnsi="Times New Roman" w:cs="Times New Roman"/>
                      <w:szCs w:val="21"/>
                    </w:rPr>
                    <w:t>/</w:t>
                  </w:r>
                </w:p>
              </w:tc>
              <w:tc>
                <w:tcPr>
                  <w:tcW w:w="992" w:type="dxa"/>
                  <w:vAlign w:val="center"/>
                </w:tcPr>
                <w:p w14:paraId="01ADF4F4">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70720051">
                  <w:pPr>
                    <w:jc w:val="center"/>
                    <w:rPr>
                      <w:rFonts w:ascii="Times New Roman" w:hAnsi="Times New Roman" w:cs="Times New Roman"/>
                      <w:szCs w:val="21"/>
                    </w:rPr>
                  </w:pPr>
                  <w:r>
                    <w:rPr>
                      <w:rFonts w:hint="eastAsia" w:ascii="Times New Roman" w:hAnsi="Times New Roman" w:cs="Times New Roman"/>
                      <w:szCs w:val="21"/>
                    </w:rPr>
                    <w:t>2</w:t>
                  </w:r>
                </w:p>
              </w:tc>
            </w:tr>
            <w:tr w14:paraId="4D03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7144F743">
                  <w:pPr>
                    <w:jc w:val="center"/>
                    <w:rPr>
                      <w:rFonts w:ascii="Times New Roman" w:hAnsi="Times New Roman" w:cs="Times New Roman"/>
                      <w:szCs w:val="21"/>
                    </w:rPr>
                  </w:pPr>
                  <w:r>
                    <w:rPr>
                      <w:rFonts w:hint="eastAsia" w:ascii="Times New Roman" w:hAnsi="Times New Roman" w:cs="Times New Roman"/>
                      <w:szCs w:val="21"/>
                    </w:rPr>
                    <w:t>四、生物质导热油锅炉</w:t>
                  </w:r>
                </w:p>
              </w:tc>
            </w:tr>
            <w:tr w14:paraId="38B9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0A0E8F34">
                  <w:pPr>
                    <w:jc w:val="center"/>
                    <w:rPr>
                      <w:rFonts w:ascii="Times New Roman" w:hAnsi="Times New Roman" w:cs="Times New Roman"/>
                      <w:szCs w:val="21"/>
                    </w:rPr>
                  </w:pPr>
                  <w:r>
                    <w:rPr>
                      <w:rFonts w:ascii="Times New Roman" w:hAnsi="Times New Roman" w:cs="Times New Roman"/>
                      <w:szCs w:val="21"/>
                    </w:rPr>
                    <w:t>17</w:t>
                  </w:r>
                </w:p>
              </w:tc>
              <w:tc>
                <w:tcPr>
                  <w:tcW w:w="2632" w:type="dxa"/>
                  <w:vAlign w:val="center"/>
                </w:tcPr>
                <w:p w14:paraId="1F72331C">
                  <w:pPr>
                    <w:jc w:val="center"/>
                    <w:rPr>
                      <w:rFonts w:ascii="Times New Roman" w:hAnsi="Times New Roman" w:cs="Times New Roman"/>
                      <w:szCs w:val="21"/>
                    </w:rPr>
                  </w:pPr>
                  <w:r>
                    <w:rPr>
                      <w:rFonts w:hint="eastAsia" w:ascii="Times New Roman" w:hAnsi="Times New Roman" w:cs="Times New Roman"/>
                      <w:szCs w:val="21"/>
                    </w:rPr>
                    <w:t>生物质导热油锅炉</w:t>
                  </w:r>
                </w:p>
              </w:tc>
              <w:tc>
                <w:tcPr>
                  <w:tcW w:w="1643" w:type="dxa"/>
                  <w:vAlign w:val="center"/>
                </w:tcPr>
                <w:p w14:paraId="607E10C4">
                  <w:pPr>
                    <w:jc w:val="center"/>
                    <w:rPr>
                      <w:rFonts w:ascii="Times New Roman" w:hAnsi="Times New Roman" w:cs="Times New Roman"/>
                      <w:szCs w:val="21"/>
                    </w:rPr>
                  </w:pPr>
                  <w:r>
                    <w:rPr>
                      <w:rFonts w:hint="eastAsia" w:ascii="Times New Roman" w:hAnsi="Times New Roman" w:cs="Times New Roman"/>
                      <w:szCs w:val="21"/>
                    </w:rPr>
                    <w:t>2t</w:t>
                  </w:r>
                </w:p>
              </w:tc>
              <w:tc>
                <w:tcPr>
                  <w:tcW w:w="992" w:type="dxa"/>
                  <w:vAlign w:val="center"/>
                </w:tcPr>
                <w:p w14:paraId="1764A491">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4E14B32B">
                  <w:pPr>
                    <w:jc w:val="center"/>
                    <w:rPr>
                      <w:rFonts w:ascii="Times New Roman" w:hAnsi="Times New Roman" w:cs="Times New Roman"/>
                      <w:szCs w:val="21"/>
                    </w:rPr>
                  </w:pPr>
                  <w:r>
                    <w:rPr>
                      <w:rFonts w:hint="eastAsia" w:ascii="Times New Roman" w:hAnsi="Times New Roman" w:cs="Times New Roman"/>
                      <w:szCs w:val="21"/>
                    </w:rPr>
                    <w:t>1</w:t>
                  </w:r>
                </w:p>
              </w:tc>
            </w:tr>
            <w:tr w14:paraId="4E94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16" w:type="dxa"/>
                  <w:gridSpan w:val="5"/>
                  <w:vAlign w:val="center"/>
                </w:tcPr>
                <w:p w14:paraId="0DCDED9B">
                  <w:pPr>
                    <w:jc w:val="center"/>
                    <w:rPr>
                      <w:rFonts w:ascii="Times New Roman" w:hAnsi="Times New Roman" w:cs="Times New Roman"/>
                      <w:szCs w:val="21"/>
                    </w:rPr>
                  </w:pPr>
                  <w:r>
                    <w:rPr>
                      <w:rFonts w:hint="eastAsia" w:ascii="Times New Roman" w:hAnsi="Times New Roman" w:cs="Times New Roman"/>
                      <w:szCs w:val="21"/>
                    </w:rPr>
                    <w:t>五、蒸汽冷却处理系统</w:t>
                  </w:r>
                </w:p>
              </w:tc>
            </w:tr>
            <w:tr w14:paraId="1C0E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2037A5EB">
                  <w:pPr>
                    <w:jc w:val="center"/>
                    <w:rPr>
                      <w:rFonts w:ascii="Times New Roman" w:hAnsi="Times New Roman" w:cs="Times New Roman"/>
                      <w:szCs w:val="21"/>
                    </w:rPr>
                  </w:pPr>
                  <w:r>
                    <w:rPr>
                      <w:rFonts w:ascii="Times New Roman" w:hAnsi="Times New Roman" w:cs="Times New Roman"/>
                      <w:szCs w:val="21"/>
                    </w:rPr>
                    <w:t>18</w:t>
                  </w:r>
                </w:p>
              </w:tc>
              <w:tc>
                <w:tcPr>
                  <w:tcW w:w="2632" w:type="dxa"/>
                  <w:vAlign w:val="center"/>
                </w:tcPr>
                <w:p w14:paraId="03F2A0C8">
                  <w:pPr>
                    <w:jc w:val="center"/>
                    <w:rPr>
                      <w:rFonts w:ascii="Times New Roman" w:hAnsi="Times New Roman" w:cs="Times New Roman"/>
                      <w:szCs w:val="21"/>
                    </w:rPr>
                  </w:pPr>
                  <w:r>
                    <w:rPr>
                      <w:rFonts w:hint="eastAsia" w:ascii="Times New Roman" w:hAnsi="Times New Roman" w:cs="Times New Roman"/>
                      <w:szCs w:val="21"/>
                    </w:rPr>
                    <w:t>降尘器</w:t>
                  </w:r>
                </w:p>
              </w:tc>
              <w:tc>
                <w:tcPr>
                  <w:tcW w:w="1643" w:type="dxa"/>
                  <w:vAlign w:val="center"/>
                </w:tcPr>
                <w:p w14:paraId="2877FD57">
                  <w:pPr>
                    <w:jc w:val="center"/>
                    <w:rPr>
                      <w:rFonts w:ascii="Times New Roman" w:hAnsi="Times New Roman" w:cs="Times New Roman"/>
                      <w:szCs w:val="21"/>
                    </w:rPr>
                  </w:pPr>
                  <w:r>
                    <w:rPr>
                      <w:rFonts w:hint="eastAsia" w:ascii="Times New Roman" w:hAnsi="Times New Roman" w:cs="Times New Roman"/>
                      <w:szCs w:val="21"/>
                    </w:rPr>
                    <w:t>SYJCQ-08</w:t>
                  </w:r>
                </w:p>
              </w:tc>
              <w:tc>
                <w:tcPr>
                  <w:tcW w:w="992" w:type="dxa"/>
                  <w:vAlign w:val="center"/>
                </w:tcPr>
                <w:p w14:paraId="5C3B001E">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1C8CC450">
                  <w:pPr>
                    <w:jc w:val="center"/>
                    <w:rPr>
                      <w:rFonts w:ascii="Times New Roman" w:hAnsi="Times New Roman" w:cs="Times New Roman"/>
                      <w:szCs w:val="21"/>
                    </w:rPr>
                  </w:pPr>
                  <w:r>
                    <w:rPr>
                      <w:rFonts w:hint="eastAsia" w:ascii="Times New Roman" w:hAnsi="Times New Roman" w:cs="Times New Roman"/>
                      <w:szCs w:val="21"/>
                    </w:rPr>
                    <w:t>1</w:t>
                  </w:r>
                </w:p>
              </w:tc>
            </w:tr>
            <w:tr w14:paraId="2A93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7F2BE66">
                  <w:pPr>
                    <w:jc w:val="center"/>
                    <w:rPr>
                      <w:rFonts w:ascii="Times New Roman" w:hAnsi="Times New Roman" w:cs="Times New Roman"/>
                      <w:szCs w:val="21"/>
                    </w:rPr>
                  </w:pPr>
                  <w:r>
                    <w:rPr>
                      <w:rFonts w:ascii="Times New Roman" w:hAnsi="Times New Roman" w:cs="Times New Roman"/>
                      <w:szCs w:val="21"/>
                    </w:rPr>
                    <w:t>19</w:t>
                  </w:r>
                </w:p>
              </w:tc>
              <w:tc>
                <w:tcPr>
                  <w:tcW w:w="2632" w:type="dxa"/>
                  <w:vAlign w:val="center"/>
                </w:tcPr>
                <w:p w14:paraId="4313A9CE">
                  <w:pPr>
                    <w:jc w:val="center"/>
                    <w:rPr>
                      <w:rFonts w:ascii="Times New Roman" w:hAnsi="Times New Roman" w:cs="Times New Roman"/>
                      <w:szCs w:val="21"/>
                    </w:rPr>
                  </w:pPr>
                  <w:r>
                    <w:rPr>
                      <w:rFonts w:hint="eastAsia" w:ascii="Times New Roman" w:hAnsi="Times New Roman" w:cs="Times New Roman"/>
                      <w:szCs w:val="21"/>
                    </w:rPr>
                    <w:t>冷凝器</w:t>
                  </w:r>
                </w:p>
              </w:tc>
              <w:tc>
                <w:tcPr>
                  <w:tcW w:w="1643" w:type="dxa"/>
                  <w:vAlign w:val="center"/>
                </w:tcPr>
                <w:p w14:paraId="0F242D6B">
                  <w:pPr>
                    <w:jc w:val="center"/>
                    <w:rPr>
                      <w:rFonts w:ascii="Times New Roman" w:hAnsi="Times New Roman" w:cs="Times New Roman"/>
                      <w:szCs w:val="21"/>
                    </w:rPr>
                  </w:pPr>
                  <w:r>
                    <w:rPr>
                      <w:rFonts w:hint="eastAsia" w:ascii="Times New Roman" w:hAnsi="Times New Roman" w:cs="Times New Roman"/>
                      <w:szCs w:val="21"/>
                    </w:rPr>
                    <w:t>SYLN-120</w:t>
                  </w:r>
                </w:p>
              </w:tc>
              <w:tc>
                <w:tcPr>
                  <w:tcW w:w="992" w:type="dxa"/>
                  <w:vAlign w:val="center"/>
                </w:tcPr>
                <w:p w14:paraId="28F7EA24">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56D74576">
                  <w:pPr>
                    <w:jc w:val="center"/>
                    <w:rPr>
                      <w:rFonts w:ascii="Times New Roman" w:hAnsi="Times New Roman" w:cs="Times New Roman"/>
                      <w:szCs w:val="21"/>
                    </w:rPr>
                  </w:pPr>
                  <w:r>
                    <w:rPr>
                      <w:rFonts w:hint="eastAsia" w:ascii="Times New Roman" w:hAnsi="Times New Roman" w:cs="Times New Roman"/>
                      <w:szCs w:val="21"/>
                    </w:rPr>
                    <w:t>1</w:t>
                  </w:r>
                </w:p>
              </w:tc>
            </w:tr>
            <w:tr w14:paraId="16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4690F53B">
                  <w:pPr>
                    <w:jc w:val="center"/>
                    <w:rPr>
                      <w:rFonts w:ascii="Times New Roman" w:hAnsi="Times New Roman" w:cs="Times New Roman"/>
                      <w:szCs w:val="21"/>
                    </w:rPr>
                  </w:pPr>
                  <w:r>
                    <w:rPr>
                      <w:rFonts w:ascii="Times New Roman" w:hAnsi="Times New Roman" w:cs="Times New Roman"/>
                      <w:szCs w:val="21"/>
                    </w:rPr>
                    <w:t>20</w:t>
                  </w:r>
                </w:p>
              </w:tc>
              <w:tc>
                <w:tcPr>
                  <w:tcW w:w="2632" w:type="dxa"/>
                  <w:vAlign w:val="center"/>
                </w:tcPr>
                <w:p w14:paraId="4C5A1CC3">
                  <w:pPr>
                    <w:jc w:val="center"/>
                    <w:rPr>
                      <w:rFonts w:ascii="Times New Roman" w:hAnsi="Times New Roman" w:cs="Times New Roman"/>
                      <w:szCs w:val="21"/>
                    </w:rPr>
                  </w:pPr>
                  <w:r>
                    <w:rPr>
                      <w:rFonts w:hint="eastAsia" w:ascii="Times New Roman" w:hAnsi="Times New Roman" w:cs="Times New Roman"/>
                      <w:szCs w:val="21"/>
                    </w:rPr>
                    <w:t>负压站</w:t>
                  </w:r>
                </w:p>
              </w:tc>
              <w:tc>
                <w:tcPr>
                  <w:tcW w:w="1643" w:type="dxa"/>
                  <w:vAlign w:val="center"/>
                </w:tcPr>
                <w:p w14:paraId="2B8C7231">
                  <w:pPr>
                    <w:jc w:val="center"/>
                    <w:rPr>
                      <w:rFonts w:ascii="Times New Roman" w:hAnsi="Times New Roman" w:cs="Times New Roman"/>
                      <w:szCs w:val="21"/>
                    </w:rPr>
                  </w:pPr>
                  <w:r>
                    <w:rPr>
                      <w:rFonts w:hint="eastAsia" w:ascii="Times New Roman" w:hAnsi="Times New Roman" w:cs="Times New Roman"/>
                      <w:szCs w:val="21"/>
                    </w:rPr>
                    <w:t>SYFYZ-50</w:t>
                  </w:r>
                </w:p>
              </w:tc>
              <w:tc>
                <w:tcPr>
                  <w:tcW w:w="992" w:type="dxa"/>
                  <w:vAlign w:val="center"/>
                </w:tcPr>
                <w:p w14:paraId="3A097956">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3747022F">
                  <w:pPr>
                    <w:jc w:val="center"/>
                    <w:rPr>
                      <w:rFonts w:ascii="Times New Roman" w:hAnsi="Times New Roman" w:cs="Times New Roman"/>
                      <w:szCs w:val="21"/>
                    </w:rPr>
                  </w:pPr>
                  <w:r>
                    <w:rPr>
                      <w:rFonts w:hint="eastAsia" w:ascii="Times New Roman" w:hAnsi="Times New Roman" w:cs="Times New Roman"/>
                      <w:szCs w:val="21"/>
                    </w:rPr>
                    <w:t>1</w:t>
                  </w:r>
                </w:p>
              </w:tc>
            </w:tr>
            <w:tr w14:paraId="7E05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7" w:type="dxa"/>
                  <w:vAlign w:val="center"/>
                </w:tcPr>
                <w:p w14:paraId="75CC53CD">
                  <w:pPr>
                    <w:jc w:val="center"/>
                    <w:rPr>
                      <w:rFonts w:ascii="Times New Roman" w:hAnsi="Times New Roman" w:cs="Times New Roman"/>
                      <w:szCs w:val="21"/>
                    </w:rPr>
                  </w:pPr>
                  <w:r>
                    <w:rPr>
                      <w:rFonts w:ascii="Times New Roman" w:hAnsi="Times New Roman" w:cs="Times New Roman"/>
                      <w:szCs w:val="21"/>
                    </w:rPr>
                    <w:t>21</w:t>
                  </w:r>
                </w:p>
              </w:tc>
              <w:tc>
                <w:tcPr>
                  <w:tcW w:w="2632" w:type="dxa"/>
                  <w:vAlign w:val="center"/>
                </w:tcPr>
                <w:p w14:paraId="7A53EFCC">
                  <w:pPr>
                    <w:jc w:val="center"/>
                    <w:rPr>
                      <w:rFonts w:ascii="Times New Roman" w:hAnsi="Times New Roman" w:cs="Times New Roman"/>
                      <w:szCs w:val="21"/>
                    </w:rPr>
                  </w:pPr>
                  <w:r>
                    <w:rPr>
                      <w:rFonts w:hint="eastAsia" w:ascii="Times New Roman" w:hAnsi="Times New Roman" w:cs="Times New Roman"/>
                      <w:szCs w:val="21"/>
                    </w:rPr>
                    <w:t>降温塔</w:t>
                  </w:r>
                </w:p>
              </w:tc>
              <w:tc>
                <w:tcPr>
                  <w:tcW w:w="1643" w:type="dxa"/>
                  <w:vAlign w:val="center"/>
                </w:tcPr>
                <w:p w14:paraId="4F5D1E4C">
                  <w:pPr>
                    <w:jc w:val="center"/>
                    <w:rPr>
                      <w:rFonts w:ascii="Times New Roman" w:hAnsi="Times New Roman" w:cs="Times New Roman"/>
                      <w:szCs w:val="21"/>
                    </w:rPr>
                  </w:pPr>
                  <w:r>
                    <w:rPr>
                      <w:rFonts w:hint="eastAsia" w:ascii="Times New Roman" w:hAnsi="Times New Roman" w:cs="Times New Roman"/>
                      <w:szCs w:val="21"/>
                    </w:rPr>
                    <w:t>SYJW-150</w:t>
                  </w:r>
                </w:p>
              </w:tc>
              <w:tc>
                <w:tcPr>
                  <w:tcW w:w="992" w:type="dxa"/>
                  <w:vAlign w:val="center"/>
                </w:tcPr>
                <w:p w14:paraId="0770326F">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3DCC8B27">
                  <w:pPr>
                    <w:jc w:val="center"/>
                    <w:rPr>
                      <w:rFonts w:ascii="Times New Roman" w:hAnsi="Times New Roman" w:cs="Times New Roman"/>
                      <w:szCs w:val="21"/>
                    </w:rPr>
                  </w:pPr>
                  <w:r>
                    <w:rPr>
                      <w:rFonts w:hint="eastAsia" w:ascii="Times New Roman" w:hAnsi="Times New Roman" w:cs="Times New Roman"/>
                      <w:szCs w:val="21"/>
                    </w:rPr>
                    <w:t>2</w:t>
                  </w:r>
                </w:p>
              </w:tc>
            </w:tr>
            <w:tr w14:paraId="5B06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7" w:type="dxa"/>
                  <w:vAlign w:val="center"/>
                </w:tcPr>
                <w:p w14:paraId="53348FF6">
                  <w:pPr>
                    <w:jc w:val="center"/>
                    <w:rPr>
                      <w:rFonts w:ascii="Times New Roman" w:hAnsi="Times New Roman" w:cs="Times New Roman"/>
                      <w:szCs w:val="21"/>
                    </w:rPr>
                  </w:pPr>
                  <w:r>
                    <w:rPr>
                      <w:rFonts w:ascii="Times New Roman" w:hAnsi="Times New Roman" w:cs="Times New Roman"/>
                      <w:szCs w:val="21"/>
                    </w:rPr>
                    <w:t>22</w:t>
                  </w:r>
                </w:p>
              </w:tc>
              <w:tc>
                <w:tcPr>
                  <w:tcW w:w="2632" w:type="dxa"/>
                  <w:vAlign w:val="center"/>
                </w:tcPr>
                <w:p w14:paraId="190F77AC">
                  <w:pPr>
                    <w:jc w:val="center"/>
                    <w:rPr>
                      <w:rFonts w:ascii="Times New Roman" w:hAnsi="Times New Roman" w:cs="Times New Roman"/>
                      <w:szCs w:val="21"/>
                    </w:rPr>
                  </w:pPr>
                  <w:r>
                    <w:rPr>
                      <w:rFonts w:hint="eastAsia" w:ascii="Times New Roman" w:hAnsi="Times New Roman" w:cs="Times New Roman"/>
                      <w:szCs w:val="21"/>
                    </w:rPr>
                    <w:t>水循环泵</w:t>
                  </w:r>
                </w:p>
              </w:tc>
              <w:tc>
                <w:tcPr>
                  <w:tcW w:w="1643" w:type="dxa"/>
                  <w:vAlign w:val="center"/>
                </w:tcPr>
                <w:p w14:paraId="465D55F6">
                  <w:pPr>
                    <w:jc w:val="center"/>
                    <w:rPr>
                      <w:rFonts w:ascii="Times New Roman" w:hAnsi="Times New Roman" w:cs="Times New Roman"/>
                      <w:szCs w:val="21"/>
                    </w:rPr>
                  </w:pPr>
                  <w:r>
                    <w:rPr>
                      <w:rFonts w:hint="eastAsia" w:ascii="Times New Roman" w:hAnsi="Times New Roman" w:cs="Times New Roman"/>
                      <w:szCs w:val="21"/>
                    </w:rPr>
                    <w:t>/</w:t>
                  </w:r>
                </w:p>
              </w:tc>
              <w:tc>
                <w:tcPr>
                  <w:tcW w:w="992" w:type="dxa"/>
                  <w:vAlign w:val="center"/>
                </w:tcPr>
                <w:p w14:paraId="25004820">
                  <w:pPr>
                    <w:jc w:val="center"/>
                    <w:rPr>
                      <w:rFonts w:ascii="Times New Roman" w:hAnsi="Times New Roman" w:cs="Times New Roman"/>
                      <w:szCs w:val="21"/>
                    </w:rPr>
                  </w:pPr>
                  <w:r>
                    <w:rPr>
                      <w:rFonts w:hint="eastAsia" w:ascii="Times New Roman" w:hAnsi="Times New Roman" w:cs="Times New Roman"/>
                      <w:szCs w:val="21"/>
                    </w:rPr>
                    <w:t>台</w:t>
                  </w:r>
                </w:p>
              </w:tc>
              <w:tc>
                <w:tcPr>
                  <w:tcW w:w="962" w:type="dxa"/>
                  <w:vAlign w:val="center"/>
                </w:tcPr>
                <w:p w14:paraId="49CC1120">
                  <w:pPr>
                    <w:jc w:val="center"/>
                    <w:rPr>
                      <w:rFonts w:ascii="Times New Roman" w:hAnsi="Times New Roman" w:cs="Times New Roman"/>
                      <w:szCs w:val="21"/>
                    </w:rPr>
                  </w:pPr>
                  <w:r>
                    <w:rPr>
                      <w:rFonts w:hint="eastAsia" w:ascii="Times New Roman" w:hAnsi="Times New Roman" w:cs="Times New Roman"/>
                      <w:szCs w:val="21"/>
                    </w:rPr>
                    <w:t>1</w:t>
                  </w:r>
                </w:p>
              </w:tc>
            </w:tr>
            <w:tr w14:paraId="1E9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16" w:type="dxa"/>
                  <w:gridSpan w:val="5"/>
                  <w:vAlign w:val="center"/>
                </w:tcPr>
                <w:p w14:paraId="6720A62F">
                  <w:pPr>
                    <w:jc w:val="center"/>
                    <w:rPr>
                      <w:rFonts w:ascii="Times New Roman" w:hAnsi="Times New Roman" w:cs="Times New Roman"/>
                      <w:szCs w:val="21"/>
                    </w:rPr>
                  </w:pPr>
                  <w:r>
                    <w:rPr>
                      <w:rFonts w:hint="eastAsia" w:ascii="Times New Roman" w:hAnsi="Times New Roman" w:cs="Times New Roman"/>
                      <w:szCs w:val="21"/>
                    </w:rPr>
                    <w:t>六、冷库</w:t>
                  </w:r>
                </w:p>
              </w:tc>
            </w:tr>
            <w:tr w14:paraId="1F01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7" w:type="dxa"/>
                  <w:vAlign w:val="center"/>
                </w:tcPr>
                <w:p w14:paraId="0ABED775">
                  <w:pPr>
                    <w:jc w:val="center"/>
                    <w:rPr>
                      <w:rFonts w:ascii="Times New Roman" w:hAnsi="Times New Roman" w:cs="Times New Roman"/>
                      <w:szCs w:val="21"/>
                    </w:rPr>
                  </w:pPr>
                  <w:r>
                    <w:rPr>
                      <w:rFonts w:ascii="Times New Roman" w:hAnsi="Times New Roman" w:cs="Times New Roman"/>
                      <w:szCs w:val="21"/>
                    </w:rPr>
                    <w:t>23</w:t>
                  </w:r>
                </w:p>
              </w:tc>
              <w:tc>
                <w:tcPr>
                  <w:tcW w:w="2632" w:type="dxa"/>
                  <w:vAlign w:val="center"/>
                </w:tcPr>
                <w:p w14:paraId="66D082FD">
                  <w:pPr>
                    <w:jc w:val="center"/>
                    <w:rPr>
                      <w:rFonts w:ascii="Times New Roman" w:hAnsi="Times New Roman" w:cs="Times New Roman"/>
                      <w:szCs w:val="21"/>
                    </w:rPr>
                  </w:pPr>
                  <w:r>
                    <w:rPr>
                      <w:rFonts w:hint="eastAsia" w:ascii="Times New Roman" w:hAnsi="Times New Roman" w:cs="Times New Roman"/>
                      <w:szCs w:val="21"/>
                    </w:rPr>
                    <w:t>冷库</w:t>
                  </w:r>
                </w:p>
              </w:tc>
              <w:tc>
                <w:tcPr>
                  <w:tcW w:w="1643" w:type="dxa"/>
                  <w:vAlign w:val="center"/>
                </w:tcPr>
                <w:p w14:paraId="117999F0">
                  <w:pPr>
                    <w:jc w:val="center"/>
                    <w:rPr>
                      <w:rFonts w:ascii="Times New Roman" w:hAnsi="Times New Roman" w:cs="Times New Roman"/>
                      <w:szCs w:val="21"/>
                    </w:rPr>
                  </w:pPr>
                  <w:r>
                    <w:rPr>
                      <w:rFonts w:hint="eastAsia" w:ascii="Times New Roman" w:hAnsi="Times New Roman" w:cs="Times New Roman"/>
                      <w:szCs w:val="21"/>
                    </w:rPr>
                    <w:t>216m</w:t>
                  </w:r>
                  <w:r>
                    <w:rPr>
                      <w:rFonts w:hint="eastAsia" w:ascii="Times New Roman" w:hAnsi="Times New Roman" w:cs="Times New Roman"/>
                      <w:szCs w:val="21"/>
                      <w:vertAlign w:val="superscript"/>
                    </w:rPr>
                    <w:t>3</w:t>
                  </w:r>
                </w:p>
              </w:tc>
              <w:tc>
                <w:tcPr>
                  <w:tcW w:w="992" w:type="dxa"/>
                  <w:vAlign w:val="center"/>
                </w:tcPr>
                <w:p w14:paraId="6D46D35B">
                  <w:pPr>
                    <w:jc w:val="center"/>
                    <w:rPr>
                      <w:rFonts w:ascii="Times New Roman" w:hAnsi="Times New Roman" w:cs="Times New Roman"/>
                      <w:szCs w:val="21"/>
                    </w:rPr>
                  </w:pPr>
                  <w:r>
                    <w:rPr>
                      <w:rFonts w:hint="eastAsia" w:ascii="Times New Roman" w:hAnsi="Times New Roman" w:cs="Times New Roman"/>
                      <w:szCs w:val="21"/>
                    </w:rPr>
                    <w:t>个</w:t>
                  </w:r>
                </w:p>
              </w:tc>
              <w:tc>
                <w:tcPr>
                  <w:tcW w:w="962" w:type="dxa"/>
                  <w:vAlign w:val="center"/>
                </w:tcPr>
                <w:p w14:paraId="71A7888A">
                  <w:pPr>
                    <w:jc w:val="center"/>
                    <w:rPr>
                      <w:rFonts w:ascii="Times New Roman" w:hAnsi="Times New Roman" w:cs="Times New Roman"/>
                      <w:szCs w:val="21"/>
                    </w:rPr>
                  </w:pPr>
                  <w:r>
                    <w:rPr>
                      <w:rFonts w:ascii="Times New Roman" w:hAnsi="Times New Roman" w:cs="Times New Roman"/>
                      <w:szCs w:val="21"/>
                    </w:rPr>
                    <w:t>1</w:t>
                  </w:r>
                </w:p>
              </w:tc>
            </w:tr>
            <w:tr w14:paraId="2B05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316" w:type="dxa"/>
                  <w:gridSpan w:val="5"/>
                  <w:vAlign w:val="center"/>
                </w:tcPr>
                <w:p w14:paraId="1DCBBBBF">
                  <w:pPr>
                    <w:jc w:val="center"/>
                    <w:rPr>
                      <w:rFonts w:ascii="Times New Roman" w:hAnsi="Times New Roman" w:cs="Times New Roman"/>
                      <w:b/>
                      <w:bCs/>
                      <w:szCs w:val="21"/>
                    </w:rPr>
                  </w:pPr>
                  <w:r>
                    <w:rPr>
                      <w:rFonts w:hint="eastAsia" w:ascii="Times New Roman" w:hAnsi="Times New Roman" w:cs="Times New Roman"/>
                      <w:szCs w:val="21"/>
                    </w:rPr>
                    <w:t>七、车辆</w:t>
                  </w:r>
                </w:p>
              </w:tc>
            </w:tr>
            <w:tr w14:paraId="3C05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7" w:type="dxa"/>
                  <w:vAlign w:val="center"/>
                </w:tcPr>
                <w:p w14:paraId="5C082A06">
                  <w:pPr>
                    <w:jc w:val="center"/>
                    <w:rPr>
                      <w:rFonts w:ascii="Times New Roman" w:hAnsi="Times New Roman" w:cs="Times New Roman"/>
                      <w:szCs w:val="21"/>
                    </w:rPr>
                  </w:pPr>
                  <w:r>
                    <w:rPr>
                      <w:rFonts w:ascii="Times New Roman" w:hAnsi="Times New Roman" w:cs="Times New Roman"/>
                      <w:szCs w:val="21"/>
                    </w:rPr>
                    <w:t>24</w:t>
                  </w:r>
                </w:p>
              </w:tc>
              <w:tc>
                <w:tcPr>
                  <w:tcW w:w="2632" w:type="dxa"/>
                  <w:vAlign w:val="center"/>
                </w:tcPr>
                <w:p w14:paraId="091E7AA7">
                  <w:pPr>
                    <w:jc w:val="center"/>
                    <w:rPr>
                      <w:rFonts w:ascii="Times New Roman" w:hAnsi="Times New Roman" w:cs="Times New Roman"/>
                      <w:szCs w:val="21"/>
                    </w:rPr>
                  </w:pPr>
                  <w:r>
                    <w:rPr>
                      <w:rFonts w:hint="eastAsia" w:ascii="Times New Roman" w:hAnsi="Times New Roman" w:cs="Times New Roman"/>
                      <w:szCs w:val="21"/>
                    </w:rPr>
                    <w:t>无害化处理车</w:t>
                  </w:r>
                </w:p>
              </w:tc>
              <w:tc>
                <w:tcPr>
                  <w:tcW w:w="1643" w:type="dxa"/>
                  <w:vAlign w:val="center"/>
                </w:tcPr>
                <w:p w14:paraId="01679C2D">
                  <w:pPr>
                    <w:jc w:val="center"/>
                    <w:rPr>
                      <w:rFonts w:ascii="Times New Roman" w:hAnsi="Times New Roman" w:cs="Times New Roman"/>
                      <w:szCs w:val="21"/>
                    </w:rPr>
                  </w:pPr>
                  <w:r>
                    <w:rPr>
                      <w:rFonts w:hint="eastAsia" w:ascii="Times New Roman" w:hAnsi="Times New Roman" w:cs="Times New Roman"/>
                      <w:szCs w:val="21"/>
                    </w:rPr>
                    <w:t>TQCL-86</w:t>
                  </w:r>
                </w:p>
              </w:tc>
              <w:tc>
                <w:tcPr>
                  <w:tcW w:w="992" w:type="dxa"/>
                  <w:vAlign w:val="center"/>
                </w:tcPr>
                <w:p w14:paraId="0672B489">
                  <w:pPr>
                    <w:jc w:val="center"/>
                    <w:rPr>
                      <w:rFonts w:ascii="Times New Roman" w:hAnsi="Times New Roman" w:cs="Times New Roman"/>
                      <w:szCs w:val="21"/>
                    </w:rPr>
                  </w:pPr>
                  <w:r>
                    <w:rPr>
                      <w:rFonts w:hint="eastAsia" w:ascii="Times New Roman" w:hAnsi="Times New Roman" w:cs="Times New Roman"/>
                      <w:szCs w:val="21"/>
                    </w:rPr>
                    <w:t>辆</w:t>
                  </w:r>
                </w:p>
              </w:tc>
              <w:tc>
                <w:tcPr>
                  <w:tcW w:w="962" w:type="dxa"/>
                  <w:vAlign w:val="center"/>
                </w:tcPr>
                <w:p w14:paraId="00AB323B">
                  <w:pPr>
                    <w:jc w:val="center"/>
                    <w:rPr>
                      <w:rFonts w:ascii="Times New Roman" w:hAnsi="Times New Roman" w:cs="Times New Roman"/>
                      <w:szCs w:val="21"/>
                    </w:rPr>
                  </w:pPr>
                  <w:r>
                    <w:rPr>
                      <w:rFonts w:hint="eastAsia" w:ascii="Times New Roman" w:hAnsi="Times New Roman" w:cs="Times New Roman"/>
                      <w:szCs w:val="21"/>
                    </w:rPr>
                    <w:t>8</w:t>
                  </w:r>
                </w:p>
              </w:tc>
            </w:tr>
            <w:bookmarkEnd w:id="13"/>
          </w:tbl>
          <w:p w14:paraId="5A3739AD">
            <w:pPr>
              <w:pStyle w:val="10"/>
              <w:snapToGrid w:val="0"/>
              <w:ind w:left="0" w:right="105" w:rightChars="50"/>
              <w:jc w:val="center"/>
              <w:rPr>
                <w:rFonts w:ascii="Times New Roman" w:hAnsi="Times New Roman" w:cs="Times New Roman"/>
                <w:bCs/>
                <w:sz w:val="21"/>
                <w:szCs w:val="21"/>
                <w:lang w:val="en-US"/>
              </w:rPr>
            </w:pPr>
          </w:p>
          <w:p w14:paraId="6B1662D9">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2.2.4 原辅材料消耗</w:t>
            </w:r>
          </w:p>
          <w:p w14:paraId="5704FF66">
            <w:pPr>
              <w:pStyle w:val="10"/>
              <w:spacing w:line="360" w:lineRule="auto"/>
              <w:ind w:left="0" w:right="105" w:rightChars="50" w:firstLine="240" w:firstLineChars="100"/>
            </w:pPr>
            <w:r>
              <w:rPr>
                <w:rFonts w:hint="eastAsia" w:ascii="Times New Roman" w:hAnsi="Times New Roman" w:cs="Times New Roman"/>
                <w:bCs/>
              </w:rPr>
              <w:t>项目</w:t>
            </w:r>
            <w:r>
              <w:rPr>
                <w:rFonts w:hint="eastAsia"/>
              </w:rPr>
              <w:t>主要生产原辅材料、能耗见下表。</w:t>
            </w:r>
          </w:p>
          <w:p w14:paraId="51A56829">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表2-3    主要原材料及能源消耗情况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15"/>
              <w:gridCol w:w="993"/>
              <w:gridCol w:w="992"/>
              <w:gridCol w:w="1134"/>
              <w:gridCol w:w="2842"/>
            </w:tblGrid>
            <w:tr w14:paraId="4C38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5" w:type="dxa"/>
                  <w:vAlign w:val="center"/>
                </w:tcPr>
                <w:p w14:paraId="4DF63DED">
                  <w:pPr>
                    <w:jc w:val="center"/>
                    <w:rPr>
                      <w:rFonts w:ascii="Times New Roman" w:hAnsi="Times New Roman" w:cs="Times New Roman"/>
                      <w:b/>
                      <w:bCs/>
                      <w:szCs w:val="21"/>
                    </w:rPr>
                  </w:pPr>
                  <w:r>
                    <w:rPr>
                      <w:rFonts w:ascii="Times New Roman" w:hAnsi="Times New Roman" w:cs="Times New Roman"/>
                      <w:b/>
                      <w:bCs/>
                      <w:szCs w:val="21"/>
                    </w:rPr>
                    <w:t>序号</w:t>
                  </w:r>
                </w:p>
              </w:tc>
              <w:tc>
                <w:tcPr>
                  <w:tcW w:w="1615" w:type="dxa"/>
                  <w:vAlign w:val="center"/>
                </w:tcPr>
                <w:p w14:paraId="1D635B15">
                  <w:pPr>
                    <w:jc w:val="center"/>
                    <w:rPr>
                      <w:rFonts w:ascii="Times New Roman" w:hAnsi="Times New Roman" w:cs="Times New Roman"/>
                      <w:b/>
                      <w:bCs/>
                      <w:szCs w:val="21"/>
                    </w:rPr>
                  </w:pPr>
                  <w:r>
                    <w:rPr>
                      <w:rFonts w:ascii="Times New Roman" w:hAnsi="Times New Roman" w:cs="Times New Roman"/>
                      <w:b/>
                      <w:bCs/>
                      <w:szCs w:val="21"/>
                    </w:rPr>
                    <w:t>名称</w:t>
                  </w:r>
                </w:p>
              </w:tc>
              <w:tc>
                <w:tcPr>
                  <w:tcW w:w="993" w:type="dxa"/>
                  <w:vAlign w:val="center"/>
                </w:tcPr>
                <w:p w14:paraId="545EA244">
                  <w:pPr>
                    <w:jc w:val="center"/>
                    <w:rPr>
                      <w:rFonts w:ascii="Times New Roman" w:hAnsi="Times New Roman" w:cs="Times New Roman"/>
                      <w:b/>
                      <w:bCs/>
                      <w:szCs w:val="21"/>
                    </w:rPr>
                  </w:pPr>
                  <w:r>
                    <w:rPr>
                      <w:rFonts w:ascii="Times New Roman" w:hAnsi="Times New Roman" w:cs="Times New Roman"/>
                      <w:b/>
                      <w:bCs/>
                      <w:szCs w:val="21"/>
                    </w:rPr>
                    <w:t>单位</w:t>
                  </w:r>
                </w:p>
              </w:tc>
              <w:tc>
                <w:tcPr>
                  <w:tcW w:w="992" w:type="dxa"/>
                  <w:vAlign w:val="center"/>
                </w:tcPr>
                <w:p w14:paraId="05FE9CF3">
                  <w:pPr>
                    <w:jc w:val="center"/>
                    <w:rPr>
                      <w:rFonts w:ascii="Times New Roman" w:hAnsi="Times New Roman" w:cs="Times New Roman"/>
                      <w:b/>
                      <w:bCs/>
                      <w:szCs w:val="21"/>
                    </w:rPr>
                  </w:pPr>
                  <w:r>
                    <w:rPr>
                      <w:rFonts w:ascii="Times New Roman" w:hAnsi="Times New Roman" w:cs="Times New Roman"/>
                      <w:b/>
                      <w:bCs/>
                      <w:szCs w:val="21"/>
                    </w:rPr>
                    <w:t>年用量</w:t>
                  </w:r>
                </w:p>
              </w:tc>
              <w:tc>
                <w:tcPr>
                  <w:tcW w:w="1134" w:type="dxa"/>
                  <w:vAlign w:val="center"/>
                </w:tcPr>
                <w:p w14:paraId="308FF80C">
                  <w:pPr>
                    <w:jc w:val="center"/>
                    <w:rPr>
                      <w:rFonts w:ascii="Times New Roman" w:hAnsi="Times New Roman" w:cs="Times New Roman"/>
                      <w:b/>
                      <w:bCs/>
                      <w:szCs w:val="21"/>
                    </w:rPr>
                  </w:pPr>
                  <w:r>
                    <w:rPr>
                      <w:rFonts w:hint="eastAsia" w:ascii="Times New Roman" w:hAnsi="Times New Roman" w:cs="Times New Roman"/>
                      <w:b/>
                      <w:bCs/>
                      <w:szCs w:val="21"/>
                    </w:rPr>
                    <w:t>厂区储量</w:t>
                  </w:r>
                </w:p>
              </w:tc>
              <w:tc>
                <w:tcPr>
                  <w:tcW w:w="2842" w:type="dxa"/>
                  <w:vAlign w:val="center"/>
                </w:tcPr>
                <w:p w14:paraId="15D5A352">
                  <w:pPr>
                    <w:jc w:val="center"/>
                    <w:rPr>
                      <w:rFonts w:ascii="Times New Roman" w:hAnsi="Times New Roman" w:cs="Times New Roman"/>
                      <w:b/>
                      <w:bCs/>
                      <w:szCs w:val="21"/>
                    </w:rPr>
                  </w:pPr>
                  <w:r>
                    <w:rPr>
                      <w:rFonts w:hint="eastAsia" w:ascii="Times New Roman" w:hAnsi="Times New Roman" w:cs="Times New Roman"/>
                      <w:b/>
                      <w:bCs/>
                      <w:szCs w:val="21"/>
                    </w:rPr>
                    <w:t>备 注</w:t>
                  </w:r>
                </w:p>
              </w:tc>
            </w:tr>
            <w:tr w14:paraId="55B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5" w:type="dxa"/>
                  <w:vAlign w:val="center"/>
                </w:tcPr>
                <w:p w14:paraId="4E15885B">
                  <w:pPr>
                    <w:jc w:val="center"/>
                    <w:rPr>
                      <w:rFonts w:ascii="Times New Roman" w:hAnsi="Times New Roman" w:cs="Times New Roman"/>
                      <w:szCs w:val="21"/>
                    </w:rPr>
                  </w:pPr>
                  <w:r>
                    <w:rPr>
                      <w:rFonts w:ascii="Times New Roman" w:hAnsi="Times New Roman" w:cs="Times New Roman"/>
                      <w:szCs w:val="21"/>
                    </w:rPr>
                    <w:t>1</w:t>
                  </w:r>
                </w:p>
              </w:tc>
              <w:tc>
                <w:tcPr>
                  <w:tcW w:w="1615" w:type="dxa"/>
                  <w:vAlign w:val="center"/>
                </w:tcPr>
                <w:p w14:paraId="0BA5CF8A">
                  <w:pPr>
                    <w:jc w:val="center"/>
                    <w:rPr>
                      <w:rFonts w:ascii="Times New Roman" w:hAnsi="Times New Roman" w:cs="Times New Roman"/>
                      <w:szCs w:val="21"/>
                    </w:rPr>
                  </w:pPr>
                  <w:r>
                    <w:t>病死畜禽</w:t>
                  </w:r>
                </w:p>
              </w:tc>
              <w:tc>
                <w:tcPr>
                  <w:tcW w:w="993" w:type="dxa"/>
                  <w:vAlign w:val="center"/>
                </w:tcPr>
                <w:p w14:paraId="17DE53A6">
                  <w:pPr>
                    <w:jc w:val="center"/>
                    <w:rPr>
                      <w:rFonts w:ascii="Times New Roman" w:hAnsi="Times New Roman" w:cs="Times New Roman"/>
                      <w:szCs w:val="21"/>
                    </w:rPr>
                  </w:pPr>
                  <w:r>
                    <w:rPr>
                      <w:rFonts w:ascii="Times New Roman" w:hAnsi="Times New Roman" w:cs="Times New Roman"/>
                      <w:szCs w:val="21"/>
                    </w:rPr>
                    <w:t>t/a</w:t>
                  </w:r>
                </w:p>
              </w:tc>
              <w:tc>
                <w:tcPr>
                  <w:tcW w:w="992" w:type="dxa"/>
                  <w:vAlign w:val="center"/>
                </w:tcPr>
                <w:p w14:paraId="0FBEE595">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000</w:t>
                  </w:r>
                </w:p>
              </w:tc>
              <w:tc>
                <w:tcPr>
                  <w:tcW w:w="1134" w:type="dxa"/>
                  <w:vAlign w:val="center"/>
                </w:tcPr>
                <w:p w14:paraId="213695EE">
                  <w:pPr>
                    <w:jc w:val="center"/>
                    <w:rPr>
                      <w:rFonts w:ascii="Times New Roman" w:hAnsi="Times New Roman" w:cs="Times New Roman"/>
                      <w:szCs w:val="21"/>
                    </w:rPr>
                  </w:pPr>
                  <w:r>
                    <w:rPr>
                      <w:rFonts w:hint="eastAsia" w:ascii="Times New Roman" w:hAnsi="Times New Roman" w:cs="Times New Roman"/>
                      <w:szCs w:val="21"/>
                    </w:rPr>
                    <w:t>/</w:t>
                  </w:r>
                </w:p>
              </w:tc>
              <w:tc>
                <w:tcPr>
                  <w:tcW w:w="2842" w:type="dxa"/>
                  <w:vAlign w:val="center"/>
                </w:tcPr>
                <w:p w14:paraId="11DC5D5E">
                  <w:pPr>
                    <w:jc w:val="center"/>
                    <w:rPr>
                      <w:rFonts w:ascii="Times New Roman" w:hAnsi="Times New Roman" w:cs="Times New Roman"/>
                      <w:szCs w:val="21"/>
                    </w:rPr>
                  </w:pPr>
                  <w:r>
                    <w:t>周边地区，冷库存储，全封闭冷藏运输车运输</w:t>
                  </w:r>
                </w:p>
              </w:tc>
            </w:tr>
            <w:tr w14:paraId="17C8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62495F02">
                  <w:pPr>
                    <w:jc w:val="center"/>
                    <w:rPr>
                      <w:rFonts w:ascii="Times New Roman" w:hAnsi="Times New Roman" w:cs="Times New Roman"/>
                      <w:szCs w:val="21"/>
                    </w:rPr>
                  </w:pPr>
                  <w:r>
                    <w:rPr>
                      <w:rFonts w:ascii="Times New Roman" w:hAnsi="Times New Roman" w:cs="Times New Roman"/>
                      <w:szCs w:val="21"/>
                    </w:rPr>
                    <w:t>2</w:t>
                  </w:r>
                </w:p>
              </w:tc>
              <w:tc>
                <w:tcPr>
                  <w:tcW w:w="1615" w:type="dxa"/>
                  <w:vAlign w:val="center"/>
                </w:tcPr>
                <w:p w14:paraId="13BAA5EB">
                  <w:pPr>
                    <w:jc w:val="center"/>
                    <w:rPr>
                      <w:rFonts w:ascii="Times New Roman" w:hAnsi="Times New Roman" w:cs="Times New Roman"/>
                      <w:szCs w:val="21"/>
                    </w:rPr>
                  </w:pPr>
                  <w:r>
                    <w:rPr>
                      <w:rFonts w:ascii="Times New Roman" w:hAnsi="Times New Roman" w:cs="Times New Roman"/>
                      <w:szCs w:val="21"/>
                    </w:rPr>
                    <w:t>氢氧化钠</w:t>
                  </w:r>
                </w:p>
              </w:tc>
              <w:tc>
                <w:tcPr>
                  <w:tcW w:w="993" w:type="dxa"/>
                  <w:vAlign w:val="center"/>
                </w:tcPr>
                <w:p w14:paraId="659995BD">
                  <w:pPr>
                    <w:jc w:val="center"/>
                    <w:rPr>
                      <w:rFonts w:ascii="Times New Roman" w:hAnsi="Times New Roman" w:cs="Times New Roman"/>
                      <w:szCs w:val="21"/>
                    </w:rPr>
                  </w:pPr>
                  <w:r>
                    <w:rPr>
                      <w:rFonts w:ascii="Times New Roman" w:hAnsi="Times New Roman" w:cs="Times New Roman"/>
                      <w:szCs w:val="21"/>
                    </w:rPr>
                    <w:t>t/a</w:t>
                  </w:r>
                </w:p>
              </w:tc>
              <w:tc>
                <w:tcPr>
                  <w:tcW w:w="992" w:type="dxa"/>
                  <w:vAlign w:val="center"/>
                </w:tcPr>
                <w:p w14:paraId="24E548C7">
                  <w:pPr>
                    <w:jc w:val="center"/>
                    <w:rPr>
                      <w:rFonts w:ascii="Times New Roman" w:hAnsi="Times New Roman" w:cs="Times New Roman"/>
                      <w:szCs w:val="21"/>
                    </w:rPr>
                  </w:pPr>
                  <w:r>
                    <w:rPr>
                      <w:rFonts w:hint="eastAsia" w:ascii="Times New Roman" w:hAnsi="Times New Roman" w:cs="Times New Roman"/>
                      <w:szCs w:val="21"/>
                    </w:rPr>
                    <w:t>3</w:t>
                  </w:r>
                </w:p>
              </w:tc>
              <w:tc>
                <w:tcPr>
                  <w:tcW w:w="1134" w:type="dxa"/>
                  <w:vAlign w:val="center"/>
                </w:tcPr>
                <w:p w14:paraId="2167FA78">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2842" w:type="dxa"/>
                  <w:vAlign w:val="center"/>
                </w:tcPr>
                <w:p w14:paraId="52CE4EEE">
                  <w:pPr>
                    <w:jc w:val="center"/>
                    <w:rPr>
                      <w:rFonts w:ascii="Times New Roman" w:hAnsi="Times New Roman" w:cs="Times New Roman"/>
                      <w:szCs w:val="21"/>
                    </w:rPr>
                  </w:pPr>
                  <w:r>
                    <w:rPr>
                      <w:rFonts w:ascii="Times New Roman" w:hAnsi="Times New Roman" w:cs="Times New Roman"/>
                      <w:szCs w:val="21"/>
                    </w:rPr>
                    <w:t>外购，固体，袋装</w:t>
                  </w:r>
                  <w:r>
                    <w:rPr>
                      <w:rFonts w:hint="eastAsia" w:ascii="Times New Roman" w:hAnsi="Times New Roman" w:cs="Times New Roman"/>
                      <w:szCs w:val="21"/>
                    </w:rPr>
                    <w:t>，</w:t>
                  </w:r>
                  <w:r>
                    <w:rPr>
                      <w:rFonts w:ascii="Times New Roman" w:hAnsi="Times New Roman" w:cs="Times New Roman"/>
                      <w:szCs w:val="21"/>
                    </w:rPr>
                    <w:t>25kg/袋</w:t>
                  </w:r>
                  <w:r>
                    <w:rPr>
                      <w:rFonts w:hint="eastAsia" w:ascii="Times New Roman" w:hAnsi="Times New Roman" w:cs="Times New Roman"/>
                      <w:szCs w:val="21"/>
                    </w:rPr>
                    <w:t>，用于工艺臭气处理</w:t>
                  </w:r>
                </w:p>
              </w:tc>
            </w:tr>
            <w:tr w14:paraId="2C8A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40EDED14">
                  <w:pPr>
                    <w:jc w:val="center"/>
                    <w:rPr>
                      <w:rFonts w:ascii="Times New Roman" w:hAnsi="Times New Roman" w:cs="Times New Roman"/>
                      <w:szCs w:val="21"/>
                    </w:rPr>
                  </w:pPr>
                  <w:r>
                    <w:rPr>
                      <w:rFonts w:ascii="Times New Roman" w:hAnsi="Times New Roman" w:cs="Times New Roman"/>
                      <w:szCs w:val="21"/>
                    </w:rPr>
                    <w:t>3</w:t>
                  </w:r>
                </w:p>
              </w:tc>
              <w:tc>
                <w:tcPr>
                  <w:tcW w:w="1615" w:type="dxa"/>
                  <w:vAlign w:val="center"/>
                </w:tcPr>
                <w:p w14:paraId="60FC9F90">
                  <w:pPr>
                    <w:jc w:val="center"/>
                    <w:rPr>
                      <w:rFonts w:ascii="Times New Roman" w:hAnsi="Times New Roman" w:cs="Times New Roman"/>
                      <w:szCs w:val="21"/>
                    </w:rPr>
                  </w:pPr>
                  <w:r>
                    <w:t>柠檬酸</w:t>
                  </w:r>
                </w:p>
              </w:tc>
              <w:tc>
                <w:tcPr>
                  <w:tcW w:w="993" w:type="dxa"/>
                  <w:vAlign w:val="center"/>
                </w:tcPr>
                <w:p w14:paraId="311B80F9">
                  <w:pPr>
                    <w:jc w:val="center"/>
                    <w:rPr>
                      <w:rFonts w:ascii="Times New Roman" w:hAnsi="Times New Roman" w:cs="Times New Roman"/>
                      <w:szCs w:val="21"/>
                    </w:rPr>
                  </w:pPr>
                  <w:r>
                    <w:rPr>
                      <w:rFonts w:hint="eastAsia" w:ascii="Times New Roman" w:hAnsi="Times New Roman" w:cs="Times New Roman"/>
                      <w:szCs w:val="21"/>
                    </w:rPr>
                    <w:t>t/a</w:t>
                  </w:r>
                </w:p>
              </w:tc>
              <w:tc>
                <w:tcPr>
                  <w:tcW w:w="992" w:type="dxa"/>
                  <w:vAlign w:val="center"/>
                </w:tcPr>
                <w:p w14:paraId="195E0A95">
                  <w:pPr>
                    <w:jc w:val="center"/>
                    <w:rPr>
                      <w:rFonts w:ascii="Times New Roman" w:hAnsi="Times New Roman" w:cs="Times New Roman"/>
                      <w:szCs w:val="21"/>
                    </w:rPr>
                  </w:pPr>
                  <w:r>
                    <w:rPr>
                      <w:rFonts w:hint="eastAsia" w:ascii="Times New Roman" w:hAnsi="Times New Roman" w:cs="Times New Roman"/>
                      <w:szCs w:val="21"/>
                    </w:rPr>
                    <w:t>3</w:t>
                  </w:r>
                </w:p>
              </w:tc>
              <w:tc>
                <w:tcPr>
                  <w:tcW w:w="1134" w:type="dxa"/>
                  <w:vAlign w:val="center"/>
                </w:tcPr>
                <w:p w14:paraId="31B0E0A9">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.5</w:t>
                  </w:r>
                </w:p>
              </w:tc>
              <w:tc>
                <w:tcPr>
                  <w:tcW w:w="2842" w:type="dxa"/>
                  <w:vAlign w:val="center"/>
                </w:tcPr>
                <w:p w14:paraId="4753C5A3">
                  <w:pPr>
                    <w:jc w:val="center"/>
                    <w:rPr>
                      <w:rFonts w:ascii="Times New Roman" w:hAnsi="Times New Roman" w:cs="Times New Roman"/>
                      <w:szCs w:val="21"/>
                    </w:rPr>
                  </w:pPr>
                  <w:r>
                    <w:rPr>
                      <w:rFonts w:ascii="Times New Roman" w:hAnsi="Times New Roman" w:cs="Times New Roman"/>
                      <w:szCs w:val="21"/>
                    </w:rPr>
                    <w:t>外购，液态，桶装</w:t>
                  </w:r>
                  <w:r>
                    <w:rPr>
                      <w:rFonts w:hint="eastAsia" w:ascii="Times New Roman" w:hAnsi="Times New Roman" w:cs="Times New Roman"/>
                      <w:szCs w:val="21"/>
                    </w:rPr>
                    <w:t>，</w:t>
                  </w:r>
                  <w:r>
                    <w:rPr>
                      <w:rFonts w:ascii="Times New Roman" w:hAnsi="Times New Roman" w:cs="Times New Roman"/>
                      <w:szCs w:val="21"/>
                    </w:rPr>
                    <w:t>50kg/</w:t>
                  </w:r>
                  <w:r>
                    <w:rPr>
                      <w:rFonts w:hint="eastAsia" w:ascii="Times New Roman" w:hAnsi="Times New Roman" w:cs="Times New Roman"/>
                      <w:szCs w:val="21"/>
                    </w:rPr>
                    <w:t>桶，用于工艺臭气处理</w:t>
                  </w:r>
                </w:p>
              </w:tc>
            </w:tr>
            <w:tr w14:paraId="576B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161FE2A2">
                  <w:pPr>
                    <w:jc w:val="center"/>
                    <w:rPr>
                      <w:rFonts w:ascii="Times New Roman" w:hAnsi="Times New Roman" w:cs="Times New Roman"/>
                      <w:szCs w:val="21"/>
                    </w:rPr>
                  </w:pPr>
                  <w:r>
                    <w:rPr>
                      <w:rFonts w:ascii="Times New Roman" w:hAnsi="Times New Roman" w:cs="Times New Roman"/>
                      <w:szCs w:val="21"/>
                    </w:rPr>
                    <w:t>4</w:t>
                  </w:r>
                </w:p>
              </w:tc>
              <w:tc>
                <w:tcPr>
                  <w:tcW w:w="1615" w:type="dxa"/>
                  <w:vAlign w:val="center"/>
                </w:tcPr>
                <w:p w14:paraId="1C898369">
                  <w:pPr>
                    <w:jc w:val="center"/>
                    <w:rPr>
                      <w:rFonts w:ascii="Times New Roman" w:hAnsi="Times New Roman" w:cs="Times New Roman"/>
                      <w:szCs w:val="21"/>
                    </w:rPr>
                  </w:pPr>
                  <w:r>
                    <w:rPr>
                      <w:rFonts w:ascii="Times New Roman" w:hAnsi="Times New Roman" w:cs="Times New Roman"/>
                      <w:szCs w:val="21"/>
                    </w:rPr>
                    <w:t>过硫酸氢钾（20%）</w:t>
                  </w:r>
                </w:p>
              </w:tc>
              <w:tc>
                <w:tcPr>
                  <w:tcW w:w="993" w:type="dxa"/>
                  <w:vAlign w:val="center"/>
                </w:tcPr>
                <w:p w14:paraId="704ED7A5">
                  <w:pPr>
                    <w:jc w:val="center"/>
                    <w:rPr>
                      <w:rFonts w:ascii="Times New Roman" w:hAnsi="Times New Roman" w:cs="Times New Roman"/>
                      <w:szCs w:val="21"/>
                    </w:rPr>
                  </w:pPr>
                  <w:r>
                    <w:rPr>
                      <w:rFonts w:hint="eastAsia" w:ascii="Times New Roman" w:hAnsi="Times New Roman" w:cs="Times New Roman"/>
                      <w:szCs w:val="21"/>
                    </w:rPr>
                    <w:t>t/a</w:t>
                  </w:r>
                </w:p>
              </w:tc>
              <w:tc>
                <w:tcPr>
                  <w:tcW w:w="992" w:type="dxa"/>
                  <w:vAlign w:val="center"/>
                </w:tcPr>
                <w:p w14:paraId="2C52BD2B">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.15</w:t>
                  </w:r>
                </w:p>
              </w:tc>
              <w:tc>
                <w:tcPr>
                  <w:tcW w:w="1134" w:type="dxa"/>
                  <w:vAlign w:val="center"/>
                </w:tcPr>
                <w:p w14:paraId="2F0D8C5B">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.03</w:t>
                  </w:r>
                </w:p>
              </w:tc>
              <w:tc>
                <w:tcPr>
                  <w:tcW w:w="2842" w:type="dxa"/>
                  <w:vAlign w:val="center"/>
                </w:tcPr>
                <w:p w14:paraId="4B8CF522">
                  <w:pPr>
                    <w:jc w:val="center"/>
                    <w:rPr>
                      <w:rFonts w:ascii="Times New Roman" w:hAnsi="Times New Roman" w:cs="Times New Roman"/>
                      <w:szCs w:val="21"/>
                    </w:rPr>
                  </w:pPr>
                  <w:r>
                    <w:rPr>
                      <w:rFonts w:ascii="Times New Roman" w:hAnsi="Times New Roman" w:cs="Times New Roman"/>
                      <w:szCs w:val="21"/>
                    </w:rPr>
                    <w:t>外购，液态，桶装</w:t>
                  </w:r>
                  <w:r>
                    <w:rPr>
                      <w:rFonts w:hint="eastAsia" w:ascii="Times New Roman" w:hAnsi="Times New Roman" w:cs="Times New Roman"/>
                      <w:szCs w:val="21"/>
                    </w:rPr>
                    <w:t>，</w:t>
                  </w:r>
                  <w:r>
                    <w:rPr>
                      <w:rFonts w:ascii="Times New Roman" w:hAnsi="Times New Roman" w:cs="Times New Roman"/>
                      <w:szCs w:val="21"/>
                    </w:rPr>
                    <w:t>10kg/</w:t>
                  </w:r>
                  <w:r>
                    <w:rPr>
                      <w:rFonts w:hint="eastAsia" w:ascii="Times New Roman" w:hAnsi="Times New Roman" w:cs="Times New Roman"/>
                      <w:szCs w:val="21"/>
                    </w:rPr>
                    <w:t>桶，用于消毒</w:t>
                  </w:r>
                </w:p>
              </w:tc>
            </w:tr>
            <w:tr w14:paraId="3F32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3967E8DE">
                  <w:pPr>
                    <w:jc w:val="center"/>
                    <w:rPr>
                      <w:rFonts w:ascii="Times New Roman" w:hAnsi="Times New Roman" w:cs="Times New Roman"/>
                      <w:szCs w:val="21"/>
                    </w:rPr>
                  </w:pPr>
                  <w:r>
                    <w:rPr>
                      <w:rFonts w:ascii="Times New Roman" w:hAnsi="Times New Roman" w:cs="Times New Roman"/>
                      <w:szCs w:val="21"/>
                    </w:rPr>
                    <w:t>5</w:t>
                  </w:r>
                </w:p>
              </w:tc>
              <w:tc>
                <w:tcPr>
                  <w:tcW w:w="1615" w:type="dxa"/>
                  <w:vAlign w:val="center"/>
                </w:tcPr>
                <w:p w14:paraId="523B364A">
                  <w:pPr>
                    <w:jc w:val="center"/>
                    <w:rPr>
                      <w:rFonts w:ascii="Times New Roman" w:hAnsi="Times New Roman" w:cs="Times New Roman"/>
                      <w:szCs w:val="21"/>
                    </w:rPr>
                  </w:pPr>
                  <w:r>
                    <w:t>次氯酸钠</w:t>
                  </w:r>
                </w:p>
              </w:tc>
              <w:tc>
                <w:tcPr>
                  <w:tcW w:w="993" w:type="dxa"/>
                  <w:vAlign w:val="center"/>
                </w:tcPr>
                <w:p w14:paraId="0BB9C784">
                  <w:pPr>
                    <w:jc w:val="center"/>
                    <w:rPr>
                      <w:rFonts w:ascii="Times New Roman" w:hAnsi="Times New Roman" w:cs="Times New Roman"/>
                      <w:szCs w:val="21"/>
                    </w:rPr>
                  </w:pPr>
                  <w:r>
                    <w:rPr>
                      <w:rFonts w:hint="eastAsia" w:ascii="Times New Roman" w:hAnsi="Times New Roman" w:cs="Times New Roman"/>
                      <w:szCs w:val="21"/>
                    </w:rPr>
                    <w:t>t/a</w:t>
                  </w:r>
                </w:p>
              </w:tc>
              <w:tc>
                <w:tcPr>
                  <w:tcW w:w="992" w:type="dxa"/>
                  <w:vAlign w:val="center"/>
                </w:tcPr>
                <w:p w14:paraId="5058E07B">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1134" w:type="dxa"/>
                  <w:vAlign w:val="center"/>
                </w:tcPr>
                <w:p w14:paraId="6F5E21C1">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.1</w:t>
                  </w:r>
                </w:p>
              </w:tc>
              <w:tc>
                <w:tcPr>
                  <w:tcW w:w="2842" w:type="dxa"/>
                  <w:vAlign w:val="center"/>
                </w:tcPr>
                <w:p w14:paraId="3E0057FD">
                  <w:pPr>
                    <w:jc w:val="center"/>
                    <w:rPr>
                      <w:rFonts w:ascii="Times New Roman" w:hAnsi="Times New Roman" w:cs="Times New Roman"/>
                      <w:szCs w:val="21"/>
                    </w:rPr>
                  </w:pPr>
                  <w:r>
                    <w:rPr>
                      <w:rFonts w:ascii="Times New Roman" w:hAnsi="Times New Roman" w:cs="Times New Roman"/>
                      <w:szCs w:val="21"/>
                    </w:rPr>
                    <w:t>外购，液态，桶装</w:t>
                  </w:r>
                  <w:r>
                    <w:rPr>
                      <w:rFonts w:hint="eastAsia" w:ascii="Times New Roman" w:hAnsi="Times New Roman" w:cs="Times New Roman"/>
                      <w:szCs w:val="21"/>
                    </w:rPr>
                    <w:t>，</w:t>
                  </w:r>
                  <w:r>
                    <w:rPr>
                      <w:rFonts w:ascii="Times New Roman" w:hAnsi="Times New Roman" w:cs="Times New Roman"/>
                      <w:szCs w:val="21"/>
                    </w:rPr>
                    <w:t>25kg/</w:t>
                  </w:r>
                  <w:r>
                    <w:rPr>
                      <w:rFonts w:hint="eastAsia" w:ascii="Times New Roman" w:hAnsi="Times New Roman" w:cs="Times New Roman"/>
                      <w:szCs w:val="21"/>
                    </w:rPr>
                    <w:t>桶，用于消毒</w:t>
                  </w:r>
                </w:p>
              </w:tc>
            </w:tr>
            <w:tr w14:paraId="344F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435BB7D0">
                  <w:pPr>
                    <w:jc w:val="center"/>
                    <w:rPr>
                      <w:rFonts w:ascii="Times New Roman" w:hAnsi="Times New Roman" w:cs="Times New Roman"/>
                      <w:szCs w:val="21"/>
                    </w:rPr>
                  </w:pPr>
                  <w:r>
                    <w:rPr>
                      <w:rFonts w:ascii="Times New Roman" w:hAnsi="Times New Roman" w:cs="Times New Roman"/>
                      <w:szCs w:val="21"/>
                    </w:rPr>
                    <w:t>6</w:t>
                  </w:r>
                </w:p>
              </w:tc>
              <w:tc>
                <w:tcPr>
                  <w:tcW w:w="1615" w:type="dxa"/>
                  <w:vAlign w:val="center"/>
                </w:tcPr>
                <w:p w14:paraId="6A8A60AC">
                  <w:pPr>
                    <w:jc w:val="center"/>
                    <w:rPr>
                      <w:rFonts w:ascii="Times New Roman" w:hAnsi="Times New Roman" w:cs="Times New Roman"/>
                      <w:szCs w:val="21"/>
                    </w:rPr>
                  </w:pPr>
                  <w:r>
                    <w:rPr>
                      <w:rFonts w:ascii="Times New Roman" w:hAnsi="Times New Roman" w:cs="Times New Roman"/>
                      <w:szCs w:val="21"/>
                    </w:rPr>
                    <w:t>制冷剂</w:t>
                  </w:r>
                  <w:r>
                    <w:rPr>
                      <w:rFonts w:hint="eastAsia" w:ascii="Times New Roman" w:hAnsi="Times New Roman" w:cs="Times New Roman"/>
                      <w:szCs w:val="21"/>
                    </w:rPr>
                    <w:t>（</w:t>
                  </w:r>
                  <w:r>
                    <w:rPr>
                      <w:rFonts w:ascii="Times New Roman" w:hAnsi="Times New Roman" w:cs="Times New Roman"/>
                      <w:szCs w:val="21"/>
                    </w:rPr>
                    <w:t>R404a</w:t>
                  </w:r>
                  <w:r>
                    <w:rPr>
                      <w:rFonts w:hint="eastAsia" w:ascii="Times New Roman" w:hAnsi="Times New Roman" w:cs="Times New Roman"/>
                      <w:szCs w:val="21"/>
                    </w:rPr>
                    <w:t>）</w:t>
                  </w:r>
                </w:p>
              </w:tc>
              <w:tc>
                <w:tcPr>
                  <w:tcW w:w="993" w:type="dxa"/>
                  <w:vAlign w:val="center"/>
                </w:tcPr>
                <w:p w14:paraId="5F25D668">
                  <w:pPr>
                    <w:jc w:val="center"/>
                    <w:rPr>
                      <w:rFonts w:ascii="Times New Roman" w:hAnsi="Times New Roman" w:cs="Times New Roman"/>
                      <w:szCs w:val="21"/>
                    </w:rPr>
                  </w:pPr>
                  <w:r>
                    <w:rPr>
                      <w:rFonts w:hint="eastAsia" w:ascii="Times New Roman" w:hAnsi="Times New Roman" w:cs="Times New Roman"/>
                      <w:szCs w:val="21"/>
                    </w:rPr>
                    <w:t>kg</w:t>
                  </w:r>
                  <w:r>
                    <w:rPr>
                      <w:rFonts w:ascii="Times New Roman" w:hAnsi="Times New Roman" w:cs="Times New Roman"/>
                      <w:szCs w:val="21"/>
                    </w:rPr>
                    <w:t>/</w:t>
                  </w:r>
                  <w:r>
                    <w:rPr>
                      <w:rFonts w:hint="eastAsia" w:ascii="Times New Roman" w:hAnsi="Times New Roman" w:cs="Times New Roman"/>
                      <w:szCs w:val="21"/>
                    </w:rPr>
                    <w:t>a</w:t>
                  </w:r>
                </w:p>
              </w:tc>
              <w:tc>
                <w:tcPr>
                  <w:tcW w:w="992" w:type="dxa"/>
                  <w:vAlign w:val="center"/>
                </w:tcPr>
                <w:p w14:paraId="05914668">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w:t>
                  </w:r>
                </w:p>
              </w:tc>
              <w:tc>
                <w:tcPr>
                  <w:tcW w:w="1134" w:type="dxa"/>
                  <w:vAlign w:val="center"/>
                </w:tcPr>
                <w:p w14:paraId="7BA23FA4">
                  <w:pPr>
                    <w:jc w:val="center"/>
                    <w:rPr>
                      <w:rFonts w:ascii="Times New Roman" w:hAnsi="Times New Roman" w:cs="Times New Roman"/>
                      <w:szCs w:val="21"/>
                    </w:rPr>
                  </w:pPr>
                  <w:r>
                    <w:rPr>
                      <w:rFonts w:hint="eastAsia" w:ascii="Times New Roman" w:hAnsi="Times New Roman" w:cs="Times New Roman"/>
                      <w:szCs w:val="21"/>
                    </w:rPr>
                    <w:t>/</w:t>
                  </w:r>
                </w:p>
              </w:tc>
              <w:tc>
                <w:tcPr>
                  <w:tcW w:w="2842" w:type="dxa"/>
                  <w:vAlign w:val="center"/>
                </w:tcPr>
                <w:p w14:paraId="3AA315FA">
                  <w:pPr>
                    <w:jc w:val="center"/>
                    <w:rPr>
                      <w:rFonts w:ascii="Times New Roman" w:hAnsi="Times New Roman" w:cs="Times New Roman"/>
                      <w:szCs w:val="21"/>
                    </w:rPr>
                  </w:pPr>
                  <w:r>
                    <w:rPr>
                      <w:rFonts w:ascii="Times New Roman" w:hAnsi="Times New Roman" w:cs="Times New Roman"/>
                      <w:szCs w:val="21"/>
                    </w:rPr>
                    <w:t>由厂家</w:t>
                  </w:r>
                  <w:r>
                    <w:rPr>
                      <w:rFonts w:hint="eastAsia" w:ascii="Times New Roman" w:hAnsi="Times New Roman" w:cs="Times New Roman"/>
                      <w:szCs w:val="21"/>
                    </w:rPr>
                    <w:t>每</w:t>
                  </w:r>
                  <w:r>
                    <w:rPr>
                      <w:rFonts w:ascii="Times New Roman" w:hAnsi="Times New Roman" w:cs="Times New Roman"/>
                      <w:szCs w:val="21"/>
                    </w:rPr>
                    <w:t>两年补充一次</w:t>
                  </w:r>
                  <w:r>
                    <w:rPr>
                      <w:rFonts w:hint="eastAsia" w:ascii="Times New Roman" w:hAnsi="Times New Roman" w:cs="Times New Roman"/>
                      <w:szCs w:val="21"/>
                    </w:rPr>
                    <w:t>，冷库制冷剂</w:t>
                  </w:r>
                </w:p>
              </w:tc>
            </w:tr>
            <w:tr w14:paraId="01F0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7456FCA5">
                  <w:pPr>
                    <w:jc w:val="center"/>
                    <w:rPr>
                      <w:rFonts w:ascii="Times New Roman" w:hAnsi="Times New Roman" w:cs="Times New Roman"/>
                      <w:szCs w:val="21"/>
                    </w:rPr>
                  </w:pPr>
                  <w:r>
                    <w:rPr>
                      <w:rFonts w:hint="eastAsia" w:ascii="Times New Roman" w:hAnsi="Times New Roman" w:cs="Times New Roman"/>
                      <w:szCs w:val="21"/>
                    </w:rPr>
                    <w:t>7</w:t>
                  </w:r>
                </w:p>
              </w:tc>
              <w:tc>
                <w:tcPr>
                  <w:tcW w:w="1615" w:type="dxa"/>
                  <w:vAlign w:val="center"/>
                </w:tcPr>
                <w:p w14:paraId="31DBF9B7">
                  <w:pPr>
                    <w:jc w:val="center"/>
                    <w:rPr>
                      <w:rFonts w:ascii="Times New Roman" w:hAnsi="Times New Roman" w:cs="Times New Roman"/>
                      <w:szCs w:val="21"/>
                    </w:rPr>
                  </w:pPr>
                  <w:r>
                    <w:rPr>
                      <w:rFonts w:hint="eastAsia" w:ascii="Times New Roman" w:hAnsi="Times New Roman" w:cs="Times New Roman"/>
                      <w:szCs w:val="21"/>
                    </w:rPr>
                    <w:t>生物质燃料</w:t>
                  </w:r>
                </w:p>
              </w:tc>
              <w:tc>
                <w:tcPr>
                  <w:tcW w:w="993" w:type="dxa"/>
                  <w:vAlign w:val="center"/>
                </w:tcPr>
                <w:p w14:paraId="79165D58">
                  <w:pPr>
                    <w:jc w:val="center"/>
                    <w:rPr>
                      <w:rFonts w:ascii="Times New Roman" w:hAnsi="Times New Roman" w:cs="Times New Roman"/>
                      <w:szCs w:val="21"/>
                    </w:rPr>
                  </w:pPr>
                  <w:r>
                    <w:rPr>
                      <w:rFonts w:hint="eastAsia" w:ascii="Times New Roman" w:hAnsi="Times New Roman" w:cs="Times New Roman"/>
                      <w:szCs w:val="21"/>
                    </w:rPr>
                    <w:t>t</w:t>
                  </w:r>
                  <w:r>
                    <w:rPr>
                      <w:rFonts w:ascii="Times New Roman" w:hAnsi="Times New Roman" w:cs="Times New Roman"/>
                      <w:szCs w:val="21"/>
                    </w:rPr>
                    <w:t>/a</w:t>
                  </w:r>
                </w:p>
              </w:tc>
              <w:tc>
                <w:tcPr>
                  <w:tcW w:w="992" w:type="dxa"/>
                  <w:vAlign w:val="center"/>
                </w:tcPr>
                <w:p w14:paraId="75CD4A72">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800</w:t>
                  </w:r>
                </w:p>
              </w:tc>
              <w:tc>
                <w:tcPr>
                  <w:tcW w:w="1134" w:type="dxa"/>
                  <w:vAlign w:val="center"/>
                </w:tcPr>
                <w:p w14:paraId="0CE81A1B">
                  <w:pPr>
                    <w:jc w:val="center"/>
                    <w:rPr>
                      <w:rFonts w:ascii="Times New Roman" w:hAnsi="Times New Roman" w:cs="Times New Roman"/>
                      <w:szCs w:val="21"/>
                    </w:rPr>
                  </w:pPr>
                  <w:r>
                    <w:rPr>
                      <w:rFonts w:ascii="Times New Roman" w:hAnsi="Times New Roman" w:cs="Times New Roman"/>
                      <w:szCs w:val="21"/>
                    </w:rPr>
                    <w:t>30</w:t>
                  </w:r>
                </w:p>
              </w:tc>
              <w:tc>
                <w:tcPr>
                  <w:tcW w:w="2842" w:type="dxa"/>
                  <w:vAlign w:val="center"/>
                </w:tcPr>
                <w:p w14:paraId="53EA5AFC">
                  <w:pPr>
                    <w:jc w:val="center"/>
                    <w:rPr>
                      <w:rFonts w:ascii="Times New Roman" w:hAnsi="Times New Roman" w:cs="Times New Roman"/>
                      <w:szCs w:val="21"/>
                    </w:rPr>
                  </w:pPr>
                  <w:r>
                    <w:rPr>
                      <w:rFonts w:hint="eastAsia" w:ascii="Times New Roman" w:hAnsi="Times New Roman" w:cs="Times New Roman"/>
                      <w:szCs w:val="21"/>
                    </w:rPr>
                    <w:t>锅炉燃料，设专用储棚</w:t>
                  </w:r>
                </w:p>
              </w:tc>
            </w:tr>
            <w:tr w14:paraId="7521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5" w:type="dxa"/>
                  <w:vAlign w:val="center"/>
                </w:tcPr>
                <w:p w14:paraId="7D004458">
                  <w:pPr>
                    <w:jc w:val="center"/>
                    <w:rPr>
                      <w:rFonts w:ascii="Times New Roman" w:hAnsi="Times New Roman" w:cs="Times New Roman"/>
                      <w:szCs w:val="21"/>
                      <w:highlight w:val="red"/>
                    </w:rPr>
                  </w:pPr>
                  <w:r>
                    <w:rPr>
                      <w:rFonts w:hint="eastAsia" w:ascii="Times New Roman" w:hAnsi="Times New Roman" w:cs="Times New Roman"/>
                      <w:szCs w:val="21"/>
                    </w:rPr>
                    <w:t>8</w:t>
                  </w:r>
                </w:p>
              </w:tc>
              <w:tc>
                <w:tcPr>
                  <w:tcW w:w="1615" w:type="dxa"/>
                  <w:vAlign w:val="center"/>
                </w:tcPr>
                <w:p w14:paraId="6CACD583">
                  <w:pPr>
                    <w:jc w:val="center"/>
                    <w:rPr>
                      <w:rFonts w:ascii="Times New Roman" w:hAnsi="Times New Roman" w:cs="Times New Roman"/>
                      <w:szCs w:val="21"/>
                    </w:rPr>
                  </w:pPr>
                  <w:r>
                    <w:rPr>
                      <w:rFonts w:hint="eastAsia" w:ascii="Times New Roman" w:hAnsi="Times New Roman" w:cs="Times New Roman"/>
                      <w:szCs w:val="21"/>
                    </w:rPr>
                    <w:t>水</w:t>
                  </w:r>
                </w:p>
              </w:tc>
              <w:tc>
                <w:tcPr>
                  <w:tcW w:w="993" w:type="dxa"/>
                  <w:vAlign w:val="center"/>
                </w:tcPr>
                <w:p w14:paraId="385BFF3F">
                  <w:pPr>
                    <w:jc w:val="center"/>
                    <w:rPr>
                      <w:rFonts w:ascii="Times New Roman" w:hAnsi="Times New Roman" w:cs="Times New Roman"/>
                      <w:szCs w:val="21"/>
                    </w:rPr>
                  </w:pP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/a</w:t>
                  </w:r>
                </w:p>
              </w:tc>
              <w:tc>
                <w:tcPr>
                  <w:tcW w:w="992" w:type="dxa"/>
                  <w:vAlign w:val="center"/>
                </w:tcPr>
                <w:p w14:paraId="060443A6">
                  <w:pPr>
                    <w:jc w:val="center"/>
                    <w:rPr>
                      <w:rFonts w:ascii="Times New Roman" w:hAnsi="Times New Roman" w:cs="Times New Roman"/>
                      <w:szCs w:val="21"/>
                    </w:rPr>
                  </w:pPr>
                  <w:r>
                    <w:rPr>
                      <w:rFonts w:ascii="Times New Roman" w:hAnsi="Times New Roman" w:cs="Times New Roman"/>
                      <w:bCs/>
                      <w:szCs w:val="21"/>
                    </w:rPr>
                    <w:t>2.23</w:t>
                  </w:r>
                  <w:r>
                    <w:rPr>
                      <w:rFonts w:hint="eastAsia" w:ascii="Times New Roman" w:hAnsi="Times New Roman" w:cs="Times New Roman"/>
                      <w:bCs/>
                      <w:szCs w:val="21"/>
                    </w:rPr>
                    <w:t>万</w:t>
                  </w:r>
                </w:p>
              </w:tc>
              <w:tc>
                <w:tcPr>
                  <w:tcW w:w="1134" w:type="dxa"/>
                  <w:vAlign w:val="center"/>
                </w:tcPr>
                <w:p w14:paraId="77C6E95B">
                  <w:pPr>
                    <w:jc w:val="center"/>
                    <w:rPr>
                      <w:rFonts w:ascii="Times New Roman" w:hAnsi="Times New Roman" w:cs="Times New Roman"/>
                      <w:szCs w:val="21"/>
                    </w:rPr>
                  </w:pPr>
                  <w:r>
                    <w:rPr>
                      <w:rFonts w:hint="eastAsia" w:ascii="Times New Roman" w:hAnsi="Times New Roman" w:cs="Times New Roman"/>
                      <w:szCs w:val="21"/>
                    </w:rPr>
                    <w:t>/</w:t>
                  </w:r>
                </w:p>
              </w:tc>
              <w:tc>
                <w:tcPr>
                  <w:tcW w:w="2842" w:type="dxa"/>
                  <w:vAlign w:val="center"/>
                </w:tcPr>
                <w:p w14:paraId="690EFE91">
                  <w:pPr>
                    <w:jc w:val="center"/>
                    <w:rPr>
                      <w:rFonts w:ascii="Times New Roman" w:hAnsi="Times New Roman" w:cs="Times New Roman"/>
                      <w:szCs w:val="21"/>
                    </w:rPr>
                  </w:pPr>
                  <w:r>
                    <w:rPr>
                      <w:rFonts w:hint="eastAsia" w:ascii="Times New Roman" w:hAnsi="Times New Roman" w:cs="Times New Roman"/>
                      <w:szCs w:val="21"/>
                    </w:rPr>
                    <w:t>来自附近农村供水管网</w:t>
                  </w:r>
                </w:p>
              </w:tc>
            </w:tr>
            <w:tr w14:paraId="6276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46B1DA51">
                  <w:pPr>
                    <w:jc w:val="center"/>
                    <w:rPr>
                      <w:rFonts w:ascii="Times New Roman" w:hAnsi="Times New Roman" w:cs="Times New Roman"/>
                      <w:szCs w:val="21"/>
                    </w:rPr>
                  </w:pPr>
                  <w:r>
                    <w:rPr>
                      <w:rFonts w:hint="eastAsia" w:ascii="Times New Roman" w:hAnsi="Times New Roman" w:cs="Times New Roman"/>
                      <w:szCs w:val="21"/>
                    </w:rPr>
                    <w:t>9</w:t>
                  </w:r>
                </w:p>
              </w:tc>
              <w:tc>
                <w:tcPr>
                  <w:tcW w:w="1615" w:type="dxa"/>
                  <w:vAlign w:val="center"/>
                </w:tcPr>
                <w:p w14:paraId="667B6124">
                  <w:pPr>
                    <w:jc w:val="center"/>
                    <w:rPr>
                      <w:rFonts w:ascii="Times New Roman" w:hAnsi="Times New Roman" w:cs="Times New Roman"/>
                      <w:szCs w:val="21"/>
                    </w:rPr>
                  </w:pPr>
                  <w:r>
                    <w:rPr>
                      <w:rFonts w:hint="eastAsia" w:ascii="Times New Roman" w:hAnsi="Times New Roman" w:cs="Times New Roman"/>
                      <w:szCs w:val="21"/>
                    </w:rPr>
                    <w:t>电</w:t>
                  </w:r>
                </w:p>
              </w:tc>
              <w:tc>
                <w:tcPr>
                  <w:tcW w:w="993" w:type="dxa"/>
                  <w:vAlign w:val="center"/>
                </w:tcPr>
                <w:p w14:paraId="5ACF0CDE">
                  <w:pPr>
                    <w:jc w:val="center"/>
                    <w:rPr>
                      <w:rFonts w:ascii="Times New Roman" w:hAnsi="Times New Roman" w:cs="Times New Roman"/>
                      <w:szCs w:val="21"/>
                    </w:rPr>
                  </w:pPr>
                  <w:r>
                    <w:rPr>
                      <w:rFonts w:ascii="Times New Roman" w:hAnsi="Times New Roman" w:cs="Times New Roman"/>
                      <w:szCs w:val="21"/>
                    </w:rPr>
                    <w:t>kW·h</w:t>
                  </w:r>
                </w:p>
              </w:tc>
              <w:tc>
                <w:tcPr>
                  <w:tcW w:w="992" w:type="dxa"/>
                  <w:vAlign w:val="center"/>
                </w:tcPr>
                <w:p w14:paraId="57EB4DED">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w:t>
                  </w:r>
                  <w:r>
                    <w:rPr>
                      <w:rFonts w:hint="eastAsia" w:ascii="Times New Roman" w:hAnsi="Times New Roman" w:cs="Times New Roman"/>
                      <w:szCs w:val="21"/>
                    </w:rPr>
                    <w:t>×</w:t>
                  </w:r>
                  <w:r>
                    <w:rPr>
                      <w:rFonts w:ascii="Times New Roman" w:hAnsi="Times New Roman" w:cs="Times New Roman"/>
                      <w:szCs w:val="21"/>
                    </w:rPr>
                    <w:t>10</w:t>
                  </w:r>
                  <w:r>
                    <w:rPr>
                      <w:rFonts w:ascii="Times New Roman" w:hAnsi="Times New Roman" w:cs="Times New Roman"/>
                      <w:szCs w:val="21"/>
                      <w:vertAlign w:val="superscript"/>
                    </w:rPr>
                    <w:t>4</w:t>
                  </w:r>
                </w:p>
              </w:tc>
              <w:tc>
                <w:tcPr>
                  <w:tcW w:w="1134" w:type="dxa"/>
                  <w:vAlign w:val="center"/>
                </w:tcPr>
                <w:p w14:paraId="6744118C">
                  <w:pPr>
                    <w:jc w:val="center"/>
                    <w:rPr>
                      <w:rFonts w:ascii="Times New Roman" w:hAnsi="Times New Roman" w:cs="Times New Roman"/>
                      <w:szCs w:val="21"/>
                    </w:rPr>
                  </w:pPr>
                </w:p>
              </w:tc>
              <w:tc>
                <w:tcPr>
                  <w:tcW w:w="2842" w:type="dxa"/>
                  <w:vAlign w:val="center"/>
                </w:tcPr>
                <w:p w14:paraId="70983812">
                  <w:pPr>
                    <w:jc w:val="center"/>
                    <w:rPr>
                      <w:rFonts w:ascii="Times New Roman" w:hAnsi="Times New Roman" w:cs="Times New Roman"/>
                      <w:szCs w:val="21"/>
                    </w:rPr>
                  </w:pPr>
                  <w:r>
                    <w:rPr>
                      <w:rFonts w:hint="eastAsia" w:ascii="Times New Roman" w:hAnsi="Times New Roman" w:cs="Times New Roman"/>
                      <w:szCs w:val="21"/>
                    </w:rPr>
                    <w:t>来自附近农村电网</w:t>
                  </w:r>
                </w:p>
              </w:tc>
            </w:tr>
          </w:tbl>
          <w:p w14:paraId="37F5FDD9">
            <w:pPr>
              <w:pStyle w:val="10"/>
              <w:snapToGrid w:val="0"/>
              <w:ind w:left="0"/>
              <w:jc w:val="center"/>
              <w:rPr>
                <w:rFonts w:ascii="Times New Roman" w:hAnsi="Times New Roman" w:cs="Times New Roman"/>
                <w:bCs/>
                <w:sz w:val="21"/>
                <w:szCs w:val="21"/>
                <w:lang w:val="en-US"/>
              </w:rPr>
            </w:pPr>
          </w:p>
          <w:p w14:paraId="48C61E26">
            <w:pPr>
              <w:pStyle w:val="10"/>
              <w:spacing w:line="360" w:lineRule="auto"/>
              <w:ind w:left="0" w:right="105" w:rightChars="50" w:firstLine="240" w:firstLineChars="100"/>
              <w:rPr>
                <w:rFonts w:ascii="Times New Roman" w:hAnsi="Times New Roman" w:cs="Times New Roman"/>
                <w:bCs/>
                <w:lang w:val="en-US"/>
              </w:rPr>
            </w:pPr>
            <w:r>
              <w:rPr>
                <w:rFonts w:ascii="Times New Roman" w:hAnsi="Times New Roman" w:cs="Times New Roman"/>
                <w:bCs/>
              </w:rPr>
              <w:t>原辅材料理化性质简介如下</w:t>
            </w:r>
            <w:r>
              <w:rPr>
                <w:rFonts w:ascii="Times New Roman" w:hAnsi="Times New Roman" w:cs="Times New Roman"/>
                <w:bCs/>
                <w:lang w:val="en-US"/>
              </w:rPr>
              <w:t>：</w:t>
            </w:r>
          </w:p>
          <w:p w14:paraId="1A68147B">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表2-4    主要辅料的理化特性、</w:t>
            </w:r>
            <w:r>
              <w:rPr>
                <w:rFonts w:hint="eastAsia" w:ascii="Times New Roman" w:hAnsi="Times New Roman" w:eastAsia="宋体" w:cs="Times New Roman"/>
                <w:b/>
                <w:szCs w:val="21"/>
              </w:rPr>
              <w:t>毒理毒性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3402"/>
              <w:gridCol w:w="1418"/>
              <w:gridCol w:w="1834"/>
            </w:tblGrid>
            <w:tr w14:paraId="795E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85" w:type="dxa"/>
                  <w:vAlign w:val="center"/>
                </w:tcPr>
                <w:p w14:paraId="19B0004F">
                  <w:pPr>
                    <w:jc w:val="center"/>
                    <w:rPr>
                      <w:rFonts w:ascii="Times New Roman" w:hAnsi="Times New Roman" w:cs="Times New Roman"/>
                      <w:b/>
                      <w:bCs/>
                      <w:szCs w:val="21"/>
                    </w:rPr>
                  </w:pPr>
                  <w:r>
                    <w:rPr>
                      <w:rFonts w:hint="eastAsia" w:ascii="Times New Roman" w:hAnsi="Times New Roman" w:cs="Times New Roman"/>
                      <w:b/>
                      <w:bCs/>
                      <w:szCs w:val="21"/>
                    </w:rPr>
                    <w:t>物料名称</w:t>
                  </w:r>
                </w:p>
              </w:tc>
              <w:tc>
                <w:tcPr>
                  <w:tcW w:w="3402" w:type="dxa"/>
                  <w:vAlign w:val="center"/>
                </w:tcPr>
                <w:p w14:paraId="43851982">
                  <w:pPr>
                    <w:jc w:val="center"/>
                    <w:rPr>
                      <w:rFonts w:ascii="Times New Roman" w:hAnsi="Times New Roman" w:cs="Times New Roman"/>
                      <w:b/>
                      <w:bCs/>
                      <w:szCs w:val="21"/>
                    </w:rPr>
                  </w:pPr>
                  <w:r>
                    <w:rPr>
                      <w:rFonts w:ascii="Times New Roman" w:hAnsi="Times New Roman" w:cs="Times New Roman"/>
                      <w:b/>
                      <w:bCs/>
                      <w:szCs w:val="21"/>
                    </w:rPr>
                    <w:t>理化特性</w:t>
                  </w:r>
                </w:p>
              </w:tc>
              <w:tc>
                <w:tcPr>
                  <w:tcW w:w="1418" w:type="dxa"/>
                  <w:vAlign w:val="center"/>
                </w:tcPr>
                <w:p w14:paraId="37067306">
                  <w:pPr>
                    <w:jc w:val="center"/>
                    <w:rPr>
                      <w:rFonts w:ascii="Times New Roman" w:hAnsi="Times New Roman" w:cs="Times New Roman"/>
                      <w:b/>
                      <w:bCs/>
                      <w:szCs w:val="21"/>
                    </w:rPr>
                  </w:pPr>
                  <w:r>
                    <w:rPr>
                      <w:rFonts w:ascii="Times New Roman" w:hAnsi="Times New Roman" w:cs="Times New Roman"/>
                      <w:b/>
                      <w:bCs/>
                      <w:szCs w:val="21"/>
                    </w:rPr>
                    <w:t>燃性</w:t>
                  </w:r>
                </w:p>
              </w:tc>
              <w:tc>
                <w:tcPr>
                  <w:tcW w:w="1834" w:type="dxa"/>
                  <w:vAlign w:val="center"/>
                </w:tcPr>
                <w:p w14:paraId="5C8434E0">
                  <w:pPr>
                    <w:jc w:val="center"/>
                    <w:rPr>
                      <w:rFonts w:ascii="Times New Roman" w:hAnsi="Times New Roman" w:cs="Times New Roman"/>
                      <w:b/>
                      <w:bCs/>
                      <w:szCs w:val="21"/>
                    </w:rPr>
                  </w:pPr>
                  <w:r>
                    <w:rPr>
                      <w:rFonts w:ascii="Times New Roman" w:hAnsi="Times New Roman" w:cs="Times New Roman"/>
                      <w:b/>
                      <w:bCs/>
                      <w:szCs w:val="21"/>
                    </w:rPr>
                    <w:t>毒性毒理</w:t>
                  </w:r>
                </w:p>
              </w:tc>
            </w:tr>
            <w:tr w14:paraId="134A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85" w:type="dxa"/>
                  <w:vAlign w:val="center"/>
                </w:tcPr>
                <w:p w14:paraId="219AE65F">
                  <w:pPr>
                    <w:jc w:val="center"/>
                    <w:rPr>
                      <w:rFonts w:ascii="Times New Roman" w:hAnsi="Times New Roman" w:cs="Times New Roman"/>
                      <w:szCs w:val="21"/>
                    </w:rPr>
                  </w:pPr>
                  <w:r>
                    <w:rPr>
                      <w:rFonts w:ascii="Times New Roman" w:hAnsi="Times New Roman" w:cs="Times New Roman"/>
                      <w:szCs w:val="21"/>
                    </w:rPr>
                    <w:t>氢氧化钠</w:t>
                  </w:r>
                  <w:r>
                    <w:rPr>
                      <w:rFonts w:hint="eastAsia" w:ascii="Times New Roman" w:hAnsi="Times New Roman" w:cs="Times New Roman"/>
                      <w:szCs w:val="21"/>
                    </w:rPr>
                    <w:t>（Na</w:t>
                  </w:r>
                  <w:r>
                    <w:rPr>
                      <w:rFonts w:ascii="Times New Roman" w:hAnsi="Times New Roman" w:cs="Times New Roman"/>
                      <w:szCs w:val="21"/>
                    </w:rPr>
                    <w:t>OH</w:t>
                  </w:r>
                  <w:r>
                    <w:rPr>
                      <w:rFonts w:hint="eastAsia" w:ascii="Times New Roman" w:hAnsi="Times New Roman" w:cs="Times New Roman"/>
                      <w:szCs w:val="21"/>
                    </w:rPr>
                    <w:t>）</w:t>
                  </w:r>
                </w:p>
              </w:tc>
              <w:tc>
                <w:tcPr>
                  <w:tcW w:w="3402" w:type="dxa"/>
                  <w:vAlign w:val="center"/>
                </w:tcPr>
                <w:p w14:paraId="5A4C3EAD">
                  <w:pPr>
                    <w:jc w:val="center"/>
                    <w:rPr>
                      <w:rFonts w:ascii="Times New Roman" w:hAnsi="Times New Roman" w:cs="Times New Roman"/>
                      <w:szCs w:val="21"/>
                    </w:rPr>
                  </w:pPr>
                  <w:r>
                    <w:rPr>
                      <w:rFonts w:ascii="Times New Roman" w:hAnsi="Times New Roman" w:cs="Times New Roman"/>
                      <w:szCs w:val="21"/>
                    </w:rPr>
                    <w:t>分子量39.9971</w:t>
                  </w:r>
                  <w:r>
                    <w:rPr>
                      <w:rFonts w:hint="eastAsia" w:ascii="Times New Roman" w:hAnsi="Times New Roman" w:cs="Times New Roman"/>
                      <w:szCs w:val="21"/>
                    </w:rPr>
                    <w:t>，</w:t>
                  </w:r>
                  <w:r>
                    <w:rPr>
                      <w:rFonts w:ascii="Times New Roman" w:hAnsi="Times New Roman" w:cs="Times New Roman"/>
                      <w:szCs w:val="21"/>
                    </w:rPr>
                    <w:t>白色半透明结晶状固体</w:t>
                  </w:r>
                  <w:r>
                    <w:rPr>
                      <w:rFonts w:hint="eastAsia" w:ascii="Times New Roman" w:hAnsi="Times New Roman" w:cs="Times New Roman"/>
                      <w:szCs w:val="21"/>
                    </w:rPr>
                    <w:t>，</w:t>
                  </w:r>
                  <w:r>
                    <w:rPr>
                      <w:rFonts w:ascii="Times New Roman" w:hAnsi="Times New Roman" w:cs="Times New Roman"/>
                      <w:szCs w:val="21"/>
                    </w:rPr>
                    <w:t>其水溶液有涩味和滑腻感</w:t>
                  </w:r>
                  <w:r>
                    <w:rPr>
                      <w:rFonts w:hint="eastAsia" w:ascii="Times New Roman" w:hAnsi="Times New Roman" w:cs="Times New Roman"/>
                      <w:szCs w:val="21"/>
                    </w:rPr>
                    <w:t>，</w:t>
                  </w:r>
                  <w:r>
                    <w:rPr>
                      <w:rFonts w:ascii="Times New Roman" w:hAnsi="Times New Roman" w:cs="Times New Roman"/>
                      <w:szCs w:val="21"/>
                    </w:rPr>
                    <w:t>有腐蝕性</w:t>
                  </w:r>
                  <w:r>
                    <w:rPr>
                      <w:rFonts w:hint="eastAsia" w:ascii="Times New Roman" w:hAnsi="Times New Roman" w:cs="Times New Roman"/>
                      <w:szCs w:val="21"/>
                    </w:rPr>
                    <w:t>。</w:t>
                  </w:r>
                  <w:r>
                    <w:rPr>
                      <w:rFonts w:ascii="Times New Roman" w:hAnsi="Times New Roman" w:cs="Times New Roman"/>
                      <w:szCs w:val="21"/>
                    </w:rPr>
                    <w:t>熔点：318.4</w:t>
                  </w:r>
                  <w:r>
                    <w:rPr>
                      <w:rFonts w:hint="eastAsia" w:ascii="Times New Roman" w:hAnsi="Times New Roman" w:cs="Times New Roman"/>
                      <w:szCs w:val="21"/>
                    </w:rPr>
                    <w:t>℃，</w:t>
                  </w:r>
                  <w:r>
                    <w:rPr>
                      <w:rFonts w:ascii="Times New Roman" w:hAnsi="Times New Roman" w:cs="Times New Roman"/>
                      <w:szCs w:val="21"/>
                    </w:rPr>
                    <w:t>沸点：1390</w:t>
                  </w:r>
                  <w:r>
                    <w:rPr>
                      <w:rFonts w:hint="eastAsia" w:ascii="Times New Roman" w:hAnsi="Times New Roman" w:cs="Times New Roman"/>
                      <w:szCs w:val="21"/>
                    </w:rPr>
                    <w:t>℃</w:t>
                  </w:r>
                  <w:r>
                    <w:rPr>
                      <w:rFonts w:ascii="Times New Roman" w:hAnsi="Times New Roman" w:cs="Times New Roman"/>
                      <w:szCs w:val="21"/>
                    </w:rPr>
                    <w:t>。强碱性，易潮解</w:t>
                  </w:r>
                  <w:r>
                    <w:rPr>
                      <w:rFonts w:hint="eastAsia" w:ascii="Times New Roman" w:hAnsi="Times New Roman" w:cs="Times New Roman"/>
                      <w:szCs w:val="21"/>
                    </w:rPr>
                    <w:t>。</w:t>
                  </w:r>
                </w:p>
              </w:tc>
              <w:tc>
                <w:tcPr>
                  <w:tcW w:w="1418" w:type="dxa"/>
                  <w:vAlign w:val="center"/>
                </w:tcPr>
                <w:p w14:paraId="1A5D473D">
                  <w:pPr>
                    <w:jc w:val="center"/>
                    <w:rPr>
                      <w:rFonts w:ascii="Times New Roman" w:hAnsi="Times New Roman" w:cs="Times New Roman"/>
                      <w:szCs w:val="21"/>
                    </w:rPr>
                  </w:pPr>
                  <w:r>
                    <w:rPr>
                      <w:rFonts w:ascii="Times New Roman" w:hAnsi="Times New Roman" w:cs="Times New Roman"/>
                      <w:szCs w:val="21"/>
                    </w:rPr>
                    <w:t>不燃</w:t>
                  </w:r>
                </w:p>
              </w:tc>
              <w:tc>
                <w:tcPr>
                  <w:tcW w:w="1834" w:type="dxa"/>
                  <w:vAlign w:val="center"/>
                </w:tcPr>
                <w:p w14:paraId="7318F8BE">
                  <w:pPr>
                    <w:jc w:val="center"/>
                    <w:rPr>
                      <w:rFonts w:ascii="Times New Roman" w:hAnsi="Times New Roman" w:cs="Times New Roman"/>
                      <w:szCs w:val="21"/>
                    </w:rPr>
                  </w:pPr>
                  <w:r>
                    <w:rPr>
                      <w:rFonts w:ascii="Times New Roman" w:hAnsi="Times New Roman" w:cs="Times New Roman"/>
                      <w:szCs w:val="21"/>
                    </w:rPr>
                    <w:t>LD</w:t>
                  </w:r>
                  <w:r>
                    <w:rPr>
                      <w:rFonts w:ascii="Times New Roman" w:hAnsi="Times New Roman" w:cs="Times New Roman"/>
                      <w:szCs w:val="21"/>
                      <w:vertAlign w:val="subscript"/>
                    </w:rPr>
                    <w:t>50</w:t>
                  </w:r>
                  <w:r>
                    <w:rPr>
                      <w:rFonts w:ascii="Times New Roman" w:hAnsi="Times New Roman" w:cs="Times New Roman"/>
                      <w:szCs w:val="21"/>
                    </w:rPr>
                    <w:t>：无资料</w:t>
                  </w:r>
                </w:p>
                <w:p w14:paraId="059D2276">
                  <w:pPr>
                    <w:jc w:val="center"/>
                    <w:rPr>
                      <w:rFonts w:ascii="Times New Roman" w:hAnsi="Times New Roman" w:cs="Times New Roman"/>
                      <w:szCs w:val="21"/>
                    </w:rPr>
                  </w:pPr>
                  <w:r>
                    <w:rPr>
                      <w:rFonts w:ascii="Times New Roman" w:hAnsi="Times New Roman" w:cs="Times New Roman"/>
                      <w:szCs w:val="21"/>
                    </w:rPr>
                    <w:t>LC</w:t>
                  </w:r>
                  <w:r>
                    <w:rPr>
                      <w:rFonts w:ascii="Times New Roman" w:hAnsi="Times New Roman" w:cs="Times New Roman"/>
                      <w:szCs w:val="21"/>
                      <w:vertAlign w:val="subscript"/>
                    </w:rPr>
                    <w:t>50</w:t>
                  </w:r>
                  <w:r>
                    <w:rPr>
                      <w:rFonts w:ascii="Times New Roman" w:hAnsi="Times New Roman" w:cs="Times New Roman"/>
                      <w:szCs w:val="21"/>
                    </w:rPr>
                    <w:t>：无资料</w:t>
                  </w:r>
                </w:p>
                <w:p w14:paraId="7DEA04C2">
                  <w:pPr>
                    <w:jc w:val="center"/>
                    <w:rPr>
                      <w:rFonts w:ascii="Times New Roman" w:hAnsi="Times New Roman" w:cs="Times New Roman"/>
                      <w:szCs w:val="21"/>
                    </w:rPr>
                  </w:pPr>
                  <w:r>
                    <w:rPr>
                      <w:rFonts w:ascii="Times New Roman" w:hAnsi="Times New Roman" w:cs="Times New Roman"/>
                      <w:szCs w:val="21"/>
                    </w:rPr>
                    <w:t>有较强的碱性腐蚀性。</w:t>
                  </w:r>
                </w:p>
              </w:tc>
            </w:tr>
            <w:tr w14:paraId="29B6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85" w:type="dxa"/>
                  <w:vAlign w:val="center"/>
                </w:tcPr>
                <w:p w14:paraId="7912215F">
                  <w:pPr>
                    <w:jc w:val="center"/>
                    <w:rPr>
                      <w:rFonts w:ascii="Times New Roman" w:hAnsi="Times New Roman" w:cs="Times New Roman"/>
                      <w:szCs w:val="21"/>
                    </w:rPr>
                  </w:pPr>
                  <w:r>
                    <w:rPr>
                      <w:rFonts w:ascii="Times New Roman" w:hAnsi="Times New Roman" w:cs="Times New Roman"/>
                      <w:szCs w:val="21"/>
                    </w:rPr>
                    <w:t>柠檬酸</w:t>
                  </w:r>
                </w:p>
              </w:tc>
              <w:tc>
                <w:tcPr>
                  <w:tcW w:w="3402" w:type="dxa"/>
                  <w:vAlign w:val="center"/>
                </w:tcPr>
                <w:p w14:paraId="009E67EF">
                  <w:pPr>
                    <w:jc w:val="center"/>
                    <w:rPr>
                      <w:rFonts w:ascii="Times New Roman" w:hAnsi="Times New Roman" w:cs="Times New Roman"/>
                      <w:szCs w:val="21"/>
                    </w:rPr>
                  </w:pPr>
                  <w:r>
                    <w:rPr>
                      <w:rFonts w:ascii="Times New Roman" w:hAnsi="Times New Roman" w:cs="Times New Roman"/>
                      <w:szCs w:val="21"/>
                    </w:rPr>
                    <w:t>分子量192.13</w:t>
                  </w:r>
                  <w:r>
                    <w:rPr>
                      <w:rFonts w:hint="eastAsia" w:ascii="Times New Roman" w:hAnsi="Times New Roman" w:cs="Times New Roman"/>
                      <w:szCs w:val="21"/>
                    </w:rPr>
                    <w:t>，</w:t>
                  </w:r>
                  <w:r>
                    <w:rPr>
                      <w:rFonts w:ascii="Times New Roman" w:hAnsi="Times New Roman" w:cs="Times New Roman"/>
                      <w:szCs w:val="21"/>
                    </w:rPr>
                    <w:t>无色晶体，无臭，有很强的酸味，易溶于水</w:t>
                  </w:r>
                  <w:r>
                    <w:rPr>
                      <w:rFonts w:hint="eastAsia" w:ascii="Times New Roman" w:hAnsi="Times New Roman" w:cs="Times New Roman"/>
                      <w:szCs w:val="21"/>
                    </w:rPr>
                    <w:t>。</w:t>
                  </w:r>
                  <w:r>
                    <w:rPr>
                      <w:rFonts w:ascii="Times New Roman" w:hAnsi="Times New Roman" w:cs="Times New Roman"/>
                      <w:szCs w:val="21"/>
                    </w:rPr>
                    <w:t>熔点</w:t>
                  </w:r>
                  <w:r>
                    <w:rPr>
                      <w:rFonts w:hint="eastAsia" w:ascii="Times New Roman" w:hAnsi="Times New Roman" w:cs="Times New Roman"/>
                      <w:szCs w:val="21"/>
                    </w:rPr>
                    <w:t>：</w:t>
                  </w:r>
                  <w:r>
                    <w:rPr>
                      <w:rFonts w:ascii="Times New Roman" w:hAnsi="Times New Roman" w:cs="Times New Roman"/>
                      <w:szCs w:val="21"/>
                    </w:rPr>
                    <w:t>153</w:t>
                  </w:r>
                  <w:r>
                    <w:rPr>
                      <w:rFonts w:hint="eastAsia" w:ascii="Times New Roman" w:hAnsi="Times New Roman" w:cs="Times New Roman"/>
                      <w:szCs w:val="21"/>
                    </w:rPr>
                    <w:t>℃</w:t>
                  </w:r>
                  <w:r>
                    <w:rPr>
                      <w:rFonts w:ascii="Times New Roman" w:hAnsi="Times New Roman" w:cs="Times New Roman"/>
                      <w:szCs w:val="21"/>
                    </w:rPr>
                    <w:t>（失水），沸点175</w:t>
                  </w:r>
                  <w:r>
                    <w:rPr>
                      <w:rFonts w:hint="eastAsia" w:ascii="Times New Roman" w:hAnsi="Times New Roman" w:cs="Times New Roman"/>
                      <w:szCs w:val="21"/>
                    </w:rPr>
                    <w:t>℃</w:t>
                  </w:r>
                  <w:r>
                    <w:rPr>
                      <w:rFonts w:ascii="Times New Roman" w:hAnsi="Times New Roman" w:cs="Times New Roman"/>
                      <w:szCs w:val="21"/>
                    </w:rPr>
                    <w:t>（分解）,相对密度（水=1）：1.542g/cm</w:t>
                  </w:r>
                  <w:r>
                    <w:rPr>
                      <w:rFonts w:ascii="Times New Roman" w:hAnsi="Times New Roman" w:cs="Times New Roman"/>
                      <w:szCs w:val="21"/>
                      <w:vertAlign w:val="superscript"/>
                    </w:rPr>
                    <w:t>3</w:t>
                  </w:r>
                </w:p>
              </w:tc>
              <w:tc>
                <w:tcPr>
                  <w:tcW w:w="1418" w:type="dxa"/>
                  <w:vAlign w:val="center"/>
                </w:tcPr>
                <w:p w14:paraId="3AFD6867">
                  <w:pPr>
                    <w:jc w:val="center"/>
                    <w:rPr>
                      <w:rFonts w:ascii="Times New Roman" w:hAnsi="Times New Roman" w:cs="Times New Roman"/>
                      <w:szCs w:val="21"/>
                    </w:rPr>
                  </w:pPr>
                  <w:r>
                    <w:rPr>
                      <w:rFonts w:ascii="Times New Roman" w:hAnsi="Times New Roman" w:cs="Times New Roman"/>
                      <w:szCs w:val="21"/>
                    </w:rPr>
                    <w:t>不燃</w:t>
                  </w:r>
                </w:p>
              </w:tc>
              <w:tc>
                <w:tcPr>
                  <w:tcW w:w="1834" w:type="dxa"/>
                  <w:vAlign w:val="center"/>
                </w:tcPr>
                <w:p w14:paraId="1FEF8F62">
                  <w:pPr>
                    <w:jc w:val="center"/>
                    <w:rPr>
                      <w:rFonts w:ascii="Times New Roman" w:hAnsi="Times New Roman" w:cs="Times New Roman"/>
                      <w:szCs w:val="21"/>
                    </w:rPr>
                  </w:pPr>
                  <w:r>
                    <w:rPr>
                      <w:rFonts w:ascii="Times New Roman" w:hAnsi="Times New Roman" w:cs="Times New Roman"/>
                      <w:szCs w:val="21"/>
                    </w:rPr>
                    <w:t>LD</w:t>
                  </w:r>
                  <w:r>
                    <w:rPr>
                      <w:rFonts w:ascii="Times New Roman" w:hAnsi="Times New Roman" w:cs="Times New Roman"/>
                      <w:szCs w:val="21"/>
                      <w:vertAlign w:val="subscript"/>
                    </w:rPr>
                    <w:t>50</w:t>
                  </w:r>
                  <w:r>
                    <w:rPr>
                      <w:rFonts w:ascii="Times New Roman" w:hAnsi="Times New Roman" w:cs="Times New Roman"/>
                      <w:szCs w:val="21"/>
                    </w:rPr>
                    <w:t>：无资料</w:t>
                  </w:r>
                </w:p>
                <w:p w14:paraId="29BAB9BF">
                  <w:pPr>
                    <w:jc w:val="center"/>
                    <w:rPr>
                      <w:rFonts w:ascii="Times New Roman" w:hAnsi="Times New Roman" w:cs="Times New Roman"/>
                      <w:szCs w:val="21"/>
                    </w:rPr>
                  </w:pPr>
                  <w:r>
                    <w:rPr>
                      <w:rFonts w:ascii="Times New Roman" w:hAnsi="Times New Roman" w:cs="Times New Roman"/>
                      <w:szCs w:val="21"/>
                    </w:rPr>
                    <w:t>LC</w:t>
                  </w:r>
                  <w:r>
                    <w:rPr>
                      <w:rFonts w:ascii="Times New Roman" w:hAnsi="Times New Roman" w:cs="Times New Roman"/>
                      <w:szCs w:val="21"/>
                      <w:vertAlign w:val="subscript"/>
                    </w:rPr>
                    <w:t>50</w:t>
                  </w:r>
                  <w:r>
                    <w:rPr>
                      <w:rFonts w:ascii="Times New Roman" w:hAnsi="Times New Roman" w:cs="Times New Roman"/>
                      <w:szCs w:val="21"/>
                    </w:rPr>
                    <w:t>：无资料</w:t>
                  </w:r>
                </w:p>
              </w:tc>
            </w:tr>
            <w:tr w14:paraId="6D16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85" w:type="dxa"/>
                  <w:vAlign w:val="center"/>
                </w:tcPr>
                <w:p w14:paraId="4FF30251">
                  <w:pPr>
                    <w:jc w:val="center"/>
                    <w:rPr>
                      <w:rFonts w:ascii="Times New Roman" w:hAnsi="Times New Roman" w:cs="Times New Roman"/>
                      <w:szCs w:val="21"/>
                    </w:rPr>
                  </w:pPr>
                  <w:r>
                    <w:rPr>
                      <w:rFonts w:ascii="Times New Roman" w:hAnsi="Times New Roman" w:cs="Times New Roman"/>
                      <w:szCs w:val="21"/>
                    </w:rPr>
                    <w:t>次氯酸钠 （NaClO）</w:t>
                  </w:r>
                </w:p>
              </w:tc>
              <w:tc>
                <w:tcPr>
                  <w:tcW w:w="3402" w:type="dxa"/>
                  <w:vAlign w:val="center"/>
                </w:tcPr>
                <w:p w14:paraId="714FE035">
                  <w:pPr>
                    <w:jc w:val="center"/>
                    <w:rPr>
                      <w:rFonts w:ascii="Times New Roman" w:hAnsi="Times New Roman" w:cs="Times New Roman"/>
                      <w:szCs w:val="21"/>
                    </w:rPr>
                  </w:pPr>
                  <w:r>
                    <w:rPr>
                      <w:rFonts w:ascii="Times New Roman" w:hAnsi="Times New Roman" w:cs="Times New Roman"/>
                      <w:szCs w:val="21"/>
                    </w:rPr>
                    <w:t>相对分子质量106.44</w:t>
                  </w:r>
                  <w:r>
                    <w:rPr>
                      <w:rFonts w:hint="eastAsia" w:ascii="Times New Roman" w:hAnsi="Times New Roman" w:cs="Times New Roman"/>
                      <w:szCs w:val="21"/>
                    </w:rPr>
                    <w:t>，</w:t>
                  </w:r>
                  <w:r>
                    <w:rPr>
                      <w:rFonts w:ascii="Times New Roman" w:hAnsi="Times New Roman" w:cs="Times New Roman"/>
                      <w:szCs w:val="21"/>
                    </w:rPr>
                    <w:t>通常为白色或微黄色等轴晶体。味咸而凉，易溶于水、 微溶于乙醇在酸性溶液中有强氧化作用，300</w:t>
                  </w:r>
                  <w:r>
                    <w:rPr>
                      <w:rFonts w:hint="eastAsia" w:ascii="Times New Roman" w:hAnsi="Times New Roman" w:cs="Times New Roman"/>
                      <w:szCs w:val="21"/>
                    </w:rPr>
                    <w:t>℃</w:t>
                  </w:r>
                  <w:r>
                    <w:rPr>
                      <w:rFonts w:ascii="Times New Roman" w:hAnsi="Times New Roman" w:cs="Times New Roman"/>
                      <w:szCs w:val="21"/>
                    </w:rPr>
                    <w:t>以上分解出氧气。不稳定。</w:t>
                  </w:r>
                </w:p>
              </w:tc>
              <w:tc>
                <w:tcPr>
                  <w:tcW w:w="1418" w:type="dxa"/>
                  <w:vAlign w:val="center"/>
                </w:tcPr>
                <w:p w14:paraId="07A3CB36">
                  <w:pPr>
                    <w:jc w:val="center"/>
                    <w:rPr>
                      <w:rFonts w:ascii="Times New Roman" w:hAnsi="Times New Roman" w:cs="Times New Roman"/>
                      <w:szCs w:val="21"/>
                    </w:rPr>
                  </w:pPr>
                  <w:r>
                    <w:rPr>
                      <w:rFonts w:ascii="Times New Roman" w:hAnsi="Times New Roman" w:cs="Times New Roman"/>
                      <w:szCs w:val="21"/>
                    </w:rPr>
                    <w:t>与磷、硫及有机物混合受撞击时易发生燃烧和爆炸，易吸潮结块，有毒。</w:t>
                  </w:r>
                </w:p>
              </w:tc>
              <w:tc>
                <w:tcPr>
                  <w:tcW w:w="1834" w:type="dxa"/>
                  <w:vAlign w:val="center"/>
                </w:tcPr>
                <w:p w14:paraId="23D8FD85">
                  <w:pPr>
                    <w:jc w:val="center"/>
                    <w:rPr>
                      <w:rFonts w:ascii="Times New Roman" w:hAnsi="Times New Roman" w:cs="Times New Roman"/>
                      <w:szCs w:val="21"/>
                    </w:rPr>
                  </w:pPr>
                  <w:r>
                    <w:rPr>
                      <w:rFonts w:ascii="Times New Roman" w:hAnsi="Times New Roman" w:cs="Times New Roman"/>
                      <w:szCs w:val="21"/>
                    </w:rPr>
                    <w:t>大鼠急性经口 LD</w:t>
                  </w:r>
                  <w:r>
                    <w:rPr>
                      <w:rFonts w:ascii="Times New Roman" w:hAnsi="Times New Roman" w:cs="Times New Roman"/>
                      <w:szCs w:val="21"/>
                      <w:vertAlign w:val="subscript"/>
                    </w:rPr>
                    <w:t>5O</w:t>
                  </w:r>
                  <w:r>
                    <w:rPr>
                      <w:rFonts w:ascii="Times New Roman" w:hAnsi="Times New Roman" w:cs="Times New Roman"/>
                      <w:szCs w:val="21"/>
                    </w:rPr>
                    <w:t>1200mg/kg</w:t>
                  </w:r>
                  <w:r>
                    <w:rPr>
                      <w:rFonts w:hint="eastAsia" w:ascii="Times New Roman" w:hAnsi="Times New Roman" w:cs="Times New Roman"/>
                      <w:szCs w:val="21"/>
                    </w:rPr>
                    <w:t>，</w:t>
                  </w:r>
                  <w:r>
                    <w:rPr>
                      <w:rFonts w:ascii="Times New Roman" w:hAnsi="Times New Roman" w:cs="Times New Roman"/>
                      <w:szCs w:val="21"/>
                    </w:rPr>
                    <w:t xml:space="preserve"> 对皮肤和黏膜有 局部刺激作用。</w:t>
                  </w:r>
                </w:p>
              </w:tc>
            </w:tr>
            <w:tr w14:paraId="3B1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85" w:type="dxa"/>
                  <w:vAlign w:val="center"/>
                </w:tcPr>
                <w:p w14:paraId="1F6912DF">
                  <w:pPr>
                    <w:jc w:val="center"/>
                    <w:rPr>
                      <w:rFonts w:ascii="Times New Roman" w:hAnsi="Times New Roman" w:cs="Times New Roman"/>
                      <w:szCs w:val="21"/>
                    </w:rPr>
                  </w:pPr>
                  <w:r>
                    <w:rPr>
                      <w:rFonts w:ascii="Times New Roman" w:hAnsi="Times New Roman" w:cs="Times New Roman"/>
                      <w:szCs w:val="21"/>
                    </w:rPr>
                    <w:t>过硫酸氢钾</w:t>
                  </w:r>
                </w:p>
              </w:tc>
              <w:tc>
                <w:tcPr>
                  <w:tcW w:w="3402" w:type="dxa"/>
                  <w:vAlign w:val="center"/>
                </w:tcPr>
                <w:p w14:paraId="541E4191">
                  <w:pPr>
                    <w:jc w:val="center"/>
                    <w:rPr>
                      <w:rFonts w:ascii="Times New Roman" w:hAnsi="Times New Roman" w:cs="Times New Roman"/>
                      <w:szCs w:val="21"/>
                    </w:rPr>
                  </w:pPr>
                  <w:r>
                    <w:rPr>
                      <w:rFonts w:ascii="Times New Roman" w:hAnsi="Times New Roman" w:cs="Times New Roman"/>
                      <w:szCs w:val="21"/>
                    </w:rPr>
                    <w:t>固体，易溶于水，通常固态状态下比较稳定分解缓慢，不产生有害物质</w:t>
                  </w:r>
                  <w:r>
                    <w:rPr>
                      <w:rFonts w:hint="eastAsia" w:ascii="Times New Roman" w:hAnsi="Times New Roman" w:cs="Times New Roman"/>
                      <w:szCs w:val="21"/>
                    </w:rPr>
                    <w:t>。</w:t>
                  </w:r>
                </w:p>
              </w:tc>
              <w:tc>
                <w:tcPr>
                  <w:tcW w:w="1418" w:type="dxa"/>
                  <w:vAlign w:val="center"/>
                </w:tcPr>
                <w:p w14:paraId="252E69C4">
                  <w:pPr>
                    <w:jc w:val="center"/>
                    <w:rPr>
                      <w:rFonts w:ascii="Times New Roman" w:hAnsi="Times New Roman" w:cs="Times New Roman"/>
                      <w:szCs w:val="21"/>
                    </w:rPr>
                  </w:pPr>
                  <w:r>
                    <w:rPr>
                      <w:rFonts w:ascii="Times New Roman" w:hAnsi="Times New Roman" w:cs="Times New Roman"/>
                      <w:szCs w:val="21"/>
                    </w:rPr>
                    <w:t>与可燃物料 接触可能引 起火灾</w:t>
                  </w:r>
                </w:p>
              </w:tc>
              <w:tc>
                <w:tcPr>
                  <w:tcW w:w="1834" w:type="dxa"/>
                  <w:vAlign w:val="center"/>
                </w:tcPr>
                <w:p w14:paraId="5CD88DD7">
                  <w:pPr>
                    <w:jc w:val="center"/>
                    <w:rPr>
                      <w:rFonts w:ascii="Times New Roman" w:hAnsi="Times New Roman" w:cs="Times New Roman"/>
                      <w:szCs w:val="21"/>
                    </w:rPr>
                  </w:pPr>
                  <w:r>
                    <w:rPr>
                      <w:rFonts w:hint="eastAsia" w:ascii="Times New Roman" w:hAnsi="Times New Roman" w:cs="Times New Roman"/>
                      <w:szCs w:val="21"/>
                    </w:rPr>
                    <w:t>/</w:t>
                  </w:r>
                </w:p>
              </w:tc>
            </w:tr>
            <w:tr w14:paraId="7142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85" w:type="dxa"/>
                  <w:vAlign w:val="center"/>
                </w:tcPr>
                <w:p w14:paraId="297E0777">
                  <w:pPr>
                    <w:jc w:val="center"/>
                    <w:rPr>
                      <w:rFonts w:ascii="Times New Roman" w:hAnsi="Times New Roman" w:cs="Times New Roman"/>
                      <w:szCs w:val="21"/>
                    </w:rPr>
                  </w:pPr>
                  <w:r>
                    <w:rPr>
                      <w:rFonts w:ascii="Times New Roman" w:hAnsi="Times New Roman" w:cs="Times New Roman"/>
                      <w:szCs w:val="21"/>
                    </w:rPr>
                    <w:t>制冷剂</w:t>
                  </w:r>
                  <w:r>
                    <w:rPr>
                      <w:rFonts w:hint="eastAsia" w:ascii="Times New Roman" w:hAnsi="Times New Roman" w:cs="Times New Roman"/>
                      <w:szCs w:val="21"/>
                    </w:rPr>
                    <w:t>（</w:t>
                  </w:r>
                  <w:r>
                    <w:rPr>
                      <w:rFonts w:ascii="Times New Roman" w:hAnsi="Times New Roman" w:cs="Times New Roman"/>
                      <w:szCs w:val="21"/>
                    </w:rPr>
                    <w:t>R404A</w:t>
                  </w:r>
                  <w:r>
                    <w:rPr>
                      <w:rFonts w:hint="eastAsia" w:ascii="Times New Roman" w:hAnsi="Times New Roman" w:cs="Times New Roman"/>
                      <w:szCs w:val="21"/>
                    </w:rPr>
                    <w:t>）</w:t>
                  </w:r>
                </w:p>
              </w:tc>
              <w:tc>
                <w:tcPr>
                  <w:tcW w:w="3402" w:type="dxa"/>
                  <w:vAlign w:val="center"/>
                </w:tcPr>
                <w:p w14:paraId="297CF65F">
                  <w:pPr>
                    <w:jc w:val="center"/>
                    <w:rPr>
                      <w:rFonts w:ascii="Times New Roman" w:hAnsi="Times New Roman" w:cs="Times New Roman"/>
                      <w:szCs w:val="21"/>
                    </w:rPr>
                  </w:pPr>
                  <w:r>
                    <w:rPr>
                      <w:rFonts w:ascii="Times New Roman" w:hAnsi="Times New Roman" w:cs="Times New Roman"/>
                      <w:szCs w:val="21"/>
                    </w:rPr>
                    <w:t>属于HFC型非共沸环保制冷剂（完全不含破坏臭氧层的CFC、HCFC），得到目前世界绝大多数国家的认可并推荐的主流低温环保制冷剂，广泛用于新冷冻设备上的初装和维修过程中的再添加，符合美国环保组织EPA、SNAP和UL的标准和美国</w:t>
                  </w:r>
                  <w:r>
                    <w:rPr>
                      <w:rFonts w:hint="eastAsia" w:ascii="Times New Roman" w:hAnsi="Times New Roman" w:cs="Times New Roman"/>
                      <w:szCs w:val="21"/>
                      <w:lang w:eastAsia="zh-CN"/>
                    </w:rPr>
                    <w:t>采</w:t>
                  </w:r>
                  <w:r>
                    <w:rPr>
                      <w:rFonts w:ascii="Times New Roman" w:hAnsi="Times New Roman" w:cs="Times New Roman"/>
                      <w:szCs w:val="21"/>
                    </w:rPr>
                    <w:t>暖、制冷空调工程师协会（ASHRAE）的A1安全等级类别，对人身体无害。经</w:t>
                  </w:r>
                  <w:r>
                    <w:rPr>
                      <w:rFonts w:hint="eastAsia" w:ascii="Times New Roman" w:hAnsi="Times New Roman" w:cs="Times New Roman"/>
                      <w:szCs w:val="21"/>
                      <w:lang w:eastAsia="zh-CN"/>
                    </w:rPr>
                    <w:t>查</w:t>
                  </w:r>
                  <w:r>
                    <w:rPr>
                      <w:rFonts w:ascii="Times New Roman" w:hAnsi="Times New Roman" w:cs="Times New Roman"/>
                      <w:szCs w:val="21"/>
                    </w:rPr>
                    <w:t>阅，R404A制冷剂不属于《关于严格控制新建、改建、扩建含氢氯氟烃生产项目的 通知》（环办</w:t>
                  </w:r>
                  <w:r>
                    <w:rPr>
                      <w:rFonts w:hint="eastAsia" w:ascii="Times New Roman" w:hAnsi="Times New Roman" w:cs="Times New Roman"/>
                      <w:szCs w:val="21"/>
                    </w:rPr>
                    <w:t>[</w:t>
                  </w:r>
                  <w:r>
                    <w:rPr>
                      <w:rFonts w:ascii="Times New Roman" w:hAnsi="Times New Roman" w:cs="Times New Roman"/>
                      <w:szCs w:val="21"/>
                    </w:rPr>
                    <w:t>2008]104</w:t>
                  </w:r>
                  <w:r>
                    <w:rPr>
                      <w:rFonts w:hint="eastAsia" w:ascii="Times New Roman" w:hAnsi="Times New Roman" w:cs="Times New Roman"/>
                      <w:szCs w:val="21"/>
                    </w:rPr>
                    <w:t>）。</w:t>
                  </w:r>
                </w:p>
              </w:tc>
              <w:tc>
                <w:tcPr>
                  <w:tcW w:w="1418" w:type="dxa"/>
                  <w:vAlign w:val="center"/>
                </w:tcPr>
                <w:p w14:paraId="14CF607C">
                  <w:pPr>
                    <w:jc w:val="center"/>
                    <w:rPr>
                      <w:rFonts w:ascii="Times New Roman" w:hAnsi="Times New Roman" w:cs="Times New Roman"/>
                      <w:szCs w:val="21"/>
                    </w:rPr>
                  </w:pPr>
                  <w:r>
                    <w:rPr>
                      <w:rFonts w:ascii="Times New Roman" w:hAnsi="Times New Roman" w:cs="Times New Roman"/>
                      <w:szCs w:val="21"/>
                    </w:rPr>
                    <w:t>不燃</w:t>
                  </w:r>
                </w:p>
              </w:tc>
              <w:tc>
                <w:tcPr>
                  <w:tcW w:w="1834" w:type="dxa"/>
                  <w:vAlign w:val="center"/>
                </w:tcPr>
                <w:p w14:paraId="489F31FB">
                  <w:pPr>
                    <w:jc w:val="center"/>
                    <w:rPr>
                      <w:rFonts w:ascii="Times New Roman" w:hAnsi="Times New Roman" w:cs="Times New Roman"/>
                      <w:szCs w:val="21"/>
                    </w:rPr>
                  </w:pPr>
                  <w:r>
                    <w:rPr>
                      <w:rFonts w:hint="eastAsia" w:ascii="Times New Roman" w:hAnsi="Times New Roman" w:cs="Times New Roman"/>
                      <w:szCs w:val="21"/>
                    </w:rPr>
                    <w:t>/</w:t>
                  </w:r>
                </w:p>
              </w:tc>
            </w:tr>
          </w:tbl>
          <w:p w14:paraId="57406D3C">
            <w:pPr>
              <w:pStyle w:val="10"/>
              <w:snapToGrid w:val="0"/>
              <w:ind w:left="0"/>
              <w:jc w:val="center"/>
              <w:rPr>
                <w:rFonts w:ascii="Times New Roman" w:hAnsi="Times New Roman" w:cs="Times New Roman"/>
                <w:bCs/>
                <w:sz w:val="21"/>
                <w:szCs w:val="21"/>
                <w:lang w:val="en-US"/>
              </w:rPr>
            </w:pPr>
          </w:p>
          <w:p w14:paraId="49A6C8C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项目所用生物质颗粒</w:t>
            </w:r>
            <w:r>
              <w:rPr>
                <w:rFonts w:hint="eastAsia" w:ascii="Times New Roman" w:hAnsi="Times New Roman" w:cs="Times New Roman"/>
                <w:bCs/>
              </w:rPr>
              <w:t>作为供热锅炉燃料，其</w:t>
            </w:r>
            <w:r>
              <w:rPr>
                <w:rFonts w:ascii="Times New Roman" w:hAnsi="Times New Roman" w:cs="Times New Roman"/>
                <w:bCs/>
              </w:rPr>
              <w:t>主要成分见表2-5</w:t>
            </w:r>
            <w:r>
              <w:rPr>
                <w:rFonts w:hint="eastAsia" w:ascii="Times New Roman" w:hAnsi="Times New Roman" w:cs="Times New Roman"/>
                <w:bCs/>
              </w:rPr>
              <w:t>。</w:t>
            </w:r>
          </w:p>
          <w:p w14:paraId="2B8B095E">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表2-5    生物质成分分析表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851"/>
              <w:gridCol w:w="1134"/>
              <w:gridCol w:w="992"/>
              <w:gridCol w:w="850"/>
              <w:gridCol w:w="677"/>
              <w:gridCol w:w="1221"/>
              <w:gridCol w:w="1221"/>
            </w:tblGrid>
            <w:tr w14:paraId="7B74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8" w:type="dxa"/>
                  <w:vAlign w:val="center"/>
                </w:tcPr>
                <w:p w14:paraId="250DBF12">
                  <w:pPr>
                    <w:jc w:val="center"/>
                    <w:outlineLvl w:val="1"/>
                    <w:rPr>
                      <w:rFonts w:ascii="Times New Roman" w:hAnsi="Times New Roman" w:cs="Times New Roman"/>
                      <w:b/>
                      <w:bCs/>
                    </w:rPr>
                  </w:pPr>
                  <w:r>
                    <w:rPr>
                      <w:rFonts w:hint="eastAsia" w:ascii="Times New Roman" w:hAnsi="Times New Roman" w:cs="Times New Roman"/>
                      <w:b/>
                      <w:bCs/>
                    </w:rPr>
                    <w:t>燃料类型</w:t>
                  </w:r>
                </w:p>
              </w:tc>
              <w:tc>
                <w:tcPr>
                  <w:tcW w:w="851" w:type="dxa"/>
                  <w:vAlign w:val="center"/>
                </w:tcPr>
                <w:p w14:paraId="7799B55A">
                  <w:pPr>
                    <w:jc w:val="center"/>
                    <w:outlineLvl w:val="1"/>
                    <w:rPr>
                      <w:rFonts w:ascii="Times New Roman" w:hAnsi="Times New Roman" w:cs="Times New Roman"/>
                      <w:b/>
                      <w:bCs/>
                    </w:rPr>
                  </w:pPr>
                  <w:r>
                    <w:rPr>
                      <w:rFonts w:hint="eastAsia" w:ascii="Times New Roman" w:hAnsi="Times New Roman" w:cs="Times New Roman"/>
                      <w:b/>
                      <w:bCs/>
                    </w:rPr>
                    <w:t>水分</w:t>
                  </w:r>
                </w:p>
                <w:p w14:paraId="7FCD2C25">
                  <w:pPr>
                    <w:jc w:val="center"/>
                    <w:outlineLvl w:val="1"/>
                    <w:rPr>
                      <w:rFonts w:ascii="Times New Roman" w:hAnsi="Times New Roman" w:cs="Times New Roman"/>
                      <w:b/>
                      <w:bCs/>
                    </w:rPr>
                  </w:pPr>
                  <w:r>
                    <w:rPr>
                      <w:rFonts w:ascii="Times New Roman" w:hAnsi="Times New Roman" w:cs="Times New Roman"/>
                      <w:b/>
                      <w:bCs/>
                    </w:rPr>
                    <w:t>（%）</w:t>
                  </w:r>
                </w:p>
              </w:tc>
              <w:tc>
                <w:tcPr>
                  <w:tcW w:w="1134" w:type="dxa"/>
                  <w:vAlign w:val="center"/>
                </w:tcPr>
                <w:p w14:paraId="508BB8A2">
                  <w:pPr>
                    <w:jc w:val="center"/>
                    <w:outlineLvl w:val="1"/>
                    <w:rPr>
                      <w:rFonts w:ascii="Times New Roman" w:hAnsi="Times New Roman" w:cs="Times New Roman"/>
                      <w:b/>
                      <w:bCs/>
                    </w:rPr>
                  </w:pPr>
                  <w:r>
                    <w:rPr>
                      <w:rFonts w:hint="eastAsia" w:ascii="Times New Roman" w:hAnsi="Times New Roman" w:cs="Times New Roman"/>
                      <w:b/>
                      <w:bCs/>
                    </w:rPr>
                    <w:t>干燥</w:t>
                  </w:r>
                  <w:r>
                    <w:rPr>
                      <w:rFonts w:ascii="Times New Roman" w:hAnsi="Times New Roman" w:cs="Times New Roman"/>
                      <w:b/>
                      <w:bCs/>
                    </w:rPr>
                    <w:t>基 灰分（%）</w:t>
                  </w:r>
                </w:p>
              </w:tc>
              <w:tc>
                <w:tcPr>
                  <w:tcW w:w="992" w:type="dxa"/>
                  <w:vAlign w:val="center"/>
                </w:tcPr>
                <w:p w14:paraId="377F2387">
                  <w:pPr>
                    <w:jc w:val="center"/>
                    <w:outlineLvl w:val="1"/>
                    <w:rPr>
                      <w:rFonts w:ascii="Times New Roman" w:hAnsi="Times New Roman" w:cs="Times New Roman"/>
                      <w:b/>
                      <w:bCs/>
                    </w:rPr>
                  </w:pPr>
                  <w:r>
                    <w:rPr>
                      <w:rFonts w:hint="eastAsia" w:ascii="Times New Roman" w:hAnsi="Times New Roman" w:cs="Times New Roman"/>
                      <w:b/>
                      <w:bCs/>
                    </w:rPr>
                    <w:t>挥发分</w:t>
                  </w:r>
                </w:p>
                <w:p w14:paraId="2FBD890C">
                  <w:pPr>
                    <w:jc w:val="center"/>
                    <w:outlineLvl w:val="1"/>
                    <w:rPr>
                      <w:rFonts w:ascii="Times New Roman" w:hAnsi="Times New Roman" w:cs="Times New Roman"/>
                      <w:b/>
                      <w:bCs/>
                    </w:rPr>
                  </w:pPr>
                  <w:r>
                    <w:rPr>
                      <w:rFonts w:ascii="Times New Roman" w:hAnsi="Times New Roman" w:cs="Times New Roman"/>
                      <w:b/>
                      <w:bCs/>
                    </w:rPr>
                    <w:t>（%）</w:t>
                  </w:r>
                </w:p>
              </w:tc>
              <w:tc>
                <w:tcPr>
                  <w:tcW w:w="850" w:type="dxa"/>
                  <w:vAlign w:val="center"/>
                </w:tcPr>
                <w:p w14:paraId="3A18E060">
                  <w:pPr>
                    <w:widowControl/>
                    <w:jc w:val="center"/>
                    <w:rPr>
                      <w:rFonts w:ascii="Times New Roman" w:hAnsi="Times New Roman" w:cs="Times New Roman"/>
                      <w:b/>
                      <w:bCs/>
                    </w:rPr>
                  </w:pPr>
                  <w:r>
                    <w:rPr>
                      <w:rFonts w:ascii="Times New Roman" w:hAnsi="Times New Roman" w:cs="Times New Roman"/>
                      <w:b/>
                      <w:bCs/>
                    </w:rPr>
                    <w:t>固定碳</w:t>
                  </w:r>
                </w:p>
                <w:p w14:paraId="4A8FEA5C">
                  <w:pPr>
                    <w:widowControl/>
                    <w:jc w:val="center"/>
                    <w:rPr>
                      <w:rFonts w:ascii="Times New Roman" w:hAnsi="Times New Roman" w:cs="Times New Roman"/>
                      <w:b/>
                      <w:bCs/>
                    </w:rPr>
                  </w:pPr>
                  <w:r>
                    <w:rPr>
                      <w:rFonts w:ascii="Times New Roman" w:hAnsi="Times New Roman" w:cs="Times New Roman"/>
                      <w:b/>
                      <w:bCs/>
                    </w:rPr>
                    <w:t>%</w:t>
                  </w:r>
                </w:p>
              </w:tc>
              <w:tc>
                <w:tcPr>
                  <w:tcW w:w="677" w:type="dxa"/>
                  <w:tcMar>
                    <w:left w:w="28" w:type="dxa"/>
                    <w:right w:w="28" w:type="dxa"/>
                  </w:tcMar>
                  <w:vAlign w:val="center"/>
                </w:tcPr>
                <w:p w14:paraId="3F0A05D4">
                  <w:pPr>
                    <w:jc w:val="center"/>
                    <w:outlineLvl w:val="1"/>
                    <w:rPr>
                      <w:rFonts w:ascii="Times New Roman" w:hAnsi="Times New Roman" w:cs="Times New Roman"/>
                      <w:b/>
                      <w:bCs/>
                    </w:rPr>
                  </w:pPr>
                  <w:r>
                    <w:rPr>
                      <w:rFonts w:ascii="Times New Roman" w:hAnsi="Times New Roman" w:cs="Times New Roman"/>
                      <w:b/>
                      <w:bCs/>
                    </w:rPr>
                    <w:t>全硫</w:t>
                  </w:r>
                </w:p>
                <w:p w14:paraId="7684D7C2">
                  <w:pPr>
                    <w:jc w:val="center"/>
                    <w:outlineLvl w:val="1"/>
                    <w:rPr>
                      <w:rFonts w:ascii="Times New Roman" w:hAnsi="Times New Roman" w:cs="Times New Roman"/>
                      <w:b/>
                      <w:bCs/>
                    </w:rPr>
                  </w:pPr>
                  <w:r>
                    <w:rPr>
                      <w:rFonts w:ascii="Times New Roman" w:hAnsi="Times New Roman" w:cs="Times New Roman"/>
                      <w:b/>
                      <w:bCs/>
                    </w:rPr>
                    <w:t>%</w:t>
                  </w:r>
                </w:p>
              </w:tc>
              <w:tc>
                <w:tcPr>
                  <w:tcW w:w="1221" w:type="dxa"/>
                  <w:vAlign w:val="center"/>
                </w:tcPr>
                <w:p w14:paraId="123108DE">
                  <w:pPr>
                    <w:jc w:val="center"/>
                    <w:outlineLvl w:val="1"/>
                    <w:rPr>
                      <w:rFonts w:ascii="Times New Roman" w:hAnsi="Times New Roman" w:cs="Times New Roman"/>
                      <w:b/>
                      <w:bCs/>
                    </w:rPr>
                  </w:pPr>
                  <w:r>
                    <w:rPr>
                      <w:rFonts w:ascii="Times New Roman" w:hAnsi="Times New Roman" w:cs="Times New Roman"/>
                      <w:b/>
                      <w:bCs/>
                    </w:rPr>
                    <w:t>低位发热量（</w:t>
                  </w:r>
                  <w:r>
                    <w:rPr>
                      <w:rFonts w:hint="eastAsia" w:ascii="Times New Roman" w:hAnsi="Times New Roman" w:cs="Times New Roman"/>
                      <w:b/>
                      <w:bCs/>
                    </w:rPr>
                    <w:t>K</w:t>
                  </w:r>
                  <w:r>
                    <w:rPr>
                      <w:rFonts w:ascii="Times New Roman" w:hAnsi="Times New Roman" w:cs="Times New Roman"/>
                      <w:b/>
                      <w:bCs/>
                    </w:rPr>
                    <w:t>cal/g）</w:t>
                  </w:r>
                </w:p>
              </w:tc>
              <w:tc>
                <w:tcPr>
                  <w:tcW w:w="1221" w:type="dxa"/>
                  <w:vAlign w:val="center"/>
                </w:tcPr>
                <w:p w14:paraId="65213786">
                  <w:pPr>
                    <w:jc w:val="center"/>
                    <w:outlineLvl w:val="1"/>
                    <w:rPr>
                      <w:rFonts w:ascii="Times New Roman" w:hAnsi="Times New Roman" w:cs="Times New Roman"/>
                      <w:b/>
                      <w:bCs/>
                    </w:rPr>
                  </w:pPr>
                  <w:r>
                    <w:rPr>
                      <w:rFonts w:hint="eastAsia" w:ascii="Times New Roman" w:hAnsi="Times New Roman" w:cs="Times New Roman"/>
                      <w:b/>
                      <w:bCs/>
                    </w:rPr>
                    <w:t>高</w:t>
                  </w:r>
                  <w:r>
                    <w:rPr>
                      <w:rFonts w:ascii="Times New Roman" w:hAnsi="Times New Roman" w:cs="Times New Roman"/>
                      <w:b/>
                      <w:bCs/>
                    </w:rPr>
                    <w:t>位发热量（</w:t>
                  </w:r>
                  <w:r>
                    <w:rPr>
                      <w:rFonts w:hint="eastAsia" w:ascii="Times New Roman" w:hAnsi="Times New Roman" w:cs="Times New Roman"/>
                      <w:b/>
                      <w:bCs/>
                    </w:rPr>
                    <w:t>K</w:t>
                  </w:r>
                  <w:r>
                    <w:rPr>
                      <w:rFonts w:ascii="Times New Roman" w:hAnsi="Times New Roman" w:cs="Times New Roman"/>
                      <w:b/>
                      <w:bCs/>
                    </w:rPr>
                    <w:t>cal/g）</w:t>
                  </w:r>
                </w:p>
              </w:tc>
            </w:tr>
            <w:tr w14:paraId="4430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8" w:type="dxa"/>
                  <w:vAlign w:val="center"/>
                </w:tcPr>
                <w:p w14:paraId="5B10EC78">
                  <w:pPr>
                    <w:jc w:val="center"/>
                    <w:outlineLvl w:val="1"/>
                    <w:rPr>
                      <w:rFonts w:ascii="Times New Roman" w:hAnsi="Times New Roman" w:cs="Times New Roman"/>
                    </w:rPr>
                  </w:pPr>
                  <w:r>
                    <w:rPr>
                      <w:rFonts w:hint="eastAsia" w:ascii="Times New Roman" w:hAnsi="Times New Roman" w:cs="Times New Roman"/>
                    </w:rPr>
                    <w:t>成型生物质颗粒</w:t>
                  </w:r>
                </w:p>
              </w:tc>
              <w:tc>
                <w:tcPr>
                  <w:tcW w:w="851" w:type="dxa"/>
                  <w:vAlign w:val="center"/>
                </w:tcPr>
                <w:p w14:paraId="693756AA">
                  <w:pPr>
                    <w:jc w:val="center"/>
                    <w:outlineLvl w:val="1"/>
                    <w:rPr>
                      <w:rFonts w:ascii="Times New Roman" w:hAnsi="Times New Roman" w:cs="Times New Roman"/>
                    </w:rPr>
                  </w:pPr>
                  <w:r>
                    <w:rPr>
                      <w:rFonts w:ascii="Times New Roman" w:hAnsi="Times New Roman" w:cs="Times New Roman"/>
                    </w:rPr>
                    <w:t>4.0</w:t>
                  </w:r>
                </w:p>
              </w:tc>
              <w:tc>
                <w:tcPr>
                  <w:tcW w:w="1134" w:type="dxa"/>
                  <w:vAlign w:val="center"/>
                </w:tcPr>
                <w:p w14:paraId="40388768">
                  <w:pPr>
                    <w:jc w:val="center"/>
                    <w:outlineLvl w:val="1"/>
                    <w:rPr>
                      <w:rFonts w:ascii="Times New Roman" w:hAnsi="Times New Roman" w:cs="Times New Roman"/>
                    </w:rPr>
                  </w:pPr>
                  <w:r>
                    <w:rPr>
                      <w:rFonts w:ascii="Times New Roman" w:hAnsi="Times New Roman" w:cs="Times New Roman"/>
                    </w:rPr>
                    <w:t>1.69</w:t>
                  </w:r>
                </w:p>
              </w:tc>
              <w:tc>
                <w:tcPr>
                  <w:tcW w:w="992" w:type="dxa"/>
                  <w:vAlign w:val="center"/>
                </w:tcPr>
                <w:p w14:paraId="50A2F096">
                  <w:pPr>
                    <w:jc w:val="center"/>
                    <w:outlineLvl w:val="1"/>
                    <w:rPr>
                      <w:rFonts w:ascii="Times New Roman" w:hAnsi="Times New Roman" w:cs="Times New Roman"/>
                    </w:rPr>
                  </w:pPr>
                  <w:r>
                    <w:rPr>
                      <w:rFonts w:ascii="Times New Roman" w:hAnsi="Times New Roman" w:cs="Times New Roman"/>
                    </w:rPr>
                    <w:t>82.40</w:t>
                  </w:r>
                </w:p>
              </w:tc>
              <w:tc>
                <w:tcPr>
                  <w:tcW w:w="850" w:type="dxa"/>
                  <w:vAlign w:val="center"/>
                </w:tcPr>
                <w:p w14:paraId="2145636B">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7.30</w:t>
                  </w:r>
                </w:p>
              </w:tc>
              <w:tc>
                <w:tcPr>
                  <w:tcW w:w="677" w:type="dxa"/>
                  <w:vAlign w:val="center"/>
                </w:tcPr>
                <w:p w14:paraId="0D20729F">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.03</w:t>
                  </w:r>
                </w:p>
              </w:tc>
              <w:tc>
                <w:tcPr>
                  <w:tcW w:w="1221" w:type="dxa"/>
                  <w:vAlign w:val="center"/>
                </w:tcPr>
                <w:p w14:paraId="7D24E29E">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8.95</w:t>
                  </w:r>
                </w:p>
              </w:tc>
              <w:tc>
                <w:tcPr>
                  <w:tcW w:w="1221" w:type="dxa"/>
                  <w:vAlign w:val="center"/>
                </w:tcPr>
                <w:p w14:paraId="7F58230A">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8.02</w:t>
                  </w:r>
                </w:p>
              </w:tc>
            </w:tr>
          </w:tbl>
          <w:p w14:paraId="3C4BB1C4">
            <w:pPr>
              <w:pStyle w:val="10"/>
              <w:ind w:left="105" w:leftChars="50" w:right="105" w:rightChars="50" w:firstLine="420" w:firstLineChars="200"/>
              <w:rPr>
                <w:rFonts w:ascii="Times New Roman" w:hAnsi="Times New Roman" w:cs="Times New Roman"/>
                <w:bCs/>
                <w:sz w:val="21"/>
                <w:szCs w:val="21"/>
              </w:rPr>
            </w:pPr>
          </w:p>
          <w:p w14:paraId="082A1019">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2.2.5 </w:t>
            </w:r>
            <w:r>
              <w:rPr>
                <w:rFonts w:hint="eastAsia" w:ascii="Times New Roman" w:hAnsi="Times New Roman" w:cs="Times New Roman"/>
                <w:b/>
              </w:rPr>
              <w:t>产品方案</w:t>
            </w:r>
          </w:p>
          <w:p w14:paraId="4C16C1F4">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（1）产品方案</w:t>
            </w:r>
          </w:p>
          <w:p w14:paraId="5A4FFAC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项目产品方案具体见表 2-6。</w:t>
            </w:r>
          </w:p>
          <w:p w14:paraId="03B5FBC9">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表2-6    产品方案</w:t>
            </w:r>
            <w:r>
              <w:rPr>
                <w:rFonts w:hint="eastAsia" w:ascii="Times New Roman" w:hAnsi="Times New Roman" w:eastAsia="宋体" w:cs="Times New Roman"/>
                <w:b/>
                <w:szCs w:val="21"/>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792"/>
              <w:gridCol w:w="992"/>
              <w:gridCol w:w="1276"/>
              <w:gridCol w:w="2316"/>
            </w:tblGrid>
            <w:tr w14:paraId="029C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Align w:val="center"/>
                </w:tcPr>
                <w:p w14:paraId="76E30B4F">
                  <w:pPr>
                    <w:jc w:val="center"/>
                    <w:outlineLvl w:val="1"/>
                    <w:rPr>
                      <w:rFonts w:ascii="Times New Roman" w:hAnsi="Times New Roman" w:cs="Times New Roman"/>
                      <w:b/>
                      <w:bCs/>
                    </w:rPr>
                  </w:pPr>
                  <w:r>
                    <w:rPr>
                      <w:rFonts w:hint="eastAsia" w:ascii="Times New Roman" w:hAnsi="Times New Roman" w:cs="Times New Roman"/>
                      <w:b/>
                      <w:bCs/>
                    </w:rPr>
                    <w:t>序号</w:t>
                  </w:r>
                </w:p>
              </w:tc>
              <w:tc>
                <w:tcPr>
                  <w:tcW w:w="1792" w:type="dxa"/>
                  <w:vAlign w:val="center"/>
                </w:tcPr>
                <w:p w14:paraId="23D95059">
                  <w:pPr>
                    <w:jc w:val="center"/>
                    <w:outlineLvl w:val="1"/>
                    <w:rPr>
                      <w:rFonts w:ascii="Times New Roman" w:hAnsi="Times New Roman" w:cs="Times New Roman"/>
                      <w:b/>
                      <w:bCs/>
                    </w:rPr>
                  </w:pPr>
                  <w:r>
                    <w:rPr>
                      <w:rFonts w:hint="eastAsia" w:ascii="Times New Roman" w:hAnsi="Times New Roman" w:cs="Times New Roman"/>
                      <w:b/>
                      <w:bCs/>
                    </w:rPr>
                    <w:t>产品类别</w:t>
                  </w:r>
                </w:p>
              </w:tc>
              <w:tc>
                <w:tcPr>
                  <w:tcW w:w="992" w:type="dxa"/>
                  <w:vAlign w:val="center"/>
                </w:tcPr>
                <w:p w14:paraId="231C9003">
                  <w:pPr>
                    <w:jc w:val="center"/>
                    <w:outlineLvl w:val="1"/>
                    <w:rPr>
                      <w:rFonts w:ascii="Times New Roman" w:hAnsi="Times New Roman" w:cs="Times New Roman"/>
                      <w:b/>
                      <w:bCs/>
                    </w:rPr>
                  </w:pPr>
                  <w:r>
                    <w:rPr>
                      <w:rFonts w:hint="eastAsia" w:ascii="Times New Roman" w:hAnsi="Times New Roman" w:cs="Times New Roman"/>
                      <w:b/>
                      <w:bCs/>
                    </w:rPr>
                    <w:t>单位</w:t>
                  </w:r>
                </w:p>
              </w:tc>
              <w:tc>
                <w:tcPr>
                  <w:tcW w:w="1276" w:type="dxa"/>
                  <w:vAlign w:val="center"/>
                </w:tcPr>
                <w:p w14:paraId="5F12029A">
                  <w:pPr>
                    <w:jc w:val="center"/>
                    <w:outlineLvl w:val="1"/>
                    <w:rPr>
                      <w:rFonts w:ascii="Times New Roman" w:hAnsi="Times New Roman" w:cs="Times New Roman"/>
                      <w:b/>
                      <w:bCs/>
                    </w:rPr>
                  </w:pPr>
                  <w:r>
                    <w:rPr>
                      <w:rFonts w:hint="eastAsia" w:ascii="Times New Roman" w:hAnsi="Times New Roman" w:cs="Times New Roman"/>
                      <w:b/>
                      <w:bCs/>
                    </w:rPr>
                    <w:t>年产量</w:t>
                  </w:r>
                </w:p>
              </w:tc>
              <w:tc>
                <w:tcPr>
                  <w:tcW w:w="2316" w:type="dxa"/>
                  <w:vAlign w:val="center"/>
                </w:tcPr>
                <w:p w14:paraId="73701BE1">
                  <w:pPr>
                    <w:jc w:val="center"/>
                    <w:outlineLvl w:val="1"/>
                    <w:rPr>
                      <w:rFonts w:ascii="Times New Roman" w:hAnsi="Times New Roman" w:cs="Times New Roman"/>
                      <w:b/>
                      <w:bCs/>
                    </w:rPr>
                  </w:pPr>
                  <w:r>
                    <w:rPr>
                      <w:rFonts w:hint="eastAsia" w:ascii="Times New Roman" w:hAnsi="Times New Roman" w:cs="Times New Roman"/>
                      <w:b/>
                      <w:bCs/>
                    </w:rPr>
                    <w:t>备注</w:t>
                  </w:r>
                </w:p>
              </w:tc>
            </w:tr>
            <w:tr w14:paraId="78FB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Align w:val="center"/>
                </w:tcPr>
                <w:p w14:paraId="3F8A2C00">
                  <w:pPr>
                    <w:jc w:val="center"/>
                    <w:rPr>
                      <w:rFonts w:ascii="Times New Roman" w:hAnsi="Times New Roman" w:cs="Times New Roman"/>
                      <w:szCs w:val="21"/>
                    </w:rPr>
                  </w:pPr>
                  <w:r>
                    <w:rPr>
                      <w:rFonts w:hint="eastAsia" w:ascii="Times New Roman" w:hAnsi="Times New Roman" w:cs="Times New Roman"/>
                      <w:szCs w:val="21"/>
                    </w:rPr>
                    <w:t>1</w:t>
                  </w:r>
                </w:p>
              </w:tc>
              <w:tc>
                <w:tcPr>
                  <w:tcW w:w="1792" w:type="dxa"/>
                  <w:vAlign w:val="center"/>
                </w:tcPr>
                <w:p w14:paraId="76D3FE14">
                  <w:pPr>
                    <w:jc w:val="center"/>
                    <w:rPr>
                      <w:rFonts w:ascii="Times New Roman" w:hAnsi="Times New Roman" w:cs="Times New Roman"/>
                      <w:szCs w:val="21"/>
                    </w:rPr>
                  </w:pPr>
                  <w:r>
                    <w:t>骨肉料</w:t>
                  </w:r>
                </w:p>
              </w:tc>
              <w:tc>
                <w:tcPr>
                  <w:tcW w:w="992" w:type="dxa"/>
                  <w:vAlign w:val="center"/>
                </w:tcPr>
                <w:p w14:paraId="737B4CB1">
                  <w:pPr>
                    <w:jc w:val="center"/>
                    <w:rPr>
                      <w:rFonts w:ascii="Times New Roman" w:hAnsi="Times New Roman" w:cs="Times New Roman"/>
                      <w:szCs w:val="21"/>
                    </w:rPr>
                  </w:pPr>
                  <w:r>
                    <w:rPr>
                      <w:rFonts w:hint="eastAsia" w:ascii="Times New Roman" w:hAnsi="Times New Roman" w:cs="Times New Roman"/>
                      <w:szCs w:val="21"/>
                    </w:rPr>
                    <w:t>t/a</w:t>
                  </w:r>
                </w:p>
              </w:tc>
              <w:tc>
                <w:tcPr>
                  <w:tcW w:w="1276" w:type="dxa"/>
                  <w:vAlign w:val="center"/>
                </w:tcPr>
                <w:p w14:paraId="591EE67B">
                  <w:pPr>
                    <w:jc w:val="center"/>
                    <w:rPr>
                      <w:rFonts w:ascii="Times New Roman" w:hAnsi="Times New Roman" w:cs="Times New Roman"/>
                      <w:szCs w:val="21"/>
                    </w:rPr>
                  </w:pPr>
                  <w:r>
                    <w:rPr>
                      <w:rFonts w:ascii="Times New Roman" w:hAnsi="Times New Roman" w:cs="Times New Roman"/>
                      <w:szCs w:val="21"/>
                    </w:rPr>
                    <w:t>600</w:t>
                  </w:r>
                </w:p>
              </w:tc>
              <w:tc>
                <w:tcPr>
                  <w:tcW w:w="2316" w:type="dxa"/>
                  <w:vAlign w:val="center"/>
                </w:tcPr>
                <w:p w14:paraId="3D9BFE25">
                  <w:pPr>
                    <w:jc w:val="center"/>
                    <w:rPr>
                      <w:rFonts w:ascii="Times New Roman" w:hAnsi="Times New Roman" w:cs="Times New Roman"/>
                      <w:szCs w:val="21"/>
                    </w:rPr>
                  </w:pPr>
                  <w:r>
                    <w:t>有机肥原料</w:t>
                  </w:r>
                </w:p>
              </w:tc>
            </w:tr>
            <w:tr w14:paraId="5937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Align w:val="center"/>
                </w:tcPr>
                <w:p w14:paraId="32FEEE49">
                  <w:pPr>
                    <w:jc w:val="center"/>
                    <w:rPr>
                      <w:rFonts w:ascii="Times New Roman" w:hAnsi="Times New Roman" w:cs="Times New Roman"/>
                      <w:szCs w:val="21"/>
                    </w:rPr>
                  </w:pPr>
                  <w:r>
                    <w:rPr>
                      <w:rFonts w:hint="eastAsia" w:ascii="Times New Roman" w:hAnsi="Times New Roman" w:cs="Times New Roman"/>
                      <w:szCs w:val="21"/>
                    </w:rPr>
                    <w:t>2</w:t>
                  </w:r>
                </w:p>
              </w:tc>
              <w:tc>
                <w:tcPr>
                  <w:tcW w:w="1792" w:type="dxa"/>
                  <w:vAlign w:val="center"/>
                </w:tcPr>
                <w:p w14:paraId="0A233EE1">
                  <w:pPr>
                    <w:jc w:val="center"/>
                    <w:rPr>
                      <w:rFonts w:ascii="Times New Roman" w:hAnsi="Times New Roman" w:cs="Times New Roman"/>
                      <w:szCs w:val="21"/>
                    </w:rPr>
                  </w:pPr>
                  <w:r>
                    <w:t>油脂</w:t>
                  </w:r>
                </w:p>
              </w:tc>
              <w:tc>
                <w:tcPr>
                  <w:tcW w:w="992" w:type="dxa"/>
                  <w:vAlign w:val="center"/>
                </w:tcPr>
                <w:p w14:paraId="3F2486A4">
                  <w:pPr>
                    <w:jc w:val="center"/>
                    <w:rPr>
                      <w:rFonts w:ascii="Times New Roman" w:hAnsi="Times New Roman" w:cs="Times New Roman"/>
                      <w:szCs w:val="21"/>
                    </w:rPr>
                  </w:pPr>
                  <w:r>
                    <w:rPr>
                      <w:rFonts w:hint="eastAsia" w:ascii="Times New Roman" w:hAnsi="Times New Roman" w:cs="Times New Roman"/>
                      <w:szCs w:val="21"/>
                    </w:rPr>
                    <w:t>t/a</w:t>
                  </w:r>
                </w:p>
              </w:tc>
              <w:tc>
                <w:tcPr>
                  <w:tcW w:w="1276" w:type="dxa"/>
                  <w:vAlign w:val="center"/>
                </w:tcPr>
                <w:p w14:paraId="18E35EA1">
                  <w:pPr>
                    <w:jc w:val="center"/>
                    <w:rPr>
                      <w:rFonts w:ascii="Times New Roman" w:hAnsi="Times New Roman" w:cs="Times New Roman"/>
                      <w:szCs w:val="21"/>
                    </w:rPr>
                  </w:pPr>
                  <w:r>
                    <w:rPr>
                      <w:rFonts w:ascii="Times New Roman" w:hAnsi="Times New Roman" w:cs="Times New Roman"/>
                      <w:szCs w:val="21"/>
                    </w:rPr>
                    <w:t>300</w:t>
                  </w:r>
                </w:p>
              </w:tc>
              <w:tc>
                <w:tcPr>
                  <w:tcW w:w="2316" w:type="dxa"/>
                  <w:vAlign w:val="center"/>
                </w:tcPr>
                <w:p w14:paraId="6CCCE66E">
                  <w:pPr>
                    <w:jc w:val="center"/>
                    <w:rPr>
                      <w:rFonts w:ascii="Times New Roman" w:hAnsi="Times New Roman" w:cs="Times New Roman"/>
                      <w:szCs w:val="21"/>
                    </w:rPr>
                  </w:pPr>
                  <w:r>
                    <w:t>生物柴油原料</w:t>
                  </w:r>
                </w:p>
              </w:tc>
            </w:tr>
          </w:tbl>
          <w:p w14:paraId="72FE7D71">
            <w:pPr>
              <w:pStyle w:val="10"/>
              <w:ind w:left="0" w:right="105" w:rightChars="50" w:firstLine="210" w:firstLineChars="100"/>
              <w:rPr>
                <w:rFonts w:ascii="Times New Roman" w:hAnsi="Times New Roman" w:cs="Times New Roman"/>
                <w:bCs/>
                <w:sz w:val="21"/>
                <w:szCs w:val="21"/>
                <w:lang w:val="en-US"/>
              </w:rPr>
            </w:pPr>
          </w:p>
          <w:p w14:paraId="0DC05832">
            <w:pPr>
              <w:pStyle w:val="10"/>
              <w:spacing w:line="360" w:lineRule="auto"/>
              <w:ind w:left="0" w:right="105" w:rightChars="50" w:firstLine="240" w:firstLineChars="100"/>
              <w:rPr>
                <w:rFonts w:ascii="Times New Roman" w:hAnsi="Times New Roman" w:cs="Times New Roman"/>
                <w:bCs/>
                <w:sz w:val="21"/>
                <w:szCs w:val="21"/>
                <w:lang w:val="en-US"/>
              </w:rPr>
            </w:pPr>
            <w:r>
              <w:rPr>
                <w:rFonts w:hint="eastAsia" w:ascii="Times New Roman" w:hAnsi="Times New Roman" w:cs="Times New Roman"/>
                <w:bCs/>
              </w:rPr>
              <w:t>租用耕地主要种植当地常见的旱作作物，如：玉米、经济作物等，全部外售。</w:t>
            </w:r>
          </w:p>
          <w:p w14:paraId="4A1A5606">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（2）产品质量标准</w:t>
            </w:r>
          </w:p>
          <w:p w14:paraId="7F9AC01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产品质量标准见表2-7</w:t>
            </w:r>
            <w:r>
              <w:rPr>
                <w:rFonts w:hint="eastAsia" w:ascii="Times New Roman" w:hAnsi="Times New Roman" w:cs="Times New Roman"/>
                <w:bCs/>
              </w:rPr>
              <w:t>、表2</w:t>
            </w:r>
            <w:r>
              <w:rPr>
                <w:rFonts w:ascii="Times New Roman" w:hAnsi="Times New Roman" w:cs="Times New Roman"/>
                <w:bCs/>
              </w:rPr>
              <w:t>-8。</w:t>
            </w:r>
          </w:p>
          <w:p w14:paraId="518173FA">
            <w:pPr>
              <w:snapToGrid w:val="0"/>
              <w:jc w:val="center"/>
              <w:rPr>
                <w:rFonts w:ascii="Times New Roman" w:hAnsi="Times New Roman" w:eastAsia="宋体" w:cs="Times New Roman"/>
                <w:b/>
                <w:szCs w:val="21"/>
              </w:rPr>
            </w:pPr>
          </w:p>
          <w:p w14:paraId="7814A6A7">
            <w:pPr>
              <w:pStyle w:val="2"/>
            </w:pPr>
          </w:p>
          <w:p w14:paraId="182564DB">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 xml:space="preserve">表2-7    </w:t>
            </w:r>
            <w:r>
              <w:rPr>
                <w:rFonts w:hint="eastAsia" w:ascii="Times New Roman" w:hAnsi="Times New Roman" w:eastAsia="宋体" w:cs="Times New Roman"/>
                <w:b/>
                <w:szCs w:val="21"/>
              </w:rPr>
              <w:t>油脂</w:t>
            </w:r>
            <w:r>
              <w:rPr>
                <w:rFonts w:ascii="Times New Roman" w:hAnsi="Times New Roman" w:eastAsia="宋体" w:cs="Times New Roman"/>
                <w:b/>
                <w:szCs w:val="21"/>
              </w:rPr>
              <w:t>产品质量</w:t>
            </w:r>
            <w:r>
              <w:rPr>
                <w:rFonts w:hint="eastAsia" w:ascii="Times New Roman" w:hAnsi="Times New Roman" w:eastAsia="宋体" w:cs="Times New Roman"/>
                <w:b/>
                <w:szCs w:val="21"/>
              </w:rPr>
              <w:t>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693"/>
              <w:gridCol w:w="2126"/>
              <w:gridCol w:w="1281"/>
            </w:tblGrid>
            <w:tr w14:paraId="59CC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7F693632">
                  <w:pPr>
                    <w:jc w:val="center"/>
                    <w:rPr>
                      <w:rFonts w:ascii="Times New Roman" w:hAnsi="Times New Roman" w:cs="Times New Roman"/>
                      <w:szCs w:val="21"/>
                    </w:rPr>
                  </w:pPr>
                  <w:r>
                    <w:rPr>
                      <w:rFonts w:ascii="Times New Roman" w:hAnsi="Times New Roman" w:cs="Times New Roman"/>
                      <w:b/>
                      <w:bCs/>
                      <w:szCs w:val="21"/>
                    </w:rPr>
                    <w:t>参</w:t>
                  </w:r>
                  <w:r>
                    <w:rPr>
                      <w:rFonts w:hint="eastAsia" w:ascii="Times New Roman" w:hAnsi="Times New Roman" w:cs="Times New Roman"/>
                      <w:b/>
                      <w:bCs/>
                      <w:szCs w:val="21"/>
                    </w:rPr>
                    <w:t xml:space="preserve"> </w:t>
                  </w:r>
                  <w:r>
                    <w:rPr>
                      <w:rFonts w:ascii="Times New Roman" w:hAnsi="Times New Roman" w:cs="Times New Roman"/>
                      <w:b/>
                      <w:bCs/>
                      <w:szCs w:val="21"/>
                    </w:rPr>
                    <w:t>数</w:t>
                  </w:r>
                </w:p>
              </w:tc>
              <w:tc>
                <w:tcPr>
                  <w:tcW w:w="2693" w:type="dxa"/>
                  <w:vAlign w:val="center"/>
                </w:tcPr>
                <w:p w14:paraId="10B1ABB8">
                  <w:pPr>
                    <w:jc w:val="center"/>
                    <w:rPr>
                      <w:rFonts w:ascii="Times New Roman" w:hAnsi="Times New Roman" w:cs="Times New Roman"/>
                      <w:b/>
                      <w:bCs/>
                      <w:szCs w:val="21"/>
                    </w:rPr>
                  </w:pPr>
                  <w:r>
                    <w:rPr>
                      <w:rFonts w:hint="eastAsia" w:ascii="Times New Roman" w:hAnsi="Times New Roman" w:cs="Times New Roman"/>
                      <w:b/>
                      <w:bCs/>
                      <w:szCs w:val="21"/>
                    </w:rPr>
                    <w:t>标准值</w:t>
                  </w:r>
                </w:p>
              </w:tc>
              <w:tc>
                <w:tcPr>
                  <w:tcW w:w="2126" w:type="dxa"/>
                  <w:vAlign w:val="center"/>
                </w:tcPr>
                <w:p w14:paraId="7DC937A0">
                  <w:pPr>
                    <w:jc w:val="center"/>
                    <w:rPr>
                      <w:rFonts w:ascii="Times New Roman" w:hAnsi="Times New Roman" w:cs="Times New Roman"/>
                      <w:b/>
                      <w:bCs/>
                      <w:szCs w:val="21"/>
                    </w:rPr>
                  </w:pPr>
                  <w:r>
                    <w:rPr>
                      <w:rFonts w:ascii="Times New Roman" w:hAnsi="Times New Roman" w:cs="Times New Roman"/>
                      <w:b/>
                      <w:bCs/>
                      <w:szCs w:val="21"/>
                    </w:rPr>
                    <w:t>参</w:t>
                  </w:r>
                  <w:r>
                    <w:rPr>
                      <w:rFonts w:hint="eastAsia" w:ascii="Times New Roman" w:hAnsi="Times New Roman" w:cs="Times New Roman"/>
                      <w:b/>
                      <w:bCs/>
                      <w:szCs w:val="21"/>
                    </w:rPr>
                    <w:t xml:space="preserve"> </w:t>
                  </w:r>
                  <w:r>
                    <w:rPr>
                      <w:rFonts w:ascii="Times New Roman" w:hAnsi="Times New Roman" w:cs="Times New Roman"/>
                      <w:b/>
                      <w:bCs/>
                      <w:szCs w:val="21"/>
                    </w:rPr>
                    <w:t>数</w:t>
                  </w:r>
                </w:p>
              </w:tc>
              <w:tc>
                <w:tcPr>
                  <w:tcW w:w="1281" w:type="dxa"/>
                  <w:vAlign w:val="center"/>
                </w:tcPr>
                <w:p w14:paraId="41862063">
                  <w:pPr>
                    <w:jc w:val="center"/>
                    <w:rPr>
                      <w:rFonts w:ascii="Times New Roman" w:hAnsi="Times New Roman" w:cs="Times New Roman"/>
                      <w:b/>
                      <w:bCs/>
                      <w:szCs w:val="21"/>
                    </w:rPr>
                  </w:pPr>
                  <w:r>
                    <w:rPr>
                      <w:rFonts w:hint="eastAsia" w:ascii="Times New Roman" w:hAnsi="Times New Roman" w:cs="Times New Roman"/>
                      <w:b/>
                      <w:bCs/>
                      <w:szCs w:val="21"/>
                    </w:rPr>
                    <w:t>标准值</w:t>
                  </w:r>
                </w:p>
              </w:tc>
            </w:tr>
            <w:tr w14:paraId="6311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11C58D60">
                  <w:pPr>
                    <w:jc w:val="center"/>
                    <w:rPr>
                      <w:rFonts w:ascii="Times New Roman" w:hAnsi="Times New Roman" w:cs="Times New Roman"/>
                      <w:szCs w:val="21"/>
                    </w:rPr>
                  </w:pPr>
                  <w:r>
                    <w:rPr>
                      <w:rFonts w:ascii="Times New Roman" w:hAnsi="Times New Roman" w:cs="Times New Roman"/>
                      <w:szCs w:val="21"/>
                    </w:rPr>
                    <w:t>外观</w:t>
                  </w:r>
                </w:p>
              </w:tc>
              <w:tc>
                <w:tcPr>
                  <w:tcW w:w="2693" w:type="dxa"/>
                  <w:vAlign w:val="center"/>
                </w:tcPr>
                <w:p w14:paraId="2285CB18">
                  <w:pPr>
                    <w:jc w:val="center"/>
                    <w:rPr>
                      <w:rFonts w:ascii="Times New Roman" w:hAnsi="Times New Roman" w:cs="Times New Roman"/>
                      <w:szCs w:val="21"/>
                    </w:rPr>
                  </w:pPr>
                  <w:r>
                    <w:rPr>
                      <w:rFonts w:ascii="Times New Roman" w:hAnsi="Times New Roman" w:cs="Times New Roman"/>
                      <w:szCs w:val="21"/>
                    </w:rPr>
                    <w:t>半凝固态，红色或棕褐色，有异味，具 有易氧化、酸败和易挥发等特性</w:t>
                  </w:r>
                </w:p>
              </w:tc>
              <w:tc>
                <w:tcPr>
                  <w:tcW w:w="2126" w:type="dxa"/>
                  <w:vAlign w:val="center"/>
                </w:tcPr>
                <w:p w14:paraId="58548B88">
                  <w:pPr>
                    <w:jc w:val="center"/>
                    <w:rPr>
                      <w:rFonts w:ascii="Times New Roman" w:hAnsi="Times New Roman" w:cs="Times New Roman"/>
                      <w:szCs w:val="21"/>
                    </w:rPr>
                  </w:pPr>
                  <w:r>
                    <w:rPr>
                      <w:rFonts w:ascii="Times New Roman" w:hAnsi="Times New Roman" w:cs="Times New Roman"/>
                      <w:szCs w:val="21"/>
                    </w:rPr>
                    <w:t>皂化值 （mgKOH/g）</w:t>
                  </w:r>
                </w:p>
              </w:tc>
              <w:tc>
                <w:tcPr>
                  <w:tcW w:w="1281" w:type="dxa"/>
                  <w:vAlign w:val="center"/>
                </w:tcPr>
                <w:p w14:paraId="131216BF">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85.74</w:t>
                  </w:r>
                </w:p>
              </w:tc>
            </w:tr>
            <w:tr w14:paraId="6E9D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6702B02B">
                  <w:pPr>
                    <w:jc w:val="center"/>
                    <w:rPr>
                      <w:rFonts w:ascii="Times New Roman" w:hAnsi="Times New Roman" w:cs="Times New Roman"/>
                      <w:szCs w:val="21"/>
                    </w:rPr>
                  </w:pPr>
                  <w:r>
                    <w:rPr>
                      <w:rFonts w:ascii="Times New Roman" w:hAnsi="Times New Roman" w:cs="Times New Roman"/>
                      <w:szCs w:val="21"/>
                    </w:rPr>
                    <w:t>酸值（mgKOH/g）</w:t>
                  </w:r>
                </w:p>
              </w:tc>
              <w:tc>
                <w:tcPr>
                  <w:tcW w:w="2693" w:type="dxa"/>
                  <w:vAlign w:val="center"/>
                </w:tcPr>
                <w:p w14:paraId="396B2C73">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.51</w:t>
                  </w:r>
                </w:p>
              </w:tc>
              <w:tc>
                <w:tcPr>
                  <w:tcW w:w="2126" w:type="dxa"/>
                  <w:vAlign w:val="center"/>
                </w:tcPr>
                <w:p w14:paraId="2219B899">
                  <w:pPr>
                    <w:jc w:val="center"/>
                    <w:rPr>
                      <w:rFonts w:ascii="Times New Roman" w:hAnsi="Times New Roman" w:cs="Times New Roman"/>
                      <w:szCs w:val="21"/>
                    </w:rPr>
                  </w:pPr>
                  <w:r>
                    <w:rPr>
                      <w:rFonts w:ascii="Times New Roman" w:hAnsi="Times New Roman" w:cs="Times New Roman"/>
                      <w:szCs w:val="21"/>
                    </w:rPr>
                    <w:t>不皂化物（%）</w:t>
                  </w:r>
                </w:p>
              </w:tc>
              <w:tc>
                <w:tcPr>
                  <w:tcW w:w="1281" w:type="dxa"/>
                  <w:vAlign w:val="center"/>
                </w:tcPr>
                <w:p w14:paraId="2F9C1DC3">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.38</w:t>
                  </w:r>
                </w:p>
              </w:tc>
            </w:tr>
            <w:tr w14:paraId="0D51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39C7F619">
                  <w:pPr>
                    <w:jc w:val="center"/>
                    <w:rPr>
                      <w:rFonts w:ascii="Times New Roman" w:hAnsi="Times New Roman" w:cs="Times New Roman"/>
                      <w:szCs w:val="21"/>
                    </w:rPr>
                  </w:pPr>
                  <w:r>
                    <w:rPr>
                      <w:rFonts w:ascii="Times New Roman" w:hAnsi="Times New Roman" w:cs="Times New Roman"/>
                      <w:szCs w:val="21"/>
                    </w:rPr>
                    <w:t>密度（g/mL）</w:t>
                  </w:r>
                </w:p>
              </w:tc>
              <w:tc>
                <w:tcPr>
                  <w:tcW w:w="2693" w:type="dxa"/>
                  <w:vAlign w:val="center"/>
                </w:tcPr>
                <w:p w14:paraId="73C451CF">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.91</w:t>
                  </w:r>
                </w:p>
              </w:tc>
              <w:tc>
                <w:tcPr>
                  <w:tcW w:w="2126" w:type="dxa"/>
                  <w:vAlign w:val="center"/>
                </w:tcPr>
                <w:p w14:paraId="77BF12A5">
                  <w:pPr>
                    <w:jc w:val="center"/>
                    <w:rPr>
                      <w:rFonts w:ascii="Times New Roman" w:hAnsi="Times New Roman" w:cs="Times New Roman"/>
                      <w:szCs w:val="21"/>
                    </w:rPr>
                  </w:pPr>
                  <w:r>
                    <w:rPr>
                      <w:rFonts w:ascii="Times New Roman" w:hAnsi="Times New Roman" w:cs="Times New Roman"/>
                      <w:szCs w:val="21"/>
                    </w:rPr>
                    <w:t>杂质（%）</w:t>
                  </w:r>
                </w:p>
              </w:tc>
              <w:tc>
                <w:tcPr>
                  <w:tcW w:w="1281" w:type="dxa"/>
                  <w:vAlign w:val="center"/>
                </w:tcPr>
                <w:p w14:paraId="7F7F2982">
                  <w:pPr>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.47</w:t>
                  </w:r>
                </w:p>
              </w:tc>
            </w:tr>
            <w:tr w14:paraId="5421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5A583A1F">
                  <w:pPr>
                    <w:jc w:val="center"/>
                    <w:rPr>
                      <w:rFonts w:ascii="Times New Roman" w:hAnsi="Times New Roman" w:cs="Times New Roman"/>
                      <w:szCs w:val="21"/>
                    </w:rPr>
                  </w:pPr>
                  <w:r>
                    <w:rPr>
                      <w:rFonts w:ascii="Times New Roman" w:hAnsi="Times New Roman" w:cs="Times New Roman"/>
                      <w:szCs w:val="21"/>
                    </w:rPr>
                    <w:t>脂肪酸甘油酯（%）</w:t>
                  </w:r>
                </w:p>
              </w:tc>
              <w:tc>
                <w:tcPr>
                  <w:tcW w:w="2693" w:type="dxa"/>
                  <w:vAlign w:val="center"/>
                </w:tcPr>
                <w:p w14:paraId="2ED48711">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7.15</w:t>
                  </w:r>
                </w:p>
              </w:tc>
              <w:tc>
                <w:tcPr>
                  <w:tcW w:w="2126" w:type="dxa"/>
                  <w:vAlign w:val="center"/>
                </w:tcPr>
                <w:p w14:paraId="11050349">
                  <w:pPr>
                    <w:jc w:val="center"/>
                    <w:rPr>
                      <w:rFonts w:ascii="Times New Roman" w:hAnsi="Times New Roman" w:cs="Times New Roman"/>
                      <w:szCs w:val="21"/>
                    </w:rPr>
                  </w:pPr>
                  <w:r>
                    <w:rPr>
                      <w:rFonts w:ascii="Times New Roman" w:hAnsi="Times New Roman" w:cs="Times New Roman"/>
                      <w:szCs w:val="21"/>
                    </w:rPr>
                    <w:t>水含量</w:t>
                  </w:r>
                </w:p>
              </w:tc>
              <w:tc>
                <w:tcPr>
                  <w:tcW w:w="1281" w:type="dxa"/>
                  <w:vAlign w:val="center"/>
                </w:tcPr>
                <w:p w14:paraId="2319F39D">
                  <w:pPr>
                    <w:jc w:val="center"/>
                    <w:rPr>
                      <w:rFonts w:ascii="Times New Roman" w:hAnsi="Times New Roman" w:cs="Times New Roman"/>
                      <w:szCs w:val="21"/>
                    </w:rPr>
                  </w:pPr>
                  <w:r>
                    <w:rPr>
                      <w:rFonts w:hint="eastAsia" w:ascii="Times New Roman" w:hAnsi="Times New Roman" w:cs="Times New Roman"/>
                      <w:szCs w:val="21"/>
                    </w:rPr>
                    <w:t>0</w:t>
                  </w:r>
                </w:p>
              </w:tc>
            </w:tr>
          </w:tbl>
          <w:p w14:paraId="4C391BF9">
            <w:pPr>
              <w:snapToGrid w:val="0"/>
              <w:jc w:val="center"/>
              <w:rPr>
                <w:rFonts w:ascii="Times New Roman" w:hAnsi="Times New Roman" w:eastAsia="宋体" w:cs="Times New Roman"/>
                <w:b/>
                <w:szCs w:val="21"/>
              </w:rPr>
            </w:pPr>
          </w:p>
          <w:p w14:paraId="1074A96D">
            <w:pPr>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 xml:space="preserve">表2-8    </w:t>
            </w:r>
            <w:r>
              <w:rPr>
                <w:rFonts w:hint="eastAsia" w:ascii="Times New Roman" w:hAnsi="Times New Roman" w:eastAsia="宋体" w:cs="Times New Roman"/>
                <w:b/>
                <w:szCs w:val="21"/>
              </w:rPr>
              <w:t>骨肉料</w:t>
            </w:r>
            <w:r>
              <w:rPr>
                <w:rFonts w:ascii="Times New Roman" w:hAnsi="Times New Roman" w:eastAsia="宋体" w:cs="Times New Roman"/>
                <w:b/>
                <w:szCs w:val="21"/>
              </w:rPr>
              <w:t>产品质量</w:t>
            </w:r>
            <w:r>
              <w:rPr>
                <w:rFonts w:hint="eastAsia" w:ascii="Times New Roman" w:hAnsi="Times New Roman" w:eastAsia="宋体" w:cs="Times New Roman"/>
                <w:b/>
                <w:szCs w:val="21"/>
              </w:rPr>
              <w:t>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4"/>
              <w:gridCol w:w="1985"/>
              <w:gridCol w:w="2131"/>
            </w:tblGrid>
            <w:tr w14:paraId="5E0B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EC2762B">
                  <w:pPr>
                    <w:jc w:val="center"/>
                    <w:rPr>
                      <w:rFonts w:ascii="Times New Roman" w:hAnsi="Times New Roman" w:cs="Times New Roman"/>
                      <w:szCs w:val="21"/>
                    </w:rPr>
                  </w:pPr>
                  <w:r>
                    <w:rPr>
                      <w:rFonts w:ascii="Times New Roman" w:hAnsi="Times New Roman" w:cs="Times New Roman"/>
                      <w:b/>
                      <w:bCs/>
                      <w:szCs w:val="21"/>
                    </w:rPr>
                    <w:t>参</w:t>
                  </w:r>
                  <w:r>
                    <w:rPr>
                      <w:rFonts w:hint="eastAsia" w:ascii="Times New Roman" w:hAnsi="Times New Roman" w:cs="Times New Roman"/>
                      <w:b/>
                      <w:bCs/>
                      <w:szCs w:val="21"/>
                    </w:rPr>
                    <w:t xml:space="preserve"> </w:t>
                  </w:r>
                  <w:r>
                    <w:rPr>
                      <w:rFonts w:ascii="Times New Roman" w:hAnsi="Times New Roman" w:cs="Times New Roman"/>
                      <w:b/>
                      <w:bCs/>
                      <w:szCs w:val="21"/>
                    </w:rPr>
                    <w:t>数</w:t>
                  </w:r>
                </w:p>
              </w:tc>
              <w:tc>
                <w:tcPr>
                  <w:tcW w:w="1984" w:type="dxa"/>
                  <w:vAlign w:val="center"/>
                </w:tcPr>
                <w:p w14:paraId="77654FB2">
                  <w:pPr>
                    <w:jc w:val="center"/>
                    <w:rPr>
                      <w:rFonts w:ascii="Times New Roman" w:hAnsi="Times New Roman" w:cs="Times New Roman"/>
                      <w:b/>
                      <w:bCs/>
                      <w:szCs w:val="21"/>
                    </w:rPr>
                  </w:pPr>
                  <w:r>
                    <w:rPr>
                      <w:rFonts w:hint="eastAsia" w:ascii="Times New Roman" w:hAnsi="Times New Roman" w:cs="Times New Roman"/>
                      <w:b/>
                      <w:bCs/>
                      <w:szCs w:val="21"/>
                    </w:rPr>
                    <w:t>脂肪含量</w:t>
                  </w:r>
                </w:p>
              </w:tc>
              <w:tc>
                <w:tcPr>
                  <w:tcW w:w="1985" w:type="dxa"/>
                  <w:vAlign w:val="center"/>
                </w:tcPr>
                <w:p w14:paraId="70615F42">
                  <w:pPr>
                    <w:jc w:val="center"/>
                    <w:rPr>
                      <w:rFonts w:ascii="Times New Roman" w:hAnsi="Times New Roman" w:cs="Times New Roman"/>
                      <w:b/>
                      <w:bCs/>
                      <w:szCs w:val="21"/>
                    </w:rPr>
                  </w:pPr>
                  <w:r>
                    <w:rPr>
                      <w:rFonts w:hint="eastAsia" w:ascii="Times New Roman" w:hAnsi="Times New Roman" w:cs="Times New Roman"/>
                      <w:b/>
                      <w:bCs/>
                      <w:szCs w:val="21"/>
                    </w:rPr>
                    <w:t>含水率</w:t>
                  </w:r>
                </w:p>
              </w:tc>
              <w:tc>
                <w:tcPr>
                  <w:tcW w:w="2131" w:type="dxa"/>
                  <w:vAlign w:val="center"/>
                </w:tcPr>
                <w:p w14:paraId="7958885E">
                  <w:pPr>
                    <w:jc w:val="center"/>
                    <w:rPr>
                      <w:rFonts w:ascii="Times New Roman" w:hAnsi="Times New Roman" w:cs="Times New Roman"/>
                      <w:b/>
                      <w:bCs/>
                      <w:szCs w:val="21"/>
                    </w:rPr>
                  </w:pPr>
                  <w:r>
                    <w:rPr>
                      <w:rFonts w:hint="eastAsia" w:ascii="Times New Roman" w:hAnsi="Times New Roman" w:cs="Times New Roman"/>
                      <w:b/>
                      <w:bCs/>
                      <w:szCs w:val="21"/>
                    </w:rPr>
                    <w:t>固体物质含量</w:t>
                  </w:r>
                </w:p>
              </w:tc>
            </w:tr>
            <w:tr w14:paraId="717C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E4AF8ED">
                  <w:pPr>
                    <w:jc w:val="center"/>
                    <w:rPr>
                      <w:rFonts w:ascii="Times New Roman" w:hAnsi="Times New Roman" w:cs="Times New Roman"/>
                      <w:szCs w:val="21"/>
                    </w:rPr>
                  </w:pPr>
                  <w:r>
                    <w:rPr>
                      <w:rFonts w:hint="eastAsia" w:ascii="Times New Roman" w:hAnsi="Times New Roman" w:cs="Times New Roman"/>
                      <w:szCs w:val="21"/>
                    </w:rPr>
                    <w:t>浓 度</w:t>
                  </w:r>
                </w:p>
              </w:tc>
              <w:tc>
                <w:tcPr>
                  <w:tcW w:w="1984" w:type="dxa"/>
                  <w:vAlign w:val="center"/>
                </w:tcPr>
                <w:p w14:paraId="4437FAD8">
                  <w:pPr>
                    <w:jc w:val="center"/>
                    <w:rPr>
                      <w:rFonts w:ascii="Times New Roman" w:hAnsi="Times New Roman" w:cs="Times New Roman"/>
                      <w:szCs w:val="21"/>
                    </w:rPr>
                  </w:pPr>
                  <w:r>
                    <w:rPr>
                      <w:rFonts w:hint="eastAsia" w:ascii="Times New Roman" w:hAnsi="Times New Roman" w:cs="Times New Roman"/>
                      <w:szCs w:val="21"/>
                    </w:rPr>
                    <w:t>7%</w:t>
                  </w:r>
                </w:p>
              </w:tc>
              <w:tc>
                <w:tcPr>
                  <w:tcW w:w="1985" w:type="dxa"/>
                  <w:vAlign w:val="center"/>
                </w:tcPr>
                <w:p w14:paraId="33E27125">
                  <w:pPr>
                    <w:jc w:val="center"/>
                    <w:rPr>
                      <w:rFonts w:ascii="Times New Roman" w:hAnsi="Times New Roman" w:cs="Times New Roman"/>
                      <w:szCs w:val="21"/>
                    </w:rPr>
                  </w:pPr>
                  <w:r>
                    <w:rPr>
                      <w:rFonts w:hint="eastAsia" w:ascii="Times New Roman" w:hAnsi="Times New Roman" w:cs="Times New Roman"/>
                      <w:szCs w:val="21"/>
                    </w:rPr>
                    <w:t>6%</w:t>
                  </w:r>
                </w:p>
              </w:tc>
              <w:tc>
                <w:tcPr>
                  <w:tcW w:w="2131" w:type="dxa"/>
                  <w:vAlign w:val="center"/>
                </w:tcPr>
                <w:p w14:paraId="11A487EB">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7</w:t>
                  </w:r>
                  <w:r>
                    <w:rPr>
                      <w:rFonts w:hint="eastAsia" w:ascii="Times New Roman" w:hAnsi="Times New Roman" w:cs="Times New Roman"/>
                      <w:szCs w:val="21"/>
                    </w:rPr>
                    <w:t>%</w:t>
                  </w:r>
                </w:p>
              </w:tc>
            </w:tr>
          </w:tbl>
          <w:p w14:paraId="07BCCABD">
            <w:pPr>
              <w:pStyle w:val="10"/>
              <w:snapToGrid w:val="0"/>
              <w:ind w:left="0" w:right="105" w:rightChars="50"/>
              <w:jc w:val="center"/>
              <w:rPr>
                <w:rFonts w:ascii="Times New Roman" w:hAnsi="Times New Roman" w:cs="Times New Roman"/>
                <w:bCs/>
                <w:sz w:val="21"/>
                <w:szCs w:val="21"/>
                <w:lang w:val="en-US"/>
              </w:rPr>
            </w:pPr>
          </w:p>
          <w:p w14:paraId="30799061">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2.2.6 公用设施</w:t>
            </w:r>
          </w:p>
          <w:p w14:paraId="29C26ECB">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w:t>
            </w:r>
            <w:r>
              <w:rPr>
                <w:rFonts w:ascii="Times New Roman" w:hAnsi="Times New Roman" w:cs="Times New Roman"/>
                <w:bCs/>
              </w:rPr>
              <w:t>供电</w:t>
            </w:r>
          </w:p>
          <w:p w14:paraId="55550E63">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取自</w:t>
            </w:r>
            <w:r>
              <w:rPr>
                <w:rFonts w:hint="eastAsia" w:ascii="Times New Roman" w:hAnsi="Times New Roman" w:cs="Times New Roman"/>
                <w:bCs/>
              </w:rPr>
              <w:t>三台山乡</w:t>
            </w:r>
            <w:r>
              <w:rPr>
                <w:rFonts w:ascii="Times New Roman" w:hAnsi="Times New Roman" w:cs="Times New Roman"/>
                <w:bCs/>
              </w:rPr>
              <w:t>供电</w:t>
            </w:r>
            <w:r>
              <w:rPr>
                <w:rFonts w:hint="eastAsia" w:ascii="Times New Roman" w:hAnsi="Times New Roman" w:cs="Times New Roman"/>
                <w:bCs/>
              </w:rPr>
              <w:t>网络，厂内设变压站和配电室，年耗电约</w:t>
            </w:r>
            <w:r>
              <w:rPr>
                <w:rFonts w:ascii="Times New Roman" w:hAnsi="Times New Roman" w:cs="Times New Roman"/>
                <w:szCs w:val="21"/>
              </w:rPr>
              <w:t>45</w:t>
            </w:r>
            <w:r>
              <w:rPr>
                <w:rFonts w:hint="eastAsia" w:ascii="Times New Roman" w:hAnsi="Times New Roman" w:cs="Times New Roman"/>
                <w:bCs/>
              </w:rPr>
              <w:t>万k</w:t>
            </w:r>
            <w:r>
              <w:rPr>
                <w:rFonts w:ascii="Times New Roman" w:hAnsi="Times New Roman" w:cs="Times New Roman"/>
                <w:bCs/>
              </w:rPr>
              <w:t>W</w:t>
            </w:r>
            <w:r>
              <w:rPr>
                <w:rFonts w:hint="eastAsia" w:ascii="Times New Roman" w:hAnsi="Times New Roman" w:cs="Times New Roman"/>
                <w:bCs/>
              </w:rPr>
              <w:t>·h。</w:t>
            </w:r>
          </w:p>
          <w:p w14:paraId="01FC6D8F">
            <w:pPr>
              <w:pStyle w:val="10"/>
              <w:snapToGrid w:val="0"/>
              <w:spacing w:line="360" w:lineRule="auto"/>
              <w:ind w:left="0" w:right="105" w:rightChars="50" w:firstLine="240" w:firstLineChars="100"/>
              <w:rPr>
                <w:rFonts w:ascii="Times New Roman" w:hAnsi="Times New Roman" w:cs="Times New Roman"/>
                <w:bCs/>
              </w:rPr>
            </w:pPr>
            <w:bookmarkStart w:id="14" w:name="_Hlk96545532"/>
            <w:bookmarkStart w:id="15" w:name="_Hlk92099864"/>
            <w:bookmarkStart w:id="16" w:name="_Hlk92045926"/>
            <w:r>
              <w:rPr>
                <w:rFonts w:ascii="Times New Roman" w:hAnsi="Times New Roman" w:cs="Times New Roman"/>
                <w:bCs/>
              </w:rPr>
              <w:t>2</w:t>
            </w:r>
            <w:r>
              <w:rPr>
                <w:rFonts w:hint="eastAsia" w:ascii="Times New Roman" w:hAnsi="Times New Roman" w:cs="Times New Roman"/>
                <w:bCs/>
              </w:rPr>
              <w:t>、</w:t>
            </w:r>
            <w:r>
              <w:rPr>
                <w:rFonts w:ascii="Times New Roman" w:hAnsi="Times New Roman" w:cs="Times New Roman"/>
                <w:bCs/>
              </w:rPr>
              <w:t>给排水</w:t>
            </w:r>
          </w:p>
          <w:p w14:paraId="122FC0FE">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（1）给水</w:t>
            </w:r>
          </w:p>
          <w:p w14:paraId="24D5566F">
            <w:pPr>
              <w:pStyle w:val="10"/>
              <w:snapToGrid w:val="0"/>
              <w:spacing w:line="360" w:lineRule="auto"/>
              <w:ind w:left="105" w:leftChars="50" w:right="105" w:rightChars="50" w:firstLine="240" w:firstLineChars="100"/>
              <w:rPr>
                <w:rFonts w:ascii="Times New Roman" w:hAnsi="Times New Roman" w:cs="Times New Roman"/>
                <w:bCs/>
              </w:rPr>
            </w:pPr>
            <w:r>
              <w:t>运营期用水主要包括设备清洗用水、车间地面清洗用水、车辆清洗用水、办公生活用水、喷淋塔补充水、冷却塔补充水、消毒池补充水、锅炉用水、绿化用水</w:t>
            </w:r>
            <w:r>
              <w:rPr>
                <w:rFonts w:hint="eastAsia"/>
              </w:rPr>
              <w:t>等</w:t>
            </w:r>
            <w:r>
              <w:t>。</w:t>
            </w:r>
            <w:r>
              <w:rPr>
                <w:rFonts w:ascii="Times New Roman" w:hAnsi="Times New Roman" w:cs="Times New Roman"/>
                <w:bCs/>
              </w:rPr>
              <w:t>本项目生活用水和生产用水</w:t>
            </w:r>
            <w:r>
              <w:rPr>
                <w:rFonts w:hint="eastAsia" w:ascii="Times New Roman" w:hAnsi="Times New Roman" w:cs="Times New Roman"/>
                <w:bCs/>
              </w:rPr>
              <w:t>主要</w:t>
            </w:r>
            <w:r>
              <w:rPr>
                <w:rFonts w:ascii="Times New Roman" w:hAnsi="Times New Roman" w:cs="Times New Roman"/>
                <w:bCs/>
              </w:rPr>
              <w:t>来自</w:t>
            </w:r>
            <w:r>
              <w:rPr>
                <w:rFonts w:hint="eastAsia" w:ascii="Times New Roman" w:hAnsi="Times New Roman" w:cs="Times New Roman"/>
                <w:bCs/>
              </w:rPr>
              <w:t>附近农村</w:t>
            </w:r>
            <w:r>
              <w:rPr>
                <w:rFonts w:ascii="Times New Roman" w:hAnsi="Times New Roman" w:cs="Times New Roman"/>
                <w:bCs/>
              </w:rPr>
              <w:t>供水管网</w:t>
            </w:r>
            <w:r>
              <w:rPr>
                <w:rFonts w:hint="eastAsia" w:ascii="Times New Roman" w:hAnsi="Times New Roman" w:cs="Times New Roman"/>
                <w:bCs/>
              </w:rPr>
              <w:t>。</w:t>
            </w:r>
          </w:p>
          <w:p w14:paraId="269E1BEC">
            <w:pPr>
              <w:pStyle w:val="10"/>
              <w:snapToGrid w:val="0"/>
              <w:spacing w:line="360" w:lineRule="auto"/>
              <w:ind w:left="0" w:right="105" w:rightChars="50" w:firstLine="240" w:firstLineChars="100"/>
              <w:rPr>
                <w:rFonts w:ascii="Times New Roman" w:hAnsi="Times New Roman" w:cs="Times New Roman"/>
                <w:bCs/>
              </w:rPr>
            </w:pPr>
            <w:bookmarkStart w:id="17" w:name="_Hlk100690150"/>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ascii="Times New Roman" w:hAnsi="Times New Roman" w:cs="Times New Roman"/>
                <w:bCs/>
              </w:rPr>
              <w:t>设备清洗用水</w:t>
            </w:r>
          </w:p>
          <w:p w14:paraId="27D78DBA">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生产设备如破碎机、化制罐、螺旋输送机、卧式离心机、压榨机运行后均需清洗，共计约9台，每5天清洗一次，每次清洗用水量</w:t>
            </w:r>
            <w:r>
              <w:rPr>
                <w:rFonts w:hint="eastAsia" w:ascii="Times New Roman" w:hAnsi="Times New Roman" w:cs="Times New Roman"/>
                <w:bCs/>
              </w:rPr>
              <w:t>约为</w:t>
            </w:r>
            <w:r>
              <w:rPr>
                <w:rFonts w:ascii="Times New Roman" w:hAnsi="Times New Roman" w:cs="Times New Roman"/>
                <w:bCs/>
              </w:rPr>
              <w:t>100L/</w:t>
            </w:r>
            <w:r>
              <w:rPr>
                <w:rFonts w:hint="eastAsia" w:ascii="Times New Roman" w:hAnsi="Times New Roman" w:cs="Times New Roman"/>
                <w:bCs/>
              </w:rPr>
              <w:t>台</w:t>
            </w:r>
            <w:r>
              <w:rPr>
                <w:rFonts w:ascii="Times New Roman" w:hAnsi="Times New Roman" w:cs="Times New Roman"/>
                <w:bCs/>
              </w:rPr>
              <w:t>，</w:t>
            </w:r>
            <w:r>
              <w:rPr>
                <w:rFonts w:hint="eastAsia" w:ascii="Times New Roman" w:hAnsi="Times New Roman" w:cs="Times New Roman"/>
                <w:bCs/>
              </w:rPr>
              <w:t>则</w:t>
            </w:r>
            <w:r>
              <w:rPr>
                <w:rFonts w:ascii="Times New Roman" w:hAnsi="Times New Roman" w:cs="Times New Roman"/>
                <w:bCs/>
              </w:rPr>
              <w:t>预计清洗用水量</w:t>
            </w:r>
            <w:r>
              <w:rPr>
                <w:rFonts w:hint="eastAsia" w:ascii="Times New Roman" w:hAnsi="Times New Roman" w:cs="Times New Roman"/>
                <w:bCs/>
              </w:rPr>
              <w:t>为0</w:t>
            </w:r>
            <w:r>
              <w:rPr>
                <w:rFonts w:ascii="Times New Roman" w:hAnsi="Times New Roman" w:cs="Times New Roman"/>
                <w:bCs/>
              </w:rPr>
              <w:t>.90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次，折合</w:t>
            </w:r>
            <w:r>
              <w:rPr>
                <w:rFonts w:ascii="Times New Roman" w:hAnsi="Times New Roman" w:cs="Times New Roman"/>
                <w:bCs/>
              </w:rPr>
              <w:t>约 0.18m</w:t>
            </w:r>
            <w:r>
              <w:rPr>
                <w:rFonts w:ascii="Times New Roman" w:hAnsi="Times New Roman" w:cs="Times New Roman"/>
                <w:bCs/>
                <w:vertAlign w:val="superscript"/>
              </w:rPr>
              <w:t>3</w:t>
            </w:r>
            <w:r>
              <w:rPr>
                <w:rFonts w:ascii="Times New Roman" w:hAnsi="Times New Roman" w:cs="Times New Roman"/>
                <w:bCs/>
              </w:rPr>
              <w:t>/d（54m</w:t>
            </w:r>
            <w:r>
              <w:rPr>
                <w:rFonts w:ascii="Times New Roman" w:hAnsi="Times New Roman" w:cs="Times New Roman"/>
                <w:bCs/>
                <w:vertAlign w:val="superscript"/>
              </w:rPr>
              <w:t>3</w:t>
            </w:r>
            <w:r>
              <w:rPr>
                <w:rFonts w:ascii="Times New Roman" w:hAnsi="Times New Roman" w:cs="Times New Roman"/>
                <w:bCs/>
              </w:rPr>
              <w:t>/a）。</w:t>
            </w:r>
          </w:p>
          <w:p w14:paraId="4BD23757">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车间地面清洗用水</w:t>
            </w:r>
          </w:p>
          <w:p w14:paraId="23E0A638">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无害化处理车间地面需定期冲洗，每天冲洗地面</w:t>
            </w:r>
            <w:r>
              <w:rPr>
                <w:rFonts w:hint="eastAsia" w:ascii="Times New Roman" w:hAnsi="Times New Roman" w:cs="Times New Roman"/>
                <w:bCs/>
              </w:rPr>
              <w:t>一次</w:t>
            </w:r>
            <w:r>
              <w:rPr>
                <w:rFonts w:ascii="Times New Roman" w:hAnsi="Times New Roman" w:cs="Times New Roman"/>
                <w:bCs/>
              </w:rPr>
              <w:t>，参照《云南省地方标准用水定额》（DB53/T168-2019）场地浇洒用水量2L/（m</w:t>
            </w:r>
            <w:r>
              <w:rPr>
                <w:rFonts w:ascii="Times New Roman" w:hAnsi="Times New Roman" w:cs="Times New Roman"/>
                <w:bCs/>
                <w:vertAlign w:val="superscript"/>
              </w:rPr>
              <w:t>2</w:t>
            </w:r>
            <w:r>
              <w:rPr>
                <w:rFonts w:hint="eastAsia" w:ascii="Times New Roman" w:hAnsi="Times New Roman" w:cs="Times New Roman"/>
                <w:bCs/>
              </w:rPr>
              <w:t>·</w:t>
            </w:r>
            <w:r>
              <w:rPr>
                <w:rFonts w:ascii="Times New Roman" w:hAnsi="Times New Roman" w:cs="Times New Roman"/>
                <w:bCs/>
              </w:rPr>
              <w:t>次），项目车间</w:t>
            </w:r>
            <w:r>
              <w:rPr>
                <w:rFonts w:hint="eastAsia" w:ascii="Times New Roman" w:hAnsi="Times New Roman" w:cs="Times New Roman"/>
                <w:bCs/>
              </w:rPr>
              <w:t>建筑面积</w:t>
            </w:r>
            <w:r>
              <w:rPr>
                <w:rFonts w:ascii="Times New Roman" w:hAnsi="Times New Roman" w:cs="Times New Roman"/>
                <w:bCs/>
              </w:rPr>
              <w:t>1500m</w:t>
            </w:r>
            <w:r>
              <w:rPr>
                <w:rFonts w:ascii="Times New Roman" w:hAnsi="Times New Roman" w:cs="Times New Roman"/>
                <w:bCs/>
                <w:vertAlign w:val="superscript"/>
              </w:rPr>
              <w:t>2</w:t>
            </w:r>
            <w:r>
              <w:rPr>
                <w:rFonts w:ascii="Times New Roman" w:hAnsi="Times New Roman" w:cs="Times New Roman"/>
                <w:bCs/>
              </w:rPr>
              <w:t>，则地面冲洗用水量约3.0m</w:t>
            </w:r>
            <w:r>
              <w:rPr>
                <w:rFonts w:ascii="Times New Roman" w:hAnsi="Times New Roman" w:cs="Times New Roman"/>
                <w:bCs/>
                <w:vertAlign w:val="superscript"/>
              </w:rPr>
              <w:t>3</w:t>
            </w:r>
            <w:r>
              <w:rPr>
                <w:rFonts w:ascii="Times New Roman" w:hAnsi="Times New Roman" w:cs="Times New Roman"/>
                <w:bCs/>
              </w:rPr>
              <w:t>/d、900m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。冲洗用水首先回用软水制备器排水，不足部分由新鲜水补充。</w:t>
            </w:r>
          </w:p>
          <w:p w14:paraId="4D156C6F">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ascii="Times New Roman" w:hAnsi="Times New Roman" w:cs="Times New Roman"/>
                <w:bCs/>
              </w:rPr>
              <w:t>车辆清洗用水</w:t>
            </w:r>
          </w:p>
          <w:p w14:paraId="7E424ED1">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运输车辆卸料后需要清洗，平均每天清洗5车次，根据《云南省用水定额标准》（DB53/T168-2019）中高压水枪冲洗（轻型客车和轻型货车），每车次用水量约为100L/辆，日用水量约0.5m</w:t>
            </w:r>
            <w:r>
              <w:rPr>
                <w:rFonts w:ascii="Times New Roman" w:hAnsi="Times New Roman" w:cs="Times New Roman"/>
                <w:bCs/>
                <w:vertAlign w:val="superscript"/>
              </w:rPr>
              <w:t>3</w:t>
            </w:r>
            <w:r>
              <w:rPr>
                <w:rFonts w:ascii="Times New Roman" w:hAnsi="Times New Roman" w:cs="Times New Roman"/>
                <w:bCs/>
              </w:rPr>
              <w:t>/d、150m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p>
          <w:p w14:paraId="1C58A200">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车辆消毒用水</w:t>
            </w:r>
          </w:p>
          <w:p w14:paraId="7E6D853E">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车辆进出场时均需要进行消毒处理，消毒用水量约为0.5m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。消毒水</w:t>
            </w:r>
            <w:r>
              <w:rPr>
                <w:rFonts w:ascii="Times New Roman" w:hAnsi="Times New Roman" w:cs="Times New Roman"/>
                <w:bCs/>
              </w:rPr>
              <w:t>经消毒池收集</w:t>
            </w:r>
            <w:r>
              <w:rPr>
                <w:rFonts w:hint="eastAsia" w:ascii="Times New Roman" w:hAnsi="Times New Roman" w:cs="Times New Roman"/>
                <w:bCs/>
              </w:rPr>
              <w:t>、加药</w:t>
            </w:r>
            <w:r>
              <w:rPr>
                <w:rFonts w:ascii="Times New Roman" w:hAnsi="Times New Roman" w:cs="Times New Roman"/>
                <w:bCs/>
              </w:rPr>
              <w:t>后循环使用，不外排，每天补充水量0.05m</w:t>
            </w:r>
            <w:r>
              <w:rPr>
                <w:rFonts w:ascii="Times New Roman" w:hAnsi="Times New Roman" w:cs="Times New Roman"/>
                <w:bCs/>
                <w:vertAlign w:val="superscript"/>
              </w:rPr>
              <w:t>3</w:t>
            </w:r>
            <w:r>
              <w:rPr>
                <w:rFonts w:hint="eastAsia" w:ascii="Times New Roman" w:hAnsi="Times New Roman" w:cs="Times New Roman"/>
                <w:bCs/>
              </w:rPr>
              <w:t>、1</w:t>
            </w:r>
            <w:r>
              <w:rPr>
                <w:rFonts w:ascii="Times New Roman" w:hAnsi="Times New Roman" w:cs="Times New Roman"/>
                <w:bCs/>
              </w:rPr>
              <w:t>5</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/a。</w:t>
            </w:r>
          </w:p>
          <w:p w14:paraId="7A5D930D">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ascii="Times New Roman" w:hAnsi="Times New Roman" w:cs="Times New Roman"/>
                <w:bCs/>
              </w:rPr>
              <w:t>冷却循环系统用水</w:t>
            </w:r>
          </w:p>
          <w:p w14:paraId="5EC5D687">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项目使用</w:t>
            </w:r>
            <w:r>
              <w:rPr>
                <w:rFonts w:hint="eastAsia" w:ascii="Times New Roman" w:hAnsi="Times New Roman" w:cs="Times New Roman"/>
                <w:szCs w:val="21"/>
              </w:rPr>
              <w:t>SYJW-150型</w:t>
            </w:r>
            <w:r>
              <w:rPr>
                <w:rFonts w:ascii="Times New Roman" w:hAnsi="Times New Roman" w:cs="Times New Roman"/>
                <w:bCs/>
              </w:rPr>
              <w:t>冷却塔2台</w:t>
            </w:r>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用1备</w:t>
            </w:r>
            <w:r>
              <w:rPr>
                <w:rFonts w:ascii="Times New Roman" w:hAnsi="Times New Roman" w:cs="Times New Roman"/>
                <w:bCs/>
              </w:rPr>
              <w:t>，</w:t>
            </w:r>
            <w:r>
              <w:rPr>
                <w:rFonts w:hint="eastAsia" w:ascii="Times New Roman" w:hAnsi="Times New Roman" w:cs="Times New Roman"/>
                <w:bCs/>
              </w:rPr>
              <w:t>单台</w:t>
            </w:r>
            <w:r>
              <w:rPr>
                <w:rFonts w:ascii="Times New Roman" w:hAnsi="Times New Roman" w:cs="Times New Roman"/>
                <w:bCs/>
              </w:rPr>
              <w:t>废气冷却循环水量150m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每天运行8h，</w:t>
            </w:r>
            <w:r>
              <w:rPr>
                <w:rFonts w:ascii="Times New Roman" w:hAnsi="Times New Roman" w:cs="Times New Roman"/>
                <w:bCs/>
              </w:rPr>
              <w:t>冷却过程中水分损耗按5%计，则补水量为60m</w:t>
            </w:r>
            <w:r>
              <w:rPr>
                <w:rFonts w:ascii="Times New Roman" w:hAnsi="Times New Roman" w:cs="Times New Roman"/>
                <w:bCs/>
                <w:vertAlign w:val="superscript"/>
              </w:rPr>
              <w:t>3</w:t>
            </w:r>
            <w:r>
              <w:rPr>
                <w:rFonts w:ascii="Times New Roman" w:hAnsi="Times New Roman" w:cs="Times New Roman"/>
                <w:bCs/>
              </w:rPr>
              <w:t>/d（18000m</w:t>
            </w:r>
            <w:r>
              <w:rPr>
                <w:rFonts w:ascii="Times New Roman" w:hAnsi="Times New Roman" w:cs="Times New Roman"/>
                <w:bCs/>
                <w:vertAlign w:val="superscript"/>
              </w:rPr>
              <w:t>3</w:t>
            </w:r>
            <w:r>
              <w:rPr>
                <w:rFonts w:ascii="Times New Roman" w:hAnsi="Times New Roman" w:cs="Times New Roman"/>
                <w:bCs/>
              </w:rPr>
              <w:t>/a），全部蒸发损耗。</w:t>
            </w:r>
          </w:p>
          <w:p w14:paraId="66CB21CD">
            <w:pPr>
              <w:pStyle w:val="10"/>
              <w:snapToGrid w:val="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循环一定时间后，</w:t>
            </w:r>
            <w:r>
              <w:rPr>
                <w:rFonts w:hint="eastAsia" w:ascii="Times New Roman" w:hAnsi="Times New Roman" w:cs="Times New Roman"/>
                <w:bCs/>
              </w:rPr>
              <w:t>水中</w:t>
            </w:r>
            <w:r>
              <w:rPr>
                <w:rFonts w:ascii="Times New Roman" w:hAnsi="Times New Roman" w:cs="Times New Roman"/>
                <w:bCs/>
              </w:rPr>
              <w:t>盐类成分增加，需定期</w:t>
            </w:r>
            <w:r>
              <w:rPr>
                <w:rFonts w:hint="eastAsia" w:ascii="Times New Roman" w:hAnsi="Times New Roman" w:cs="Times New Roman"/>
                <w:bCs/>
              </w:rPr>
              <w:t>置换部分循环水。根据建设单位提供资料，拟每</w:t>
            </w:r>
            <w:r>
              <w:rPr>
                <w:rFonts w:ascii="Times New Roman" w:hAnsi="Times New Roman" w:cs="Times New Roman"/>
                <w:bCs/>
              </w:rPr>
              <w:t>一个月</w:t>
            </w:r>
            <w:r>
              <w:rPr>
                <w:rFonts w:hint="eastAsia" w:ascii="Times New Roman" w:hAnsi="Times New Roman" w:cs="Times New Roman"/>
                <w:bCs/>
              </w:rPr>
              <w:t>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p>
          <w:p w14:paraId="11780193">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处理系统酸碱喷淋用水</w:t>
            </w:r>
          </w:p>
          <w:p w14:paraId="047A4720">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w:t>
            </w:r>
            <w:r>
              <w:rPr>
                <w:rFonts w:hint="eastAsia" w:ascii="Times New Roman" w:hAnsi="Times New Roman" w:cs="Times New Roman"/>
                <w:bCs/>
              </w:rPr>
              <w:t>设SYXDT-800型</w:t>
            </w:r>
            <w:r>
              <w:rPr>
                <w:rFonts w:ascii="Times New Roman" w:hAnsi="Times New Roman" w:cs="Times New Roman"/>
                <w:bCs/>
              </w:rPr>
              <w:t>喷淋塔</w:t>
            </w:r>
            <w:r>
              <w:rPr>
                <w:rFonts w:hint="eastAsia" w:ascii="Times New Roman" w:hAnsi="Times New Roman" w:cs="Times New Roman"/>
                <w:bCs/>
              </w:rPr>
              <w:t>两台，1台用于酸洗臭气，1台用于碱洗臭气，</w:t>
            </w:r>
            <w:r>
              <w:rPr>
                <w:rFonts w:ascii="Times New Roman" w:hAnsi="Times New Roman" w:cs="Times New Roman"/>
                <w:bCs/>
              </w:rPr>
              <w:t>酸喷淋塔和碱喷淋塔</w:t>
            </w:r>
            <w:r>
              <w:rPr>
                <w:rFonts w:hint="eastAsia" w:ascii="Times New Roman" w:hAnsi="Times New Roman" w:cs="Times New Roman"/>
                <w:bCs/>
              </w:rPr>
              <w:t>循环</w:t>
            </w:r>
            <w:r>
              <w:rPr>
                <w:rFonts w:ascii="Times New Roman" w:hAnsi="Times New Roman" w:cs="Times New Roman"/>
                <w:bCs/>
              </w:rPr>
              <w:t>水量</w:t>
            </w:r>
            <w:r>
              <w:rPr>
                <w:rFonts w:hint="eastAsia" w:ascii="Times New Roman" w:hAnsi="Times New Roman" w:cs="Times New Roman"/>
                <w:bCs/>
              </w:rPr>
              <w:t>均</w:t>
            </w:r>
            <w:r>
              <w:rPr>
                <w:rFonts w:ascii="Times New Roman" w:hAnsi="Times New Roman" w:cs="Times New Roman"/>
                <w:bCs/>
              </w:rPr>
              <w:t>为8m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单个系统内水量1</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，各</w:t>
            </w:r>
            <w:r>
              <w:rPr>
                <w:rFonts w:ascii="Times New Roman" w:hAnsi="Times New Roman" w:cs="Times New Roman"/>
                <w:bCs/>
              </w:rPr>
              <w:t>配套</w:t>
            </w:r>
            <w:r>
              <w:rPr>
                <w:rFonts w:hint="eastAsia" w:ascii="Times New Roman" w:hAnsi="Times New Roman" w:cs="Times New Roman"/>
                <w:bCs/>
              </w:rPr>
              <w:t>设</w:t>
            </w:r>
            <w:r>
              <w:rPr>
                <w:rFonts w:ascii="Times New Roman" w:hAnsi="Times New Roman" w:cs="Times New Roman"/>
                <w:bCs/>
              </w:rPr>
              <w:t>1个10m</w:t>
            </w:r>
            <w:r>
              <w:rPr>
                <w:rFonts w:ascii="Times New Roman" w:hAnsi="Times New Roman" w:cs="Times New Roman"/>
                <w:bCs/>
                <w:vertAlign w:val="superscript"/>
              </w:rPr>
              <w:t>3</w:t>
            </w:r>
            <w:r>
              <w:rPr>
                <w:rFonts w:ascii="Times New Roman" w:hAnsi="Times New Roman" w:cs="Times New Roman"/>
                <w:bCs/>
              </w:rPr>
              <w:t>的循环水池，</w:t>
            </w:r>
            <w:r>
              <w:rPr>
                <w:rFonts w:hint="eastAsia" w:ascii="Times New Roman" w:hAnsi="Times New Roman" w:cs="Times New Roman"/>
                <w:bCs/>
              </w:rPr>
              <w:t>酸洗系统添加</w:t>
            </w:r>
            <w:r>
              <w:rPr>
                <w:rFonts w:ascii="Times New Roman" w:hAnsi="Times New Roman" w:cs="Times New Roman"/>
                <w:bCs/>
              </w:rPr>
              <w:t>柠檬酸</w:t>
            </w:r>
            <w:r>
              <w:rPr>
                <w:rFonts w:hint="eastAsia" w:ascii="Times New Roman" w:hAnsi="Times New Roman" w:cs="Times New Roman"/>
                <w:bCs/>
              </w:rPr>
              <w:t>，碱洗系统添加</w:t>
            </w:r>
            <w:r>
              <w:rPr>
                <w:rFonts w:ascii="Times New Roman" w:hAnsi="Times New Roman" w:cs="Times New Roman"/>
                <w:bCs/>
              </w:rPr>
              <w:t>片碱</w:t>
            </w:r>
            <w:r>
              <w:rPr>
                <w:rFonts w:hint="eastAsia" w:ascii="Times New Roman" w:hAnsi="Times New Roman" w:cs="Times New Roman"/>
                <w:bCs/>
              </w:rPr>
              <w:t>（Na</w:t>
            </w:r>
            <w:r>
              <w:rPr>
                <w:rFonts w:ascii="Times New Roman" w:hAnsi="Times New Roman" w:cs="Times New Roman"/>
                <w:bCs/>
              </w:rPr>
              <w:t>OH</w:t>
            </w:r>
            <w:r>
              <w:rPr>
                <w:rFonts w:hint="eastAsia" w:ascii="Times New Roman" w:hAnsi="Times New Roman" w:cs="Times New Roman"/>
                <w:bCs/>
              </w:rPr>
              <w:t>）</w:t>
            </w:r>
            <w:r>
              <w:rPr>
                <w:rFonts w:ascii="Times New Roman" w:hAnsi="Times New Roman" w:cs="Times New Roman"/>
                <w:bCs/>
              </w:rPr>
              <w:t>，分别吸收恶臭气体中的碱性废气和酸性废气</w:t>
            </w:r>
            <w:r>
              <w:rPr>
                <w:rFonts w:hint="eastAsia" w:ascii="Times New Roman" w:hAnsi="Times New Roman" w:cs="Times New Roman"/>
                <w:bCs/>
              </w:rPr>
              <w:t>。</w:t>
            </w:r>
            <w:r>
              <w:rPr>
                <w:rFonts w:ascii="Times New Roman" w:hAnsi="Times New Roman" w:cs="Times New Roman"/>
                <w:bCs/>
              </w:rPr>
              <w:t>酸碱喷淋塔合计用水量为16m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，日运行均为8h，则日用水量为</w:t>
            </w:r>
            <w:r>
              <w:rPr>
                <w:rFonts w:ascii="Times New Roman" w:hAnsi="Times New Roman" w:cs="Times New Roman"/>
                <w:bCs/>
              </w:rPr>
              <w:t>128m</w:t>
            </w:r>
            <w:r>
              <w:rPr>
                <w:rFonts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喷淋系统</w:t>
            </w:r>
            <w:r>
              <w:rPr>
                <w:rFonts w:ascii="Times New Roman" w:hAnsi="Times New Roman" w:cs="Times New Roman"/>
                <w:bCs/>
              </w:rPr>
              <w:t>水分损耗按5％计，则水分损耗量为 0.8m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6.4m</w:t>
            </w:r>
            <w:r>
              <w:rPr>
                <w:rFonts w:ascii="Times New Roman" w:hAnsi="Times New Roman" w:cs="Times New Roman"/>
                <w:bCs/>
                <w:vertAlign w:val="superscript"/>
              </w:rPr>
              <w:t>3</w:t>
            </w:r>
            <w:r>
              <w:rPr>
                <w:rFonts w:ascii="Times New Roman" w:hAnsi="Times New Roman" w:cs="Times New Roman"/>
                <w:bCs/>
              </w:rPr>
              <w:t>/d，即每天需补充新鲜水6.4m</w:t>
            </w:r>
            <w:r>
              <w:rPr>
                <w:rFonts w:ascii="Times New Roman" w:hAnsi="Times New Roman" w:cs="Times New Roman"/>
                <w:bCs/>
                <w:vertAlign w:val="superscript"/>
              </w:rPr>
              <w:t>3</w:t>
            </w:r>
            <w:r>
              <w:rPr>
                <w:rFonts w:hint="eastAsia" w:ascii="Times New Roman" w:hAnsi="Times New Roman" w:cs="Times New Roman"/>
                <w:bCs/>
              </w:rPr>
              <w:t>。根据建设单位提供资料，酸碱喷淋水循环使用，不排放，仅每天补充相应药剂和水。</w:t>
            </w:r>
            <w:r>
              <w:rPr>
                <w:rFonts w:ascii="Times New Roman" w:hAnsi="Times New Roman" w:cs="Times New Roman"/>
                <w:bCs/>
              </w:rPr>
              <w:t xml:space="preserve"> </w:t>
            </w:r>
          </w:p>
          <w:p w14:paraId="6FF980F2">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7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⑦</w:t>
            </w:r>
            <w:r>
              <w:rPr>
                <w:rFonts w:ascii="Times New Roman" w:hAnsi="Times New Roman" w:cs="Times New Roman"/>
                <w:bCs/>
              </w:rPr>
              <w:fldChar w:fldCharType="end"/>
            </w:r>
            <w:r>
              <w:rPr>
                <w:rFonts w:ascii="Times New Roman" w:hAnsi="Times New Roman" w:cs="Times New Roman"/>
                <w:bCs/>
              </w:rPr>
              <w:t>水膜除尘器用水</w:t>
            </w:r>
          </w:p>
          <w:p w14:paraId="1B9F93B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项目拟设置1套水膜除尘器处理锅炉烟气，</w:t>
            </w:r>
            <w:r>
              <w:rPr>
                <w:rFonts w:hint="eastAsia" w:ascii="Times New Roman" w:hAnsi="Times New Roman" w:cs="Times New Roman"/>
                <w:bCs/>
              </w:rPr>
              <w:t>系统内总</w:t>
            </w:r>
            <w:r>
              <w:rPr>
                <w:rFonts w:ascii="Times New Roman" w:hAnsi="Times New Roman" w:cs="Times New Roman"/>
                <w:bCs/>
              </w:rPr>
              <w:t>水量为5m</w:t>
            </w:r>
            <w:r>
              <w:rPr>
                <w:rFonts w:ascii="Times New Roman" w:hAnsi="Times New Roman" w:cs="Times New Roman"/>
                <w:bCs/>
                <w:vertAlign w:val="superscript"/>
              </w:rPr>
              <w:t>3</w:t>
            </w:r>
            <w:r>
              <w:rPr>
                <w:rFonts w:hint="eastAsia" w:ascii="Times New Roman" w:hAnsi="Times New Roman" w:cs="Times New Roman"/>
                <w:bCs/>
              </w:rPr>
              <w:t>，每天</w:t>
            </w:r>
            <w:r>
              <w:rPr>
                <w:rFonts w:ascii="Times New Roman" w:hAnsi="Times New Roman" w:cs="Times New Roman"/>
                <w:bCs/>
              </w:rPr>
              <w:t>约5%蒸发损耗</w:t>
            </w:r>
            <w:r>
              <w:rPr>
                <w:rFonts w:hint="eastAsia" w:ascii="Times New Roman" w:hAnsi="Times New Roman" w:cs="Times New Roman"/>
                <w:bCs/>
              </w:rPr>
              <w:t>。</w:t>
            </w:r>
            <w:r>
              <w:rPr>
                <w:rFonts w:ascii="Times New Roman" w:hAnsi="Times New Roman" w:cs="Times New Roman"/>
                <w:bCs/>
              </w:rPr>
              <w:t>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。则</w:t>
            </w:r>
            <w:r>
              <w:rPr>
                <w:rFonts w:ascii="Times New Roman" w:hAnsi="Times New Roman" w:cs="Times New Roman"/>
                <w:bCs/>
              </w:rPr>
              <w:t>每天补充水量约 0.25m</w:t>
            </w:r>
            <w:r>
              <w:rPr>
                <w:rFonts w:ascii="Times New Roman" w:hAnsi="Times New Roman" w:cs="Times New Roman"/>
                <w:bCs/>
                <w:vertAlign w:val="superscript"/>
              </w:rPr>
              <w:t>3</w:t>
            </w:r>
            <w:r>
              <w:rPr>
                <w:rFonts w:hint="eastAsia" w:ascii="Times New Roman" w:hAnsi="Times New Roman" w:cs="Times New Roman"/>
                <w:bCs/>
              </w:rPr>
              <w:t>。</w:t>
            </w:r>
          </w:p>
          <w:p w14:paraId="23C8285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8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⑧</w:t>
            </w:r>
            <w:r>
              <w:rPr>
                <w:rFonts w:ascii="Times New Roman" w:hAnsi="Times New Roman" w:cs="Times New Roman"/>
                <w:bCs/>
              </w:rPr>
              <w:fldChar w:fldCharType="end"/>
            </w:r>
            <w:r>
              <w:rPr>
                <w:rFonts w:ascii="Times New Roman" w:hAnsi="Times New Roman" w:cs="Times New Roman"/>
                <w:bCs/>
              </w:rPr>
              <w:t>生活用水</w:t>
            </w:r>
          </w:p>
          <w:p w14:paraId="1DD2B64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项目运营期劳动定员27人，均在项目区内食宿。根据《云南省地方标准用水定额》（DB53/T168-2019）城镇居民用水量按110L/人</w:t>
            </w:r>
            <w:r>
              <w:rPr>
                <w:rFonts w:hint="eastAsia" w:ascii="微软雅黑" w:hAnsi="微软雅黑" w:eastAsia="微软雅黑" w:cs="微软雅黑"/>
                <w:bCs/>
              </w:rPr>
              <w:t>▪</w:t>
            </w:r>
            <w:r>
              <w:rPr>
                <w:rFonts w:ascii="Times New Roman" w:hAnsi="Times New Roman" w:cs="Times New Roman"/>
                <w:bCs/>
              </w:rPr>
              <w:t>d计，年工作300天</w:t>
            </w:r>
            <w:r>
              <w:rPr>
                <w:rFonts w:hint="eastAsia" w:ascii="Times New Roman" w:hAnsi="Times New Roman" w:cs="Times New Roman"/>
                <w:bCs/>
              </w:rPr>
              <w:t>，</w:t>
            </w:r>
            <w:r>
              <w:rPr>
                <w:rFonts w:ascii="Times New Roman" w:hAnsi="Times New Roman" w:cs="Times New Roman"/>
                <w:bCs/>
              </w:rPr>
              <w:t>则工作人员办公生活用水量为2.97m</w:t>
            </w:r>
            <w:r>
              <w:rPr>
                <w:rFonts w:ascii="Times New Roman" w:hAnsi="Times New Roman" w:cs="Times New Roman"/>
                <w:bCs/>
                <w:vertAlign w:val="superscript"/>
              </w:rPr>
              <w:t>3</w:t>
            </w:r>
            <w:r>
              <w:rPr>
                <w:rFonts w:ascii="Times New Roman" w:hAnsi="Times New Roman" w:cs="Times New Roman"/>
                <w:bCs/>
              </w:rPr>
              <w:t>/d、891m</w:t>
            </w:r>
            <w:r>
              <w:rPr>
                <w:rFonts w:ascii="Times New Roman" w:hAnsi="Times New Roman" w:cs="Times New Roman"/>
                <w:bCs/>
                <w:vertAlign w:val="superscript"/>
              </w:rPr>
              <w:t>3</w:t>
            </w:r>
            <w:r>
              <w:rPr>
                <w:rFonts w:ascii="Times New Roman" w:hAnsi="Times New Roman" w:cs="Times New Roman"/>
                <w:bCs/>
              </w:rPr>
              <w:t>/a。</w:t>
            </w:r>
          </w:p>
          <w:p w14:paraId="0A0CDEA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9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⑨</w:t>
            </w:r>
            <w:r>
              <w:rPr>
                <w:rFonts w:ascii="Times New Roman" w:hAnsi="Times New Roman" w:cs="Times New Roman"/>
                <w:bCs/>
              </w:rPr>
              <w:fldChar w:fldCharType="end"/>
            </w:r>
            <w:r>
              <w:rPr>
                <w:rFonts w:ascii="Times New Roman" w:hAnsi="Times New Roman" w:cs="Times New Roman"/>
                <w:bCs/>
              </w:rPr>
              <w:t>绿化用水</w:t>
            </w:r>
          </w:p>
          <w:p w14:paraId="371990C9">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厂</w:t>
            </w:r>
            <w:r>
              <w:rPr>
                <w:rFonts w:ascii="Times New Roman" w:hAnsi="Times New Roman" w:cs="Times New Roman"/>
                <w:bCs/>
              </w:rPr>
              <w:t>区绿化面积</w:t>
            </w:r>
            <w:r>
              <w:rPr>
                <w:rFonts w:hint="eastAsia" w:ascii="Times New Roman" w:hAnsi="Times New Roman" w:cs="Times New Roman"/>
                <w:bCs/>
              </w:rPr>
              <w:t>5</w:t>
            </w:r>
            <w:r>
              <w:rPr>
                <w:rFonts w:ascii="Times New Roman" w:hAnsi="Times New Roman" w:cs="Times New Roman"/>
                <w:bCs/>
              </w:rPr>
              <w:t>00m</w:t>
            </w:r>
            <w:r>
              <w:rPr>
                <w:rFonts w:ascii="Times New Roman" w:hAnsi="Times New Roman" w:cs="Times New Roman"/>
                <w:bCs/>
                <w:vertAlign w:val="superscript"/>
              </w:rPr>
              <w:t>2</w:t>
            </w:r>
            <w:r>
              <w:rPr>
                <w:rFonts w:ascii="Times New Roman" w:hAnsi="Times New Roman" w:cs="Times New Roman"/>
                <w:bCs/>
              </w:rPr>
              <w:t>，</w:t>
            </w:r>
            <w:r>
              <w:rPr>
                <w:rFonts w:hint="eastAsia" w:ascii="Times New Roman" w:hAnsi="Times New Roman" w:cs="Times New Roman"/>
                <w:bCs/>
              </w:rPr>
              <w:t>晴天</w:t>
            </w:r>
            <w:r>
              <w:rPr>
                <w:rFonts w:ascii="Times New Roman" w:hAnsi="Times New Roman" w:cs="Times New Roman"/>
                <w:bCs/>
              </w:rPr>
              <w:t>每天浇水一次，</w:t>
            </w:r>
            <w:r>
              <w:rPr>
                <w:rFonts w:hint="eastAsia" w:ascii="Times New Roman" w:hAnsi="Times New Roman" w:cs="Times New Roman"/>
                <w:bCs/>
              </w:rPr>
              <w:t>芒市全年晴天</w:t>
            </w:r>
            <w:r>
              <w:rPr>
                <w:rFonts w:ascii="Times New Roman" w:hAnsi="Times New Roman" w:cs="Times New Roman"/>
                <w:bCs/>
              </w:rPr>
              <w:t>按215天计</w:t>
            </w:r>
            <w:r>
              <w:rPr>
                <w:rFonts w:hint="eastAsia" w:ascii="Times New Roman" w:hAnsi="Times New Roman" w:cs="Times New Roman"/>
                <w:bCs/>
              </w:rPr>
              <w:t>。</w:t>
            </w:r>
            <w:r>
              <w:rPr>
                <w:rFonts w:ascii="Times New Roman" w:hAnsi="Times New Roman" w:cs="Times New Roman"/>
                <w:bCs/>
              </w:rPr>
              <w:t>参照《云南省地方标准用水定额》（DB53/T168-2019）园林绿化用水量</w:t>
            </w:r>
            <w:r>
              <w:rPr>
                <w:rFonts w:hint="eastAsia" w:ascii="Times New Roman" w:hAnsi="Times New Roman" w:cs="Times New Roman"/>
                <w:bCs/>
              </w:rPr>
              <w:t>为</w:t>
            </w:r>
            <w:r>
              <w:rPr>
                <w:rFonts w:ascii="Times New Roman" w:hAnsi="Times New Roman" w:cs="Times New Roman"/>
                <w:bCs/>
              </w:rPr>
              <w:t>3L/（m</w:t>
            </w:r>
            <w:r>
              <w:rPr>
                <w:rFonts w:ascii="Times New Roman" w:hAnsi="Times New Roman" w:cs="Times New Roman"/>
                <w:bCs/>
                <w:vertAlign w:val="superscript"/>
              </w:rPr>
              <w:t>2</w:t>
            </w:r>
            <w:r>
              <w:rPr>
                <w:rFonts w:hint="eastAsia" w:ascii="微软雅黑" w:hAnsi="微软雅黑" w:eastAsia="微软雅黑" w:cs="微软雅黑"/>
                <w:bCs/>
              </w:rPr>
              <w:t>•</w:t>
            </w:r>
            <w:r>
              <w:rPr>
                <w:rFonts w:ascii="Times New Roman" w:hAnsi="Times New Roman" w:cs="Times New Roman"/>
                <w:bCs/>
              </w:rPr>
              <w:t>次），则绿化用水量为 1.5m</w:t>
            </w:r>
            <w:r>
              <w:rPr>
                <w:rFonts w:ascii="Times New Roman" w:hAnsi="Times New Roman" w:cs="Times New Roman"/>
                <w:bCs/>
                <w:vertAlign w:val="superscript"/>
              </w:rPr>
              <w:t>3</w:t>
            </w:r>
            <w:r>
              <w:rPr>
                <w:rFonts w:ascii="Times New Roman" w:hAnsi="Times New Roman" w:cs="Times New Roman"/>
                <w:bCs/>
              </w:rPr>
              <w:t>/d，322.5m</w:t>
            </w:r>
            <w:r>
              <w:rPr>
                <w:rFonts w:ascii="Times New Roman" w:hAnsi="Times New Roman" w:cs="Times New Roman"/>
                <w:bCs/>
                <w:vertAlign w:val="superscript"/>
              </w:rPr>
              <w:t>3</w:t>
            </w:r>
            <w:r>
              <w:rPr>
                <w:rFonts w:ascii="Times New Roman" w:hAnsi="Times New Roman" w:cs="Times New Roman"/>
                <w:bCs/>
              </w:rPr>
              <w:t>/a。</w:t>
            </w:r>
          </w:p>
          <w:p w14:paraId="1E314D1C">
            <w:pPr>
              <w:pStyle w:val="10"/>
              <w:spacing w:line="360" w:lineRule="auto"/>
              <w:ind w:left="105" w:leftChars="50" w:right="105" w:rightChars="50" w:firstLine="240" w:firstLineChars="100"/>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10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⑩</w:t>
            </w:r>
            <w:r>
              <w:rPr>
                <w:rFonts w:ascii="Times New Roman" w:hAnsi="Times New Roman" w:cs="Times New Roman"/>
                <w:bCs/>
              </w:rPr>
              <w:fldChar w:fldCharType="end"/>
            </w:r>
            <w:r>
              <w:t>检验</w:t>
            </w:r>
            <w:r>
              <w:rPr>
                <w:rFonts w:hint="eastAsia"/>
              </w:rPr>
              <w:t>用</w:t>
            </w:r>
            <w:r>
              <w:t>水</w:t>
            </w:r>
          </w:p>
          <w:p w14:paraId="3E7C5D7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项目设置一间检验室，主要检验非洲猪瘟病毒，以及自建污水处理站出水水质病菌检验，检验</w:t>
            </w:r>
            <w:r>
              <w:rPr>
                <w:rFonts w:hint="eastAsia" w:ascii="Times New Roman" w:hAnsi="Times New Roman" w:cs="Times New Roman"/>
                <w:bCs/>
              </w:rPr>
              <w:t>用水</w:t>
            </w:r>
            <w:r>
              <w:rPr>
                <w:rFonts w:ascii="Times New Roman" w:hAnsi="Times New Roman" w:cs="Times New Roman"/>
                <w:bCs/>
              </w:rPr>
              <w:t>量约为0.1m</w:t>
            </w:r>
            <w:r>
              <w:rPr>
                <w:rFonts w:ascii="Times New Roman" w:hAnsi="Times New Roman" w:cs="Times New Roman"/>
                <w:bCs/>
                <w:vertAlign w:val="superscript"/>
              </w:rPr>
              <w:t>3</w:t>
            </w:r>
            <w:r>
              <w:rPr>
                <w:rFonts w:ascii="Times New Roman" w:hAnsi="Times New Roman" w:cs="Times New Roman"/>
                <w:bCs/>
              </w:rPr>
              <w:t>/d。</w:t>
            </w:r>
          </w:p>
          <w:bookmarkEnd w:id="17"/>
          <w:p w14:paraId="2B14CDF6">
            <w:pPr>
              <w:pStyle w:val="10"/>
              <w:snapToGrid w:val="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排</w:t>
            </w:r>
            <w:r>
              <w:rPr>
                <w:rFonts w:ascii="Times New Roman" w:hAnsi="Times New Roman" w:cs="Times New Roman"/>
                <w:bCs/>
              </w:rPr>
              <w:t>水</w:t>
            </w:r>
          </w:p>
          <w:p w14:paraId="2B0AC17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项目排水采用雨污分流的方式</w:t>
            </w:r>
            <w:r>
              <w:rPr>
                <w:rFonts w:hint="eastAsia" w:ascii="Times New Roman" w:hAnsi="Times New Roman" w:cs="Times New Roman"/>
                <w:bCs/>
              </w:rPr>
              <w:t>。雨水</w:t>
            </w:r>
            <w:r>
              <w:rPr>
                <w:rFonts w:ascii="Times New Roman" w:hAnsi="Times New Roman" w:cs="Times New Roman"/>
                <w:bCs/>
              </w:rPr>
              <w:t>排至厂区外的</w:t>
            </w:r>
            <w:r>
              <w:rPr>
                <w:rFonts w:hint="eastAsia" w:ascii="Times New Roman" w:hAnsi="Times New Roman" w:cs="Times New Roman"/>
                <w:bCs/>
              </w:rPr>
              <w:t>沟箐</w:t>
            </w:r>
            <w:r>
              <w:rPr>
                <w:rFonts w:ascii="Times New Roman" w:hAnsi="Times New Roman" w:cs="Times New Roman"/>
                <w:bCs/>
              </w:rPr>
              <w:t>，顺排水沟以地表径流的形式</w:t>
            </w:r>
            <w:r>
              <w:rPr>
                <w:rFonts w:hint="eastAsia" w:ascii="Times New Roman" w:hAnsi="Times New Roman" w:cs="Times New Roman"/>
                <w:bCs/>
              </w:rPr>
              <w:t>汇入芒市大河</w:t>
            </w:r>
            <w:r>
              <w:rPr>
                <w:rFonts w:ascii="Times New Roman" w:hAnsi="Times New Roman" w:cs="Times New Roman"/>
                <w:bCs/>
              </w:rPr>
              <w:t>。</w:t>
            </w:r>
          </w:p>
          <w:p w14:paraId="16BD85DA">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项目</w:t>
            </w:r>
            <w:r>
              <w:rPr>
                <w:rFonts w:ascii="Times New Roman" w:hAnsi="Times New Roman" w:cs="Times New Roman"/>
                <w:bCs/>
              </w:rPr>
              <w:t>消毒废水经消毒池收集后循环使用，不外排；冷却塔定期排水采用收集桶收集后回用于无害化车间冲洗；工艺废水经地埋式储存罐收集，设备、车间、车辆清洗废水经管道收集，然后一并进入自建污水处理站处理；食堂含油废水先经隔油池处理后再与</w:t>
            </w:r>
            <w:r>
              <w:rPr>
                <w:rFonts w:hint="eastAsia" w:ascii="Times New Roman" w:hAnsi="Times New Roman" w:cs="Times New Roman"/>
                <w:bCs/>
              </w:rPr>
              <w:t>其它</w:t>
            </w:r>
            <w:r>
              <w:rPr>
                <w:rFonts w:ascii="Times New Roman" w:hAnsi="Times New Roman" w:cs="Times New Roman"/>
                <w:bCs/>
              </w:rPr>
              <w:t>生活污水一并进入化粪池处理，最终进入自建污水处理站处理</w:t>
            </w:r>
            <w:r>
              <w:rPr>
                <w:rFonts w:hint="eastAsia" w:ascii="Times New Roman" w:hAnsi="Times New Roman" w:cs="Times New Roman"/>
                <w:bCs/>
              </w:rPr>
              <w:t>。</w:t>
            </w:r>
            <w:r>
              <w:rPr>
                <w:rFonts w:ascii="Times New Roman" w:hAnsi="Times New Roman" w:cs="Times New Roman"/>
                <w:bCs/>
              </w:rPr>
              <w:t>厂区综合污水经污水处理站处理达《农田灌溉水质标准》（GB5084-2021）后，暂存于1个容积为250m</w:t>
            </w:r>
            <w:r>
              <w:rPr>
                <w:rFonts w:ascii="Times New Roman" w:hAnsi="Times New Roman" w:cs="Times New Roman"/>
                <w:bCs/>
                <w:vertAlign w:val="superscript"/>
              </w:rPr>
              <w:t>3</w:t>
            </w:r>
            <w:r>
              <w:rPr>
                <w:rFonts w:ascii="Times New Roman" w:hAnsi="Times New Roman" w:cs="Times New Roman"/>
                <w:bCs/>
              </w:rPr>
              <w:t>的储水池内；灌溉前再次对水质进行检测，确保水质达《农田灌溉水质标准》（GB5084-2021）后，通过水泵、管道抽至租用的耕地内进行灌溉，耕地设置沟渠和退水收集池，收集</w:t>
            </w:r>
            <w:r>
              <w:rPr>
                <w:rFonts w:hint="eastAsia" w:ascii="Times New Roman" w:hAnsi="Times New Roman" w:cs="Times New Roman"/>
                <w:bCs/>
              </w:rPr>
              <w:t>的</w:t>
            </w:r>
            <w:r>
              <w:rPr>
                <w:rFonts w:ascii="Times New Roman" w:hAnsi="Times New Roman" w:cs="Times New Roman"/>
                <w:bCs/>
              </w:rPr>
              <w:t>农田</w:t>
            </w:r>
            <w:r>
              <w:rPr>
                <w:rFonts w:hint="eastAsia" w:ascii="Times New Roman" w:hAnsi="Times New Roman" w:cs="Times New Roman"/>
                <w:bCs/>
              </w:rPr>
              <w:t>退水回用于耕地浇灌，不排放。</w:t>
            </w:r>
          </w:p>
          <w:p w14:paraId="01B4FC44">
            <w:pPr>
              <w:pStyle w:val="10"/>
              <w:snapToGrid w:val="0"/>
              <w:spacing w:line="360" w:lineRule="auto"/>
              <w:ind w:left="0" w:right="105" w:rightChars="50" w:firstLine="240" w:firstLineChars="100"/>
              <w:rPr>
                <w:rFonts w:ascii="Times New Roman" w:hAnsi="Times New Roman" w:cs="Times New Roman"/>
                <w:bCs/>
              </w:rPr>
            </w:pPr>
            <w:bookmarkStart w:id="18" w:name="_Hlk99527772"/>
            <w:r>
              <w:rPr>
                <w:rFonts w:hint="eastAsia" w:ascii="Times New Roman" w:hAnsi="Times New Roman" w:cs="Times New Roman"/>
                <w:bCs/>
              </w:rPr>
              <w:t>项目污水产排情况如下：</w:t>
            </w:r>
          </w:p>
          <w:p w14:paraId="46C2CAB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ascii="Times New Roman" w:hAnsi="Times New Roman" w:cs="Times New Roman"/>
                <w:bCs/>
              </w:rPr>
              <w:t>工艺废水</w:t>
            </w:r>
          </w:p>
          <w:p w14:paraId="43FAE05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拟建项目处理的动物尸体主要为体型较小的死亡动物。动物的身体构成主要 由水、血液、骨骼、蛋白质、脂肪、肌肉等构成，病害动物含水率约为70%。死亡动物经破碎后由螺旋输送机送入化制罐内高温化制和干燥，泄压时和干燥过程会有水蒸气产生。项目利用化制罐进行间接加热，高温化制过程不需加入水混合物料，灭菌、干燥过程中产生的蒸汽采用冷凝器进行冷凝，工艺废水主要来源于病死动物自身带水、血液等。拟建项目病死畜禽尸体年设计处理量 3000t/a，含水</w:t>
            </w:r>
            <w:r>
              <w:rPr>
                <w:rFonts w:hint="eastAsia" w:ascii="Times New Roman" w:hAnsi="Times New Roman" w:cs="Times New Roman"/>
                <w:bCs/>
              </w:rPr>
              <w:t>量</w:t>
            </w:r>
            <w:r>
              <w:rPr>
                <w:rFonts w:ascii="Times New Roman" w:hAnsi="Times New Roman" w:cs="Times New Roman"/>
                <w:bCs/>
              </w:rPr>
              <w:t>约为2100m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7.0m</w:t>
            </w:r>
            <w:r>
              <w:rPr>
                <w:rFonts w:ascii="Times New Roman" w:hAnsi="Times New Roman" w:cs="Times New Roman"/>
                <w:bCs/>
                <w:vertAlign w:val="superscript"/>
              </w:rPr>
              <w:t>3</w:t>
            </w:r>
            <w:r>
              <w:rPr>
                <w:rFonts w:ascii="Times New Roman" w:hAnsi="Times New Roman" w:cs="Times New Roman"/>
                <w:bCs/>
              </w:rPr>
              <w:t>/d。水分大部分蒸发，少部分随副产品骨肉料带走，根据产品质量标准可知，骨肉料水分含量约为6%，则骨肉料带走水量为36m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，折合0</w:t>
            </w:r>
            <w:r>
              <w:rPr>
                <w:rFonts w:ascii="Times New Roman" w:hAnsi="Times New Roman" w:cs="Times New Roman"/>
                <w:bCs/>
              </w:rPr>
              <w:t>.12</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，剩余部分全部蒸发，污蒸汽中含水量为2064m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6.88m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采用冷凝器冷凝，冷凝效率以90%计，其中不凝气中含水量为207m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0.69m</w:t>
            </w:r>
            <w:r>
              <w:rPr>
                <w:rFonts w:ascii="Times New Roman" w:hAnsi="Times New Roman" w:cs="Times New Roman"/>
                <w:bCs/>
                <w:vertAlign w:val="superscript"/>
              </w:rPr>
              <w:t>3</w:t>
            </w:r>
            <w:r>
              <w:rPr>
                <w:rFonts w:ascii="Times New Roman" w:hAnsi="Times New Roman" w:cs="Times New Roman"/>
                <w:bCs/>
              </w:rPr>
              <w:t>/d，最终以蒸汽形式进入大气；污冷凝水产生量约为1857m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6.19m</w:t>
            </w:r>
            <w:r>
              <w:rPr>
                <w:rFonts w:ascii="Times New Roman" w:hAnsi="Times New Roman" w:cs="Times New Roman"/>
                <w:bCs/>
                <w:vertAlign w:val="superscript"/>
              </w:rPr>
              <w:t>3</w:t>
            </w:r>
            <w:r>
              <w:rPr>
                <w:rFonts w:ascii="Times New Roman" w:hAnsi="Times New Roman" w:cs="Times New Roman"/>
                <w:bCs/>
              </w:rPr>
              <w:t>/d。该部分废水经一个10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的地埋式暂存罐收集、暂存，进入</w:t>
            </w:r>
            <w:r>
              <w:rPr>
                <w:rFonts w:hint="eastAsia" w:ascii="Times New Roman" w:hAnsi="Times New Roman" w:cs="Times New Roman"/>
                <w:bCs/>
              </w:rPr>
              <w:t>厂区</w:t>
            </w:r>
            <w:r>
              <w:rPr>
                <w:rFonts w:ascii="Times New Roman" w:hAnsi="Times New Roman" w:cs="Times New Roman"/>
                <w:bCs/>
              </w:rPr>
              <w:t>污水处理站处理。</w:t>
            </w:r>
          </w:p>
          <w:p w14:paraId="6E7690E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设备清洗</w:t>
            </w:r>
            <w:r>
              <w:rPr>
                <w:rFonts w:hint="eastAsia" w:ascii="Times New Roman" w:hAnsi="Times New Roman" w:cs="Times New Roman"/>
                <w:bCs/>
              </w:rPr>
              <w:t>废水</w:t>
            </w:r>
          </w:p>
          <w:p w14:paraId="55811FA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生产设备清洗用水量约0.18m</w:t>
            </w:r>
            <w:r>
              <w:rPr>
                <w:rFonts w:ascii="Times New Roman" w:hAnsi="Times New Roman" w:cs="Times New Roman"/>
                <w:bCs/>
                <w:vertAlign w:val="superscript"/>
              </w:rPr>
              <w:t>3</w:t>
            </w:r>
            <w:r>
              <w:rPr>
                <w:rFonts w:ascii="Times New Roman" w:hAnsi="Times New Roman" w:cs="Times New Roman"/>
                <w:bCs/>
              </w:rPr>
              <w:t>/d（54m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排污系数按0.9计，则废水产生量为0.16m</w:t>
            </w:r>
            <w:r>
              <w:rPr>
                <w:rFonts w:ascii="Times New Roman" w:hAnsi="Times New Roman" w:cs="Times New Roman"/>
                <w:bCs/>
                <w:vertAlign w:val="superscript"/>
              </w:rPr>
              <w:t>3</w:t>
            </w:r>
            <w:r>
              <w:rPr>
                <w:rFonts w:ascii="Times New Roman" w:hAnsi="Times New Roman" w:cs="Times New Roman"/>
                <w:bCs/>
              </w:rPr>
              <w:t>/d（48m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经管道收集后进入自建污水处理站处理。</w:t>
            </w:r>
          </w:p>
          <w:p w14:paraId="100875CB">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ascii="Times New Roman" w:hAnsi="Times New Roman" w:cs="Times New Roman"/>
                <w:bCs/>
              </w:rPr>
              <w:t>车间地面清洗</w:t>
            </w:r>
            <w:r>
              <w:rPr>
                <w:rFonts w:hint="eastAsia" w:ascii="Times New Roman" w:hAnsi="Times New Roman" w:cs="Times New Roman"/>
                <w:bCs/>
              </w:rPr>
              <w:t>废水</w:t>
            </w:r>
          </w:p>
          <w:p w14:paraId="1EFD355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无害化处理车间地面冲洗用水量约3.0m</w:t>
            </w:r>
            <w:r>
              <w:rPr>
                <w:rFonts w:ascii="Times New Roman" w:hAnsi="Times New Roman" w:cs="Times New Roman"/>
                <w:bCs/>
                <w:vertAlign w:val="superscript"/>
              </w:rPr>
              <w:t>3</w:t>
            </w:r>
            <w:r>
              <w:rPr>
                <w:rFonts w:ascii="Times New Roman" w:hAnsi="Times New Roman" w:cs="Times New Roman"/>
                <w:bCs/>
              </w:rPr>
              <w:t>/d、900m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排污系数按0.9计，则废水产生量为2.7m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810m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经管道收集后进入自建污水处理站处理。</w:t>
            </w:r>
          </w:p>
          <w:p w14:paraId="04A80492">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车辆清洗</w:t>
            </w:r>
            <w:r>
              <w:rPr>
                <w:rFonts w:hint="eastAsia" w:ascii="Times New Roman" w:hAnsi="Times New Roman" w:cs="Times New Roman"/>
                <w:bCs/>
              </w:rPr>
              <w:t>废水</w:t>
            </w:r>
          </w:p>
          <w:p w14:paraId="1372DFF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运输车辆清洗日用水量约0.5m</w:t>
            </w:r>
            <w:r>
              <w:rPr>
                <w:rFonts w:ascii="Times New Roman" w:hAnsi="Times New Roman" w:cs="Times New Roman"/>
                <w:bCs/>
                <w:vertAlign w:val="superscript"/>
              </w:rPr>
              <w:t>3</w:t>
            </w:r>
            <w:r>
              <w:rPr>
                <w:rFonts w:ascii="Times New Roman" w:hAnsi="Times New Roman" w:cs="Times New Roman"/>
                <w:bCs/>
              </w:rPr>
              <w:t>/d、150m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排污系数按0.9计，则废水产生量为0.45m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135m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经管道收集后进入自建污水处理站处理。</w:t>
            </w:r>
          </w:p>
          <w:p w14:paraId="67AE65F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ascii="Times New Roman" w:hAnsi="Times New Roman" w:cs="Times New Roman"/>
                <w:bCs/>
              </w:rPr>
              <w:t>车辆消毒</w:t>
            </w:r>
            <w:r>
              <w:rPr>
                <w:rFonts w:hint="eastAsia" w:ascii="Times New Roman" w:hAnsi="Times New Roman" w:cs="Times New Roman"/>
                <w:bCs/>
              </w:rPr>
              <w:t>废水</w:t>
            </w:r>
          </w:p>
          <w:p w14:paraId="09393C78">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车辆进出场消毒用水量约为0.5m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，消毒废水</w:t>
            </w:r>
            <w:r>
              <w:rPr>
                <w:rFonts w:ascii="Times New Roman" w:hAnsi="Times New Roman" w:cs="Times New Roman"/>
                <w:bCs/>
              </w:rPr>
              <w:t>经消毒池收集</w:t>
            </w:r>
            <w:r>
              <w:rPr>
                <w:rFonts w:hint="eastAsia" w:ascii="Times New Roman" w:hAnsi="Times New Roman" w:cs="Times New Roman"/>
                <w:bCs/>
              </w:rPr>
              <w:t>、加药</w:t>
            </w:r>
            <w:r>
              <w:rPr>
                <w:rFonts w:ascii="Times New Roman" w:hAnsi="Times New Roman" w:cs="Times New Roman"/>
                <w:bCs/>
              </w:rPr>
              <w:t>后循环使用，不外排</w:t>
            </w:r>
            <w:r>
              <w:rPr>
                <w:rFonts w:hint="eastAsia" w:ascii="Times New Roman" w:hAnsi="Times New Roman" w:cs="Times New Roman"/>
                <w:bCs/>
              </w:rPr>
              <w:t>。</w:t>
            </w:r>
          </w:p>
          <w:p w14:paraId="3E3A506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冷却循环系统</w:t>
            </w:r>
            <w:r>
              <w:rPr>
                <w:rFonts w:hint="eastAsia" w:ascii="Times New Roman" w:hAnsi="Times New Roman" w:cs="Times New Roman"/>
                <w:bCs/>
              </w:rPr>
              <w:t>废水</w:t>
            </w:r>
          </w:p>
          <w:p w14:paraId="63A62C4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项目冷却塔循环水量</w:t>
            </w:r>
            <w:r>
              <w:rPr>
                <w:rFonts w:hint="eastAsia" w:ascii="Times New Roman" w:hAnsi="Times New Roman" w:cs="Times New Roman"/>
                <w:bCs/>
              </w:rPr>
              <w:t>为</w:t>
            </w:r>
            <w:r>
              <w:rPr>
                <w:rFonts w:ascii="Times New Roman" w:hAnsi="Times New Roman" w:cs="Times New Roman"/>
                <w:bCs/>
              </w:rPr>
              <w:t>150m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每天</w:t>
            </w:r>
            <w:r>
              <w:rPr>
                <w:rFonts w:ascii="Times New Roman" w:hAnsi="Times New Roman" w:cs="Times New Roman"/>
                <w:bCs/>
              </w:rPr>
              <w:t>蒸发损耗</w:t>
            </w:r>
            <w:r>
              <w:rPr>
                <w:rFonts w:hint="eastAsia" w:ascii="Times New Roman" w:hAnsi="Times New Roman" w:cs="Times New Roman"/>
                <w:bCs/>
              </w:rPr>
              <w:t>需</w:t>
            </w:r>
            <w:r>
              <w:rPr>
                <w:rFonts w:ascii="Times New Roman" w:hAnsi="Times New Roman" w:cs="Times New Roman"/>
                <w:bCs/>
              </w:rPr>
              <w:t>补水量为60m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，蒸发损耗过程无废水产生</w:t>
            </w:r>
            <w:r>
              <w:rPr>
                <w:rFonts w:ascii="Times New Roman" w:hAnsi="Times New Roman" w:cs="Times New Roman"/>
                <w:bCs/>
              </w:rPr>
              <w:t>。</w:t>
            </w:r>
          </w:p>
          <w:p w14:paraId="51ADC32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循环一定时间后，</w:t>
            </w:r>
            <w:r>
              <w:rPr>
                <w:rFonts w:hint="eastAsia" w:ascii="Times New Roman" w:hAnsi="Times New Roman" w:cs="Times New Roman"/>
                <w:bCs/>
              </w:rPr>
              <w:t>水中</w:t>
            </w:r>
            <w:r>
              <w:rPr>
                <w:rFonts w:ascii="Times New Roman" w:hAnsi="Times New Roman" w:cs="Times New Roman"/>
                <w:bCs/>
              </w:rPr>
              <w:t>盐类成分增加，需定期</w:t>
            </w:r>
            <w:r>
              <w:rPr>
                <w:rFonts w:hint="eastAsia" w:ascii="Times New Roman" w:hAnsi="Times New Roman" w:cs="Times New Roman"/>
                <w:bCs/>
              </w:rPr>
              <w:t>置换部分循环水。根据建设单位提供资料，拟每</w:t>
            </w:r>
            <w:r>
              <w:rPr>
                <w:rFonts w:ascii="Times New Roman" w:hAnsi="Times New Roman" w:cs="Times New Roman"/>
                <w:bCs/>
              </w:rPr>
              <w:t>一个月</w:t>
            </w:r>
            <w:r>
              <w:rPr>
                <w:rFonts w:hint="eastAsia" w:ascii="Times New Roman" w:hAnsi="Times New Roman" w:cs="Times New Roman"/>
                <w:bCs/>
              </w:rPr>
              <w:t>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p>
          <w:p w14:paraId="172C978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7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⑦</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w:t>
            </w:r>
            <w:r>
              <w:rPr>
                <w:rFonts w:hint="eastAsia" w:ascii="Times New Roman" w:hAnsi="Times New Roman" w:cs="Times New Roman"/>
                <w:bCs/>
              </w:rPr>
              <w:t>废水</w:t>
            </w:r>
          </w:p>
          <w:p w14:paraId="0261964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项目酸碱喷淋</w:t>
            </w:r>
            <w:r>
              <w:rPr>
                <w:rFonts w:hint="eastAsia" w:ascii="Times New Roman" w:hAnsi="Times New Roman" w:cs="Times New Roman"/>
                <w:bCs/>
              </w:rPr>
              <w:t>系统内在水量为2</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，日循环水量为</w:t>
            </w:r>
            <w:r>
              <w:rPr>
                <w:rFonts w:ascii="Times New Roman" w:hAnsi="Times New Roman" w:cs="Times New Roman"/>
                <w:bCs/>
              </w:rPr>
              <w:t>128m</w:t>
            </w:r>
            <w:r>
              <w:rPr>
                <w:rFonts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喷淋系统</w:t>
            </w:r>
            <w:r>
              <w:rPr>
                <w:rFonts w:ascii="Times New Roman" w:hAnsi="Times New Roman" w:cs="Times New Roman"/>
                <w:bCs/>
              </w:rPr>
              <w:t>每天需补充新鲜水</w:t>
            </w:r>
            <w:r>
              <w:rPr>
                <w:rFonts w:hint="eastAsia" w:ascii="Times New Roman" w:hAnsi="Times New Roman" w:cs="Times New Roman"/>
                <w:bCs/>
              </w:rPr>
              <w:t>为</w:t>
            </w:r>
            <w:r>
              <w:rPr>
                <w:rFonts w:ascii="Times New Roman" w:hAnsi="Times New Roman" w:cs="Times New Roman"/>
                <w:bCs/>
              </w:rPr>
              <w:t>6.4m</w:t>
            </w:r>
            <w:r>
              <w:rPr>
                <w:rFonts w:ascii="Times New Roman" w:hAnsi="Times New Roman" w:cs="Times New Roman"/>
                <w:bCs/>
                <w:vertAlign w:val="superscript"/>
              </w:rPr>
              <w:t>3</w:t>
            </w:r>
            <w:r>
              <w:rPr>
                <w:rFonts w:hint="eastAsia" w:ascii="Times New Roman" w:hAnsi="Times New Roman" w:cs="Times New Roman"/>
                <w:bCs/>
              </w:rPr>
              <w:t>，日常运行蒸发损耗过程中无废水产生</w:t>
            </w:r>
            <w:r>
              <w:rPr>
                <w:rFonts w:ascii="Times New Roman" w:hAnsi="Times New Roman" w:cs="Times New Roman"/>
                <w:bCs/>
              </w:rPr>
              <w:t>。</w:t>
            </w:r>
          </w:p>
          <w:p w14:paraId="51D2F00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8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⑧</w:t>
            </w:r>
            <w:r>
              <w:rPr>
                <w:rFonts w:ascii="Times New Roman" w:hAnsi="Times New Roman" w:cs="Times New Roman"/>
                <w:bCs/>
              </w:rPr>
              <w:fldChar w:fldCharType="end"/>
            </w:r>
            <w:r>
              <w:rPr>
                <w:rFonts w:ascii="Times New Roman" w:hAnsi="Times New Roman" w:cs="Times New Roman"/>
                <w:bCs/>
              </w:rPr>
              <w:t>水膜除尘器</w:t>
            </w:r>
            <w:r>
              <w:rPr>
                <w:rFonts w:hint="eastAsia" w:ascii="Times New Roman" w:hAnsi="Times New Roman" w:cs="Times New Roman"/>
                <w:bCs/>
              </w:rPr>
              <w:t>废水</w:t>
            </w:r>
          </w:p>
          <w:p w14:paraId="5BD6E1B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项目拟设置1套水膜除尘器处理锅炉烟气，除尘后的废水经配套循环水池收集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w:t>
            </w:r>
          </w:p>
          <w:p w14:paraId="3A70C202">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9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⑨</w:t>
            </w:r>
            <w:r>
              <w:rPr>
                <w:rFonts w:ascii="Times New Roman" w:hAnsi="Times New Roman" w:cs="Times New Roman"/>
                <w:bCs/>
              </w:rPr>
              <w:fldChar w:fldCharType="end"/>
            </w:r>
            <w:r>
              <w:rPr>
                <w:rFonts w:ascii="Times New Roman" w:hAnsi="Times New Roman" w:cs="Times New Roman"/>
                <w:bCs/>
              </w:rPr>
              <w:t>生活</w:t>
            </w:r>
            <w:r>
              <w:rPr>
                <w:rFonts w:hint="eastAsia" w:ascii="Times New Roman" w:hAnsi="Times New Roman" w:cs="Times New Roman"/>
                <w:bCs/>
              </w:rPr>
              <w:t>废水</w:t>
            </w:r>
          </w:p>
          <w:p w14:paraId="6639D48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项目生活用水量为2.97m</w:t>
            </w:r>
            <w:r>
              <w:rPr>
                <w:rFonts w:ascii="Times New Roman" w:hAnsi="Times New Roman" w:cs="Times New Roman"/>
                <w:bCs/>
                <w:vertAlign w:val="superscript"/>
              </w:rPr>
              <w:t>3</w:t>
            </w:r>
            <w:r>
              <w:rPr>
                <w:rFonts w:ascii="Times New Roman" w:hAnsi="Times New Roman" w:cs="Times New Roman"/>
                <w:bCs/>
              </w:rPr>
              <w:t>/d、891m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污水产生量按80%计，</w:t>
            </w:r>
            <w:r>
              <w:rPr>
                <w:rFonts w:hint="eastAsia" w:ascii="Times New Roman" w:hAnsi="Times New Roman" w:cs="Times New Roman"/>
                <w:bCs/>
              </w:rPr>
              <w:t>则生活污水产生量约为</w:t>
            </w:r>
            <w:r>
              <w:rPr>
                <w:rFonts w:ascii="Times New Roman" w:hAnsi="Times New Roman" w:cs="Times New Roman"/>
                <w:bCs/>
              </w:rPr>
              <w:t>2.38m</w:t>
            </w:r>
            <w:r>
              <w:rPr>
                <w:rFonts w:ascii="Times New Roman" w:hAnsi="Times New Roman" w:cs="Times New Roman"/>
                <w:bCs/>
                <w:vertAlign w:val="superscript"/>
              </w:rPr>
              <w:t>3</w:t>
            </w:r>
            <w:r>
              <w:rPr>
                <w:rFonts w:ascii="Times New Roman" w:hAnsi="Times New Roman" w:cs="Times New Roman"/>
                <w:bCs/>
              </w:rPr>
              <w:t>/d、712.8m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。其中，食堂废水量约为0</w:t>
            </w:r>
            <w:r>
              <w:rPr>
                <w:rFonts w:ascii="Times New Roman" w:hAnsi="Times New Roman" w:cs="Times New Roman"/>
                <w:bCs/>
              </w:rPr>
              <w:t>.22</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经1个0.1m</w:t>
            </w:r>
            <w:r>
              <w:rPr>
                <w:rFonts w:ascii="Times New Roman" w:hAnsi="Times New Roman" w:cs="Times New Roman"/>
                <w:bCs/>
                <w:vertAlign w:val="superscript"/>
              </w:rPr>
              <w:t>3</w:t>
            </w:r>
            <w:r>
              <w:rPr>
                <w:rFonts w:ascii="Times New Roman" w:hAnsi="Times New Roman" w:cs="Times New Roman"/>
                <w:bCs/>
              </w:rPr>
              <w:t>的隔油池</w:t>
            </w:r>
            <w:r>
              <w:rPr>
                <w:rFonts w:hint="eastAsia" w:ascii="Times New Roman" w:hAnsi="Times New Roman" w:cs="Times New Roman"/>
                <w:bCs/>
              </w:rPr>
              <w:t>预</w:t>
            </w:r>
            <w:r>
              <w:rPr>
                <w:rFonts w:ascii="Times New Roman" w:hAnsi="Times New Roman" w:cs="Times New Roman"/>
                <w:bCs/>
              </w:rPr>
              <w:t>处理后和</w:t>
            </w:r>
            <w:r>
              <w:rPr>
                <w:rFonts w:hint="eastAsia" w:ascii="Times New Roman" w:hAnsi="Times New Roman" w:cs="Times New Roman"/>
                <w:bCs/>
              </w:rPr>
              <w:t>其它</w:t>
            </w:r>
            <w:r>
              <w:rPr>
                <w:rFonts w:ascii="Times New Roman" w:hAnsi="Times New Roman" w:cs="Times New Roman"/>
                <w:bCs/>
              </w:rPr>
              <w:t>生活污水一起进入1个5m</w:t>
            </w:r>
            <w:r>
              <w:rPr>
                <w:rFonts w:ascii="Times New Roman" w:hAnsi="Times New Roman" w:cs="Times New Roman"/>
                <w:bCs/>
                <w:vertAlign w:val="superscript"/>
              </w:rPr>
              <w:t>3</w:t>
            </w:r>
            <w:r>
              <w:rPr>
                <w:rFonts w:ascii="Times New Roman" w:hAnsi="Times New Roman" w:cs="Times New Roman"/>
                <w:bCs/>
              </w:rPr>
              <w:t>的化粪池处理</w:t>
            </w:r>
            <w:r>
              <w:rPr>
                <w:rFonts w:hint="eastAsia" w:ascii="Times New Roman" w:hAnsi="Times New Roman" w:cs="Times New Roman"/>
                <w:bCs/>
              </w:rPr>
              <w:t>，</w:t>
            </w:r>
            <w:r>
              <w:rPr>
                <w:rFonts w:ascii="Times New Roman" w:hAnsi="Times New Roman" w:cs="Times New Roman"/>
                <w:bCs/>
              </w:rPr>
              <w:t>最终进入自建的污水处理站处理。</w:t>
            </w:r>
          </w:p>
          <w:p w14:paraId="7346F871">
            <w:pPr>
              <w:pStyle w:val="10"/>
              <w:spacing w:line="360" w:lineRule="auto"/>
              <w:ind w:left="105" w:leftChars="50" w:right="105" w:rightChars="50" w:firstLine="240" w:firstLineChars="100"/>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10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⑩</w:t>
            </w:r>
            <w:r>
              <w:rPr>
                <w:rFonts w:ascii="Times New Roman" w:hAnsi="Times New Roman" w:cs="Times New Roman"/>
                <w:bCs/>
              </w:rPr>
              <w:fldChar w:fldCharType="end"/>
            </w:r>
            <w:r>
              <w:t>检验废水</w:t>
            </w:r>
          </w:p>
          <w:p w14:paraId="2CA8C84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项目设置一间检验室，主要检验非洲猪瘟病毒，以及自建污水处理站出水水 质病菌检验，检验过程会产生检验废水</w:t>
            </w:r>
            <w:r>
              <w:rPr>
                <w:rFonts w:hint="eastAsia" w:ascii="Times New Roman" w:hAnsi="Times New Roman" w:cs="Times New Roman"/>
                <w:bCs/>
              </w:rPr>
              <w:t>。</w:t>
            </w:r>
            <w:r>
              <w:rPr>
                <w:rFonts w:ascii="Times New Roman" w:hAnsi="Times New Roman" w:cs="Times New Roman"/>
                <w:bCs/>
              </w:rPr>
              <w:t>项目检验废水产生量约为0.1m</w:t>
            </w:r>
            <w:r>
              <w:rPr>
                <w:rFonts w:ascii="Times New Roman" w:hAnsi="Times New Roman" w:cs="Times New Roman"/>
                <w:bCs/>
                <w:vertAlign w:val="superscript"/>
              </w:rPr>
              <w:t>3</w:t>
            </w:r>
            <w:r>
              <w:rPr>
                <w:rFonts w:ascii="Times New Roman" w:hAnsi="Times New Roman" w:cs="Times New Roman"/>
                <w:bCs/>
              </w:rPr>
              <w:t>/d，该部分废水先经收集桶收集，进行酸碱中和预处理后进入自建污水处理站处理。</w:t>
            </w:r>
          </w:p>
          <w:p w14:paraId="4FA15CF5">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eq \o\ac(</w:instrText>
            </w:r>
            <w:r>
              <w:rPr>
                <w:rFonts w:hint="eastAsia" w:hAnsi="Times New Roman" w:cs="Times New Roman"/>
                <w:bCs/>
                <w:position w:val="-4"/>
                <w:sz w:val="36"/>
              </w:rPr>
              <w:instrText xml:space="preserve">○</w:instrText>
            </w:r>
            <w:r>
              <w:rPr>
                <w:rFonts w:hint="eastAsia" w:ascii="Times New Roman" w:hAnsi="Times New Roman" w:cs="Times New Roman"/>
                <w:bCs/>
              </w:rPr>
              <w:instrText xml:space="preserve">,11)</w:instrText>
            </w:r>
            <w:r>
              <w:rPr>
                <w:rFonts w:ascii="Times New Roman" w:hAnsi="Times New Roman" w:cs="Times New Roman"/>
                <w:bCs/>
              </w:rPr>
              <w:fldChar w:fldCharType="end"/>
            </w:r>
            <w:r>
              <w:rPr>
                <w:rFonts w:ascii="Times New Roman" w:hAnsi="Times New Roman" w:cs="Times New Roman"/>
                <w:bCs/>
              </w:rPr>
              <w:t>绿化</w:t>
            </w:r>
            <w:r>
              <w:rPr>
                <w:rFonts w:hint="eastAsia" w:ascii="Times New Roman" w:hAnsi="Times New Roman" w:cs="Times New Roman"/>
                <w:bCs/>
              </w:rPr>
              <w:t>废水</w:t>
            </w:r>
          </w:p>
          <w:p w14:paraId="04A34038">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厂</w:t>
            </w:r>
            <w:r>
              <w:rPr>
                <w:rFonts w:ascii="Times New Roman" w:hAnsi="Times New Roman" w:cs="Times New Roman"/>
                <w:bCs/>
              </w:rPr>
              <w:t>区绿化</w:t>
            </w:r>
            <w:r>
              <w:rPr>
                <w:rFonts w:hint="eastAsia" w:ascii="Times New Roman" w:hAnsi="Times New Roman" w:cs="Times New Roman"/>
                <w:bCs/>
              </w:rPr>
              <w:t>浇灌水全部消耗，污废水产生。</w:t>
            </w:r>
          </w:p>
          <w:bookmarkEnd w:id="14"/>
          <w:bookmarkEnd w:id="18"/>
          <w:p w14:paraId="7EDCF077">
            <w:pPr>
              <w:pStyle w:val="10"/>
              <w:spacing w:line="360" w:lineRule="auto"/>
              <w:ind w:left="0" w:right="105" w:rightChars="50" w:firstLine="240" w:firstLineChars="100"/>
              <w:rPr>
                <w:rFonts w:ascii="Times New Roman" w:hAnsi="Times New Roman" w:cs="Times New Roman"/>
                <w:bCs/>
              </w:rPr>
            </w:pPr>
            <w:bookmarkStart w:id="19" w:name="_Hlk76586687"/>
            <w:r>
              <w:rPr>
                <w:rFonts w:hint="eastAsia" w:ascii="Times New Roman" w:hAnsi="Times New Roman" w:cs="Times New Roman"/>
                <w:bCs/>
              </w:rPr>
              <w:t>（3）</w:t>
            </w:r>
            <w:r>
              <w:rPr>
                <w:rFonts w:ascii="Times New Roman" w:hAnsi="Times New Roman" w:cs="Times New Roman"/>
                <w:bCs/>
              </w:rPr>
              <w:t>水平衡</w:t>
            </w:r>
          </w:p>
          <w:p w14:paraId="0EC4052D">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w:t>
            </w:r>
            <w:r>
              <w:rPr>
                <w:rFonts w:hint="eastAsia" w:ascii="Times New Roman" w:hAnsi="Times New Roman" w:cs="Times New Roman"/>
                <w:bCs/>
              </w:rPr>
              <w:t>晴天用水量约为</w:t>
            </w:r>
            <w:r>
              <w:rPr>
                <w:rFonts w:ascii="Times New Roman" w:hAnsi="Times New Roman" w:cs="Times New Roman"/>
                <w:bCs/>
              </w:rPr>
              <w:t>74.95</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/d（不含回用水），雨天用水量为</w:t>
            </w:r>
            <w:r>
              <w:rPr>
                <w:rFonts w:ascii="Times New Roman" w:hAnsi="Times New Roman" w:cs="Times New Roman"/>
                <w:bCs/>
              </w:rPr>
              <w:t>73.45m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（不含回用水）。经计算全年新鲜水用水量约为</w:t>
            </w:r>
            <w:r>
              <w:rPr>
                <w:rFonts w:ascii="Times New Roman" w:hAnsi="Times New Roman" w:cs="Times New Roman"/>
                <w:bCs/>
              </w:rPr>
              <w:t>2.23</w:t>
            </w:r>
            <w:r>
              <w:rPr>
                <w:rFonts w:hint="eastAsia" w:ascii="Times New Roman" w:hAnsi="Times New Roman" w:cs="Times New Roman"/>
                <w:bCs/>
              </w:rPr>
              <w:t>×</w:t>
            </w:r>
            <w:r>
              <w:rPr>
                <w:rFonts w:ascii="Times New Roman" w:hAnsi="Times New Roman" w:cs="Times New Roman"/>
                <w:bCs/>
              </w:rPr>
              <w:t>10</w:t>
            </w:r>
            <w:r>
              <w:rPr>
                <w:rFonts w:ascii="Times New Roman" w:hAnsi="Times New Roman" w:cs="Times New Roman"/>
                <w:bCs/>
                <w:vertAlign w:val="superscript"/>
              </w:rPr>
              <w:t>4</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。项目水平衡情况见下表和图</w:t>
            </w:r>
            <w:r>
              <w:rPr>
                <w:rFonts w:ascii="Times New Roman" w:hAnsi="Times New Roman" w:cs="Times New Roman"/>
                <w:bCs/>
              </w:rPr>
              <w:t>2-2</w:t>
            </w:r>
            <w:r>
              <w:rPr>
                <w:rFonts w:hint="eastAsia" w:ascii="Times New Roman" w:hAnsi="Times New Roman" w:cs="Times New Roman"/>
                <w:bCs/>
              </w:rPr>
              <w:t>。</w:t>
            </w:r>
          </w:p>
          <w:p w14:paraId="059A3964">
            <w:pPr>
              <w:pStyle w:val="10"/>
              <w:snapToGrid w:val="0"/>
              <w:spacing w:before="156" w:beforeLines="50"/>
              <w:ind w:left="105" w:leftChars="50" w:right="105" w:rightChars="50" w:firstLine="241" w:firstLineChars="100"/>
              <w:jc w:val="center"/>
              <w:rPr>
                <w:rFonts w:ascii="Times New Roman" w:hAnsi="Times New Roman" w:cs="Times New Roman"/>
                <w:bCs/>
              </w:rPr>
            </w:pPr>
            <w:r>
              <w:rPr>
                <w:rFonts w:hint="eastAsia" w:ascii="Times New Roman" w:hAnsi="Times New Roman" w:cs="Times New Roman"/>
                <w:b/>
                <w:szCs w:val="21"/>
              </w:rPr>
              <w:t>表</w:t>
            </w:r>
            <w:r>
              <w:rPr>
                <w:rFonts w:ascii="Times New Roman" w:hAnsi="Times New Roman" w:cs="Times New Roman"/>
                <w:b/>
                <w:szCs w:val="21"/>
              </w:rPr>
              <w:t>2-9</w:t>
            </w:r>
            <w:r>
              <w:rPr>
                <w:rFonts w:hint="eastAsia" w:ascii="Times New Roman" w:hAnsi="Times New Roman" w:cs="Times New Roman"/>
                <w:b/>
                <w:szCs w:val="21"/>
              </w:rPr>
              <w:t xml:space="preserve"> </w:t>
            </w:r>
            <w:r>
              <w:rPr>
                <w:rFonts w:ascii="Times New Roman" w:hAnsi="Times New Roman" w:cs="Times New Roman"/>
                <w:b/>
                <w:szCs w:val="21"/>
              </w:rPr>
              <w:t xml:space="preserve">   </w:t>
            </w:r>
            <w:r>
              <w:rPr>
                <w:rFonts w:hint="eastAsia" w:ascii="Times New Roman" w:hAnsi="Times New Roman" w:cs="Times New Roman"/>
                <w:b/>
                <w:szCs w:val="21"/>
              </w:rPr>
              <w:t>项目用排水平衡一览表  单位：m</w:t>
            </w:r>
            <w:r>
              <w:rPr>
                <w:rFonts w:hint="eastAsia" w:ascii="Times New Roman" w:hAnsi="Times New Roman" w:cs="Times New Roman"/>
                <w:b/>
                <w:szCs w:val="21"/>
                <w:vertAlign w:val="superscript"/>
              </w:rPr>
              <w:t>3</w:t>
            </w:r>
            <w:r>
              <w:rPr>
                <w:rFonts w:hint="eastAsia" w:ascii="Times New Roman" w:hAnsi="Times New Roman" w:cs="Times New Roman"/>
                <w:b/>
                <w:szCs w:val="21"/>
              </w:rPr>
              <w:t>/d</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304"/>
              <w:gridCol w:w="1134"/>
              <w:gridCol w:w="1134"/>
              <w:gridCol w:w="1134"/>
              <w:gridCol w:w="1447"/>
            </w:tblGrid>
            <w:tr w14:paraId="5A69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2" w:type="dxa"/>
                  <w:vAlign w:val="center"/>
                </w:tcPr>
                <w:p w14:paraId="19CA8914">
                  <w:pPr>
                    <w:jc w:val="center"/>
                    <w:outlineLvl w:val="1"/>
                    <w:rPr>
                      <w:rFonts w:ascii="Times New Roman" w:hAnsi="Times New Roman" w:cs="Times New Roman"/>
                      <w:b/>
                      <w:bCs/>
                    </w:rPr>
                  </w:pPr>
                  <w:bookmarkStart w:id="20" w:name="_Hlk76799141"/>
                  <w:r>
                    <w:rPr>
                      <w:rFonts w:ascii="Times New Roman" w:hAnsi="Times New Roman" w:cs="Times New Roman"/>
                      <w:b/>
                      <w:bCs/>
                    </w:rPr>
                    <w:t>用水工序</w:t>
                  </w:r>
                </w:p>
              </w:tc>
              <w:tc>
                <w:tcPr>
                  <w:tcW w:w="1304" w:type="dxa"/>
                  <w:vAlign w:val="center"/>
                </w:tcPr>
                <w:p w14:paraId="2F406323">
                  <w:pPr>
                    <w:jc w:val="center"/>
                    <w:outlineLvl w:val="1"/>
                    <w:rPr>
                      <w:rFonts w:ascii="Times New Roman" w:hAnsi="Times New Roman" w:cs="Times New Roman"/>
                      <w:b/>
                      <w:bCs/>
                    </w:rPr>
                  </w:pPr>
                  <w:r>
                    <w:rPr>
                      <w:rFonts w:hint="eastAsia" w:ascii="Times New Roman" w:hAnsi="Times New Roman" w:cs="Times New Roman"/>
                      <w:b/>
                      <w:bCs/>
                    </w:rPr>
                    <w:t>新鲜水用</w:t>
                  </w:r>
                  <w:r>
                    <w:rPr>
                      <w:rFonts w:ascii="Times New Roman" w:hAnsi="Times New Roman" w:cs="Times New Roman"/>
                      <w:b/>
                      <w:bCs/>
                    </w:rPr>
                    <w:t>量</w:t>
                  </w:r>
                </w:p>
              </w:tc>
              <w:tc>
                <w:tcPr>
                  <w:tcW w:w="1134" w:type="dxa"/>
                  <w:vAlign w:val="center"/>
                </w:tcPr>
                <w:p w14:paraId="48B3004F">
                  <w:pPr>
                    <w:jc w:val="center"/>
                    <w:outlineLvl w:val="1"/>
                    <w:rPr>
                      <w:rFonts w:ascii="Times New Roman" w:hAnsi="Times New Roman" w:cs="Times New Roman"/>
                      <w:b/>
                      <w:bCs/>
                    </w:rPr>
                  </w:pPr>
                  <w:r>
                    <w:rPr>
                      <w:rFonts w:hint="eastAsia" w:ascii="Times New Roman" w:hAnsi="Times New Roman" w:cs="Times New Roman"/>
                      <w:b/>
                      <w:bCs/>
                    </w:rPr>
                    <w:t>中水用量</w:t>
                  </w:r>
                </w:p>
              </w:tc>
              <w:tc>
                <w:tcPr>
                  <w:tcW w:w="1134" w:type="dxa"/>
                  <w:vAlign w:val="center"/>
                </w:tcPr>
                <w:p w14:paraId="1B7D6975">
                  <w:pPr>
                    <w:jc w:val="center"/>
                    <w:outlineLvl w:val="1"/>
                    <w:rPr>
                      <w:rFonts w:ascii="Times New Roman" w:hAnsi="Times New Roman" w:cs="Times New Roman"/>
                      <w:b/>
                      <w:bCs/>
                    </w:rPr>
                  </w:pPr>
                  <w:r>
                    <w:rPr>
                      <w:rFonts w:ascii="Times New Roman" w:hAnsi="Times New Roman" w:cs="Times New Roman"/>
                      <w:b/>
                      <w:bCs/>
                    </w:rPr>
                    <w:t>消耗量</w:t>
                  </w:r>
                </w:p>
              </w:tc>
              <w:tc>
                <w:tcPr>
                  <w:tcW w:w="1134" w:type="dxa"/>
                  <w:vAlign w:val="center"/>
                </w:tcPr>
                <w:p w14:paraId="377CBE8A">
                  <w:pPr>
                    <w:jc w:val="center"/>
                    <w:outlineLvl w:val="1"/>
                    <w:rPr>
                      <w:rFonts w:ascii="Times New Roman" w:hAnsi="Times New Roman" w:cs="Times New Roman"/>
                      <w:b/>
                      <w:bCs/>
                    </w:rPr>
                  </w:pPr>
                  <w:r>
                    <w:rPr>
                      <w:rFonts w:ascii="Times New Roman" w:hAnsi="Times New Roman" w:cs="Times New Roman"/>
                      <w:b/>
                      <w:bCs/>
                    </w:rPr>
                    <w:t>回用量</w:t>
                  </w:r>
                </w:p>
              </w:tc>
              <w:tc>
                <w:tcPr>
                  <w:tcW w:w="1447" w:type="dxa"/>
                  <w:vAlign w:val="center"/>
                </w:tcPr>
                <w:p w14:paraId="7FB4ECEC">
                  <w:pPr>
                    <w:jc w:val="center"/>
                    <w:outlineLvl w:val="1"/>
                    <w:rPr>
                      <w:rFonts w:ascii="Times New Roman" w:hAnsi="Times New Roman" w:cs="Times New Roman"/>
                      <w:b/>
                      <w:bCs/>
                    </w:rPr>
                  </w:pPr>
                  <w:r>
                    <w:rPr>
                      <w:rFonts w:hint="eastAsia" w:ascii="Times New Roman" w:hAnsi="Times New Roman" w:cs="Times New Roman"/>
                      <w:b/>
                      <w:bCs/>
                    </w:rPr>
                    <w:t>废水</w:t>
                  </w:r>
                  <w:r>
                    <w:rPr>
                      <w:rFonts w:ascii="Times New Roman" w:hAnsi="Times New Roman" w:cs="Times New Roman"/>
                      <w:b/>
                      <w:bCs/>
                    </w:rPr>
                    <w:t>量</w:t>
                  </w:r>
                </w:p>
              </w:tc>
            </w:tr>
            <w:tr w14:paraId="33CF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3DFE12B5">
                  <w:pPr>
                    <w:jc w:val="center"/>
                    <w:outlineLvl w:val="1"/>
                    <w:rPr>
                      <w:rFonts w:ascii="Times New Roman" w:hAnsi="Times New Roman" w:cs="Times New Roman"/>
                    </w:rPr>
                  </w:pPr>
                  <w:r>
                    <w:rPr>
                      <w:rFonts w:ascii="Times New Roman" w:hAnsi="Times New Roman" w:cs="Times New Roman"/>
                      <w:bCs/>
                    </w:rPr>
                    <w:t>设备清洗用水</w:t>
                  </w:r>
                </w:p>
              </w:tc>
              <w:tc>
                <w:tcPr>
                  <w:tcW w:w="1304" w:type="dxa"/>
                  <w:vAlign w:val="center"/>
                </w:tcPr>
                <w:p w14:paraId="00269EED">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.18</w:t>
                  </w:r>
                </w:p>
              </w:tc>
              <w:tc>
                <w:tcPr>
                  <w:tcW w:w="1134" w:type="dxa"/>
                  <w:vAlign w:val="center"/>
                </w:tcPr>
                <w:p w14:paraId="4D665E85">
                  <w:pPr>
                    <w:jc w:val="center"/>
                    <w:outlineLvl w:val="1"/>
                    <w:rPr>
                      <w:rFonts w:ascii="Times New Roman" w:hAnsi="Times New Roman" w:cs="Times New Roman"/>
                    </w:rPr>
                  </w:pPr>
                </w:p>
              </w:tc>
              <w:tc>
                <w:tcPr>
                  <w:tcW w:w="1134" w:type="dxa"/>
                  <w:vAlign w:val="center"/>
                </w:tcPr>
                <w:p w14:paraId="535678C2">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.02</w:t>
                  </w:r>
                </w:p>
              </w:tc>
              <w:tc>
                <w:tcPr>
                  <w:tcW w:w="1134" w:type="dxa"/>
                  <w:vAlign w:val="center"/>
                </w:tcPr>
                <w:p w14:paraId="1CD5DD23">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615A7C60">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.16</w:t>
                  </w:r>
                </w:p>
              </w:tc>
            </w:tr>
            <w:tr w14:paraId="7BD4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275813D8">
                  <w:pPr>
                    <w:jc w:val="center"/>
                    <w:outlineLvl w:val="1"/>
                    <w:rPr>
                      <w:rFonts w:ascii="Times New Roman" w:hAnsi="Times New Roman" w:cs="Times New Roman"/>
                    </w:rPr>
                  </w:pPr>
                  <w:r>
                    <w:rPr>
                      <w:rFonts w:ascii="Times New Roman" w:hAnsi="Times New Roman" w:cs="Times New Roman"/>
                      <w:bCs/>
                    </w:rPr>
                    <w:t>车间地面清洗用水</w:t>
                  </w:r>
                </w:p>
              </w:tc>
              <w:tc>
                <w:tcPr>
                  <w:tcW w:w="1304" w:type="dxa"/>
                  <w:vAlign w:val="center"/>
                </w:tcPr>
                <w:p w14:paraId="505F2079">
                  <w:pPr>
                    <w:jc w:val="center"/>
                    <w:outlineLvl w:val="1"/>
                    <w:rPr>
                      <w:rFonts w:ascii="Times New Roman" w:hAnsi="Times New Roman" w:cs="Times New Roman"/>
                    </w:rPr>
                  </w:pPr>
                  <w:r>
                    <w:rPr>
                      <w:rFonts w:ascii="Times New Roman" w:hAnsi="Times New Roman" w:cs="Times New Roman"/>
                    </w:rPr>
                    <w:t>2.93</w:t>
                  </w:r>
                </w:p>
              </w:tc>
              <w:tc>
                <w:tcPr>
                  <w:tcW w:w="1134" w:type="dxa"/>
                  <w:vAlign w:val="center"/>
                </w:tcPr>
                <w:p w14:paraId="1771FF36">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.07</w:t>
                  </w:r>
                </w:p>
              </w:tc>
              <w:tc>
                <w:tcPr>
                  <w:tcW w:w="1134" w:type="dxa"/>
                  <w:vAlign w:val="center"/>
                </w:tcPr>
                <w:p w14:paraId="2A1D41C6">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.30</w:t>
                  </w:r>
                </w:p>
              </w:tc>
              <w:tc>
                <w:tcPr>
                  <w:tcW w:w="1134" w:type="dxa"/>
                  <w:vAlign w:val="center"/>
                </w:tcPr>
                <w:p w14:paraId="0FB7C1D6">
                  <w:pPr>
                    <w:jc w:val="center"/>
                    <w:outlineLvl w:val="1"/>
                    <w:rPr>
                      <w:rFonts w:ascii="Times New Roman" w:hAnsi="Times New Roman" w:cs="Times New Roman"/>
                    </w:rPr>
                  </w:pPr>
                  <w:r>
                    <w:rPr>
                      <w:rFonts w:ascii="Times New Roman" w:hAnsi="Times New Roman" w:cs="Times New Roman"/>
                    </w:rPr>
                    <w:t>0</w:t>
                  </w:r>
                </w:p>
              </w:tc>
              <w:tc>
                <w:tcPr>
                  <w:tcW w:w="1447" w:type="dxa"/>
                  <w:vAlign w:val="center"/>
                </w:tcPr>
                <w:p w14:paraId="44971A40">
                  <w:pPr>
                    <w:jc w:val="center"/>
                    <w:outlineLvl w:val="1"/>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.70</w:t>
                  </w:r>
                </w:p>
              </w:tc>
            </w:tr>
            <w:tr w14:paraId="743B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736A4C93">
                  <w:pPr>
                    <w:jc w:val="center"/>
                    <w:outlineLvl w:val="1"/>
                    <w:rPr>
                      <w:rFonts w:ascii="Times New Roman" w:hAnsi="Times New Roman" w:cs="Times New Roman"/>
                    </w:rPr>
                  </w:pPr>
                  <w:r>
                    <w:rPr>
                      <w:rFonts w:ascii="Times New Roman" w:hAnsi="Times New Roman" w:cs="Times New Roman"/>
                      <w:bCs/>
                    </w:rPr>
                    <w:t>车辆清洗用水</w:t>
                  </w:r>
                </w:p>
              </w:tc>
              <w:tc>
                <w:tcPr>
                  <w:tcW w:w="1304" w:type="dxa"/>
                  <w:vAlign w:val="center"/>
                </w:tcPr>
                <w:p w14:paraId="2733FF12">
                  <w:pPr>
                    <w:jc w:val="center"/>
                    <w:outlineLvl w:val="1"/>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w:t>
                  </w:r>
                  <w:r>
                    <w:rPr>
                      <w:rFonts w:ascii="Times New Roman" w:hAnsi="Times New Roman" w:cs="Times New Roman"/>
                    </w:rPr>
                    <w:t>5</w:t>
                  </w:r>
                </w:p>
              </w:tc>
              <w:tc>
                <w:tcPr>
                  <w:tcW w:w="1134" w:type="dxa"/>
                  <w:vAlign w:val="center"/>
                </w:tcPr>
                <w:p w14:paraId="6F2C216D">
                  <w:pPr>
                    <w:jc w:val="center"/>
                    <w:outlineLvl w:val="1"/>
                    <w:rPr>
                      <w:rFonts w:ascii="Times New Roman" w:hAnsi="Times New Roman" w:cs="Times New Roman"/>
                    </w:rPr>
                  </w:pPr>
                </w:p>
              </w:tc>
              <w:tc>
                <w:tcPr>
                  <w:tcW w:w="1134" w:type="dxa"/>
                  <w:vAlign w:val="center"/>
                </w:tcPr>
                <w:p w14:paraId="1A11359F">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.05</w:t>
                  </w:r>
                </w:p>
              </w:tc>
              <w:tc>
                <w:tcPr>
                  <w:tcW w:w="1134" w:type="dxa"/>
                  <w:vAlign w:val="center"/>
                </w:tcPr>
                <w:p w14:paraId="525DC23A">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0D2CE73A">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.45</w:t>
                  </w:r>
                </w:p>
              </w:tc>
            </w:tr>
            <w:tr w14:paraId="597E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54A341AC">
                  <w:pPr>
                    <w:jc w:val="center"/>
                    <w:outlineLvl w:val="1"/>
                    <w:rPr>
                      <w:rFonts w:ascii="Times New Roman" w:hAnsi="Times New Roman" w:cs="Times New Roman"/>
                    </w:rPr>
                  </w:pPr>
                  <w:r>
                    <w:rPr>
                      <w:rFonts w:ascii="Times New Roman" w:hAnsi="Times New Roman" w:cs="Times New Roman"/>
                      <w:bCs/>
                    </w:rPr>
                    <w:t>车辆消毒用水</w:t>
                  </w:r>
                </w:p>
              </w:tc>
              <w:tc>
                <w:tcPr>
                  <w:tcW w:w="1304" w:type="dxa"/>
                  <w:vAlign w:val="center"/>
                </w:tcPr>
                <w:p w14:paraId="1833D119">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.05</w:t>
                  </w:r>
                </w:p>
              </w:tc>
              <w:tc>
                <w:tcPr>
                  <w:tcW w:w="1134" w:type="dxa"/>
                  <w:vAlign w:val="center"/>
                </w:tcPr>
                <w:p w14:paraId="6122573E">
                  <w:pPr>
                    <w:jc w:val="center"/>
                    <w:outlineLvl w:val="1"/>
                    <w:rPr>
                      <w:rFonts w:ascii="Times New Roman" w:hAnsi="Times New Roman" w:cs="Times New Roman"/>
                    </w:rPr>
                  </w:pPr>
                </w:p>
              </w:tc>
              <w:tc>
                <w:tcPr>
                  <w:tcW w:w="1134" w:type="dxa"/>
                  <w:vAlign w:val="center"/>
                </w:tcPr>
                <w:p w14:paraId="4B0A431E">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.05</w:t>
                  </w:r>
                </w:p>
              </w:tc>
              <w:tc>
                <w:tcPr>
                  <w:tcW w:w="1134" w:type="dxa"/>
                  <w:vAlign w:val="center"/>
                </w:tcPr>
                <w:p w14:paraId="562326E7">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5CFCFF12">
                  <w:pPr>
                    <w:jc w:val="center"/>
                    <w:outlineLvl w:val="1"/>
                    <w:rPr>
                      <w:rFonts w:ascii="Times New Roman" w:hAnsi="Times New Roman" w:cs="Times New Roman"/>
                    </w:rPr>
                  </w:pPr>
                  <w:r>
                    <w:rPr>
                      <w:rFonts w:hint="eastAsia" w:ascii="Times New Roman" w:hAnsi="Times New Roman" w:cs="Times New Roman"/>
                    </w:rPr>
                    <w:t>0</w:t>
                  </w:r>
                </w:p>
              </w:tc>
            </w:tr>
            <w:tr w14:paraId="0709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425F6B7A">
                  <w:pPr>
                    <w:jc w:val="center"/>
                    <w:outlineLvl w:val="1"/>
                    <w:rPr>
                      <w:rFonts w:ascii="Times New Roman" w:hAnsi="Times New Roman" w:cs="Times New Roman"/>
                    </w:rPr>
                  </w:pPr>
                  <w:r>
                    <w:rPr>
                      <w:rFonts w:ascii="Times New Roman" w:hAnsi="Times New Roman" w:cs="Times New Roman"/>
                      <w:bCs/>
                    </w:rPr>
                    <w:t>冷却循环系统用水</w:t>
                  </w:r>
                </w:p>
              </w:tc>
              <w:tc>
                <w:tcPr>
                  <w:tcW w:w="1304" w:type="dxa"/>
                  <w:vAlign w:val="center"/>
                </w:tcPr>
                <w:p w14:paraId="33D11FB4">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0.07</w:t>
                  </w:r>
                </w:p>
              </w:tc>
              <w:tc>
                <w:tcPr>
                  <w:tcW w:w="1134" w:type="dxa"/>
                  <w:vAlign w:val="center"/>
                </w:tcPr>
                <w:p w14:paraId="7276A0B2">
                  <w:pPr>
                    <w:jc w:val="center"/>
                    <w:outlineLvl w:val="1"/>
                    <w:rPr>
                      <w:rFonts w:ascii="Times New Roman" w:hAnsi="Times New Roman" w:cs="Times New Roman"/>
                    </w:rPr>
                  </w:pPr>
                </w:p>
              </w:tc>
              <w:tc>
                <w:tcPr>
                  <w:tcW w:w="1134" w:type="dxa"/>
                  <w:vAlign w:val="center"/>
                </w:tcPr>
                <w:p w14:paraId="551039ED">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0.0</w:t>
                  </w:r>
                </w:p>
              </w:tc>
              <w:tc>
                <w:tcPr>
                  <w:tcW w:w="1134" w:type="dxa"/>
                  <w:vAlign w:val="center"/>
                </w:tcPr>
                <w:p w14:paraId="66C51108">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20015EE0">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.07</w:t>
                  </w:r>
                </w:p>
              </w:tc>
            </w:tr>
            <w:tr w14:paraId="28EA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2" w:type="dxa"/>
                  <w:vAlign w:val="center"/>
                </w:tcPr>
                <w:p w14:paraId="6D713E9D">
                  <w:pPr>
                    <w:jc w:val="center"/>
                    <w:outlineLvl w:val="1"/>
                    <w:rPr>
                      <w:rFonts w:ascii="Times New Roman" w:hAnsi="Times New Roman" w:cs="Times New Roman"/>
                    </w:rPr>
                  </w:pPr>
                  <w:r>
                    <w:rPr>
                      <w:rFonts w:hint="eastAsia" w:ascii="Times New Roman" w:hAnsi="Times New Roman" w:cs="Times New Roman"/>
                      <w:bCs/>
                    </w:rPr>
                    <w:t>臭气</w:t>
                  </w:r>
                  <w:r>
                    <w:rPr>
                      <w:rFonts w:ascii="Times New Roman" w:hAnsi="Times New Roman" w:cs="Times New Roman"/>
                      <w:bCs/>
                    </w:rPr>
                    <w:t>处理系统酸碱喷淋用水</w:t>
                  </w:r>
                </w:p>
              </w:tc>
              <w:tc>
                <w:tcPr>
                  <w:tcW w:w="1304" w:type="dxa"/>
                  <w:vAlign w:val="center"/>
                </w:tcPr>
                <w:p w14:paraId="1650FE54">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.40</w:t>
                  </w:r>
                </w:p>
              </w:tc>
              <w:tc>
                <w:tcPr>
                  <w:tcW w:w="1134" w:type="dxa"/>
                  <w:vAlign w:val="center"/>
                </w:tcPr>
                <w:p w14:paraId="11B3A7B2">
                  <w:pPr>
                    <w:jc w:val="center"/>
                    <w:outlineLvl w:val="1"/>
                    <w:rPr>
                      <w:rFonts w:ascii="Times New Roman" w:hAnsi="Times New Roman" w:cs="Times New Roman"/>
                    </w:rPr>
                  </w:pPr>
                </w:p>
              </w:tc>
              <w:tc>
                <w:tcPr>
                  <w:tcW w:w="1134" w:type="dxa"/>
                  <w:vAlign w:val="center"/>
                </w:tcPr>
                <w:p w14:paraId="658114AE">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.40</w:t>
                  </w:r>
                </w:p>
              </w:tc>
              <w:tc>
                <w:tcPr>
                  <w:tcW w:w="1134" w:type="dxa"/>
                  <w:vAlign w:val="center"/>
                </w:tcPr>
                <w:p w14:paraId="41F35858">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2C0AF4F0">
                  <w:pPr>
                    <w:jc w:val="center"/>
                    <w:outlineLvl w:val="1"/>
                    <w:rPr>
                      <w:rFonts w:ascii="Times New Roman" w:hAnsi="Times New Roman" w:cs="Times New Roman"/>
                    </w:rPr>
                  </w:pPr>
                  <w:r>
                    <w:rPr>
                      <w:rFonts w:hint="eastAsia" w:ascii="Times New Roman" w:hAnsi="Times New Roman" w:cs="Times New Roman"/>
                    </w:rPr>
                    <w:t>0</w:t>
                  </w:r>
                </w:p>
              </w:tc>
            </w:tr>
            <w:tr w14:paraId="431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0BBD5281">
                  <w:pPr>
                    <w:jc w:val="center"/>
                    <w:outlineLvl w:val="1"/>
                    <w:rPr>
                      <w:rFonts w:ascii="Times New Roman" w:hAnsi="Times New Roman" w:cs="Times New Roman"/>
                    </w:rPr>
                  </w:pPr>
                  <w:r>
                    <w:rPr>
                      <w:rFonts w:ascii="Times New Roman" w:hAnsi="Times New Roman" w:cs="Times New Roman"/>
                      <w:bCs/>
                    </w:rPr>
                    <w:t>水膜除尘器用水</w:t>
                  </w:r>
                </w:p>
              </w:tc>
              <w:tc>
                <w:tcPr>
                  <w:tcW w:w="1304" w:type="dxa"/>
                  <w:vAlign w:val="center"/>
                </w:tcPr>
                <w:p w14:paraId="27B6DE69">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.25</w:t>
                  </w:r>
                </w:p>
              </w:tc>
              <w:tc>
                <w:tcPr>
                  <w:tcW w:w="1134" w:type="dxa"/>
                  <w:vAlign w:val="center"/>
                </w:tcPr>
                <w:p w14:paraId="35F79FF7">
                  <w:pPr>
                    <w:jc w:val="center"/>
                    <w:outlineLvl w:val="1"/>
                    <w:rPr>
                      <w:rFonts w:ascii="Times New Roman" w:hAnsi="Times New Roman" w:cs="Times New Roman"/>
                    </w:rPr>
                  </w:pPr>
                </w:p>
              </w:tc>
              <w:tc>
                <w:tcPr>
                  <w:tcW w:w="1134" w:type="dxa"/>
                  <w:vAlign w:val="center"/>
                </w:tcPr>
                <w:p w14:paraId="211DF893">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.25</w:t>
                  </w:r>
                </w:p>
              </w:tc>
              <w:tc>
                <w:tcPr>
                  <w:tcW w:w="1134" w:type="dxa"/>
                  <w:vAlign w:val="center"/>
                </w:tcPr>
                <w:p w14:paraId="4E207926">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2DA8D70F">
                  <w:pPr>
                    <w:jc w:val="center"/>
                    <w:outlineLvl w:val="1"/>
                    <w:rPr>
                      <w:rFonts w:ascii="Times New Roman" w:hAnsi="Times New Roman" w:cs="Times New Roman"/>
                    </w:rPr>
                  </w:pPr>
                  <w:r>
                    <w:rPr>
                      <w:rFonts w:hint="eastAsia" w:ascii="Times New Roman" w:hAnsi="Times New Roman" w:cs="Times New Roman"/>
                    </w:rPr>
                    <w:t>0</w:t>
                  </w:r>
                </w:p>
              </w:tc>
            </w:tr>
            <w:tr w14:paraId="4C1E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782EC176">
                  <w:pPr>
                    <w:jc w:val="center"/>
                    <w:outlineLvl w:val="1"/>
                    <w:rPr>
                      <w:rFonts w:ascii="Times New Roman" w:hAnsi="Times New Roman" w:cs="Times New Roman"/>
                    </w:rPr>
                  </w:pPr>
                  <w:r>
                    <w:rPr>
                      <w:rFonts w:ascii="Times New Roman" w:hAnsi="Times New Roman" w:cs="Times New Roman"/>
                      <w:bCs/>
                    </w:rPr>
                    <w:t>生活用水</w:t>
                  </w:r>
                </w:p>
              </w:tc>
              <w:tc>
                <w:tcPr>
                  <w:tcW w:w="1304" w:type="dxa"/>
                  <w:vAlign w:val="center"/>
                </w:tcPr>
                <w:p w14:paraId="6A7855F6">
                  <w:pPr>
                    <w:jc w:val="center"/>
                    <w:outlineLvl w:val="1"/>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.97</w:t>
                  </w:r>
                </w:p>
              </w:tc>
              <w:tc>
                <w:tcPr>
                  <w:tcW w:w="1134" w:type="dxa"/>
                  <w:vAlign w:val="center"/>
                </w:tcPr>
                <w:p w14:paraId="3580568C">
                  <w:pPr>
                    <w:jc w:val="center"/>
                    <w:outlineLvl w:val="1"/>
                    <w:rPr>
                      <w:rFonts w:ascii="Times New Roman" w:hAnsi="Times New Roman" w:cs="Times New Roman"/>
                    </w:rPr>
                  </w:pPr>
                </w:p>
              </w:tc>
              <w:tc>
                <w:tcPr>
                  <w:tcW w:w="1134" w:type="dxa"/>
                  <w:vAlign w:val="center"/>
                </w:tcPr>
                <w:p w14:paraId="54405D96">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.59</w:t>
                  </w:r>
                </w:p>
              </w:tc>
              <w:tc>
                <w:tcPr>
                  <w:tcW w:w="1134" w:type="dxa"/>
                  <w:vAlign w:val="center"/>
                </w:tcPr>
                <w:p w14:paraId="77E72918">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151B886C">
                  <w:pPr>
                    <w:jc w:val="center"/>
                    <w:outlineLvl w:val="1"/>
                    <w:rPr>
                      <w:rFonts w:ascii="Times New Roman" w:hAnsi="Times New Roman" w:cs="Times New Roman"/>
                    </w:rPr>
                  </w:pPr>
                  <w:r>
                    <w:rPr>
                      <w:rFonts w:ascii="Times New Roman" w:hAnsi="Times New Roman" w:cs="Times New Roman"/>
                    </w:rPr>
                    <w:t>2.38</w:t>
                  </w:r>
                </w:p>
              </w:tc>
            </w:tr>
            <w:tr w14:paraId="6725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0A6C390E">
                  <w:pPr>
                    <w:jc w:val="center"/>
                    <w:outlineLvl w:val="1"/>
                    <w:rPr>
                      <w:rFonts w:ascii="Times New Roman" w:hAnsi="Times New Roman" w:cs="Times New Roman"/>
                      <w:bCs/>
                    </w:rPr>
                  </w:pPr>
                  <w:r>
                    <w:rPr>
                      <w:rFonts w:ascii="Times New Roman" w:hAnsi="Times New Roman" w:cs="Times New Roman"/>
                      <w:bCs/>
                    </w:rPr>
                    <w:t>绿化用水</w:t>
                  </w:r>
                </w:p>
              </w:tc>
              <w:tc>
                <w:tcPr>
                  <w:tcW w:w="1304" w:type="dxa"/>
                  <w:vAlign w:val="center"/>
                </w:tcPr>
                <w:p w14:paraId="37B02070">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.50</w:t>
                  </w:r>
                </w:p>
              </w:tc>
              <w:tc>
                <w:tcPr>
                  <w:tcW w:w="1134" w:type="dxa"/>
                  <w:vAlign w:val="center"/>
                </w:tcPr>
                <w:p w14:paraId="4FD23B5C">
                  <w:pPr>
                    <w:jc w:val="center"/>
                    <w:outlineLvl w:val="1"/>
                    <w:rPr>
                      <w:rFonts w:ascii="Times New Roman" w:hAnsi="Times New Roman" w:cs="Times New Roman"/>
                    </w:rPr>
                  </w:pPr>
                </w:p>
              </w:tc>
              <w:tc>
                <w:tcPr>
                  <w:tcW w:w="1134" w:type="dxa"/>
                  <w:vAlign w:val="center"/>
                </w:tcPr>
                <w:p w14:paraId="29BB020E">
                  <w:pPr>
                    <w:jc w:val="center"/>
                    <w:outlineLvl w:val="1"/>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.50</w:t>
                  </w:r>
                </w:p>
              </w:tc>
              <w:tc>
                <w:tcPr>
                  <w:tcW w:w="1134" w:type="dxa"/>
                  <w:vAlign w:val="center"/>
                </w:tcPr>
                <w:p w14:paraId="5AEA4AFF">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0A668480">
                  <w:pPr>
                    <w:jc w:val="center"/>
                    <w:outlineLvl w:val="1"/>
                    <w:rPr>
                      <w:rFonts w:ascii="Times New Roman" w:hAnsi="Times New Roman" w:cs="Times New Roman"/>
                    </w:rPr>
                  </w:pPr>
                  <w:r>
                    <w:rPr>
                      <w:rFonts w:hint="eastAsia" w:ascii="Times New Roman" w:hAnsi="Times New Roman" w:cs="Times New Roman"/>
                    </w:rPr>
                    <w:t>0</w:t>
                  </w:r>
                </w:p>
              </w:tc>
            </w:tr>
            <w:tr w14:paraId="6C3C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6795F579">
                  <w:pPr>
                    <w:jc w:val="center"/>
                    <w:outlineLvl w:val="1"/>
                    <w:rPr>
                      <w:rFonts w:ascii="Times New Roman" w:hAnsi="Times New Roman" w:cs="Times New Roman"/>
                      <w:bCs/>
                    </w:rPr>
                  </w:pPr>
                  <w:r>
                    <w:t>检验</w:t>
                  </w:r>
                  <w:r>
                    <w:rPr>
                      <w:rFonts w:hint="eastAsia"/>
                    </w:rPr>
                    <w:t>用</w:t>
                  </w:r>
                  <w:r>
                    <w:t>水</w:t>
                  </w:r>
                </w:p>
              </w:tc>
              <w:tc>
                <w:tcPr>
                  <w:tcW w:w="1304" w:type="dxa"/>
                  <w:vAlign w:val="center"/>
                </w:tcPr>
                <w:p w14:paraId="1B9F3008">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.10</w:t>
                  </w:r>
                </w:p>
              </w:tc>
              <w:tc>
                <w:tcPr>
                  <w:tcW w:w="1134" w:type="dxa"/>
                  <w:vAlign w:val="center"/>
                </w:tcPr>
                <w:p w14:paraId="25629743">
                  <w:pPr>
                    <w:jc w:val="center"/>
                    <w:outlineLvl w:val="1"/>
                    <w:rPr>
                      <w:rFonts w:ascii="Times New Roman" w:hAnsi="Times New Roman" w:cs="Times New Roman"/>
                    </w:rPr>
                  </w:pPr>
                </w:p>
              </w:tc>
              <w:tc>
                <w:tcPr>
                  <w:tcW w:w="1134" w:type="dxa"/>
                  <w:vAlign w:val="center"/>
                </w:tcPr>
                <w:p w14:paraId="1ACC5153">
                  <w:pPr>
                    <w:jc w:val="center"/>
                    <w:outlineLvl w:val="1"/>
                    <w:rPr>
                      <w:rFonts w:ascii="Times New Roman" w:hAnsi="Times New Roman" w:cs="Times New Roman"/>
                    </w:rPr>
                  </w:pPr>
                  <w:r>
                    <w:rPr>
                      <w:rFonts w:hint="eastAsia" w:ascii="Times New Roman" w:hAnsi="Times New Roman" w:cs="Times New Roman"/>
                    </w:rPr>
                    <w:t>0</w:t>
                  </w:r>
                </w:p>
              </w:tc>
              <w:tc>
                <w:tcPr>
                  <w:tcW w:w="1134" w:type="dxa"/>
                  <w:vAlign w:val="center"/>
                </w:tcPr>
                <w:p w14:paraId="2D138CA2">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6E301A4B">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.10</w:t>
                  </w:r>
                </w:p>
              </w:tc>
            </w:tr>
            <w:tr w14:paraId="68A0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52" w:type="dxa"/>
                  <w:vAlign w:val="center"/>
                </w:tcPr>
                <w:p w14:paraId="7B267FB6">
                  <w:pPr>
                    <w:jc w:val="center"/>
                    <w:outlineLvl w:val="1"/>
                    <w:rPr>
                      <w:rFonts w:ascii="Times New Roman" w:hAnsi="Times New Roman" w:cs="Times New Roman"/>
                    </w:rPr>
                  </w:pPr>
                  <w:r>
                    <w:rPr>
                      <w:rFonts w:ascii="Times New Roman" w:hAnsi="Times New Roman" w:cs="Times New Roman"/>
                    </w:rPr>
                    <w:t>合</w:t>
                  </w:r>
                  <w:r>
                    <w:rPr>
                      <w:rFonts w:hint="eastAsia" w:ascii="Times New Roman" w:hAnsi="Times New Roman" w:cs="Times New Roman"/>
                    </w:rPr>
                    <w:t xml:space="preserve">  </w:t>
                  </w:r>
                  <w:r>
                    <w:rPr>
                      <w:rFonts w:ascii="Times New Roman" w:hAnsi="Times New Roman" w:cs="Times New Roman"/>
                    </w:rPr>
                    <w:t>计</w:t>
                  </w:r>
                </w:p>
              </w:tc>
              <w:tc>
                <w:tcPr>
                  <w:tcW w:w="1304" w:type="dxa"/>
                  <w:vAlign w:val="center"/>
                </w:tcPr>
                <w:p w14:paraId="05FDDDB8">
                  <w:pPr>
                    <w:jc w:val="center"/>
                    <w:outlineLvl w:val="1"/>
                    <w:rPr>
                      <w:rFonts w:ascii="Times New Roman" w:hAnsi="Times New Roman" w:cs="Times New Roman"/>
                    </w:rPr>
                  </w:pPr>
                  <w:r>
                    <w:rPr>
                      <w:rFonts w:ascii="Times New Roman" w:hAnsi="Times New Roman" w:cs="Times New Roman"/>
                    </w:rPr>
                    <w:t>74.95</w:t>
                  </w:r>
                </w:p>
              </w:tc>
              <w:tc>
                <w:tcPr>
                  <w:tcW w:w="1134" w:type="dxa"/>
                  <w:vAlign w:val="center"/>
                </w:tcPr>
                <w:p w14:paraId="4ED6EAFC">
                  <w:pPr>
                    <w:jc w:val="center"/>
                    <w:outlineLvl w:val="1"/>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.07</w:t>
                  </w:r>
                </w:p>
              </w:tc>
              <w:tc>
                <w:tcPr>
                  <w:tcW w:w="1134" w:type="dxa"/>
                  <w:vAlign w:val="center"/>
                </w:tcPr>
                <w:p w14:paraId="021C0B77">
                  <w:pPr>
                    <w:jc w:val="center"/>
                    <w:outlineLvl w:val="1"/>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9.16</w:t>
                  </w:r>
                </w:p>
              </w:tc>
              <w:tc>
                <w:tcPr>
                  <w:tcW w:w="1134" w:type="dxa"/>
                  <w:vAlign w:val="center"/>
                </w:tcPr>
                <w:p w14:paraId="505D7D9E">
                  <w:pPr>
                    <w:jc w:val="center"/>
                    <w:outlineLvl w:val="1"/>
                    <w:rPr>
                      <w:rFonts w:ascii="Times New Roman" w:hAnsi="Times New Roman" w:cs="Times New Roman"/>
                    </w:rPr>
                  </w:pPr>
                  <w:r>
                    <w:rPr>
                      <w:rFonts w:hint="eastAsia" w:ascii="Times New Roman" w:hAnsi="Times New Roman" w:cs="Times New Roman"/>
                    </w:rPr>
                    <w:t>0</w:t>
                  </w:r>
                </w:p>
              </w:tc>
              <w:tc>
                <w:tcPr>
                  <w:tcW w:w="1447" w:type="dxa"/>
                  <w:vAlign w:val="center"/>
                </w:tcPr>
                <w:p w14:paraId="02658E50">
                  <w:pPr>
                    <w:jc w:val="center"/>
                    <w:outlineLvl w:val="1"/>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.86</w:t>
                  </w:r>
                </w:p>
              </w:tc>
            </w:tr>
            <w:bookmarkEnd w:id="20"/>
          </w:tbl>
          <w:p w14:paraId="6CE00EDE">
            <w:pPr>
              <w:ind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注：上表未计入化制过程产生的工艺废水。</w:t>
            </w:r>
          </w:p>
          <w:p w14:paraId="05EC9122">
            <w:pPr>
              <w:pStyle w:val="2"/>
              <w:pBdr>
                <w:bottom w:val="none" w:color="auto" w:sz="0" w:space="0"/>
              </w:pBdr>
            </w:pPr>
          </w:p>
          <w:bookmarkEnd w:id="19"/>
          <w:p w14:paraId="0BF6CFC6">
            <w:pPr>
              <w:jc w:val="center"/>
            </w:pPr>
            <w:bookmarkStart w:id="21" w:name="_Hlk46408974"/>
            <w:r>
              <w:drawing>
                <wp:inline distT="0" distB="0" distL="0" distR="0">
                  <wp:extent cx="5317490" cy="55289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21954" cy="5533772"/>
                          </a:xfrm>
                          <a:prstGeom prst="rect">
                            <a:avLst/>
                          </a:prstGeom>
                          <a:noFill/>
                          <a:ln>
                            <a:noFill/>
                          </a:ln>
                        </pic:spPr>
                      </pic:pic>
                    </a:graphicData>
                  </a:graphic>
                </wp:inline>
              </w:drawing>
            </w:r>
          </w:p>
          <w:p w14:paraId="4CD4EF3B">
            <w:pPr>
              <w:jc w:val="center"/>
              <w:rPr>
                <w:rFonts w:ascii="Times New Roman" w:hAnsi="Times New Roman" w:eastAsia="宋体" w:cs="Times New Roman"/>
                <w:b/>
                <w:szCs w:val="21"/>
              </w:rPr>
            </w:pPr>
            <w:r>
              <w:rPr>
                <w:rFonts w:hint="eastAsia" w:ascii="Times New Roman" w:hAnsi="Times New Roman" w:eastAsia="宋体" w:cs="Times New Roman"/>
                <w:b/>
                <w:szCs w:val="21"/>
              </w:rPr>
              <w:t>图</w:t>
            </w:r>
            <w:r>
              <w:rPr>
                <w:rFonts w:ascii="Times New Roman" w:hAnsi="Times New Roman" w:eastAsia="宋体" w:cs="Times New Roman"/>
                <w:b/>
                <w:szCs w:val="21"/>
              </w:rPr>
              <w:t>2</w:t>
            </w:r>
            <w:r>
              <w:rPr>
                <w:rFonts w:hint="eastAsia" w:ascii="Times New Roman" w:hAnsi="Times New Roman" w:eastAsia="宋体" w:cs="Times New Roman"/>
                <w:b/>
                <w:szCs w:val="21"/>
              </w:rPr>
              <w:t>-</w:t>
            </w:r>
            <w:r>
              <w:rPr>
                <w:rFonts w:ascii="Times New Roman" w:hAnsi="Times New Roman" w:eastAsia="宋体" w:cs="Times New Roman"/>
                <w:b/>
                <w:szCs w:val="21"/>
              </w:rPr>
              <w:t>2</w:t>
            </w:r>
            <w:r>
              <w:rPr>
                <w:rFonts w:hint="eastAsia" w:ascii="Times New Roman" w:hAnsi="Times New Roman" w:eastAsia="宋体" w:cs="Times New Roman"/>
                <w:b/>
                <w:szCs w:val="21"/>
              </w:rPr>
              <w:t xml:space="preserve"> </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 xml:space="preserve">项目水平衡 </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单位：m</w:t>
            </w:r>
            <w:r>
              <w:rPr>
                <w:rFonts w:hint="eastAsia" w:ascii="Times New Roman" w:hAnsi="Times New Roman" w:eastAsia="宋体" w:cs="Times New Roman"/>
                <w:b/>
                <w:szCs w:val="21"/>
                <w:vertAlign w:val="superscript"/>
              </w:rPr>
              <w:t>3</w:t>
            </w:r>
            <w:r>
              <w:rPr>
                <w:rFonts w:hint="eastAsia" w:ascii="Times New Roman" w:hAnsi="Times New Roman" w:eastAsia="宋体" w:cs="Times New Roman"/>
                <w:b/>
                <w:szCs w:val="21"/>
              </w:rPr>
              <w:t>/d</w:t>
            </w:r>
          </w:p>
          <w:bookmarkEnd w:id="15"/>
          <w:bookmarkEnd w:id="21"/>
          <w:p w14:paraId="54FC8D4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供热</w:t>
            </w:r>
          </w:p>
          <w:bookmarkEnd w:id="16"/>
          <w:p w14:paraId="264F3043">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bCs/>
              </w:rPr>
              <w:t>项目无害化生产过程中所需热量由厂区锅炉提供，配套设1台2t</w:t>
            </w:r>
            <w:r>
              <w:rPr>
                <w:rFonts w:hint="eastAsia" w:ascii="Times New Roman" w:hAnsi="Times New Roman" w:cs="Times New Roman"/>
                <w:szCs w:val="21"/>
              </w:rPr>
              <w:t>导热油锅炉，容油量2t，热效率≥</w:t>
            </w:r>
            <w:r>
              <w:rPr>
                <w:rFonts w:ascii="Times New Roman" w:hAnsi="Times New Roman" w:cs="Times New Roman"/>
                <w:szCs w:val="21"/>
              </w:rPr>
              <w:t>96</w:t>
            </w:r>
            <w:r>
              <w:rPr>
                <w:rFonts w:hint="eastAsia" w:ascii="Times New Roman" w:hAnsi="Times New Roman" w:cs="Times New Roman"/>
                <w:szCs w:val="21"/>
              </w:rPr>
              <w:t>%，输出温度可达3</w:t>
            </w:r>
            <w:r>
              <w:rPr>
                <w:rFonts w:ascii="Times New Roman" w:hAnsi="Times New Roman" w:cs="Times New Roman"/>
                <w:szCs w:val="21"/>
              </w:rPr>
              <w:t>20</w:t>
            </w:r>
            <w:r>
              <w:rPr>
                <w:rFonts w:hint="eastAsia" w:ascii="Times New Roman" w:hAnsi="Times New Roman" w:cs="Times New Roman"/>
                <w:szCs w:val="21"/>
              </w:rPr>
              <w:t>℃，工作压力0</w:t>
            </w:r>
            <w:r>
              <w:rPr>
                <w:rFonts w:ascii="Times New Roman" w:hAnsi="Times New Roman" w:cs="Times New Roman"/>
                <w:szCs w:val="21"/>
              </w:rPr>
              <w:t>.8Mp</w:t>
            </w:r>
            <w:r>
              <w:rPr>
                <w:rFonts w:hint="eastAsia" w:ascii="Times New Roman" w:hAnsi="Times New Roman" w:cs="Times New Roman"/>
                <w:szCs w:val="21"/>
              </w:rPr>
              <w:t>a。锅炉采用生物质燃料，设一座专用封闭式燃料堆棚。</w:t>
            </w:r>
          </w:p>
          <w:p w14:paraId="31A7F665">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4、</w:t>
            </w:r>
            <w:r>
              <w:rPr>
                <w:rFonts w:ascii="Times New Roman" w:hAnsi="Times New Roman" w:cs="Times New Roman"/>
                <w:bCs/>
              </w:rPr>
              <w:t>制冷</w:t>
            </w:r>
          </w:p>
          <w:p w14:paraId="760EB26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项目冷库采用的制冷剂为R404</w:t>
            </w:r>
            <w:r>
              <w:rPr>
                <w:rFonts w:hint="eastAsia" w:ascii="Times New Roman" w:hAnsi="Times New Roman" w:cs="Times New Roman"/>
                <w:bCs/>
              </w:rPr>
              <w:t>a</w:t>
            </w:r>
            <w:r>
              <w:rPr>
                <w:rFonts w:ascii="Times New Roman" w:hAnsi="Times New Roman" w:cs="Times New Roman"/>
                <w:bCs/>
              </w:rPr>
              <w:t>，</w:t>
            </w:r>
            <w:r>
              <w:rPr>
                <w:rFonts w:hint="eastAsia" w:ascii="Times New Roman" w:hAnsi="Times New Roman" w:cs="Times New Roman"/>
                <w:bCs/>
              </w:rPr>
              <w:t>主要由H</w:t>
            </w:r>
            <w:r>
              <w:rPr>
                <w:rFonts w:ascii="Times New Roman" w:hAnsi="Times New Roman" w:cs="Times New Roman"/>
                <w:bCs/>
              </w:rPr>
              <w:t>FC125</w:t>
            </w:r>
            <w:r>
              <w:rPr>
                <w:rFonts w:hint="eastAsia" w:ascii="Times New Roman" w:hAnsi="Times New Roman" w:cs="Times New Roman"/>
                <w:bCs/>
              </w:rPr>
              <w:t>（五氟乙烷）、H</w:t>
            </w:r>
            <w:r>
              <w:rPr>
                <w:rFonts w:ascii="Times New Roman" w:hAnsi="Times New Roman" w:cs="Times New Roman"/>
                <w:bCs/>
              </w:rPr>
              <w:t>FC125-134</w:t>
            </w:r>
            <w:r>
              <w:rPr>
                <w:rFonts w:hint="eastAsia" w:ascii="Times New Roman" w:hAnsi="Times New Roman" w:cs="Times New Roman"/>
                <w:bCs/>
              </w:rPr>
              <w:t>a（四氟乙烷）、H</w:t>
            </w:r>
            <w:r>
              <w:rPr>
                <w:rFonts w:ascii="Times New Roman" w:hAnsi="Times New Roman" w:cs="Times New Roman"/>
                <w:bCs/>
              </w:rPr>
              <w:t>FC-143</w:t>
            </w:r>
            <w:r>
              <w:rPr>
                <w:rFonts w:hint="eastAsia" w:ascii="Times New Roman" w:hAnsi="Times New Roman" w:cs="Times New Roman"/>
                <w:bCs/>
              </w:rPr>
              <w:t>a（三氟乙烷）混合而成，</w:t>
            </w:r>
            <w:r>
              <w:rPr>
                <w:rFonts w:ascii="Times New Roman" w:hAnsi="Times New Roman" w:cs="Times New Roman"/>
                <w:bCs/>
              </w:rPr>
              <w:t>年用量约为40kg，厂内不暂存制冷剂，定 期请设备厂商添加。冷库内最低温度按-5至-10℃（冰冻温度）进行设计和制冷设备选型，由于冷冻后畜禽尸体结冰很硬，破碎前还需要较长时间解冻，还可能产生解冻废水，因此实际运行温度一般在2~5℃（冷藏温度），在此温度下，病菌微生物保持很低的活性，亦不会产生腐烂恶臭，还可避免产生解冻废水。 根据环境保护部《关于生产和使用消耗臭氧层物质建设项目管理有关工作的 通知》（环大气【2018】5号）：“禁止新建、扩建生产和使用作为制冷剂、发 泡剂、灭火剂、溶剂、清洗剂、加工助剂、气雾剂、土壤熏蒸剂等受控用途的消耗臭氧层物质的建设项目”，建设单位拟采用R404</w:t>
            </w:r>
            <w:r>
              <w:rPr>
                <w:rFonts w:hint="eastAsia" w:ascii="Times New Roman" w:hAnsi="Times New Roman" w:cs="Times New Roman"/>
                <w:bCs/>
              </w:rPr>
              <w:t>a</w:t>
            </w:r>
            <w:r>
              <w:rPr>
                <w:rFonts w:ascii="Times New Roman" w:hAnsi="Times New Roman" w:cs="Times New Roman"/>
                <w:bCs/>
              </w:rPr>
              <w:t>为制冷剂。R404</w:t>
            </w:r>
            <w:r>
              <w:rPr>
                <w:rFonts w:hint="eastAsia" w:ascii="Times New Roman" w:hAnsi="Times New Roman" w:cs="Times New Roman"/>
                <w:bCs/>
              </w:rPr>
              <w:t>a</w:t>
            </w:r>
            <w:r>
              <w:rPr>
                <w:rFonts w:ascii="Times New Roman" w:hAnsi="Times New Roman" w:cs="Times New Roman"/>
                <w:bCs/>
              </w:rPr>
              <w:t>是一种 较新型的制冷剂，不会破坏空气中的臭氧层，属环保冷媒。拟建项目制冷剂一次性充注量约40kg，两年补充一次。</w:t>
            </w:r>
          </w:p>
          <w:p w14:paraId="284F1AF5">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5、</w:t>
            </w:r>
            <w:r>
              <w:rPr>
                <w:rFonts w:ascii="Times New Roman" w:hAnsi="Times New Roman" w:cs="Times New Roman"/>
                <w:bCs/>
              </w:rPr>
              <w:t>循环冷却系统</w:t>
            </w:r>
          </w:p>
          <w:p w14:paraId="3A0020E4">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循环水系统由2</w:t>
            </w:r>
            <w:r>
              <w:rPr>
                <w:rFonts w:hint="eastAsia" w:ascii="Times New Roman" w:hAnsi="Times New Roman" w:cs="Times New Roman"/>
                <w:bCs/>
              </w:rPr>
              <w:t>座1</w:t>
            </w:r>
            <w:r>
              <w:rPr>
                <w:rFonts w:ascii="Times New Roman" w:hAnsi="Times New Roman" w:cs="Times New Roman"/>
                <w:bCs/>
              </w:rPr>
              <w:t>50m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降温</w:t>
            </w:r>
            <w:r>
              <w:rPr>
                <w:rFonts w:ascii="Times New Roman" w:hAnsi="Times New Roman" w:cs="Times New Roman"/>
                <w:bCs/>
              </w:rPr>
              <w:t>塔</w:t>
            </w:r>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用1备</w:t>
            </w:r>
            <w:r>
              <w:rPr>
                <w:rFonts w:ascii="Times New Roman" w:hAnsi="Times New Roman" w:cs="Times New Roman"/>
                <w:bCs/>
              </w:rPr>
              <w:t>。经过冷却塔降温后的冷却水，由循环冷却水泵加压，供给化制罐以及其它需要冷却水的设备。</w:t>
            </w:r>
          </w:p>
          <w:p w14:paraId="510CECEE">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6、</w:t>
            </w:r>
            <w:r>
              <w:rPr>
                <w:rFonts w:ascii="Times New Roman" w:hAnsi="Times New Roman" w:cs="Times New Roman"/>
                <w:bCs/>
              </w:rPr>
              <w:t>卫生防疫</w:t>
            </w:r>
          </w:p>
          <w:p w14:paraId="445A0CB9">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a.消毒</w:t>
            </w:r>
          </w:p>
          <w:p w14:paraId="4D20430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在生产过程中的运输车、生产车间、污水贮存池等会有病菌的存在，故对病 菌的防护措施要从的运输车、生产车间、污水贮存池、人员等方面开展。</w:t>
            </w:r>
          </w:p>
          <w:p w14:paraId="1E90616E">
            <w:pPr>
              <w:pStyle w:val="10"/>
              <w:spacing w:line="360" w:lineRule="auto"/>
              <w:ind w:left="0" w:right="105" w:rightChars="50" w:firstLine="240" w:firstLineChars="100"/>
              <w:rPr>
                <w:rFonts w:ascii="Times New Roman" w:hAnsi="Times New Roman" w:cs="Times New Roman"/>
                <w:bCs/>
              </w:rPr>
            </w:pPr>
            <w:r>
              <w:rPr>
                <w:rFonts w:hint="eastAsia"/>
                <w:bCs/>
              </w:rPr>
              <w:t>①</w:t>
            </w:r>
            <w:r>
              <w:rPr>
                <w:rFonts w:ascii="Times New Roman" w:hAnsi="Times New Roman" w:cs="Times New Roman"/>
                <w:bCs/>
              </w:rPr>
              <w:t>污染区的出口车道设置消毒池和专用喷淋消毒设施，对进出通道的运输车 辆的轮胎、外表面进行喷淋消毒。</w:t>
            </w:r>
          </w:p>
          <w:p w14:paraId="3505C2CC">
            <w:pPr>
              <w:pStyle w:val="10"/>
              <w:spacing w:line="360" w:lineRule="auto"/>
              <w:ind w:left="0" w:right="105" w:rightChars="50" w:firstLine="240" w:firstLineChars="100"/>
              <w:rPr>
                <w:rFonts w:ascii="Times New Roman" w:hAnsi="Times New Roman" w:cs="Times New Roman"/>
                <w:bCs/>
              </w:rPr>
            </w:pPr>
            <w:r>
              <w:rPr>
                <w:rFonts w:hint="eastAsia"/>
                <w:bCs/>
              </w:rPr>
              <w:t>②</w:t>
            </w:r>
            <w:r>
              <w:rPr>
                <w:rFonts w:ascii="Times New Roman" w:hAnsi="Times New Roman" w:cs="Times New Roman"/>
                <w:bCs/>
              </w:rPr>
              <w:t>运输车辆装卸病死动物后，应进入车辆消毒场所对车厢内外进行彻底消 毒。</w:t>
            </w:r>
          </w:p>
          <w:p w14:paraId="70007A7A">
            <w:pPr>
              <w:pStyle w:val="10"/>
              <w:spacing w:line="360" w:lineRule="auto"/>
              <w:ind w:left="0" w:right="105" w:rightChars="50" w:firstLine="240" w:firstLineChars="100"/>
              <w:rPr>
                <w:rFonts w:ascii="Times New Roman" w:hAnsi="Times New Roman" w:cs="Times New Roman"/>
                <w:bCs/>
              </w:rPr>
            </w:pPr>
            <w:r>
              <w:rPr>
                <w:rFonts w:hint="eastAsia"/>
                <w:bCs/>
              </w:rPr>
              <w:t>③</w:t>
            </w:r>
            <w:r>
              <w:rPr>
                <w:rFonts w:ascii="Times New Roman" w:hAnsi="Times New Roman" w:cs="Times New Roman"/>
                <w:bCs/>
              </w:rPr>
              <w:t>处理车间每天消毒一次（在车间冲洗用水中添加消毒液）。</w:t>
            </w:r>
          </w:p>
          <w:p w14:paraId="4F5FA98B">
            <w:pPr>
              <w:pStyle w:val="10"/>
              <w:spacing w:line="360" w:lineRule="auto"/>
              <w:ind w:left="0" w:right="105" w:rightChars="50" w:firstLine="240" w:firstLineChars="100"/>
              <w:rPr>
                <w:rFonts w:ascii="Times New Roman" w:hAnsi="Times New Roman" w:cs="Times New Roman"/>
                <w:bCs/>
              </w:rPr>
            </w:pPr>
            <w:r>
              <w:rPr>
                <w:rFonts w:hint="eastAsia"/>
                <w:bCs/>
              </w:rPr>
              <w:t>④</w:t>
            </w:r>
            <w:r>
              <w:rPr>
                <w:rFonts w:ascii="Times New Roman" w:hAnsi="Times New Roman" w:cs="Times New Roman"/>
                <w:bCs/>
              </w:rPr>
              <w:t>生产区域实行全封闭，通过给排风系统使整个生产区域形成微负压（防止 污染空气外流）。消毒及其他等须按《动物防疫条件审查办法》的要求进行设置。</w:t>
            </w:r>
          </w:p>
          <w:p w14:paraId="40856B07">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b.卫生防护</w:t>
            </w:r>
          </w:p>
          <w:p w14:paraId="54113129">
            <w:pPr>
              <w:pStyle w:val="10"/>
              <w:spacing w:line="360" w:lineRule="auto"/>
              <w:ind w:left="0" w:right="105" w:rightChars="50" w:firstLine="240" w:firstLineChars="100"/>
              <w:rPr>
                <w:rFonts w:ascii="Times New Roman" w:hAnsi="Times New Roman" w:cs="Times New Roman"/>
                <w:bCs/>
              </w:rPr>
            </w:pPr>
            <w:r>
              <w:rPr>
                <w:rFonts w:hint="eastAsia"/>
                <w:bCs/>
              </w:rPr>
              <w:t>①</w:t>
            </w:r>
            <w:r>
              <w:rPr>
                <w:rFonts w:ascii="Times New Roman" w:hAnsi="Times New Roman" w:cs="Times New Roman"/>
                <w:bCs/>
              </w:rPr>
              <w:t>处置人员经过专门培训，具有必要的动物防疫和环保知识，身体健康无外 伤。</w:t>
            </w:r>
          </w:p>
          <w:p w14:paraId="72971AA4">
            <w:pPr>
              <w:pStyle w:val="10"/>
              <w:spacing w:line="360" w:lineRule="auto"/>
              <w:ind w:left="0" w:right="105" w:rightChars="50" w:firstLine="240" w:firstLineChars="100"/>
              <w:rPr>
                <w:rFonts w:ascii="Times New Roman" w:hAnsi="Times New Roman" w:cs="Times New Roman"/>
                <w:bCs/>
              </w:rPr>
            </w:pPr>
            <w:r>
              <w:rPr>
                <w:rFonts w:hint="eastAsia"/>
                <w:bCs/>
              </w:rPr>
              <w:t>②</w:t>
            </w:r>
            <w:r>
              <w:rPr>
                <w:rFonts w:ascii="Times New Roman" w:hAnsi="Times New Roman" w:cs="Times New Roman"/>
                <w:bCs/>
              </w:rPr>
              <w:t>处置人员在作业时穿戴防护服、胶靴、手套、口罩。必要时按要求提高人 员防护等级。</w:t>
            </w:r>
          </w:p>
          <w:p w14:paraId="4A8B386F">
            <w:pPr>
              <w:pStyle w:val="10"/>
              <w:spacing w:line="360" w:lineRule="auto"/>
              <w:ind w:left="0" w:right="105" w:rightChars="50" w:firstLine="240" w:firstLineChars="100"/>
              <w:rPr>
                <w:rFonts w:ascii="Times New Roman" w:hAnsi="Times New Roman" w:cs="Times New Roman"/>
                <w:bCs/>
              </w:rPr>
            </w:pPr>
            <w:r>
              <w:rPr>
                <w:rFonts w:hint="eastAsia"/>
                <w:bCs/>
              </w:rPr>
              <w:t>③</w:t>
            </w:r>
            <w:r>
              <w:rPr>
                <w:rFonts w:ascii="Times New Roman" w:hAnsi="Times New Roman" w:cs="Times New Roman"/>
                <w:bCs/>
              </w:rPr>
              <w:t>处置人员使用专用的收集、运载、清洗、消毒等用具。处置用具不得用于 其他用途。</w:t>
            </w:r>
          </w:p>
          <w:p w14:paraId="4506CF53">
            <w:pPr>
              <w:pStyle w:val="10"/>
              <w:spacing w:line="360" w:lineRule="auto"/>
              <w:ind w:left="0" w:right="105" w:rightChars="50" w:firstLine="240" w:firstLineChars="100"/>
              <w:rPr>
                <w:rFonts w:ascii="Times New Roman" w:hAnsi="Times New Roman" w:cs="Times New Roman"/>
                <w:bCs/>
              </w:rPr>
            </w:pPr>
            <w:r>
              <w:rPr>
                <w:rFonts w:hint="eastAsia"/>
                <w:bCs/>
              </w:rPr>
              <w:t>④</w:t>
            </w:r>
            <w:r>
              <w:rPr>
                <w:rFonts w:ascii="Times New Roman" w:hAnsi="Times New Roman" w:cs="Times New Roman"/>
                <w:bCs/>
              </w:rPr>
              <w:t>处置人员每次操作完毕后立即对自身进行卫生消毒。</w:t>
            </w:r>
          </w:p>
          <w:p w14:paraId="42ED427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c</w:t>
            </w:r>
            <w:r>
              <w:rPr>
                <w:rFonts w:hint="eastAsia" w:ascii="Times New Roman" w:hAnsi="Times New Roman" w:cs="Times New Roman"/>
                <w:bCs/>
              </w:rPr>
              <w:t>.</w:t>
            </w:r>
            <w:r>
              <w:rPr>
                <w:rFonts w:ascii="Times New Roman" w:hAnsi="Times New Roman" w:cs="Times New Roman"/>
                <w:bCs/>
              </w:rPr>
              <w:t>检疫消毒把控</w:t>
            </w:r>
          </w:p>
          <w:p w14:paraId="6A8A400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拟建项目在接收到养殖户汇报有病死畜禽需要收集处置前，保险部门与畜禽 防疫部门已派遣专业检疫人员先进入养殖户对病死畜禽进行鉴定是否为感染《病害动物和病害动物产品生物安全处置规程》（GB16548-2006）中规定拟建项目不得收集处置的疫病，若为规定拟建项目不得处置的病死畜禽，不进行收集。是否感染病毒由畜禽防疫部门与保险部门前期把控，拟建项目作为末端治理工程，其工艺设计即已满足染疫病死畜禽处置的要求。</w:t>
            </w:r>
          </w:p>
          <w:p w14:paraId="41FBEBCC">
            <w:pPr>
              <w:pStyle w:val="10"/>
              <w:spacing w:line="360" w:lineRule="auto"/>
              <w:ind w:left="105" w:leftChars="50" w:right="105" w:rightChars="50" w:firstLine="240" w:firstLineChars="100"/>
              <w:rPr>
                <w:rFonts w:ascii="Times New Roman" w:hAnsi="Times New Roman" w:cs="Times New Roman"/>
                <w:bCs/>
              </w:rPr>
            </w:pPr>
            <w:r>
              <w:t>本项目建成后只处理一般病死动物，</w:t>
            </w:r>
            <w:r>
              <w:rPr>
                <w:rFonts w:hint="eastAsia"/>
              </w:rPr>
              <w:t>不</w:t>
            </w:r>
            <w:r>
              <w:t>处理《一、二、三类动物疫病病种名录》中规定的疫病类型。</w:t>
            </w:r>
          </w:p>
          <w:p w14:paraId="317A6213">
            <w:pPr>
              <w:pStyle w:val="10"/>
              <w:spacing w:line="360" w:lineRule="auto"/>
              <w:ind w:left="105" w:leftChars="50" w:right="105" w:rightChars="50" w:firstLine="240" w:firstLineChars="100"/>
            </w:pPr>
            <w:r>
              <w:t>一类动物疫病：口蹄疫、猪水泡病、猪瘟、非洲马瘟、牛瘟、牛传染性胸膜肺炎、牛海绵状脑病、痒病、蓝舌病、小反刍兽疫、绵羊痘和山羊痘、禽流行性感冒（高致病性禽流感）、鸡新城疫。</w:t>
            </w:r>
          </w:p>
          <w:p w14:paraId="0C536A88">
            <w:pPr>
              <w:pStyle w:val="10"/>
              <w:spacing w:line="360" w:lineRule="auto"/>
              <w:ind w:left="105" w:leftChars="50" w:right="105" w:rightChars="50" w:firstLine="240" w:firstLineChars="100"/>
            </w:pPr>
            <w:r>
              <w:t>二类动物疫病：多种动物共患病</w:t>
            </w:r>
            <w:r>
              <w:rPr>
                <w:rFonts w:hint="eastAsia"/>
              </w:rPr>
              <w:t>，</w:t>
            </w:r>
            <w:r>
              <w:t>伪狂犬病、狂犬病、炭疽、魏氏梭菌病、副结核病、布鲁氏菌病、弓形虫病、棘球呦病、钩端螺旋体病。</w:t>
            </w:r>
          </w:p>
          <w:p w14:paraId="5D6B5EAA">
            <w:pPr>
              <w:pStyle w:val="10"/>
              <w:spacing w:line="360" w:lineRule="auto"/>
              <w:ind w:left="105" w:leftChars="50" w:right="105" w:rightChars="50" w:firstLine="240" w:firstLineChars="100"/>
            </w:pPr>
            <w:r>
              <w:t>三类动物疫病：多种动物共患病</w:t>
            </w:r>
            <w:r>
              <w:rPr>
                <w:rFonts w:hint="eastAsia"/>
              </w:rPr>
              <w:t>，</w:t>
            </w:r>
            <w:r>
              <w:t>黑腿病、李氏杆菌病、类鼻疽、放线病菌、肝片吸虫病、丝虫病。</w:t>
            </w:r>
          </w:p>
          <w:p w14:paraId="6EC6BAF1">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.2.7 </w:t>
            </w:r>
            <w:r>
              <w:rPr>
                <w:rFonts w:hint="eastAsia" w:ascii="Times New Roman" w:hAnsi="Times New Roman" w:cs="Times New Roman"/>
                <w:b/>
              </w:rPr>
              <w:t>原料收集与运输</w:t>
            </w:r>
          </w:p>
          <w:p w14:paraId="5989FAA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拟建项目收运体系主要由标准化冷库、密闭冷藏车以及电子定位系统等硬软 件设施组成，主要负责周边地区病死畜禽尸体的收集和运输。</w:t>
            </w:r>
          </w:p>
          <w:p w14:paraId="6A360E46">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（1）收集方案</w:t>
            </w:r>
          </w:p>
          <w:p w14:paraId="646ED1BF">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根据动物无害化处理项目的建设规模和处理能力，日常收运量约为10t/d，最 大应急处理规模可达到20t/d。</w:t>
            </w:r>
          </w:p>
          <w:p w14:paraId="2229DFE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（2）原料来源</w:t>
            </w:r>
          </w:p>
          <w:p w14:paraId="17CDA40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本项目服务范围主要为</w:t>
            </w:r>
            <w:r>
              <w:rPr>
                <w:rFonts w:hint="eastAsia" w:ascii="Times New Roman" w:hAnsi="Times New Roman" w:cs="Times New Roman"/>
                <w:bCs/>
              </w:rPr>
              <w:t>芒市</w:t>
            </w:r>
            <w:r>
              <w:rPr>
                <w:rFonts w:ascii="Times New Roman" w:hAnsi="Times New Roman" w:cs="Times New Roman"/>
                <w:bCs/>
              </w:rPr>
              <w:t>及</w:t>
            </w:r>
            <w:r>
              <w:rPr>
                <w:rFonts w:hint="eastAsia" w:ascii="Times New Roman" w:hAnsi="Times New Roman" w:cs="Times New Roman"/>
                <w:bCs/>
              </w:rPr>
              <w:t>德宏州下辖各</w:t>
            </w:r>
            <w:r>
              <w:rPr>
                <w:rFonts w:ascii="Times New Roman" w:hAnsi="Times New Roman" w:cs="Times New Roman"/>
                <w:bCs/>
              </w:rPr>
              <w:t>县区养殖场、养殖小区、养殖散户等。《病死及病害动物无害化处理技术规范》（农医发</w:t>
            </w:r>
            <w:r>
              <w:rPr>
                <w:rFonts w:hint="eastAsia" w:ascii="Times New Roman" w:hAnsi="Times New Roman" w:cs="Times New Roman"/>
                <w:bCs/>
              </w:rPr>
              <w:t>[</w:t>
            </w:r>
            <w:r>
              <w:rPr>
                <w:rFonts w:ascii="Times New Roman" w:hAnsi="Times New Roman" w:cs="Times New Roman"/>
                <w:bCs/>
              </w:rPr>
              <w:t>2017]25号）规范了适用于国家规定的染疫动物及其产品、病死或者死因不明的动物尸体，屠宰前确认的病害动物、屠宰过程中经检疫或肉品品质检验确认为不可食用的动物产品，以及其他应当进行无害化处理的动物及动物产品。《病死及病害动物无害化处理技术规范》（农医发</w:t>
            </w:r>
            <w:r>
              <w:rPr>
                <w:rFonts w:hint="eastAsia" w:ascii="Times New Roman" w:hAnsi="Times New Roman" w:cs="Times New Roman"/>
                <w:bCs/>
              </w:rPr>
              <w:t>[</w:t>
            </w:r>
            <w:r>
              <w:rPr>
                <w:rFonts w:ascii="Times New Roman" w:hAnsi="Times New Roman" w:cs="Times New Roman"/>
                <w:bCs/>
              </w:rPr>
              <w:t>2017]25号）</w:t>
            </w:r>
            <w:r>
              <w:rPr>
                <w:rFonts w:hint="eastAsia" w:ascii="Times New Roman" w:hAnsi="Times New Roman" w:cs="Times New Roman"/>
                <w:bCs/>
              </w:rPr>
              <w:t>中规定</w:t>
            </w:r>
            <w:r>
              <w:rPr>
                <w:rFonts w:ascii="Times New Roman" w:hAnsi="Times New Roman" w:cs="Times New Roman"/>
                <w:bCs/>
              </w:rPr>
              <w:t>无害化的处理工艺分为：深埋、焚烧、化制和其他物理、化学方法，不同的处理工艺针对不同的处理对象。其中，高温干法化制不得用于患有炭疽等芽抱杆菌类疫病，以及牛海绵状脑病、痒病的染疫动物及产品、组织的处理。项目处理工艺使用高温化制法，符合《病死及病害动物无害化处理技术规范》（农医发</w:t>
            </w:r>
            <w:r>
              <w:rPr>
                <w:rFonts w:hint="eastAsia" w:ascii="Times New Roman" w:hAnsi="Times New Roman" w:cs="Times New Roman"/>
                <w:bCs/>
              </w:rPr>
              <w:t>[</w:t>
            </w:r>
            <w:r>
              <w:rPr>
                <w:rFonts w:ascii="Times New Roman" w:hAnsi="Times New Roman" w:cs="Times New Roman"/>
                <w:bCs/>
              </w:rPr>
              <w:t>2017]25号）中规定的工艺适用对象选取的原则。</w:t>
            </w:r>
          </w:p>
          <w:p w14:paraId="4F4CB89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本次评价提出如下要求：</w:t>
            </w:r>
            <w:r>
              <w:rPr>
                <w:rFonts w:hint="eastAsia"/>
                <w:bCs/>
              </w:rPr>
              <w:t>①</w:t>
            </w:r>
            <w:r>
              <w:rPr>
                <w:rFonts w:ascii="Times New Roman" w:hAnsi="Times New Roman" w:cs="Times New Roman"/>
                <w:bCs/>
              </w:rPr>
              <w:t>项目运营期不得处理《病死及病害动物无害化处理技术规范》（农医发</w:t>
            </w:r>
            <w:r>
              <w:rPr>
                <w:rFonts w:hint="eastAsia" w:ascii="Times New Roman" w:hAnsi="Times New Roman" w:cs="Times New Roman"/>
                <w:bCs/>
              </w:rPr>
              <w:t>[</w:t>
            </w:r>
            <w:r>
              <w:rPr>
                <w:rFonts w:ascii="Times New Roman" w:hAnsi="Times New Roman" w:cs="Times New Roman"/>
                <w:bCs/>
              </w:rPr>
              <w:t>2017]25号）中规定的需要销毁处理的动物疫病的病死畜禽。</w:t>
            </w:r>
            <w:r>
              <w:rPr>
                <w:rFonts w:hint="eastAsia"/>
                <w:bCs/>
              </w:rPr>
              <w:t>②</w:t>
            </w:r>
            <w:r>
              <w:rPr>
                <w:rFonts w:ascii="Times New Roman" w:hAnsi="Times New Roman" w:cs="Times New Roman"/>
                <w:bCs/>
              </w:rPr>
              <w:t>国家法律法规规定不适宜采用“高温干法化制”的病死畜禽。</w:t>
            </w:r>
            <w:r>
              <w:rPr>
                <w:rFonts w:hint="eastAsia"/>
                <w:bCs/>
              </w:rPr>
              <w:t>③</w:t>
            </w:r>
            <w:r>
              <w:rPr>
                <w:rFonts w:ascii="Times New Roman" w:hAnsi="Times New Roman" w:cs="Times New Roman"/>
                <w:bCs/>
              </w:rPr>
              <w:t>动物尸体要严格按照防疫条例进行处置。</w:t>
            </w:r>
          </w:p>
          <w:p w14:paraId="4EBD79E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（3）收集运输方式</w:t>
            </w:r>
          </w:p>
          <w:p w14:paraId="4E60B20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w:t>
            </w:r>
            <w:r>
              <w:rPr>
                <w:rFonts w:hint="eastAsia" w:ascii="Times New Roman" w:hAnsi="Times New Roman" w:cs="Times New Roman"/>
                <w:bCs/>
              </w:rPr>
              <w:t>次工程组成不包含</w:t>
            </w:r>
            <w:r>
              <w:rPr>
                <w:rFonts w:ascii="Times New Roman" w:hAnsi="Times New Roman" w:cs="Times New Roman"/>
                <w:bCs/>
              </w:rPr>
              <w:t>集中收集点，根据服务范围内各养殖场、养殖小区、养殖散户等上报的病死畜禽情况，安排公司专用的收集运输车辆（密闭、冷藏功能）直接进入出现病死畜禽的各养殖场、养殖小区、养殖散户收集病死畜禽尸体并运至项目场地进行无害化处置。公司配置的专用车辆符合《医疗废物转运车技术要求（试行）》（GB19217-2003）。</w:t>
            </w:r>
          </w:p>
          <w:p w14:paraId="7A39155B">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1）动物尸体收集采用申报制，在互联网平台上，源头方按照自身规模申报每天的病死畜禽尸体产量，综合运营方与源头方约定收运时间，在规定时间内统一收运，并在互联网平台上完成收运程序工作。</w:t>
            </w:r>
          </w:p>
          <w:p w14:paraId="167F76F8">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2）鉴于病死畜禽尸体收运时间段集中，收运时间紧迫，时间间距要求严格， 因此，必须严格控制收集时间。</w:t>
            </w:r>
          </w:p>
          <w:p w14:paraId="17533C94">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.2.8 </w:t>
            </w:r>
            <w:r>
              <w:rPr>
                <w:rFonts w:hint="eastAsia" w:ascii="Times New Roman" w:hAnsi="Times New Roman" w:cs="Times New Roman"/>
                <w:b/>
              </w:rPr>
              <w:t>劳动定员及工作制度</w:t>
            </w:r>
          </w:p>
          <w:p w14:paraId="1D5769A2">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（1）</w:t>
            </w:r>
            <w:r>
              <w:rPr>
                <w:rFonts w:ascii="Times New Roman" w:hAnsi="Times New Roman" w:cs="Times New Roman"/>
                <w:bCs/>
              </w:rPr>
              <w:t>生产制度</w:t>
            </w:r>
          </w:p>
          <w:p w14:paraId="3DF01878">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根据建设单位提供资料，本项目</w:t>
            </w:r>
            <w:r>
              <w:rPr>
                <w:rFonts w:ascii="Times New Roman" w:hAnsi="Times New Roman" w:cs="Times New Roman"/>
                <w:bCs/>
              </w:rPr>
              <w:t>年工作300</w:t>
            </w:r>
            <w:r>
              <w:rPr>
                <w:rFonts w:hint="eastAsia" w:ascii="Times New Roman" w:hAnsi="Times New Roman" w:cs="Times New Roman"/>
                <w:bCs/>
              </w:rPr>
              <w:t>d，</w:t>
            </w:r>
            <w:r>
              <w:rPr>
                <w:rFonts w:ascii="Times New Roman" w:hAnsi="Times New Roman" w:cs="Times New Roman"/>
                <w:bCs/>
              </w:rPr>
              <w:t>每天1班，每班8</w:t>
            </w:r>
            <w:r>
              <w:rPr>
                <w:rFonts w:hint="eastAsia" w:ascii="Times New Roman" w:hAnsi="Times New Roman" w:cs="Times New Roman"/>
                <w:bCs/>
              </w:rPr>
              <w:t>h</w:t>
            </w:r>
            <w:r>
              <w:rPr>
                <w:rFonts w:ascii="Times New Roman" w:hAnsi="Times New Roman" w:cs="Times New Roman"/>
                <w:bCs/>
              </w:rPr>
              <w:t>。</w:t>
            </w:r>
          </w:p>
          <w:p w14:paraId="488124F6">
            <w:pPr>
              <w:pStyle w:val="10"/>
              <w:spacing w:line="360" w:lineRule="auto"/>
              <w:ind w:left="0" w:right="105" w:rightChars="50" w:firstLine="240" w:firstLineChars="100"/>
              <w:rPr>
                <w:rFonts w:ascii="Times New Roman" w:hAnsi="Times New Roman" w:cs="Times New Roman"/>
                <w:bCs/>
              </w:rPr>
            </w:pPr>
            <w:bookmarkStart w:id="22" w:name="_Toc495668591"/>
            <w:r>
              <w:rPr>
                <w:rFonts w:hint="eastAsia" w:ascii="Times New Roman" w:hAnsi="Times New Roman" w:cs="Times New Roman"/>
                <w:bCs/>
              </w:rPr>
              <w:t>（2）</w:t>
            </w:r>
            <w:r>
              <w:rPr>
                <w:rFonts w:ascii="Times New Roman" w:hAnsi="Times New Roman" w:cs="Times New Roman"/>
                <w:bCs/>
              </w:rPr>
              <w:t>组织机构、劳动定员</w:t>
            </w:r>
            <w:bookmarkEnd w:id="22"/>
          </w:p>
          <w:p w14:paraId="0709E0C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本项目实行</w:t>
            </w:r>
            <w:r>
              <w:rPr>
                <w:rFonts w:hint="eastAsia" w:ascii="Times New Roman" w:hAnsi="Times New Roman" w:cs="Times New Roman"/>
                <w:bCs/>
              </w:rPr>
              <w:t>厂长</w:t>
            </w:r>
            <w:r>
              <w:rPr>
                <w:rFonts w:ascii="Times New Roman" w:hAnsi="Times New Roman" w:cs="Times New Roman"/>
                <w:bCs/>
              </w:rPr>
              <w:t>负责制，厂长统一管理项目生产</w:t>
            </w:r>
            <w:r>
              <w:rPr>
                <w:rFonts w:hint="eastAsia" w:ascii="Times New Roman" w:hAnsi="Times New Roman" w:cs="Times New Roman"/>
                <w:bCs/>
              </w:rPr>
              <w:t>运营。运行期</w:t>
            </w:r>
            <w:r>
              <w:rPr>
                <w:rFonts w:ascii="Times New Roman" w:hAnsi="Times New Roman" w:cs="Times New Roman"/>
                <w:bCs/>
              </w:rPr>
              <w:t>劳动定员</w:t>
            </w:r>
            <w:r>
              <w:rPr>
                <w:rFonts w:hint="eastAsia" w:ascii="Times New Roman" w:hAnsi="Times New Roman" w:cs="Times New Roman"/>
                <w:bCs/>
              </w:rPr>
              <w:t>为</w:t>
            </w:r>
            <w:r>
              <w:rPr>
                <w:rFonts w:ascii="Times New Roman" w:hAnsi="Times New Roman" w:cs="Times New Roman"/>
                <w:bCs/>
              </w:rPr>
              <w:t>27人</w:t>
            </w:r>
            <w:r>
              <w:rPr>
                <w:rFonts w:hint="eastAsia" w:ascii="Times New Roman" w:hAnsi="Times New Roman" w:cs="Times New Roman"/>
                <w:bCs/>
              </w:rPr>
              <w:t>，其中生产人员2</w:t>
            </w:r>
            <w:r>
              <w:rPr>
                <w:rFonts w:ascii="Times New Roman" w:hAnsi="Times New Roman" w:cs="Times New Roman"/>
                <w:bCs/>
              </w:rPr>
              <w:t>3</w:t>
            </w:r>
            <w:r>
              <w:rPr>
                <w:rFonts w:hint="eastAsia" w:ascii="Times New Roman" w:hAnsi="Times New Roman" w:cs="Times New Roman"/>
                <w:bCs/>
              </w:rPr>
              <w:t>人，其他辅助人员4人，均在厂内食宿。</w:t>
            </w:r>
          </w:p>
          <w:p w14:paraId="5E60FDD2">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2.2.9 </w:t>
            </w:r>
            <w:r>
              <w:rPr>
                <w:rFonts w:hint="eastAsia" w:ascii="Times New Roman" w:hAnsi="Times New Roman" w:cs="Times New Roman"/>
                <w:b/>
              </w:rPr>
              <w:t>项目投资</w:t>
            </w:r>
          </w:p>
          <w:p w14:paraId="00766CD1">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工程</w:t>
            </w:r>
            <w:r>
              <w:rPr>
                <w:rFonts w:ascii="Times New Roman" w:hAnsi="Times New Roman" w:cs="Times New Roman"/>
                <w:bCs/>
              </w:rPr>
              <w:t>总投资</w:t>
            </w:r>
            <w:r>
              <w:rPr>
                <w:rFonts w:ascii="Times New Roman" w:hAnsi="Times New Roman" w:cs="Times New Roman"/>
              </w:rPr>
              <w:t>2000</w:t>
            </w:r>
            <w:r>
              <w:rPr>
                <w:rFonts w:ascii="Times New Roman" w:hAnsi="Times New Roman" w:cs="Times New Roman"/>
                <w:bCs/>
              </w:rPr>
              <w:t>万元</w:t>
            </w:r>
            <w:r>
              <w:rPr>
                <w:rFonts w:hint="eastAsia" w:ascii="Times New Roman" w:hAnsi="Times New Roman" w:cs="Times New Roman"/>
                <w:bCs/>
              </w:rPr>
              <w:t>，其中环保估算投资</w:t>
            </w:r>
            <w:r>
              <w:rPr>
                <w:rFonts w:ascii="Times New Roman" w:hAnsi="Times New Roman" w:cs="Times New Roman"/>
                <w:bCs/>
              </w:rPr>
              <w:t>148.7万元，占总投资的7.44</w:t>
            </w:r>
            <w:r>
              <w:rPr>
                <w:rFonts w:hint="eastAsia" w:ascii="Times New Roman" w:hAnsi="Times New Roman" w:cs="Times New Roman"/>
                <w:bCs/>
              </w:rPr>
              <w:t>%</w:t>
            </w:r>
            <w:r>
              <w:rPr>
                <w:rFonts w:ascii="Times New Roman" w:hAnsi="Times New Roman" w:cs="Times New Roman"/>
                <w:bCs/>
              </w:rPr>
              <w:t>。</w:t>
            </w:r>
          </w:p>
          <w:p w14:paraId="6D776DAD">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2.2.10 </w:t>
            </w:r>
            <w:r>
              <w:rPr>
                <w:rFonts w:hint="eastAsia" w:ascii="Times New Roman" w:hAnsi="Times New Roman" w:cs="Times New Roman"/>
                <w:b/>
              </w:rPr>
              <w:t>施工进度</w:t>
            </w:r>
          </w:p>
          <w:p w14:paraId="25C82B57">
            <w:pPr>
              <w:pStyle w:val="10"/>
              <w:spacing w:line="360" w:lineRule="auto"/>
              <w:ind w:left="0" w:right="105" w:rightChars="50" w:firstLine="240" w:firstLineChars="100"/>
              <w:rPr>
                <w:rFonts w:ascii="Times New Roman" w:hAnsi="Times New Roman" w:cs="Times New Roman"/>
                <w:bCs/>
              </w:rPr>
            </w:pPr>
            <w:bookmarkStart w:id="23" w:name="_Hlk105922903"/>
            <w:r>
              <w:rPr>
                <w:rFonts w:hint="eastAsia" w:ascii="Times New Roman" w:hAnsi="Times New Roman" w:cs="Times New Roman"/>
                <w:bCs/>
              </w:rPr>
              <w:t>拟定2</w:t>
            </w:r>
            <w:r>
              <w:rPr>
                <w:rFonts w:ascii="Times New Roman" w:hAnsi="Times New Roman" w:cs="Times New Roman"/>
                <w:bCs/>
              </w:rPr>
              <w:t>022</w:t>
            </w:r>
            <w:r>
              <w:rPr>
                <w:rFonts w:hint="eastAsia" w:ascii="Times New Roman" w:hAnsi="Times New Roman" w:cs="Times New Roman"/>
                <w:bCs/>
              </w:rPr>
              <w:t>年</w:t>
            </w:r>
            <w:r>
              <w:rPr>
                <w:rFonts w:ascii="Times New Roman" w:hAnsi="Times New Roman" w:cs="Times New Roman"/>
                <w:bCs/>
              </w:rPr>
              <w:t>8</w:t>
            </w:r>
            <w:r>
              <w:rPr>
                <w:rFonts w:hint="eastAsia" w:ascii="Times New Roman" w:hAnsi="Times New Roman" w:cs="Times New Roman"/>
                <w:bCs/>
              </w:rPr>
              <w:t>月开工，至</w:t>
            </w:r>
            <w:r>
              <w:rPr>
                <w:rFonts w:ascii="Times New Roman" w:hAnsi="Times New Roman" w:cs="Times New Roman"/>
                <w:bCs/>
              </w:rPr>
              <w:t>2022</w:t>
            </w:r>
            <w:r>
              <w:rPr>
                <w:rFonts w:hint="eastAsia" w:ascii="Times New Roman" w:hAnsi="Times New Roman" w:cs="Times New Roman"/>
                <w:bCs/>
              </w:rPr>
              <w:t>年</w:t>
            </w:r>
            <w:r>
              <w:rPr>
                <w:rFonts w:ascii="Times New Roman" w:hAnsi="Times New Roman" w:cs="Times New Roman"/>
                <w:bCs/>
              </w:rPr>
              <w:t>12</w:t>
            </w:r>
            <w:r>
              <w:rPr>
                <w:rFonts w:hint="eastAsia" w:ascii="Times New Roman" w:hAnsi="Times New Roman" w:cs="Times New Roman"/>
                <w:bCs/>
              </w:rPr>
              <w:t>月竣工，总施工期</w:t>
            </w:r>
            <w:r>
              <w:rPr>
                <w:rFonts w:ascii="Times New Roman" w:hAnsi="Times New Roman" w:cs="Times New Roman"/>
                <w:bCs/>
              </w:rPr>
              <w:t>4</w:t>
            </w:r>
            <w:r>
              <w:rPr>
                <w:rFonts w:hint="eastAsia" w:ascii="Times New Roman" w:hAnsi="Times New Roman" w:cs="Times New Roman"/>
                <w:bCs/>
              </w:rPr>
              <w:t>个月，预计</w:t>
            </w:r>
            <w:r>
              <w:rPr>
                <w:rFonts w:ascii="Times New Roman" w:hAnsi="Times New Roman" w:cs="Times New Roman"/>
                <w:bCs/>
              </w:rPr>
              <w:t>2023</w:t>
            </w:r>
            <w:r>
              <w:rPr>
                <w:rFonts w:hint="eastAsia" w:ascii="Times New Roman" w:hAnsi="Times New Roman" w:cs="Times New Roman"/>
                <w:bCs/>
              </w:rPr>
              <w:t xml:space="preserve"> 年</w:t>
            </w:r>
            <w:r>
              <w:rPr>
                <w:rFonts w:ascii="Times New Roman" w:hAnsi="Times New Roman" w:cs="Times New Roman"/>
                <w:bCs/>
              </w:rPr>
              <w:t>1</w:t>
            </w:r>
            <w:r>
              <w:rPr>
                <w:rFonts w:hint="eastAsia" w:ascii="Times New Roman" w:hAnsi="Times New Roman" w:cs="Times New Roman"/>
                <w:bCs/>
              </w:rPr>
              <w:t>月投产，具体施工进度以相关管理部门审批为准。</w:t>
            </w:r>
          </w:p>
          <w:bookmarkEnd w:id="23"/>
          <w:p w14:paraId="35EC5734">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2.2.11 </w:t>
            </w:r>
            <w:r>
              <w:rPr>
                <w:rFonts w:hint="eastAsia" w:ascii="Times New Roman" w:hAnsi="Times New Roman" w:cs="Times New Roman"/>
                <w:b/>
              </w:rPr>
              <w:t>工程占地</w:t>
            </w:r>
          </w:p>
          <w:p w14:paraId="6E58405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项目总占地面积8.92</w:t>
            </w:r>
            <w:r>
              <w:rPr>
                <w:rFonts w:hint="eastAsia" w:ascii="Times New Roman" w:hAnsi="Times New Roman" w:cs="Times New Roman"/>
                <w:bCs/>
              </w:rPr>
              <w:t>亩，均为永久占地，现状为农用地，种植菠萝和甘蔗。</w:t>
            </w:r>
          </w:p>
          <w:p w14:paraId="7F2BD31E">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2.2.12 </w:t>
            </w:r>
            <w:r>
              <w:rPr>
                <w:rFonts w:hint="eastAsia" w:ascii="Times New Roman" w:hAnsi="Times New Roman" w:cs="Times New Roman"/>
                <w:b/>
              </w:rPr>
              <w:t>总平面布置</w:t>
            </w:r>
          </w:p>
          <w:p w14:paraId="0D991AAF">
            <w:pPr>
              <w:autoSpaceDE w:val="0"/>
              <w:autoSpaceDN w:val="0"/>
              <w:adjustRightInd w:val="0"/>
              <w:spacing w:line="360" w:lineRule="auto"/>
              <w:ind w:right="105" w:rightChars="50" w:firstLine="240" w:firstLineChars="100"/>
              <w:jc w:val="left"/>
              <w:rPr>
                <w:rFonts w:ascii="Times New Roman" w:hAnsi="Times New Roman" w:eastAsia="宋体" w:cs="Times New Roman"/>
                <w:sz w:val="24"/>
                <w:lang w:bidi="ar"/>
              </w:rPr>
            </w:pPr>
            <w:r>
              <w:rPr>
                <w:rFonts w:ascii="Times New Roman" w:hAnsi="Times New Roman" w:eastAsia="宋体" w:cs="Times New Roman"/>
                <w:sz w:val="24"/>
                <w:lang w:bidi="ar"/>
              </w:rPr>
              <w:t>项目总平面布置分为生产区、办公生活区。项目生产区布置于厂区</w:t>
            </w:r>
            <w:r>
              <w:rPr>
                <w:rFonts w:hint="eastAsia" w:ascii="Times New Roman" w:hAnsi="Times New Roman" w:eastAsia="宋体" w:cs="Times New Roman"/>
                <w:sz w:val="24"/>
                <w:lang w:bidi="ar"/>
              </w:rPr>
              <w:t>东</w:t>
            </w:r>
            <w:r>
              <w:rPr>
                <w:rFonts w:ascii="Times New Roman" w:hAnsi="Times New Roman" w:eastAsia="宋体" w:cs="Times New Roman"/>
                <w:sz w:val="24"/>
                <w:lang w:bidi="ar"/>
              </w:rPr>
              <w:t>部，</w:t>
            </w:r>
            <w:r>
              <w:rPr>
                <w:rFonts w:hint="eastAsia" w:ascii="Times New Roman" w:hAnsi="Times New Roman" w:eastAsia="宋体" w:cs="Times New Roman"/>
                <w:sz w:val="24"/>
                <w:lang w:bidi="ar"/>
              </w:rPr>
              <w:t>办公</w:t>
            </w:r>
            <w:r>
              <w:rPr>
                <w:rFonts w:ascii="Times New Roman" w:hAnsi="Times New Roman" w:eastAsia="宋体" w:cs="Times New Roman"/>
                <w:sz w:val="24"/>
                <w:lang w:bidi="ar"/>
              </w:rPr>
              <w:t>生活区布置于厂区西部，办公</w:t>
            </w:r>
            <w:r>
              <w:rPr>
                <w:rFonts w:hint="eastAsia" w:ascii="Times New Roman" w:hAnsi="Times New Roman" w:eastAsia="宋体" w:cs="Times New Roman"/>
                <w:sz w:val="24"/>
                <w:lang w:bidi="ar"/>
              </w:rPr>
              <w:t>生活</w:t>
            </w:r>
            <w:r>
              <w:rPr>
                <w:rFonts w:ascii="Times New Roman" w:hAnsi="Times New Roman" w:eastAsia="宋体" w:cs="Times New Roman"/>
                <w:sz w:val="24"/>
                <w:lang w:bidi="ar"/>
              </w:rPr>
              <w:t>区</w:t>
            </w:r>
            <w:r>
              <w:rPr>
                <w:rFonts w:hint="eastAsia" w:ascii="Times New Roman" w:hAnsi="Times New Roman" w:eastAsia="宋体" w:cs="Times New Roman"/>
                <w:sz w:val="24"/>
                <w:lang w:bidi="ar"/>
              </w:rPr>
              <w:t>与生产区设挡墙隔离</w:t>
            </w:r>
            <w:r>
              <w:rPr>
                <w:rFonts w:ascii="Times New Roman" w:hAnsi="Times New Roman" w:eastAsia="宋体" w:cs="Times New Roman"/>
                <w:sz w:val="24"/>
                <w:lang w:bidi="ar"/>
              </w:rPr>
              <w:t>。生产区</w:t>
            </w:r>
            <w:r>
              <w:rPr>
                <w:rFonts w:hint="eastAsia" w:ascii="Times New Roman" w:hAnsi="Times New Roman" w:eastAsia="宋体" w:cs="Times New Roman"/>
                <w:sz w:val="24"/>
                <w:lang w:bidi="ar"/>
              </w:rPr>
              <w:t>中部布置无害化处理车间，东部布置喷淋塔、活性炭吸附装置、污水处理站和绿化带，南部布置储物间，北部布置锅炉、冷凝塔、废气处理设施、配电室等。</w:t>
            </w:r>
          </w:p>
          <w:p w14:paraId="62E08C4B">
            <w:pPr>
              <w:autoSpaceDE w:val="0"/>
              <w:autoSpaceDN w:val="0"/>
              <w:adjustRightInd w:val="0"/>
              <w:spacing w:line="360" w:lineRule="auto"/>
              <w:ind w:right="105" w:rightChars="50" w:firstLine="240" w:firstLineChars="100"/>
              <w:jc w:val="left"/>
              <w:rPr>
                <w:rFonts w:ascii="Times New Roman" w:hAnsi="Times New Roman" w:eastAsia="宋体" w:cs="Times New Roman"/>
                <w:sz w:val="24"/>
                <w:lang w:bidi="ar"/>
              </w:rPr>
            </w:pPr>
            <w:r>
              <w:rPr>
                <w:rFonts w:hint="eastAsia" w:ascii="Times New Roman" w:hAnsi="Times New Roman" w:eastAsia="宋体" w:cs="Times New Roman"/>
                <w:sz w:val="24"/>
                <w:lang w:bidi="ar"/>
              </w:rPr>
              <w:t>办公生活区内布置办公楼和职工宿舍、食堂等。办公楼南侧布置车辆消毒通道和洗消中心。</w:t>
            </w:r>
          </w:p>
          <w:p w14:paraId="3721C8C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结合《动物防疫条件审查办法》（农业部令2010年第7号）和“农业部关于调整动物防疫条件审查有关规定的通知”（农牧发[2019]42号）要求，拟建项目</w:t>
            </w:r>
            <w:r>
              <w:rPr>
                <w:rFonts w:hint="eastAsia" w:ascii="Times New Roman" w:hAnsi="Times New Roman" w:cs="Times New Roman"/>
                <w:bCs/>
              </w:rPr>
              <w:t>厂</w:t>
            </w:r>
            <w:r>
              <w:rPr>
                <w:rFonts w:ascii="Times New Roman" w:hAnsi="Times New Roman" w:cs="Times New Roman"/>
                <w:bCs/>
              </w:rPr>
              <w:t>区周围建有2.5m高围墙，场区出入口设置 9m×5m×0.4m 的</w:t>
            </w:r>
            <w:r>
              <w:rPr>
                <w:rFonts w:hint="eastAsia" w:ascii="Times New Roman" w:hAnsi="Times New Roman" w:cs="Times New Roman"/>
                <w:bCs/>
              </w:rPr>
              <w:t>车辆</w:t>
            </w:r>
            <w:r>
              <w:rPr>
                <w:rFonts w:ascii="Times New Roman" w:hAnsi="Times New Roman" w:cs="Times New Roman"/>
                <w:bCs/>
              </w:rPr>
              <w:t>消毒</w:t>
            </w:r>
            <w:r>
              <w:rPr>
                <w:rFonts w:hint="eastAsia" w:ascii="Times New Roman" w:hAnsi="Times New Roman" w:cs="Times New Roman"/>
                <w:bCs/>
              </w:rPr>
              <w:t>通道</w:t>
            </w:r>
            <w:r>
              <w:rPr>
                <w:rFonts w:ascii="Times New Roman" w:hAnsi="Times New Roman" w:cs="Times New Roman"/>
                <w:bCs/>
              </w:rPr>
              <w:t>，且设置了单独人员消毒通道；拟建项目无害化处理厂房与生活办公区分开并在厂房外设置2.5m高的挡墙；项目厂房出入口设置工作人员更衣室及消毒室。</w:t>
            </w:r>
          </w:p>
          <w:p w14:paraId="2B7B6D3A">
            <w:pPr>
              <w:pStyle w:val="10"/>
              <w:spacing w:line="360" w:lineRule="auto"/>
              <w:ind w:left="0" w:right="105" w:rightChars="50" w:firstLine="240" w:firstLineChars="100"/>
              <w:rPr>
                <w:rFonts w:ascii="Times New Roman" w:hAnsi="Times New Roman" w:cs="Times New Roman"/>
                <w:bCs/>
              </w:rPr>
            </w:pPr>
            <w:bookmarkStart w:id="24" w:name="_Hlk92890734"/>
            <w:r>
              <w:rPr>
                <w:rFonts w:hint="eastAsia" w:ascii="Times New Roman" w:hAnsi="Times New Roman" w:cs="Times New Roman"/>
                <w:bCs/>
              </w:rPr>
              <w:t>项目总平面布置见附图</w:t>
            </w:r>
            <w:r>
              <w:rPr>
                <w:rFonts w:ascii="Times New Roman" w:hAnsi="Times New Roman" w:cs="Times New Roman"/>
                <w:bCs/>
              </w:rPr>
              <w:t>2-3</w:t>
            </w:r>
            <w:r>
              <w:rPr>
                <w:rFonts w:hint="eastAsia" w:ascii="Times New Roman" w:hAnsi="Times New Roman" w:cs="Times New Roman"/>
                <w:bCs/>
              </w:rPr>
              <w:t>。</w:t>
            </w:r>
            <w:bookmarkEnd w:id="24"/>
          </w:p>
          <w:p w14:paraId="4D37BFDF">
            <w:pPr>
              <w:pStyle w:val="10"/>
              <w:spacing w:line="360" w:lineRule="auto"/>
              <w:ind w:left="0" w:right="105" w:rightChars="50" w:firstLine="241" w:firstLineChars="100"/>
              <w:rPr>
                <w:rFonts w:ascii="Times New Roman" w:hAnsi="Times New Roman" w:cs="Times New Roman"/>
                <w:b/>
              </w:rPr>
            </w:pPr>
            <w:r>
              <w:rPr>
                <w:rFonts w:ascii="Times New Roman" w:hAnsi="Times New Roman" w:cs="Times New Roman"/>
                <w:b/>
              </w:rPr>
              <w:t xml:space="preserve">2.2.13 </w:t>
            </w:r>
            <w:r>
              <w:rPr>
                <w:rFonts w:hint="eastAsia" w:ascii="Times New Roman" w:hAnsi="Times New Roman" w:cs="Times New Roman"/>
                <w:b/>
              </w:rPr>
              <w:t>环保投资</w:t>
            </w:r>
          </w:p>
          <w:p w14:paraId="00FC32B0">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本项目总投资</w:t>
            </w:r>
            <w:r>
              <w:rPr>
                <w:rFonts w:ascii="Times New Roman" w:hAnsi="Times New Roman" w:cs="Times New Roman"/>
              </w:rPr>
              <w:t>2000</w:t>
            </w:r>
            <w:r>
              <w:rPr>
                <w:rFonts w:ascii="Times New Roman" w:hAnsi="Times New Roman" w:cs="Times New Roman"/>
                <w:bCs/>
              </w:rPr>
              <w:t>万</w:t>
            </w:r>
            <w:r>
              <w:rPr>
                <w:rFonts w:hint="eastAsia" w:ascii="Times New Roman" w:hAnsi="Times New Roman" w:cs="Times New Roman"/>
                <w:bCs/>
              </w:rPr>
              <w:t>元</w:t>
            </w:r>
            <w:r>
              <w:rPr>
                <w:rFonts w:ascii="Times New Roman" w:hAnsi="Times New Roman" w:cs="Times New Roman"/>
                <w:bCs/>
              </w:rPr>
              <w:t>，其中环保投资为148.7万元，占总投资的7.44</w:t>
            </w:r>
            <w:r>
              <w:rPr>
                <w:rFonts w:hint="eastAsia" w:ascii="Times New Roman" w:hAnsi="Times New Roman" w:cs="Times New Roman"/>
                <w:bCs/>
              </w:rPr>
              <w:t>%</w:t>
            </w:r>
            <w:r>
              <w:rPr>
                <w:rFonts w:ascii="Times New Roman" w:hAnsi="Times New Roman" w:cs="Times New Roman"/>
                <w:bCs/>
              </w:rPr>
              <w:t>。环保投资分类估算如表2-10所示。</w:t>
            </w:r>
          </w:p>
          <w:p w14:paraId="6B045C91">
            <w:pPr>
              <w:jc w:val="center"/>
              <w:rPr>
                <w:rFonts w:ascii="Times New Roman" w:hAnsi="Times New Roman" w:eastAsia="宋体" w:cs="Times New Roman"/>
                <w:b/>
                <w:szCs w:val="21"/>
              </w:rPr>
            </w:pPr>
            <w:r>
              <w:rPr>
                <w:rFonts w:ascii="Times New Roman" w:hAnsi="Times New Roman" w:eastAsia="宋体" w:cs="Times New Roman"/>
                <w:b/>
                <w:szCs w:val="21"/>
              </w:rPr>
              <w:t>表2-10    环保投资估算表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763"/>
              <w:gridCol w:w="1275"/>
              <w:gridCol w:w="3089"/>
              <w:gridCol w:w="1134"/>
              <w:gridCol w:w="1171"/>
            </w:tblGrid>
            <w:tr w14:paraId="45B0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Align w:val="center"/>
                </w:tcPr>
                <w:p w14:paraId="49690328">
                  <w:pPr>
                    <w:pStyle w:val="2"/>
                    <w:pBdr>
                      <w:bottom w:val="none" w:color="auto" w:sz="0" w:space="0"/>
                    </w:pBdr>
                    <w:rPr>
                      <w:rFonts w:ascii="Times New Roman" w:hAnsi="Times New Roman" w:cs="Times New Roman"/>
                      <w:sz w:val="21"/>
                      <w:szCs w:val="21"/>
                    </w:rPr>
                  </w:pPr>
                  <w:bookmarkStart w:id="25" w:name="_Hlk101360364"/>
                  <w:r>
                    <w:rPr>
                      <w:rFonts w:ascii="Times New Roman" w:hAnsi="Times New Roman" w:cs="Times New Roman"/>
                      <w:sz w:val="21"/>
                      <w:szCs w:val="21"/>
                    </w:rPr>
                    <w:t>阶段</w:t>
                  </w:r>
                </w:p>
              </w:tc>
              <w:tc>
                <w:tcPr>
                  <w:tcW w:w="2038" w:type="dxa"/>
                  <w:gridSpan w:val="2"/>
                  <w:tcBorders>
                    <w:top w:val="single" w:color="auto" w:sz="4" w:space="0"/>
                    <w:left w:val="single" w:color="auto" w:sz="4" w:space="0"/>
                    <w:bottom w:val="single" w:color="auto" w:sz="4" w:space="0"/>
                  </w:tcBorders>
                  <w:vAlign w:val="center"/>
                </w:tcPr>
                <w:p w14:paraId="44DE6787">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污染源</w:t>
                  </w:r>
                </w:p>
              </w:tc>
              <w:tc>
                <w:tcPr>
                  <w:tcW w:w="3089" w:type="dxa"/>
                  <w:vAlign w:val="center"/>
                </w:tcPr>
                <w:p w14:paraId="4723B4F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环保设施</w:t>
                  </w:r>
                </w:p>
              </w:tc>
              <w:tc>
                <w:tcPr>
                  <w:tcW w:w="1134" w:type="dxa"/>
                  <w:vAlign w:val="center"/>
                </w:tcPr>
                <w:p w14:paraId="017EF994">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数量规模</w:t>
                  </w:r>
                </w:p>
              </w:tc>
              <w:tc>
                <w:tcPr>
                  <w:tcW w:w="1171" w:type="dxa"/>
                  <w:vAlign w:val="center"/>
                </w:tcPr>
                <w:p w14:paraId="51ACD6C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投资</w:t>
                  </w:r>
                </w:p>
                <w:p w14:paraId="750E4F68">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（万元）</w:t>
                  </w:r>
                </w:p>
              </w:tc>
            </w:tr>
            <w:tr w14:paraId="2D2F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restart"/>
                  <w:vAlign w:val="center"/>
                </w:tcPr>
                <w:p w14:paraId="4D10900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施</w:t>
                  </w:r>
                </w:p>
                <w:p w14:paraId="71B4E397">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工</w:t>
                  </w:r>
                </w:p>
                <w:p w14:paraId="1820207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期</w:t>
                  </w:r>
                </w:p>
              </w:tc>
              <w:tc>
                <w:tcPr>
                  <w:tcW w:w="763" w:type="dxa"/>
                  <w:vMerge w:val="restart"/>
                  <w:tcBorders>
                    <w:top w:val="single" w:color="auto" w:sz="4" w:space="0"/>
                    <w:left w:val="single" w:color="auto" w:sz="4" w:space="0"/>
                    <w:right w:val="single" w:color="auto" w:sz="4" w:space="0"/>
                  </w:tcBorders>
                  <w:vAlign w:val="center"/>
                </w:tcPr>
                <w:p w14:paraId="0D743E7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废气</w:t>
                  </w:r>
                </w:p>
              </w:tc>
              <w:tc>
                <w:tcPr>
                  <w:tcW w:w="1275" w:type="dxa"/>
                  <w:vMerge w:val="restart"/>
                  <w:vAlign w:val="center"/>
                </w:tcPr>
                <w:p w14:paraId="7D9009D4">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扬尘</w:t>
                  </w:r>
                </w:p>
              </w:tc>
              <w:tc>
                <w:tcPr>
                  <w:tcW w:w="3089" w:type="dxa"/>
                  <w:vAlign w:val="center"/>
                </w:tcPr>
                <w:p w14:paraId="09B462F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洒水降尘设施</w:t>
                  </w:r>
                </w:p>
              </w:tc>
              <w:tc>
                <w:tcPr>
                  <w:tcW w:w="1134" w:type="dxa"/>
                  <w:vAlign w:val="center"/>
                </w:tcPr>
                <w:p w14:paraId="52B1DD8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1套</w:t>
                  </w:r>
                </w:p>
              </w:tc>
              <w:tc>
                <w:tcPr>
                  <w:tcW w:w="1171" w:type="dxa"/>
                  <w:vAlign w:val="center"/>
                </w:tcPr>
                <w:p w14:paraId="0012DBC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.5</w:t>
                  </w:r>
                </w:p>
              </w:tc>
            </w:tr>
            <w:tr w14:paraId="0223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552FB6E7">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1192854A">
                  <w:pPr>
                    <w:pStyle w:val="2"/>
                    <w:pBdr>
                      <w:bottom w:val="none" w:color="auto" w:sz="0" w:space="0"/>
                    </w:pBdr>
                    <w:rPr>
                      <w:rFonts w:ascii="Times New Roman" w:hAnsi="Times New Roman" w:cs="Times New Roman"/>
                      <w:sz w:val="21"/>
                      <w:szCs w:val="21"/>
                    </w:rPr>
                  </w:pPr>
                </w:p>
              </w:tc>
              <w:tc>
                <w:tcPr>
                  <w:tcW w:w="1275" w:type="dxa"/>
                  <w:vMerge w:val="continue"/>
                  <w:vAlign w:val="center"/>
                </w:tcPr>
                <w:p w14:paraId="280147B4">
                  <w:pPr>
                    <w:pStyle w:val="2"/>
                    <w:pBdr>
                      <w:bottom w:val="none" w:color="auto" w:sz="0" w:space="0"/>
                    </w:pBdr>
                    <w:rPr>
                      <w:rFonts w:ascii="Times New Roman" w:hAnsi="Times New Roman" w:cs="Times New Roman"/>
                      <w:sz w:val="21"/>
                      <w:szCs w:val="21"/>
                    </w:rPr>
                  </w:pPr>
                </w:p>
              </w:tc>
              <w:tc>
                <w:tcPr>
                  <w:tcW w:w="3089" w:type="dxa"/>
                  <w:vAlign w:val="center"/>
                </w:tcPr>
                <w:p w14:paraId="39BE2C2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防尘网</w:t>
                  </w:r>
                </w:p>
              </w:tc>
              <w:tc>
                <w:tcPr>
                  <w:tcW w:w="1134" w:type="dxa"/>
                  <w:vAlign w:val="center"/>
                </w:tcPr>
                <w:p w14:paraId="7D96C4D8">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1000</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2</w:t>
                  </w:r>
                </w:p>
              </w:tc>
              <w:tc>
                <w:tcPr>
                  <w:tcW w:w="1171" w:type="dxa"/>
                  <w:vAlign w:val="center"/>
                </w:tcPr>
                <w:p w14:paraId="7E37AB8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.3</w:t>
                  </w:r>
                </w:p>
              </w:tc>
            </w:tr>
            <w:tr w14:paraId="2F73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2383C16">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4890AD8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废水</w:t>
                  </w:r>
                </w:p>
              </w:tc>
              <w:tc>
                <w:tcPr>
                  <w:tcW w:w="1275" w:type="dxa"/>
                  <w:vAlign w:val="center"/>
                </w:tcPr>
                <w:p w14:paraId="421233DC">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施工废水</w:t>
                  </w:r>
                </w:p>
              </w:tc>
              <w:tc>
                <w:tcPr>
                  <w:tcW w:w="3089" w:type="dxa"/>
                  <w:vAlign w:val="center"/>
                </w:tcPr>
                <w:p w14:paraId="0CD39DF9">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简易收集沉淀池</w:t>
                  </w:r>
                </w:p>
              </w:tc>
              <w:tc>
                <w:tcPr>
                  <w:tcW w:w="1134" w:type="dxa"/>
                  <w:vAlign w:val="center"/>
                </w:tcPr>
                <w:p w14:paraId="453D537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个</w:t>
                  </w:r>
                </w:p>
              </w:tc>
              <w:tc>
                <w:tcPr>
                  <w:tcW w:w="1171" w:type="dxa"/>
                  <w:vAlign w:val="center"/>
                </w:tcPr>
                <w:p w14:paraId="467FCF7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.4</w:t>
                  </w:r>
                </w:p>
              </w:tc>
            </w:tr>
            <w:tr w14:paraId="0CAA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B421B90">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01392C55">
                  <w:pPr>
                    <w:pStyle w:val="2"/>
                    <w:pBdr>
                      <w:bottom w:val="none" w:color="auto" w:sz="0" w:space="0"/>
                    </w:pBdr>
                    <w:rPr>
                      <w:rFonts w:ascii="Times New Roman" w:hAnsi="Times New Roman" w:cs="Times New Roman"/>
                      <w:sz w:val="21"/>
                      <w:szCs w:val="21"/>
                    </w:rPr>
                  </w:pPr>
                </w:p>
              </w:tc>
              <w:tc>
                <w:tcPr>
                  <w:tcW w:w="1275" w:type="dxa"/>
                  <w:vAlign w:val="center"/>
                </w:tcPr>
                <w:p w14:paraId="09FD374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雨水</w:t>
                  </w:r>
                </w:p>
              </w:tc>
              <w:tc>
                <w:tcPr>
                  <w:tcW w:w="3089" w:type="dxa"/>
                  <w:vAlign w:val="center"/>
                </w:tcPr>
                <w:p w14:paraId="2E8F737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截排水沟</w:t>
                  </w:r>
                </w:p>
              </w:tc>
              <w:tc>
                <w:tcPr>
                  <w:tcW w:w="1134" w:type="dxa"/>
                  <w:vAlign w:val="center"/>
                </w:tcPr>
                <w:p w14:paraId="6222BF5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90</w:t>
                  </w:r>
                  <w:r>
                    <w:rPr>
                      <w:rFonts w:hint="eastAsia" w:ascii="Times New Roman" w:hAnsi="Times New Roman" w:cs="Times New Roman"/>
                      <w:sz w:val="21"/>
                      <w:szCs w:val="21"/>
                    </w:rPr>
                    <w:t>m</w:t>
                  </w:r>
                </w:p>
              </w:tc>
              <w:tc>
                <w:tcPr>
                  <w:tcW w:w="1171" w:type="dxa"/>
                  <w:vAlign w:val="center"/>
                </w:tcPr>
                <w:p w14:paraId="4E9DA0F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w:t>
                  </w:r>
                </w:p>
              </w:tc>
            </w:tr>
            <w:tr w14:paraId="6277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restart"/>
                  <w:vAlign w:val="center"/>
                </w:tcPr>
                <w:p w14:paraId="2B7FC37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运</w:t>
                  </w:r>
                </w:p>
                <w:p w14:paraId="372811B7">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行</w:t>
                  </w:r>
                </w:p>
                <w:p w14:paraId="02392A4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期</w:t>
                  </w:r>
                </w:p>
              </w:tc>
              <w:tc>
                <w:tcPr>
                  <w:tcW w:w="763" w:type="dxa"/>
                  <w:vMerge w:val="restart"/>
                  <w:tcBorders>
                    <w:top w:val="single" w:color="auto" w:sz="4" w:space="0"/>
                    <w:left w:val="single" w:color="auto" w:sz="4" w:space="0"/>
                    <w:right w:val="single" w:color="auto" w:sz="4" w:space="0"/>
                  </w:tcBorders>
                  <w:vAlign w:val="center"/>
                </w:tcPr>
                <w:p w14:paraId="6C8674E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废气</w:t>
                  </w:r>
                </w:p>
              </w:tc>
              <w:tc>
                <w:tcPr>
                  <w:tcW w:w="1275" w:type="dxa"/>
                  <w:vAlign w:val="center"/>
                </w:tcPr>
                <w:p w14:paraId="3041063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锅炉废气</w:t>
                  </w:r>
                </w:p>
              </w:tc>
              <w:tc>
                <w:tcPr>
                  <w:tcW w:w="3089" w:type="dxa"/>
                  <w:vAlign w:val="center"/>
                </w:tcPr>
                <w:p w14:paraId="733215FB">
                  <w:pPr>
                    <w:pStyle w:val="2"/>
                    <w:pBdr>
                      <w:bottom w:val="none" w:color="auto" w:sz="0" w:space="0"/>
                    </w:pBdr>
                    <w:rPr>
                      <w:rFonts w:ascii="Times New Roman" w:hAnsi="Times New Roman" w:cs="Times New Roman"/>
                      <w:sz w:val="21"/>
                      <w:szCs w:val="21"/>
                    </w:rPr>
                  </w:pPr>
                  <w:r>
                    <w:rPr>
                      <w:sz w:val="21"/>
                      <w:szCs w:val="21"/>
                    </w:rPr>
                    <w:t>生物质蒸汽锅炉烟气</w:t>
                  </w:r>
                  <w:r>
                    <w:rPr>
                      <w:rFonts w:hint="eastAsia" w:ascii="Times New Roman" w:hAnsi="Times New Roman" w:cs="Times New Roman"/>
                      <w:sz w:val="21"/>
                      <w:szCs w:val="21"/>
                    </w:rPr>
                    <w:t>设1套双碱法脱硫除尘塔处理，风量5</w:t>
                  </w:r>
                  <w:r>
                    <w:rPr>
                      <w:rFonts w:ascii="Times New Roman" w:hAnsi="Times New Roman" w:cs="Times New Roman"/>
                      <w:sz w:val="21"/>
                      <w:szCs w:val="21"/>
                    </w:rPr>
                    <w:t>880.21N</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/h，末端设</w:t>
                  </w:r>
                  <w:r>
                    <w:rPr>
                      <w:rFonts w:ascii="Times New Roman" w:hAnsi="Times New Roman" w:cs="Times New Roman"/>
                      <w:sz w:val="21"/>
                      <w:szCs w:val="21"/>
                    </w:rPr>
                    <w:t>35m排气筒排放（DA001</w:t>
                  </w:r>
                  <w:r>
                    <w:rPr>
                      <w:rFonts w:hint="eastAsia" w:ascii="Times New Roman" w:hAnsi="Times New Roman" w:cs="Times New Roman"/>
                      <w:sz w:val="21"/>
                      <w:szCs w:val="21"/>
                    </w:rPr>
                    <w:t>）。</w:t>
                  </w:r>
                </w:p>
              </w:tc>
              <w:tc>
                <w:tcPr>
                  <w:tcW w:w="1134" w:type="dxa"/>
                  <w:vAlign w:val="center"/>
                </w:tcPr>
                <w:p w14:paraId="039CA3A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1套</w:t>
                  </w:r>
                </w:p>
              </w:tc>
              <w:tc>
                <w:tcPr>
                  <w:tcW w:w="1171" w:type="dxa"/>
                  <w:vAlign w:val="center"/>
                </w:tcPr>
                <w:p w14:paraId="3D93C59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r>
            <w:tr w14:paraId="6464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6D3D28C8">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18E137EE">
                  <w:pPr>
                    <w:pStyle w:val="2"/>
                    <w:pBdr>
                      <w:bottom w:val="none" w:color="auto" w:sz="0" w:space="0"/>
                    </w:pBdr>
                    <w:rPr>
                      <w:rFonts w:ascii="Times New Roman" w:hAnsi="Times New Roman" w:cs="Times New Roman"/>
                      <w:sz w:val="21"/>
                      <w:szCs w:val="21"/>
                    </w:rPr>
                  </w:pPr>
                </w:p>
              </w:tc>
              <w:tc>
                <w:tcPr>
                  <w:tcW w:w="1275" w:type="dxa"/>
                  <w:vAlign w:val="center"/>
                </w:tcPr>
                <w:p w14:paraId="4331787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工艺废气</w:t>
                  </w:r>
                </w:p>
              </w:tc>
              <w:tc>
                <w:tcPr>
                  <w:tcW w:w="3089" w:type="dxa"/>
                  <w:vAlign w:val="center"/>
                </w:tcPr>
                <w:p w14:paraId="7B82B94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无害化处理设备密封，恶臭气体经废气处理系统（冷凝器+酸碱喷淋塔+</w:t>
                  </w:r>
                  <w:r>
                    <w:rPr>
                      <w:rFonts w:hint="eastAsia" w:ascii="Times New Roman" w:hAnsi="Times New Roman" w:cs="Times New Roman"/>
                      <w:sz w:val="21"/>
                      <w:szCs w:val="21"/>
                    </w:rPr>
                    <w:t>燃气</w:t>
                  </w:r>
                  <w:r>
                    <w:rPr>
                      <w:rFonts w:ascii="Times New Roman" w:hAnsi="Times New Roman" w:cs="Times New Roman"/>
                      <w:sz w:val="21"/>
                      <w:szCs w:val="21"/>
                    </w:rPr>
                    <w:t>锅炉焚烧）处理后通过35m排气筒排放（DA001</w:t>
                  </w:r>
                  <w:r>
                    <w:rPr>
                      <w:rFonts w:hint="eastAsia" w:ascii="Times New Roman" w:hAnsi="Times New Roman" w:cs="Times New Roman"/>
                      <w:sz w:val="21"/>
                      <w:szCs w:val="21"/>
                    </w:rPr>
                    <w:t>）。</w:t>
                  </w:r>
                </w:p>
              </w:tc>
              <w:tc>
                <w:tcPr>
                  <w:tcW w:w="1134" w:type="dxa"/>
                  <w:vAlign w:val="center"/>
                </w:tcPr>
                <w:p w14:paraId="4F5FFE2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1套</w:t>
                  </w:r>
                </w:p>
              </w:tc>
              <w:tc>
                <w:tcPr>
                  <w:tcW w:w="1171" w:type="dxa"/>
                  <w:vAlign w:val="center"/>
                </w:tcPr>
                <w:p w14:paraId="100AD36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5.0</w:t>
                  </w:r>
                </w:p>
              </w:tc>
            </w:tr>
            <w:tr w14:paraId="054E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2473A429">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571C4CCE">
                  <w:pPr>
                    <w:pStyle w:val="2"/>
                    <w:pBdr>
                      <w:bottom w:val="none" w:color="auto" w:sz="0" w:space="0"/>
                    </w:pBdr>
                    <w:rPr>
                      <w:rFonts w:ascii="Times New Roman" w:hAnsi="Times New Roman" w:cs="Times New Roman"/>
                      <w:sz w:val="21"/>
                      <w:szCs w:val="21"/>
                    </w:rPr>
                  </w:pPr>
                </w:p>
              </w:tc>
              <w:tc>
                <w:tcPr>
                  <w:tcW w:w="1275" w:type="dxa"/>
                  <w:vAlign w:val="center"/>
                </w:tcPr>
                <w:p w14:paraId="2C09FF3E">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车间负压收 集废气</w:t>
                  </w:r>
                </w:p>
              </w:tc>
              <w:tc>
                <w:tcPr>
                  <w:tcW w:w="3089" w:type="dxa"/>
                  <w:vAlign w:val="center"/>
                </w:tcPr>
                <w:p w14:paraId="140BEA4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无害化车间密闭设置，无法由管道收集的恶臭气体通过负压收集，然后进入一套活性炭吸附装置+高效过滤器处理后，通过1根15m高排气筒排放（DA002）。</w:t>
                  </w:r>
                </w:p>
              </w:tc>
              <w:tc>
                <w:tcPr>
                  <w:tcW w:w="1134" w:type="dxa"/>
                  <w:vAlign w:val="center"/>
                </w:tcPr>
                <w:p w14:paraId="3FDE0C0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1套</w:t>
                  </w:r>
                </w:p>
              </w:tc>
              <w:tc>
                <w:tcPr>
                  <w:tcW w:w="1171" w:type="dxa"/>
                  <w:vAlign w:val="center"/>
                </w:tcPr>
                <w:p w14:paraId="0C772475">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772F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031C5305">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0FACD544">
                  <w:pPr>
                    <w:pStyle w:val="2"/>
                    <w:pBdr>
                      <w:bottom w:val="none" w:color="auto" w:sz="0" w:space="0"/>
                    </w:pBdr>
                    <w:rPr>
                      <w:rFonts w:ascii="Times New Roman" w:hAnsi="Times New Roman" w:cs="Times New Roman"/>
                      <w:sz w:val="21"/>
                      <w:szCs w:val="21"/>
                    </w:rPr>
                  </w:pPr>
                </w:p>
              </w:tc>
              <w:tc>
                <w:tcPr>
                  <w:tcW w:w="1275" w:type="dxa"/>
                  <w:vAlign w:val="center"/>
                </w:tcPr>
                <w:p w14:paraId="02F2AB47">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食堂油烟</w:t>
                  </w:r>
                </w:p>
              </w:tc>
              <w:tc>
                <w:tcPr>
                  <w:tcW w:w="3089" w:type="dxa"/>
                  <w:vAlign w:val="center"/>
                </w:tcPr>
                <w:p w14:paraId="14B9B00B">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厨房设置1套油烟净化器，用于食堂油烟</w:t>
                  </w:r>
                  <w:r>
                    <w:rPr>
                      <w:rFonts w:hint="eastAsia" w:ascii="Times New Roman" w:hAnsi="Times New Roman" w:cs="Times New Roman"/>
                      <w:sz w:val="21"/>
                      <w:szCs w:val="21"/>
                    </w:rPr>
                    <w:t>处理</w:t>
                  </w:r>
                  <w:r>
                    <w:rPr>
                      <w:rFonts w:ascii="Times New Roman" w:hAnsi="Times New Roman" w:cs="Times New Roman"/>
                      <w:sz w:val="21"/>
                      <w:szCs w:val="21"/>
                    </w:rPr>
                    <w:t>，油烟净化效率不低于60%。</w:t>
                  </w:r>
                </w:p>
              </w:tc>
              <w:tc>
                <w:tcPr>
                  <w:tcW w:w="1134" w:type="dxa"/>
                  <w:vAlign w:val="center"/>
                </w:tcPr>
                <w:p w14:paraId="7862FE8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1台</w:t>
                  </w:r>
                </w:p>
              </w:tc>
              <w:tc>
                <w:tcPr>
                  <w:tcW w:w="1171" w:type="dxa"/>
                  <w:vAlign w:val="center"/>
                </w:tcPr>
                <w:p w14:paraId="3F15450E">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0.5</w:t>
                  </w:r>
                </w:p>
              </w:tc>
            </w:tr>
            <w:tr w14:paraId="614D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BCAB5F4">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6444644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废水</w:t>
                  </w:r>
                </w:p>
              </w:tc>
              <w:tc>
                <w:tcPr>
                  <w:tcW w:w="1275" w:type="dxa"/>
                  <w:vAlign w:val="center"/>
                </w:tcPr>
                <w:p w14:paraId="22A341AE">
                  <w:pPr>
                    <w:pStyle w:val="2"/>
                    <w:pBdr>
                      <w:bottom w:val="none" w:color="auto" w:sz="0" w:space="0"/>
                    </w:pBdr>
                    <w:rPr>
                      <w:rFonts w:ascii="Times New Roman" w:hAnsi="Times New Roman" w:cs="Times New Roman"/>
                      <w:sz w:val="21"/>
                      <w:szCs w:val="21"/>
                    </w:rPr>
                  </w:pPr>
                  <w:r>
                    <w:rPr>
                      <w:sz w:val="21"/>
                      <w:szCs w:val="21"/>
                    </w:rPr>
                    <w:t>雨污分流</w:t>
                  </w:r>
                </w:p>
              </w:tc>
              <w:tc>
                <w:tcPr>
                  <w:tcW w:w="3089" w:type="dxa"/>
                  <w:vAlign w:val="center"/>
                </w:tcPr>
                <w:p w14:paraId="3BCE737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厂区采取雨污分流系统，雨水管沟2</w:t>
                  </w:r>
                  <w:r>
                    <w:rPr>
                      <w:rFonts w:ascii="Times New Roman" w:hAnsi="Times New Roman" w:cs="Times New Roman"/>
                      <w:sz w:val="21"/>
                      <w:szCs w:val="21"/>
                    </w:rPr>
                    <w:t>90</w:t>
                  </w:r>
                  <w:r>
                    <w:rPr>
                      <w:rFonts w:hint="eastAsia" w:ascii="Times New Roman" w:hAnsi="Times New Roman" w:cs="Times New Roman"/>
                      <w:sz w:val="21"/>
                      <w:szCs w:val="21"/>
                    </w:rPr>
                    <w:t>m，污水管网1</w:t>
                  </w:r>
                  <w:r>
                    <w:rPr>
                      <w:rFonts w:ascii="Times New Roman" w:hAnsi="Times New Roman" w:cs="Times New Roman"/>
                      <w:sz w:val="21"/>
                      <w:szCs w:val="21"/>
                    </w:rPr>
                    <w:t>20</w:t>
                  </w:r>
                  <w:r>
                    <w:rPr>
                      <w:rFonts w:hint="eastAsia" w:ascii="Times New Roman" w:hAnsi="Times New Roman" w:cs="Times New Roman"/>
                      <w:sz w:val="21"/>
                      <w:szCs w:val="21"/>
                    </w:rPr>
                    <w:t>m。</w:t>
                  </w:r>
                </w:p>
              </w:tc>
              <w:tc>
                <w:tcPr>
                  <w:tcW w:w="1134" w:type="dxa"/>
                  <w:vAlign w:val="center"/>
                </w:tcPr>
                <w:p w14:paraId="76B2767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2BA08A1C">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4.1</w:t>
                  </w:r>
                </w:p>
              </w:tc>
            </w:tr>
            <w:tr w14:paraId="551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0B72A595">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60ABDC7B">
                  <w:pPr>
                    <w:pStyle w:val="2"/>
                    <w:pBdr>
                      <w:bottom w:val="none" w:color="auto" w:sz="0" w:space="0"/>
                    </w:pBdr>
                    <w:rPr>
                      <w:rFonts w:ascii="Times New Roman" w:hAnsi="Times New Roman" w:cs="Times New Roman"/>
                      <w:sz w:val="21"/>
                      <w:szCs w:val="21"/>
                    </w:rPr>
                  </w:pPr>
                </w:p>
              </w:tc>
              <w:tc>
                <w:tcPr>
                  <w:tcW w:w="1275" w:type="dxa"/>
                  <w:vAlign w:val="center"/>
                </w:tcPr>
                <w:p w14:paraId="48D350A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隔油池</w:t>
                  </w:r>
                </w:p>
              </w:tc>
              <w:tc>
                <w:tcPr>
                  <w:tcW w:w="3089" w:type="dxa"/>
                  <w:vAlign w:val="center"/>
                </w:tcPr>
                <w:p w14:paraId="10CED86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.1</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，防渗处理</w:t>
                  </w:r>
                </w:p>
              </w:tc>
              <w:tc>
                <w:tcPr>
                  <w:tcW w:w="1134" w:type="dxa"/>
                  <w:vAlign w:val="center"/>
                </w:tcPr>
                <w:p w14:paraId="40D44FB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7989349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.5</w:t>
                  </w:r>
                </w:p>
              </w:tc>
            </w:tr>
            <w:tr w14:paraId="30C5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16A26CC3">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255014CF">
                  <w:pPr>
                    <w:pStyle w:val="2"/>
                    <w:pBdr>
                      <w:bottom w:val="none" w:color="auto" w:sz="0" w:space="0"/>
                    </w:pBdr>
                    <w:rPr>
                      <w:rFonts w:ascii="Times New Roman" w:hAnsi="Times New Roman" w:cs="Times New Roman"/>
                      <w:sz w:val="21"/>
                      <w:szCs w:val="21"/>
                    </w:rPr>
                  </w:pPr>
                </w:p>
              </w:tc>
              <w:tc>
                <w:tcPr>
                  <w:tcW w:w="1275" w:type="dxa"/>
                  <w:vAlign w:val="center"/>
                </w:tcPr>
                <w:p w14:paraId="2E1FD5ED">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化粪池</w:t>
                  </w:r>
                </w:p>
              </w:tc>
              <w:tc>
                <w:tcPr>
                  <w:tcW w:w="3089" w:type="dxa"/>
                  <w:vAlign w:val="center"/>
                </w:tcPr>
                <w:p w14:paraId="16DB201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，防渗处理</w:t>
                  </w:r>
                </w:p>
              </w:tc>
              <w:tc>
                <w:tcPr>
                  <w:tcW w:w="1134" w:type="dxa"/>
                  <w:vAlign w:val="center"/>
                </w:tcPr>
                <w:p w14:paraId="249B98CC">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4C85C98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34B3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405D2309">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3C05DA79">
                  <w:pPr>
                    <w:pStyle w:val="2"/>
                    <w:pBdr>
                      <w:bottom w:val="none" w:color="auto" w:sz="0" w:space="0"/>
                    </w:pBdr>
                    <w:rPr>
                      <w:rFonts w:ascii="Times New Roman" w:hAnsi="Times New Roman" w:cs="Times New Roman"/>
                      <w:sz w:val="21"/>
                      <w:szCs w:val="21"/>
                    </w:rPr>
                  </w:pPr>
                </w:p>
              </w:tc>
              <w:tc>
                <w:tcPr>
                  <w:tcW w:w="1275" w:type="dxa"/>
                  <w:vAlign w:val="center"/>
                </w:tcPr>
                <w:p w14:paraId="5973D65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检验废水收 集桶</w:t>
                  </w:r>
                </w:p>
              </w:tc>
              <w:tc>
                <w:tcPr>
                  <w:tcW w:w="3089" w:type="dxa"/>
                  <w:vAlign w:val="center"/>
                </w:tcPr>
                <w:p w14:paraId="26BE89D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专用1</w:t>
                  </w:r>
                  <w:r>
                    <w:rPr>
                      <w:rFonts w:ascii="Times New Roman" w:hAnsi="Times New Roman" w:cs="Times New Roman"/>
                      <w:sz w:val="21"/>
                      <w:szCs w:val="21"/>
                    </w:rPr>
                    <w:t>00L</w:t>
                  </w:r>
                  <w:r>
                    <w:rPr>
                      <w:rFonts w:hint="eastAsia" w:ascii="Times New Roman" w:hAnsi="Times New Roman" w:cs="Times New Roman"/>
                      <w:sz w:val="21"/>
                      <w:szCs w:val="21"/>
                    </w:rPr>
                    <w:t>收集桶</w:t>
                  </w:r>
                </w:p>
              </w:tc>
              <w:tc>
                <w:tcPr>
                  <w:tcW w:w="1134" w:type="dxa"/>
                  <w:vAlign w:val="center"/>
                </w:tcPr>
                <w:p w14:paraId="48BE074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7B38423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.1</w:t>
                  </w:r>
                </w:p>
              </w:tc>
            </w:tr>
            <w:tr w14:paraId="5CBD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702786C1">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7BA0C16B">
                  <w:pPr>
                    <w:pStyle w:val="2"/>
                    <w:pBdr>
                      <w:bottom w:val="none" w:color="auto" w:sz="0" w:space="0"/>
                    </w:pBdr>
                    <w:rPr>
                      <w:rFonts w:ascii="Times New Roman" w:hAnsi="Times New Roman" w:cs="Times New Roman"/>
                      <w:sz w:val="21"/>
                      <w:szCs w:val="21"/>
                    </w:rPr>
                  </w:pPr>
                </w:p>
              </w:tc>
              <w:tc>
                <w:tcPr>
                  <w:tcW w:w="1275" w:type="dxa"/>
                  <w:vAlign w:val="center"/>
                </w:tcPr>
                <w:p w14:paraId="50C8AE09">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事故应急池</w:t>
                  </w:r>
                </w:p>
              </w:tc>
              <w:tc>
                <w:tcPr>
                  <w:tcW w:w="3089" w:type="dxa"/>
                  <w:vAlign w:val="center"/>
                </w:tcPr>
                <w:p w14:paraId="76529D8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20</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hint="eastAsia" w:ascii="Times New Roman" w:hAnsi="Times New Roman" w:cs="Times New Roman"/>
                      <w:sz w:val="21"/>
                      <w:szCs w:val="21"/>
                    </w:rPr>
                    <w:t>，防渗处理</w:t>
                  </w:r>
                </w:p>
              </w:tc>
              <w:tc>
                <w:tcPr>
                  <w:tcW w:w="1134" w:type="dxa"/>
                  <w:vAlign w:val="center"/>
                </w:tcPr>
                <w:p w14:paraId="4A9BB30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47413C2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4CAF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47D08515">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68258148">
                  <w:pPr>
                    <w:pStyle w:val="2"/>
                    <w:pBdr>
                      <w:bottom w:val="none" w:color="auto" w:sz="0" w:space="0"/>
                    </w:pBdr>
                    <w:rPr>
                      <w:rFonts w:ascii="Times New Roman" w:hAnsi="Times New Roman" w:cs="Times New Roman"/>
                      <w:sz w:val="21"/>
                      <w:szCs w:val="21"/>
                    </w:rPr>
                  </w:pPr>
                </w:p>
              </w:tc>
              <w:tc>
                <w:tcPr>
                  <w:tcW w:w="1275" w:type="dxa"/>
                  <w:vAlign w:val="center"/>
                </w:tcPr>
                <w:p w14:paraId="1751D60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污水处理站</w:t>
                  </w:r>
                </w:p>
              </w:tc>
              <w:tc>
                <w:tcPr>
                  <w:tcW w:w="3089" w:type="dxa"/>
                  <w:vAlign w:val="center"/>
                </w:tcPr>
                <w:p w14:paraId="14DF3CA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拟设1座</w:t>
                  </w:r>
                  <w:r>
                    <w:rPr>
                      <w:rFonts w:hint="eastAsia" w:ascii="Times New Roman" w:hAnsi="Times New Roman" w:cs="Times New Roman"/>
                      <w:sz w:val="21"/>
                      <w:szCs w:val="21"/>
                    </w:rPr>
                    <w:t>污水</w:t>
                  </w:r>
                  <w:r>
                    <w:rPr>
                      <w:rFonts w:ascii="Times New Roman" w:hAnsi="Times New Roman" w:cs="Times New Roman"/>
                      <w:sz w:val="21"/>
                      <w:szCs w:val="21"/>
                    </w:rPr>
                    <w:t>处理</w:t>
                  </w:r>
                  <w:r>
                    <w:rPr>
                      <w:rFonts w:hint="eastAsia" w:ascii="Times New Roman" w:hAnsi="Times New Roman" w:cs="Times New Roman"/>
                      <w:sz w:val="21"/>
                      <w:szCs w:val="21"/>
                    </w:rPr>
                    <w:t>站，设计</w:t>
                  </w:r>
                  <w:r>
                    <w:rPr>
                      <w:rFonts w:ascii="Times New Roman" w:hAnsi="Times New Roman" w:cs="Times New Roman"/>
                      <w:sz w:val="21"/>
                      <w:szCs w:val="21"/>
                    </w:rPr>
                    <w:t>规模 15m</w:t>
                  </w:r>
                  <w:r>
                    <w:rPr>
                      <w:rFonts w:ascii="Times New Roman" w:hAnsi="Times New Roman" w:cs="Times New Roman"/>
                      <w:sz w:val="21"/>
                      <w:szCs w:val="21"/>
                      <w:vertAlign w:val="superscript"/>
                    </w:rPr>
                    <w:t>3</w:t>
                  </w:r>
                  <w:r>
                    <w:rPr>
                      <w:rFonts w:ascii="Times New Roman" w:hAnsi="Times New Roman" w:cs="Times New Roman"/>
                      <w:sz w:val="21"/>
                      <w:szCs w:val="21"/>
                    </w:rPr>
                    <w:t>/d，</w:t>
                  </w:r>
                  <w:r>
                    <w:rPr>
                      <w:rFonts w:hint="eastAsia" w:ascii="Times New Roman" w:hAnsi="Times New Roman" w:cs="Times New Roman"/>
                      <w:sz w:val="21"/>
                      <w:szCs w:val="21"/>
                    </w:rPr>
                    <w:t>采用</w:t>
                  </w:r>
                  <w:r>
                    <w:rPr>
                      <w:rFonts w:ascii="Times New Roman" w:hAnsi="Times New Roman" w:cs="Times New Roman"/>
                      <w:sz w:val="21"/>
                      <w:szCs w:val="21"/>
                    </w:rPr>
                    <w:t>“</w:t>
                  </w:r>
                  <w:r>
                    <w:rPr>
                      <w:rFonts w:hint="eastAsia" w:ascii="Times New Roman" w:hAnsi="Times New Roman" w:cs="Times New Roman"/>
                      <w:sz w:val="21"/>
                      <w:szCs w:val="21"/>
                    </w:rPr>
                    <w:t>隔油+调节+</w:t>
                  </w:r>
                  <w:r>
                    <w:rPr>
                      <w:rFonts w:ascii="Times New Roman" w:hAnsi="Times New Roman" w:cs="Times New Roman"/>
                      <w:sz w:val="21"/>
                      <w:szCs w:val="21"/>
                    </w:rPr>
                    <w:t>A</w:t>
                  </w:r>
                  <w:r>
                    <w:rPr>
                      <w:rFonts w:ascii="Times New Roman" w:hAnsi="Times New Roman" w:cs="Times New Roman"/>
                      <w:sz w:val="21"/>
                      <w:szCs w:val="21"/>
                      <w:vertAlign w:val="superscript"/>
                    </w:rPr>
                    <w:t>2</w:t>
                  </w:r>
                  <w:r>
                    <w:rPr>
                      <w:rFonts w:ascii="Times New Roman" w:hAnsi="Times New Roman" w:cs="Times New Roman"/>
                      <w:sz w:val="21"/>
                      <w:szCs w:val="21"/>
                    </w:rPr>
                    <w:t>O</w:t>
                  </w:r>
                  <w:r>
                    <w:rPr>
                      <w:rFonts w:hint="eastAsia" w:ascii="Times New Roman" w:hAnsi="Times New Roman" w:cs="Times New Roman"/>
                      <w:sz w:val="21"/>
                      <w:szCs w:val="21"/>
                    </w:rPr>
                    <w:t>处理+消毒</w:t>
                  </w:r>
                  <w:r>
                    <w:rPr>
                      <w:rFonts w:ascii="Times New Roman" w:hAnsi="Times New Roman" w:cs="Times New Roman"/>
                      <w:sz w:val="21"/>
                      <w:szCs w:val="21"/>
                    </w:rPr>
                    <w:t>”</w:t>
                  </w:r>
                  <w:r>
                    <w:rPr>
                      <w:rFonts w:hint="eastAsia" w:ascii="Times New Roman" w:hAnsi="Times New Roman" w:cs="Times New Roman"/>
                      <w:sz w:val="21"/>
                      <w:szCs w:val="21"/>
                    </w:rPr>
                    <w:t>工艺</w:t>
                  </w:r>
                  <w:r>
                    <w:rPr>
                      <w:rFonts w:ascii="Times New Roman" w:hAnsi="Times New Roman" w:cs="Times New Roman"/>
                      <w:sz w:val="21"/>
                      <w:szCs w:val="21"/>
                    </w:rPr>
                    <w:t>。</w:t>
                  </w:r>
                </w:p>
              </w:tc>
              <w:tc>
                <w:tcPr>
                  <w:tcW w:w="1134" w:type="dxa"/>
                  <w:vAlign w:val="center"/>
                </w:tcPr>
                <w:p w14:paraId="2BEBA2B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座</w:t>
                  </w:r>
                </w:p>
              </w:tc>
              <w:tc>
                <w:tcPr>
                  <w:tcW w:w="1171" w:type="dxa"/>
                  <w:vAlign w:val="center"/>
                </w:tcPr>
                <w:p w14:paraId="1852AB2A">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50.0</w:t>
                  </w:r>
                </w:p>
              </w:tc>
            </w:tr>
            <w:tr w14:paraId="2E81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6F2B2622">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59CF7359">
                  <w:pPr>
                    <w:pStyle w:val="2"/>
                    <w:pBdr>
                      <w:bottom w:val="none" w:color="auto" w:sz="0" w:space="0"/>
                    </w:pBdr>
                    <w:rPr>
                      <w:rFonts w:ascii="Times New Roman" w:hAnsi="Times New Roman" w:cs="Times New Roman"/>
                      <w:sz w:val="21"/>
                      <w:szCs w:val="21"/>
                    </w:rPr>
                  </w:pPr>
                </w:p>
              </w:tc>
              <w:tc>
                <w:tcPr>
                  <w:tcW w:w="1275" w:type="dxa"/>
                  <w:vAlign w:val="center"/>
                </w:tcPr>
                <w:p w14:paraId="782C1C3C">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储水池</w:t>
                  </w:r>
                </w:p>
              </w:tc>
              <w:tc>
                <w:tcPr>
                  <w:tcW w:w="3089" w:type="dxa"/>
                  <w:vAlign w:val="center"/>
                </w:tcPr>
                <w:p w14:paraId="43BF5002">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容积为250m</w:t>
                  </w:r>
                  <w:r>
                    <w:rPr>
                      <w:rFonts w:ascii="Times New Roman" w:hAnsi="Times New Roman" w:cs="Times New Roman"/>
                      <w:sz w:val="21"/>
                      <w:szCs w:val="21"/>
                      <w:vertAlign w:val="superscript"/>
                    </w:rPr>
                    <w:t>3</w:t>
                  </w:r>
                  <w:r>
                    <w:rPr>
                      <w:rFonts w:ascii="Times New Roman" w:hAnsi="Times New Roman" w:cs="Times New Roman"/>
                      <w:sz w:val="21"/>
                      <w:szCs w:val="21"/>
                    </w:rPr>
                    <w:t>，用于暂存处理达标后的</w:t>
                  </w:r>
                  <w:r>
                    <w:rPr>
                      <w:rFonts w:hint="eastAsia" w:ascii="Times New Roman" w:hAnsi="Times New Roman" w:cs="Times New Roman"/>
                      <w:sz w:val="21"/>
                      <w:szCs w:val="21"/>
                    </w:rPr>
                    <w:t>尾水。</w:t>
                  </w:r>
                </w:p>
              </w:tc>
              <w:tc>
                <w:tcPr>
                  <w:tcW w:w="1134" w:type="dxa"/>
                  <w:vAlign w:val="center"/>
                </w:tcPr>
                <w:p w14:paraId="1FBD6B0C">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1个</w:t>
                  </w:r>
                </w:p>
              </w:tc>
              <w:tc>
                <w:tcPr>
                  <w:tcW w:w="1171" w:type="dxa"/>
                  <w:vAlign w:val="center"/>
                </w:tcPr>
                <w:p w14:paraId="2E77DB9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15.0</w:t>
                  </w:r>
                </w:p>
              </w:tc>
            </w:tr>
            <w:tr w14:paraId="36E7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6B945D40">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1570A70D">
                  <w:pPr>
                    <w:pStyle w:val="2"/>
                    <w:pBdr>
                      <w:bottom w:val="none" w:color="auto" w:sz="0" w:space="0"/>
                    </w:pBdr>
                    <w:rPr>
                      <w:rFonts w:ascii="Times New Roman" w:hAnsi="Times New Roman" w:cs="Times New Roman"/>
                      <w:sz w:val="21"/>
                      <w:szCs w:val="21"/>
                    </w:rPr>
                  </w:pPr>
                </w:p>
              </w:tc>
              <w:tc>
                <w:tcPr>
                  <w:tcW w:w="1275" w:type="dxa"/>
                  <w:vAlign w:val="center"/>
                </w:tcPr>
                <w:p w14:paraId="175DA80F">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农田退水收集池</w:t>
                  </w:r>
                </w:p>
              </w:tc>
              <w:tc>
                <w:tcPr>
                  <w:tcW w:w="3089" w:type="dxa"/>
                  <w:vAlign w:val="center"/>
                </w:tcPr>
                <w:p w14:paraId="7BF1051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5</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3</w:t>
                  </w:r>
                  <w:r>
                    <w:rPr>
                      <w:rFonts w:ascii="Times New Roman" w:hAnsi="Times New Roman" w:cs="Times New Roman"/>
                      <w:sz w:val="21"/>
                      <w:szCs w:val="21"/>
                    </w:rPr>
                    <w:t>退水收集池</w:t>
                  </w:r>
                </w:p>
              </w:tc>
              <w:tc>
                <w:tcPr>
                  <w:tcW w:w="1134" w:type="dxa"/>
                  <w:vAlign w:val="center"/>
                </w:tcPr>
                <w:p w14:paraId="5C6D9909">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1个</w:t>
                  </w:r>
                </w:p>
              </w:tc>
              <w:tc>
                <w:tcPr>
                  <w:tcW w:w="1171" w:type="dxa"/>
                  <w:vAlign w:val="center"/>
                </w:tcPr>
                <w:p w14:paraId="7E3F056A">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3.5</w:t>
                  </w:r>
                </w:p>
              </w:tc>
            </w:tr>
            <w:tr w14:paraId="5561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25CBFD56">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65AE8AC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噪声</w:t>
                  </w:r>
                </w:p>
              </w:tc>
              <w:tc>
                <w:tcPr>
                  <w:tcW w:w="1275" w:type="dxa"/>
                  <w:vAlign w:val="center"/>
                </w:tcPr>
                <w:p w14:paraId="790724A6">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生产设备</w:t>
                  </w:r>
                </w:p>
              </w:tc>
              <w:tc>
                <w:tcPr>
                  <w:tcW w:w="3089" w:type="dxa"/>
                  <w:vAlign w:val="center"/>
                </w:tcPr>
                <w:p w14:paraId="7D12AEE3">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设备基础安装</w:t>
                  </w:r>
                  <w:r>
                    <w:rPr>
                      <w:rFonts w:hint="eastAsia" w:ascii="Times New Roman" w:hAnsi="Times New Roman" w:cs="Times New Roman"/>
                      <w:sz w:val="21"/>
                      <w:szCs w:val="21"/>
                    </w:rPr>
                    <w:t>减振</w:t>
                  </w:r>
                  <w:r>
                    <w:rPr>
                      <w:rFonts w:ascii="Times New Roman" w:hAnsi="Times New Roman" w:cs="Times New Roman"/>
                      <w:sz w:val="21"/>
                      <w:szCs w:val="21"/>
                    </w:rPr>
                    <w:t>垫。</w:t>
                  </w:r>
                </w:p>
              </w:tc>
              <w:tc>
                <w:tcPr>
                  <w:tcW w:w="1134" w:type="dxa"/>
                  <w:vAlign w:val="center"/>
                </w:tcPr>
                <w:p w14:paraId="0C527A86">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5B51A960">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.5</w:t>
                  </w:r>
                </w:p>
              </w:tc>
            </w:tr>
            <w:tr w14:paraId="1BE2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2BA1E2A4">
                  <w:pPr>
                    <w:pStyle w:val="2"/>
                    <w:pBdr>
                      <w:bottom w:val="none" w:color="auto" w:sz="0" w:space="0"/>
                    </w:pBdr>
                    <w:rPr>
                      <w:rFonts w:ascii="Times New Roman" w:hAnsi="Times New Roman" w:cs="Times New Roman"/>
                      <w:sz w:val="21"/>
                      <w:szCs w:val="21"/>
                    </w:rPr>
                  </w:pPr>
                </w:p>
              </w:tc>
              <w:tc>
                <w:tcPr>
                  <w:tcW w:w="763" w:type="dxa"/>
                  <w:vMerge w:val="continue"/>
                  <w:tcBorders>
                    <w:top w:val="single" w:color="auto" w:sz="4" w:space="0"/>
                    <w:left w:val="single" w:color="auto" w:sz="4" w:space="0"/>
                    <w:right w:val="single" w:color="auto" w:sz="4" w:space="0"/>
                  </w:tcBorders>
                  <w:vAlign w:val="center"/>
                </w:tcPr>
                <w:p w14:paraId="0F595C1F">
                  <w:pPr>
                    <w:pStyle w:val="2"/>
                    <w:pBdr>
                      <w:bottom w:val="none" w:color="auto" w:sz="0" w:space="0"/>
                    </w:pBdr>
                    <w:rPr>
                      <w:rFonts w:ascii="Times New Roman" w:hAnsi="Times New Roman" w:cs="Times New Roman"/>
                      <w:sz w:val="21"/>
                      <w:szCs w:val="21"/>
                    </w:rPr>
                  </w:pPr>
                </w:p>
              </w:tc>
              <w:tc>
                <w:tcPr>
                  <w:tcW w:w="1275" w:type="dxa"/>
                  <w:vAlign w:val="center"/>
                </w:tcPr>
                <w:p w14:paraId="69AD6FB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空压机</w:t>
                  </w:r>
                </w:p>
              </w:tc>
              <w:tc>
                <w:tcPr>
                  <w:tcW w:w="3089" w:type="dxa"/>
                  <w:vAlign w:val="center"/>
                </w:tcPr>
                <w:p w14:paraId="5A0445A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设1</w:t>
                  </w:r>
                  <w:r>
                    <w:rPr>
                      <w:rFonts w:hint="eastAsia" w:ascii="Times New Roman" w:hAnsi="Times New Roman" w:cs="Times New Roman"/>
                      <w:sz w:val="21"/>
                      <w:szCs w:val="21"/>
                    </w:rPr>
                    <w:t>座</w:t>
                  </w:r>
                  <w:r>
                    <w:rPr>
                      <w:rFonts w:ascii="Times New Roman" w:hAnsi="Times New Roman" w:cs="Times New Roman"/>
                      <w:sz w:val="21"/>
                      <w:szCs w:val="21"/>
                    </w:rPr>
                    <w:t>空压机房，</w:t>
                  </w:r>
                  <w:r>
                    <w:rPr>
                      <w:rFonts w:hint="eastAsia" w:ascii="Times New Roman" w:hAnsi="Times New Roman" w:cs="Times New Roman"/>
                      <w:sz w:val="21"/>
                      <w:szCs w:val="21"/>
                    </w:rPr>
                    <w:t>采用隔音门窗，封闭作业。</w:t>
                  </w:r>
                </w:p>
              </w:tc>
              <w:tc>
                <w:tcPr>
                  <w:tcW w:w="1134" w:type="dxa"/>
                  <w:vAlign w:val="center"/>
                </w:tcPr>
                <w:p w14:paraId="272FAD47">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1座</w:t>
                  </w:r>
                </w:p>
              </w:tc>
              <w:tc>
                <w:tcPr>
                  <w:tcW w:w="1171" w:type="dxa"/>
                  <w:vAlign w:val="center"/>
                </w:tcPr>
                <w:p w14:paraId="56690F07">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2.0</w:t>
                  </w:r>
                </w:p>
              </w:tc>
            </w:tr>
            <w:tr w14:paraId="3EB3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781BFE8E">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7AC38F56">
                  <w:pPr>
                    <w:pStyle w:val="2"/>
                    <w:pBdr>
                      <w:bottom w:val="none" w:color="auto" w:sz="0" w:space="0"/>
                    </w:pBdr>
                    <w:rPr>
                      <w:rFonts w:ascii="Times New Roman" w:hAnsi="Times New Roman" w:cs="Times New Roman"/>
                      <w:sz w:val="21"/>
                      <w:szCs w:val="21"/>
                    </w:rPr>
                  </w:pPr>
                </w:p>
              </w:tc>
              <w:tc>
                <w:tcPr>
                  <w:tcW w:w="1275" w:type="dxa"/>
                  <w:vAlign w:val="center"/>
                </w:tcPr>
                <w:p w14:paraId="4BDEC6E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风机</w:t>
                  </w:r>
                </w:p>
              </w:tc>
              <w:tc>
                <w:tcPr>
                  <w:tcW w:w="3089" w:type="dxa"/>
                  <w:vAlign w:val="center"/>
                </w:tcPr>
                <w:p w14:paraId="4AD785E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消声器</w:t>
                  </w:r>
                </w:p>
              </w:tc>
              <w:tc>
                <w:tcPr>
                  <w:tcW w:w="1134" w:type="dxa"/>
                  <w:vAlign w:val="center"/>
                </w:tcPr>
                <w:p w14:paraId="668C5A6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4套</w:t>
                  </w:r>
                </w:p>
              </w:tc>
              <w:tc>
                <w:tcPr>
                  <w:tcW w:w="1171" w:type="dxa"/>
                  <w:vAlign w:val="center"/>
                </w:tcPr>
                <w:p w14:paraId="7857F49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r>
            <w:tr w14:paraId="17C9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4DADB513">
                  <w:pPr>
                    <w:pStyle w:val="2"/>
                    <w:pBdr>
                      <w:bottom w:val="none" w:color="auto" w:sz="0" w:space="0"/>
                    </w:pBdr>
                    <w:rPr>
                      <w:rFonts w:ascii="Times New Roman" w:hAnsi="Times New Roman" w:cs="Times New Roman"/>
                      <w:sz w:val="21"/>
                      <w:szCs w:val="21"/>
                    </w:rPr>
                  </w:pPr>
                </w:p>
              </w:tc>
              <w:tc>
                <w:tcPr>
                  <w:tcW w:w="763" w:type="dxa"/>
                  <w:vMerge w:val="restart"/>
                  <w:tcBorders>
                    <w:top w:val="single" w:color="auto" w:sz="4" w:space="0"/>
                    <w:left w:val="single" w:color="auto" w:sz="4" w:space="0"/>
                    <w:right w:val="single" w:color="auto" w:sz="4" w:space="0"/>
                  </w:tcBorders>
                  <w:vAlign w:val="center"/>
                </w:tcPr>
                <w:p w14:paraId="3854C44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固废</w:t>
                  </w:r>
                </w:p>
              </w:tc>
              <w:tc>
                <w:tcPr>
                  <w:tcW w:w="1275" w:type="dxa"/>
                  <w:vAlign w:val="center"/>
                </w:tcPr>
                <w:p w14:paraId="6051B3BD">
                  <w:pPr>
                    <w:pStyle w:val="2"/>
                    <w:pBdr>
                      <w:bottom w:val="none" w:color="auto" w:sz="0" w:space="0"/>
                    </w:pBdr>
                    <w:rPr>
                      <w:sz w:val="21"/>
                      <w:szCs w:val="21"/>
                    </w:rPr>
                  </w:pPr>
                  <w:r>
                    <w:rPr>
                      <w:sz w:val="21"/>
                      <w:szCs w:val="21"/>
                    </w:rPr>
                    <w:t>垃圾桶</w:t>
                  </w:r>
                </w:p>
              </w:tc>
              <w:tc>
                <w:tcPr>
                  <w:tcW w:w="3089" w:type="dxa"/>
                  <w:vAlign w:val="center"/>
                </w:tcPr>
                <w:p w14:paraId="34E34257">
                  <w:pPr>
                    <w:pStyle w:val="2"/>
                    <w:pBdr>
                      <w:bottom w:val="none" w:color="auto" w:sz="0" w:space="0"/>
                    </w:pBdr>
                    <w:rPr>
                      <w:sz w:val="21"/>
                      <w:szCs w:val="21"/>
                    </w:rPr>
                  </w:pPr>
                  <w:r>
                    <w:rPr>
                      <w:rFonts w:hint="eastAsia"/>
                      <w:sz w:val="21"/>
                      <w:szCs w:val="21"/>
                    </w:rPr>
                    <w:t>分类垃圾收集桶</w:t>
                  </w:r>
                </w:p>
              </w:tc>
              <w:tc>
                <w:tcPr>
                  <w:tcW w:w="1134" w:type="dxa"/>
                  <w:vAlign w:val="center"/>
                </w:tcPr>
                <w:p w14:paraId="458359F1">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5个</w:t>
                  </w:r>
                </w:p>
              </w:tc>
              <w:tc>
                <w:tcPr>
                  <w:tcW w:w="1171" w:type="dxa"/>
                  <w:vAlign w:val="center"/>
                </w:tcPr>
                <w:p w14:paraId="6148F82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w:t>
                  </w:r>
                </w:p>
              </w:tc>
            </w:tr>
            <w:tr w14:paraId="084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00FBE803">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6C8650B8">
                  <w:pPr>
                    <w:pStyle w:val="2"/>
                    <w:pBdr>
                      <w:bottom w:val="none" w:color="auto" w:sz="0" w:space="0"/>
                    </w:pBdr>
                    <w:rPr>
                      <w:rFonts w:ascii="Times New Roman" w:hAnsi="Times New Roman" w:cs="Times New Roman"/>
                      <w:sz w:val="21"/>
                      <w:szCs w:val="21"/>
                    </w:rPr>
                  </w:pPr>
                </w:p>
              </w:tc>
              <w:tc>
                <w:tcPr>
                  <w:tcW w:w="1275" w:type="dxa"/>
                  <w:vAlign w:val="center"/>
                </w:tcPr>
                <w:p w14:paraId="1CD4035C">
                  <w:pPr>
                    <w:pStyle w:val="2"/>
                    <w:pBdr>
                      <w:bottom w:val="none" w:color="auto" w:sz="0" w:space="0"/>
                    </w:pBdr>
                    <w:rPr>
                      <w:sz w:val="21"/>
                      <w:szCs w:val="21"/>
                    </w:rPr>
                  </w:pPr>
                  <w:r>
                    <w:rPr>
                      <w:sz w:val="21"/>
                      <w:szCs w:val="21"/>
                    </w:rPr>
                    <w:t>废油脂收集 桶</w:t>
                  </w:r>
                </w:p>
              </w:tc>
              <w:tc>
                <w:tcPr>
                  <w:tcW w:w="3089" w:type="dxa"/>
                  <w:vAlign w:val="center"/>
                </w:tcPr>
                <w:p w14:paraId="26766F5D">
                  <w:pPr>
                    <w:pStyle w:val="2"/>
                    <w:pBdr>
                      <w:bottom w:val="none" w:color="auto" w:sz="0" w:space="0"/>
                    </w:pBdr>
                    <w:rPr>
                      <w:sz w:val="21"/>
                      <w:szCs w:val="21"/>
                    </w:rPr>
                  </w:pPr>
                  <w:r>
                    <w:rPr>
                      <w:rFonts w:hint="eastAsia"/>
                      <w:sz w:val="21"/>
                      <w:szCs w:val="21"/>
                    </w:rPr>
                    <w:t>专用油脂收集桶</w:t>
                  </w:r>
                </w:p>
              </w:tc>
              <w:tc>
                <w:tcPr>
                  <w:tcW w:w="1134" w:type="dxa"/>
                  <w:vAlign w:val="center"/>
                </w:tcPr>
                <w:p w14:paraId="34337B7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2个</w:t>
                  </w:r>
                </w:p>
              </w:tc>
              <w:tc>
                <w:tcPr>
                  <w:tcW w:w="1171" w:type="dxa"/>
                  <w:vAlign w:val="center"/>
                </w:tcPr>
                <w:p w14:paraId="2061183F">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.2</w:t>
                  </w:r>
                </w:p>
              </w:tc>
            </w:tr>
            <w:tr w14:paraId="4A57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764EFC23">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right w:val="single" w:color="auto" w:sz="4" w:space="0"/>
                  </w:tcBorders>
                  <w:vAlign w:val="center"/>
                </w:tcPr>
                <w:p w14:paraId="43750900">
                  <w:pPr>
                    <w:pStyle w:val="2"/>
                    <w:pBdr>
                      <w:bottom w:val="none" w:color="auto" w:sz="0" w:space="0"/>
                    </w:pBdr>
                    <w:rPr>
                      <w:rFonts w:ascii="Times New Roman" w:hAnsi="Times New Roman" w:cs="Times New Roman"/>
                      <w:sz w:val="21"/>
                      <w:szCs w:val="21"/>
                    </w:rPr>
                  </w:pPr>
                </w:p>
              </w:tc>
              <w:tc>
                <w:tcPr>
                  <w:tcW w:w="1275" w:type="dxa"/>
                  <w:vAlign w:val="center"/>
                </w:tcPr>
                <w:p w14:paraId="325B7FE0">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危险废物暂 存间</w:t>
                  </w:r>
                </w:p>
              </w:tc>
              <w:tc>
                <w:tcPr>
                  <w:tcW w:w="3089" w:type="dxa"/>
                  <w:vAlign w:val="center"/>
                </w:tcPr>
                <w:p w14:paraId="04A04B11">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座，</w:t>
                  </w:r>
                  <w:r>
                    <w:rPr>
                      <w:rFonts w:ascii="Times New Roman" w:hAnsi="Times New Roman" w:cs="Times New Roman"/>
                      <w:sz w:val="21"/>
                      <w:szCs w:val="21"/>
                    </w:rPr>
                    <w:t>面积10m</w:t>
                  </w:r>
                  <w:r>
                    <w:rPr>
                      <w:rFonts w:ascii="Times New Roman" w:hAnsi="Times New Roman" w:cs="Times New Roman"/>
                      <w:sz w:val="21"/>
                      <w:szCs w:val="21"/>
                      <w:vertAlign w:val="superscript"/>
                    </w:rPr>
                    <w:t>2</w:t>
                  </w:r>
                  <w:r>
                    <w:rPr>
                      <w:rFonts w:hint="eastAsia" w:ascii="Times New Roman" w:hAnsi="Times New Roman" w:cs="Times New Roman"/>
                      <w:sz w:val="21"/>
                      <w:szCs w:val="21"/>
                    </w:rPr>
                    <w:t>，</w:t>
                  </w:r>
                  <w:r>
                    <w:rPr>
                      <w:rFonts w:ascii="Times New Roman" w:hAnsi="Times New Roman" w:cs="Times New Roman"/>
                      <w:sz w:val="21"/>
                      <w:szCs w:val="21"/>
                    </w:rPr>
                    <w:t>配套设置危废收集容器，危险废物分类分区存放，</w:t>
                  </w:r>
                  <w:r>
                    <w:rPr>
                      <w:rFonts w:hint="eastAsia" w:ascii="Times New Roman" w:hAnsi="Times New Roman" w:cs="Times New Roman"/>
                      <w:sz w:val="21"/>
                      <w:szCs w:val="21"/>
                    </w:rPr>
                    <w:t>地面防渗处理</w:t>
                  </w:r>
                  <w:r>
                    <w:rPr>
                      <w:rFonts w:ascii="Times New Roman" w:hAnsi="Times New Roman" w:cs="Times New Roman"/>
                      <w:sz w:val="21"/>
                      <w:szCs w:val="21"/>
                    </w:rPr>
                    <w:t>。</w:t>
                  </w:r>
                </w:p>
              </w:tc>
              <w:tc>
                <w:tcPr>
                  <w:tcW w:w="1134" w:type="dxa"/>
                  <w:vAlign w:val="center"/>
                </w:tcPr>
                <w:p w14:paraId="6DBE6D56">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1座</w:t>
                  </w:r>
                </w:p>
              </w:tc>
              <w:tc>
                <w:tcPr>
                  <w:tcW w:w="1171" w:type="dxa"/>
                  <w:vAlign w:val="center"/>
                </w:tcPr>
                <w:p w14:paraId="58322823">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3C5A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4DAB2852">
                  <w:pPr>
                    <w:pStyle w:val="2"/>
                    <w:pBdr>
                      <w:bottom w:val="none" w:color="auto" w:sz="0" w:space="0"/>
                    </w:pBdr>
                    <w:rPr>
                      <w:rFonts w:ascii="Times New Roman" w:hAnsi="Times New Roman" w:cs="Times New Roman"/>
                      <w:sz w:val="21"/>
                      <w:szCs w:val="21"/>
                    </w:rPr>
                  </w:pPr>
                </w:p>
              </w:tc>
              <w:tc>
                <w:tcPr>
                  <w:tcW w:w="763" w:type="dxa"/>
                  <w:vMerge w:val="continue"/>
                  <w:tcBorders>
                    <w:left w:val="single" w:color="auto" w:sz="4" w:space="0"/>
                    <w:bottom w:val="single" w:color="auto" w:sz="4" w:space="0"/>
                    <w:right w:val="single" w:color="auto" w:sz="4" w:space="0"/>
                  </w:tcBorders>
                  <w:vAlign w:val="center"/>
                </w:tcPr>
                <w:p w14:paraId="74F0962F">
                  <w:pPr>
                    <w:pStyle w:val="2"/>
                    <w:pBdr>
                      <w:bottom w:val="none" w:color="auto" w:sz="0" w:space="0"/>
                    </w:pBdr>
                    <w:rPr>
                      <w:rFonts w:ascii="Times New Roman" w:hAnsi="Times New Roman" w:cs="Times New Roman"/>
                      <w:sz w:val="21"/>
                      <w:szCs w:val="21"/>
                    </w:rPr>
                  </w:pPr>
                </w:p>
              </w:tc>
              <w:tc>
                <w:tcPr>
                  <w:tcW w:w="1275" w:type="dxa"/>
                  <w:vAlign w:val="center"/>
                </w:tcPr>
                <w:p w14:paraId="391B240A">
                  <w:pPr>
                    <w:pStyle w:val="2"/>
                    <w:pBdr>
                      <w:bottom w:val="none" w:color="auto" w:sz="0" w:space="0"/>
                    </w:pBdr>
                    <w:rPr>
                      <w:rFonts w:ascii="Times New Roman" w:hAnsi="Times New Roman" w:cs="Times New Roman"/>
                      <w:sz w:val="21"/>
                      <w:szCs w:val="21"/>
                    </w:rPr>
                  </w:pPr>
                  <w:r>
                    <w:rPr>
                      <w:rFonts w:ascii="Times New Roman" w:hAnsi="Times New Roman" w:cs="Times New Roman"/>
                      <w:sz w:val="21"/>
                      <w:szCs w:val="21"/>
                    </w:rPr>
                    <w:t>泔水收集桶</w:t>
                  </w:r>
                </w:p>
              </w:tc>
              <w:tc>
                <w:tcPr>
                  <w:tcW w:w="3089" w:type="dxa"/>
                  <w:vAlign w:val="center"/>
                </w:tcPr>
                <w:p w14:paraId="116B818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00L</w:t>
                  </w:r>
                  <w:r>
                    <w:rPr>
                      <w:rFonts w:hint="eastAsia" w:ascii="Times New Roman" w:hAnsi="Times New Roman" w:cs="Times New Roman"/>
                      <w:sz w:val="21"/>
                      <w:szCs w:val="21"/>
                    </w:rPr>
                    <w:t>收集桶</w:t>
                  </w:r>
                </w:p>
              </w:tc>
              <w:tc>
                <w:tcPr>
                  <w:tcW w:w="1134" w:type="dxa"/>
                  <w:vAlign w:val="center"/>
                </w:tcPr>
                <w:p w14:paraId="12B8645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2个</w:t>
                  </w:r>
                </w:p>
              </w:tc>
              <w:tc>
                <w:tcPr>
                  <w:tcW w:w="1171" w:type="dxa"/>
                  <w:vAlign w:val="center"/>
                </w:tcPr>
                <w:p w14:paraId="668DF03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.1</w:t>
                  </w:r>
                </w:p>
              </w:tc>
            </w:tr>
            <w:tr w14:paraId="2F88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5" w:type="dxa"/>
                  <w:vMerge w:val="continue"/>
                  <w:vAlign w:val="center"/>
                </w:tcPr>
                <w:p w14:paraId="77A9836A">
                  <w:pPr>
                    <w:pStyle w:val="2"/>
                    <w:pBdr>
                      <w:bottom w:val="none" w:color="auto" w:sz="0" w:space="0"/>
                    </w:pBdr>
                    <w:rPr>
                      <w:rFonts w:ascii="Times New Roman" w:hAnsi="Times New Roman" w:cs="Times New Roman"/>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3E8BDC9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生态</w:t>
                  </w:r>
                </w:p>
              </w:tc>
              <w:tc>
                <w:tcPr>
                  <w:tcW w:w="1275" w:type="dxa"/>
                  <w:vAlign w:val="center"/>
                </w:tcPr>
                <w:p w14:paraId="50BACB3C">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绿化</w:t>
                  </w:r>
                </w:p>
              </w:tc>
              <w:tc>
                <w:tcPr>
                  <w:tcW w:w="3089" w:type="dxa"/>
                  <w:vAlign w:val="center"/>
                </w:tcPr>
                <w:p w14:paraId="1D926C2A">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厂</w:t>
                  </w:r>
                  <w:r>
                    <w:rPr>
                      <w:rFonts w:ascii="Times New Roman" w:hAnsi="Times New Roman" w:cs="Times New Roman"/>
                      <w:sz w:val="21"/>
                      <w:szCs w:val="21"/>
                    </w:rPr>
                    <w:t>区绿化</w:t>
                  </w:r>
                </w:p>
              </w:tc>
              <w:tc>
                <w:tcPr>
                  <w:tcW w:w="1134" w:type="dxa"/>
                  <w:vAlign w:val="center"/>
                </w:tcPr>
                <w:p w14:paraId="1855FA46">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00</w:t>
                  </w:r>
                  <w:r>
                    <w:rPr>
                      <w:rFonts w:hint="eastAsia" w:ascii="Times New Roman" w:hAnsi="Times New Roman" w:cs="Times New Roman"/>
                      <w:sz w:val="21"/>
                      <w:szCs w:val="21"/>
                    </w:rPr>
                    <w:t>m</w:t>
                  </w:r>
                  <w:r>
                    <w:rPr>
                      <w:rFonts w:hint="eastAsia" w:ascii="Times New Roman" w:hAnsi="Times New Roman" w:cs="Times New Roman"/>
                      <w:sz w:val="21"/>
                      <w:szCs w:val="21"/>
                      <w:vertAlign w:val="superscript"/>
                    </w:rPr>
                    <w:t>2</w:t>
                  </w:r>
                </w:p>
              </w:tc>
              <w:tc>
                <w:tcPr>
                  <w:tcW w:w="1171" w:type="dxa"/>
                  <w:vAlign w:val="center"/>
                </w:tcPr>
                <w:p w14:paraId="507A2702">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.0</w:t>
                  </w:r>
                </w:p>
              </w:tc>
            </w:tr>
            <w:tr w14:paraId="06EC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48" w:type="dxa"/>
                  <w:gridSpan w:val="2"/>
                  <w:vMerge w:val="restart"/>
                  <w:tcBorders>
                    <w:right w:val="single" w:color="auto" w:sz="4" w:space="0"/>
                  </w:tcBorders>
                  <w:vAlign w:val="center"/>
                </w:tcPr>
                <w:p w14:paraId="1DDA8B64">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其它</w:t>
                  </w:r>
                </w:p>
              </w:tc>
              <w:tc>
                <w:tcPr>
                  <w:tcW w:w="4364" w:type="dxa"/>
                  <w:gridSpan w:val="2"/>
                  <w:vAlign w:val="center"/>
                </w:tcPr>
                <w:p w14:paraId="2F39C532">
                  <w:pPr>
                    <w:pStyle w:val="2"/>
                    <w:pBdr>
                      <w:bottom w:val="none" w:color="auto" w:sz="0" w:space="0"/>
                    </w:pBdr>
                    <w:rPr>
                      <w:sz w:val="21"/>
                      <w:szCs w:val="21"/>
                    </w:rPr>
                  </w:pPr>
                  <w:r>
                    <w:rPr>
                      <w:rFonts w:ascii="Times New Roman" w:hAnsi="Times New Roman" w:cs="Times New Roman"/>
                      <w:sz w:val="21"/>
                      <w:szCs w:val="21"/>
                    </w:rPr>
                    <w:t>环境影响评价费用</w:t>
                  </w:r>
                </w:p>
              </w:tc>
              <w:tc>
                <w:tcPr>
                  <w:tcW w:w="1134" w:type="dxa"/>
                  <w:vAlign w:val="center"/>
                </w:tcPr>
                <w:p w14:paraId="6A10F4DB">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221C57DE">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.0</w:t>
                  </w:r>
                </w:p>
              </w:tc>
            </w:tr>
            <w:tr w14:paraId="43FB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48" w:type="dxa"/>
                  <w:gridSpan w:val="2"/>
                  <w:vMerge w:val="continue"/>
                  <w:tcBorders>
                    <w:right w:val="single" w:color="auto" w:sz="4" w:space="0"/>
                  </w:tcBorders>
                  <w:vAlign w:val="center"/>
                </w:tcPr>
                <w:p w14:paraId="4B500AA3">
                  <w:pPr>
                    <w:pStyle w:val="2"/>
                    <w:pBdr>
                      <w:bottom w:val="none" w:color="auto" w:sz="0" w:space="0"/>
                    </w:pBdr>
                    <w:rPr>
                      <w:rFonts w:ascii="Times New Roman" w:hAnsi="Times New Roman" w:cs="Times New Roman"/>
                      <w:sz w:val="21"/>
                      <w:szCs w:val="21"/>
                    </w:rPr>
                  </w:pPr>
                </w:p>
              </w:tc>
              <w:tc>
                <w:tcPr>
                  <w:tcW w:w="4364" w:type="dxa"/>
                  <w:gridSpan w:val="2"/>
                  <w:vAlign w:val="center"/>
                </w:tcPr>
                <w:p w14:paraId="0908EF9C">
                  <w:pPr>
                    <w:pStyle w:val="2"/>
                    <w:pBdr>
                      <w:bottom w:val="none" w:color="auto" w:sz="0" w:space="0"/>
                    </w:pBdr>
                    <w:rPr>
                      <w:sz w:val="21"/>
                      <w:szCs w:val="21"/>
                    </w:rPr>
                  </w:pPr>
                  <w:r>
                    <w:rPr>
                      <w:rFonts w:ascii="Times New Roman" w:hAnsi="Times New Roman" w:cs="Times New Roman"/>
                      <w:sz w:val="21"/>
                      <w:szCs w:val="21"/>
                    </w:rPr>
                    <w:t>竣工</w:t>
                  </w:r>
                  <w:r>
                    <w:rPr>
                      <w:rFonts w:hint="eastAsia" w:ascii="Times New Roman" w:hAnsi="Times New Roman" w:cs="Times New Roman"/>
                      <w:sz w:val="21"/>
                      <w:szCs w:val="21"/>
                    </w:rPr>
                    <w:t>环保</w:t>
                  </w:r>
                  <w:r>
                    <w:rPr>
                      <w:rFonts w:ascii="Times New Roman" w:hAnsi="Times New Roman" w:cs="Times New Roman"/>
                      <w:sz w:val="21"/>
                      <w:szCs w:val="21"/>
                    </w:rPr>
                    <w:t>验收调查及监测费用</w:t>
                  </w:r>
                </w:p>
              </w:tc>
              <w:tc>
                <w:tcPr>
                  <w:tcW w:w="1134" w:type="dxa"/>
                  <w:vAlign w:val="center"/>
                </w:tcPr>
                <w:p w14:paraId="0ED81BD9">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w:t>
                  </w:r>
                </w:p>
              </w:tc>
              <w:tc>
                <w:tcPr>
                  <w:tcW w:w="1171" w:type="dxa"/>
                  <w:vAlign w:val="center"/>
                </w:tcPr>
                <w:p w14:paraId="6F7CA7BC">
                  <w:pPr>
                    <w:pStyle w:val="2"/>
                    <w:pBdr>
                      <w:bottom w:val="none" w:color="auto" w:sz="0" w:space="0"/>
                    </w:pBd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.0</w:t>
                  </w:r>
                </w:p>
              </w:tc>
            </w:tr>
            <w:tr w14:paraId="09A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46" w:type="dxa"/>
                  <w:gridSpan w:val="5"/>
                  <w:vAlign w:val="center"/>
                </w:tcPr>
                <w:p w14:paraId="705A3377">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合 计</w:t>
                  </w:r>
                </w:p>
              </w:tc>
              <w:tc>
                <w:tcPr>
                  <w:tcW w:w="1171" w:type="dxa"/>
                  <w:vAlign w:val="center"/>
                </w:tcPr>
                <w:p w14:paraId="0858B715">
                  <w:pPr>
                    <w:pStyle w:val="2"/>
                    <w:pBdr>
                      <w:bottom w:val="none" w:color="auto" w:sz="0" w:space="0"/>
                    </w:pBdr>
                    <w:rPr>
                      <w:rFonts w:ascii="Times New Roman" w:hAnsi="Times New Roman" w:cs="Times New Roman"/>
                      <w:b/>
                      <w:bCs/>
                      <w:sz w:val="21"/>
                      <w:szCs w:val="21"/>
                    </w:rPr>
                  </w:pPr>
                  <w:r>
                    <w:rPr>
                      <w:rFonts w:hint="eastAsia" w:ascii="Times New Roman" w:hAnsi="Times New Roman" w:cs="Times New Roman"/>
                      <w:b/>
                      <w:bCs/>
                      <w:sz w:val="21"/>
                      <w:szCs w:val="21"/>
                    </w:rPr>
                    <w:t>1</w:t>
                  </w:r>
                  <w:r>
                    <w:rPr>
                      <w:rFonts w:ascii="Times New Roman" w:hAnsi="Times New Roman" w:cs="Times New Roman"/>
                      <w:b/>
                      <w:bCs/>
                      <w:sz w:val="21"/>
                      <w:szCs w:val="21"/>
                    </w:rPr>
                    <w:t>48.7</w:t>
                  </w:r>
                </w:p>
              </w:tc>
            </w:tr>
            <w:bookmarkEnd w:id="25"/>
          </w:tbl>
          <w:p w14:paraId="584AE273">
            <w:pPr>
              <w:pStyle w:val="10"/>
              <w:spacing w:line="360" w:lineRule="auto"/>
              <w:ind w:left="105" w:leftChars="50" w:right="105" w:rightChars="50" w:firstLine="240" w:firstLineChars="100"/>
              <w:rPr>
                <w:rFonts w:ascii="Times New Roman" w:hAnsi="Times New Roman" w:cs="Times New Roman"/>
                <w:bCs/>
                <w:szCs w:val="21"/>
              </w:rPr>
            </w:pPr>
          </w:p>
        </w:tc>
      </w:tr>
    </w:tbl>
    <w:p w14:paraId="36BBAC61">
      <w:pPr>
        <w:sectPr>
          <w:pgSz w:w="11906" w:h="16838"/>
          <w:pgMar w:top="1702" w:right="1531" w:bottom="1702" w:left="1531" w:header="851" w:footer="851" w:gutter="0"/>
          <w:cols w:space="425" w:num="1"/>
          <w:docGrid w:type="lines" w:linePitch="312" w:charSpace="0"/>
        </w:sectPr>
      </w:pPr>
    </w:p>
    <w:tbl>
      <w:tblPr>
        <w:tblStyle w:val="18"/>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14:paraId="7B0B4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18" w:type="dxa"/>
            <w:tcBorders>
              <w:top w:val="single" w:color="auto" w:sz="4" w:space="0"/>
              <w:left w:val="single" w:color="auto" w:sz="8" w:space="0"/>
              <w:bottom w:val="single" w:color="auto" w:sz="4" w:space="0"/>
              <w:right w:val="single" w:color="auto" w:sz="4" w:space="0"/>
            </w:tcBorders>
            <w:shd w:val="clear" w:color="auto" w:fill="auto"/>
            <w:vAlign w:val="center"/>
          </w:tcPr>
          <w:p w14:paraId="6EC8CC17">
            <w:pPr>
              <w:pStyle w:val="16"/>
              <w:adjustRightInd w:val="0"/>
              <w:snapToGrid w:val="0"/>
              <w:spacing w:beforeAutospacing="0" w:afterAutospacing="0"/>
              <w:jc w:val="center"/>
              <w:rPr>
                <w:rFonts w:ascii="Times New Roman" w:hAnsi="Times New Roman"/>
                <w:sz w:val="21"/>
                <w:szCs w:val="21"/>
              </w:rPr>
            </w:pPr>
            <w:r>
              <w:rPr>
                <w:rFonts w:ascii="Times New Roman" w:hAnsi="Times New Roman"/>
                <w:sz w:val="21"/>
                <w:szCs w:val="21"/>
              </w:rPr>
              <w:t>工艺流程和产排污环节</w:t>
            </w:r>
          </w:p>
        </w:tc>
        <w:tc>
          <w:tcPr>
            <w:tcW w:w="8642" w:type="dxa"/>
            <w:tcBorders>
              <w:top w:val="single" w:color="auto" w:sz="4" w:space="0"/>
              <w:left w:val="single" w:color="auto" w:sz="4" w:space="0"/>
              <w:bottom w:val="single" w:color="auto" w:sz="4" w:space="0"/>
              <w:right w:val="single" w:color="auto" w:sz="8" w:space="0"/>
            </w:tcBorders>
            <w:shd w:val="clear" w:color="auto" w:fill="auto"/>
            <w:vAlign w:val="center"/>
          </w:tcPr>
          <w:p w14:paraId="4BDAFCBC">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2</w:t>
            </w:r>
            <w:r>
              <w:rPr>
                <w:rFonts w:ascii="Times New Roman" w:hAnsi="Times New Roman" w:eastAsia="宋体" w:cs="Times New Roman"/>
                <w:b/>
                <w:bCs/>
                <w:kern w:val="0"/>
                <w:sz w:val="24"/>
              </w:rPr>
              <w:t xml:space="preserve">.3 </w:t>
            </w:r>
            <w:r>
              <w:rPr>
                <w:rFonts w:hint="eastAsia" w:ascii="Times New Roman" w:hAnsi="Times New Roman" w:eastAsia="宋体" w:cs="Times New Roman"/>
                <w:b/>
                <w:bCs/>
                <w:kern w:val="0"/>
                <w:sz w:val="24"/>
              </w:rPr>
              <w:t>施工、运营工艺</w:t>
            </w:r>
          </w:p>
          <w:p w14:paraId="5F6ADA90">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本项目施工期主要是进行场地清理、建筑物施工、设备安装等工程</w:t>
            </w:r>
            <w:r>
              <w:rPr>
                <w:rFonts w:hint="eastAsia" w:ascii="Times New Roman" w:hAnsi="Times New Roman" w:cs="Times New Roman"/>
                <w:bCs/>
              </w:rPr>
              <w:t>，</w:t>
            </w:r>
            <w:r>
              <w:rPr>
                <w:rFonts w:ascii="Times New Roman" w:hAnsi="Times New Roman" w:cs="Times New Roman"/>
                <w:bCs/>
              </w:rPr>
              <w:t>及进行辅助设施的施工建设，项目建设期为4个月，预计施工人数20人。施工过程中产生的施工噪声、建筑扬尘及污水排放等均会对周围环境造成一定影响，但由于施工期</w:t>
            </w:r>
            <w:r>
              <w:rPr>
                <w:rFonts w:hint="eastAsia" w:ascii="Times New Roman" w:hAnsi="Times New Roman" w:cs="Times New Roman"/>
                <w:bCs/>
              </w:rPr>
              <w:t>不长</w:t>
            </w:r>
            <w:r>
              <w:rPr>
                <w:rFonts w:ascii="Times New Roman" w:hAnsi="Times New Roman" w:cs="Times New Roman"/>
                <w:bCs/>
              </w:rPr>
              <w:t>，对环境的影响随着施工期的结束而消失。</w:t>
            </w:r>
            <w:r>
              <w:rPr>
                <w:rFonts w:hint="eastAsia" w:ascii="Times New Roman" w:hAnsi="Times New Roman" w:cs="Times New Roman"/>
                <w:bCs/>
              </w:rPr>
              <w:t>施工期产生的污染物包括噪声、扬尘、施工废水、生活污水、建筑垃圾等。</w:t>
            </w:r>
          </w:p>
          <w:p w14:paraId="397EED4E">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营运期间产生的污染物包括废气、废水、噪声、固废等。</w:t>
            </w:r>
          </w:p>
          <w:p w14:paraId="3E7BA5EA">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从污染角度分析，本工程施工期和营运期的工艺流程及产污情况如下。</w:t>
            </w:r>
          </w:p>
          <w:p w14:paraId="22B0754B">
            <w:pPr>
              <w:pStyle w:val="10"/>
              <w:spacing w:line="360" w:lineRule="auto"/>
              <w:ind w:left="0" w:right="105" w:rightChars="50" w:firstLine="241" w:firstLineChars="10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.3.1 施工期</w:t>
            </w:r>
          </w:p>
          <w:p w14:paraId="5CB89645">
            <w:pPr>
              <w:jc w:val="center"/>
            </w:pPr>
            <w:r>
              <w:object>
                <v:shape id="_x0000_i1025" o:spt="75" type="#_x0000_t75" style="height:91.8pt;width:309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0DF85083">
            <w:pPr>
              <w:jc w:val="center"/>
              <w:rPr>
                <w:rFonts w:ascii="Times New Roman" w:hAnsi="Times New Roman" w:eastAsia="宋体" w:cs="Times New Roman"/>
                <w:b/>
                <w:szCs w:val="21"/>
              </w:rPr>
            </w:pPr>
            <w:r>
              <w:rPr>
                <w:rFonts w:ascii="Times New Roman" w:hAnsi="Times New Roman" w:eastAsia="宋体" w:cs="Times New Roman"/>
                <w:b/>
                <w:szCs w:val="21"/>
              </w:rPr>
              <w:t>图2-4    项目施工阶段污染流程图</w:t>
            </w:r>
          </w:p>
          <w:p w14:paraId="27135F38">
            <w:pPr>
              <w:pStyle w:val="2"/>
              <w:pBdr>
                <w:bottom w:val="none" w:color="auto" w:sz="0" w:space="0"/>
              </w:pBdr>
            </w:pPr>
          </w:p>
          <w:p w14:paraId="4A190515">
            <w:pPr>
              <w:snapToGrid w:val="0"/>
              <w:spacing w:line="360" w:lineRule="auto"/>
              <w:ind w:firstLine="240" w:firstLineChars="100"/>
              <w:rPr>
                <w:sz w:val="24"/>
              </w:rPr>
            </w:pPr>
            <w:r>
              <w:rPr>
                <w:rFonts w:hint="eastAsia" w:cs="宋体"/>
                <w:kern w:val="0"/>
                <w:sz w:val="24"/>
              </w:rPr>
              <w:t>项目施工期间产生的主要污染物为噪声、机械尾气、扬尘和施工人员生活污水等。</w:t>
            </w:r>
            <w:r>
              <w:rPr>
                <w:rFonts w:cs="宋体"/>
                <w:kern w:val="0"/>
                <w:sz w:val="24"/>
              </w:rPr>
              <w:t>施工期影响具有时间短，工程结束后对环境影响即随之消失的特点</w:t>
            </w:r>
            <w:r>
              <w:rPr>
                <w:rFonts w:hint="eastAsia" w:cs="宋体"/>
                <w:kern w:val="0"/>
                <w:sz w:val="24"/>
              </w:rPr>
              <w:t>，</w:t>
            </w:r>
            <w:r>
              <w:rPr>
                <w:rFonts w:hint="eastAsia"/>
                <w:sz w:val="24"/>
              </w:rPr>
              <w:t>具体分析如下：</w:t>
            </w:r>
          </w:p>
          <w:p w14:paraId="08B61FCE">
            <w:pPr>
              <w:pStyle w:val="10"/>
              <w:spacing w:line="360" w:lineRule="auto"/>
              <w:ind w:left="0" w:right="105" w:rightChars="50" w:firstLine="240" w:firstLineChars="100"/>
              <w:rPr>
                <w:rFonts w:ascii="Times New Roman" w:hAnsi="Times New Roman" w:cs="Times New Roman"/>
                <w:bCs/>
              </w:rPr>
            </w:pPr>
            <w:bookmarkStart w:id="26" w:name="_Toc495668600"/>
            <w:r>
              <w:rPr>
                <w:rFonts w:ascii="Times New Roman" w:hAnsi="Times New Roman" w:cs="Times New Roman"/>
                <w:bCs/>
              </w:rPr>
              <w:t>1</w:t>
            </w:r>
            <w:r>
              <w:rPr>
                <w:rFonts w:hint="eastAsia" w:ascii="Times New Roman" w:hAnsi="Times New Roman" w:cs="Times New Roman"/>
                <w:bCs/>
              </w:rPr>
              <w:t>、废气</w:t>
            </w:r>
            <w:bookmarkEnd w:id="26"/>
            <w:r>
              <w:rPr>
                <w:rFonts w:hint="eastAsia" w:ascii="Times New Roman" w:hAnsi="Times New Roman" w:cs="Times New Roman"/>
                <w:bCs/>
              </w:rPr>
              <w:t>影响</w:t>
            </w:r>
          </w:p>
          <w:p w14:paraId="6C61CB7F">
            <w:pPr>
              <w:spacing w:line="360" w:lineRule="auto"/>
              <w:ind w:firstLine="240" w:firstLineChars="100"/>
              <w:rPr>
                <w:sz w:val="24"/>
              </w:rPr>
            </w:pPr>
            <w:r>
              <w:rPr>
                <w:sz w:val="24"/>
              </w:rPr>
              <w:t>施工期的扬尘、</w:t>
            </w:r>
            <w:r>
              <w:rPr>
                <w:rFonts w:hint="eastAsia"/>
                <w:sz w:val="24"/>
              </w:rPr>
              <w:t>机械尾气</w:t>
            </w:r>
            <w:r>
              <w:rPr>
                <w:sz w:val="24"/>
              </w:rPr>
              <w:t>对空气环境的影响和施工活动紧密相关，施工活动结束后影响就不再延续，属于短期和非连续性的影响，且其影响不具有累积性。</w:t>
            </w:r>
          </w:p>
          <w:p w14:paraId="3DC45163">
            <w:pPr>
              <w:pStyle w:val="10"/>
              <w:spacing w:line="360" w:lineRule="auto"/>
              <w:ind w:left="0" w:right="105" w:rightChars="50" w:firstLine="240" w:firstLineChars="100"/>
              <w:rPr>
                <w:rFonts w:ascii="Times New Roman" w:hAnsi="Times New Roman" w:cs="Times New Roman"/>
                <w:bCs/>
              </w:rPr>
            </w:pPr>
            <w:bookmarkStart w:id="27" w:name="_Toc495668601"/>
            <w:r>
              <w:rPr>
                <w:rFonts w:ascii="Times New Roman" w:hAnsi="Times New Roman" w:cs="Times New Roman"/>
                <w:bCs/>
              </w:rPr>
              <w:t>（</w:t>
            </w:r>
            <w:r>
              <w:rPr>
                <w:rFonts w:hint="eastAsia" w:ascii="Times New Roman" w:hAnsi="Times New Roman" w:cs="Times New Roman"/>
                <w:bCs/>
              </w:rPr>
              <w:t>1）</w:t>
            </w:r>
            <w:r>
              <w:rPr>
                <w:rFonts w:ascii="Times New Roman" w:hAnsi="Times New Roman" w:cs="Times New Roman"/>
                <w:bCs/>
              </w:rPr>
              <w:t>扬尘</w:t>
            </w:r>
            <w:bookmarkEnd w:id="27"/>
          </w:p>
          <w:p w14:paraId="25799B5D">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施工扬尘主要来源于场地</w:t>
            </w:r>
            <w:r>
              <w:rPr>
                <w:rFonts w:hint="eastAsia" w:ascii="Times New Roman" w:hAnsi="Times New Roman" w:cs="Times New Roman"/>
                <w:bCs/>
              </w:rPr>
              <w:t>开挖、</w:t>
            </w:r>
            <w:r>
              <w:rPr>
                <w:rFonts w:ascii="Times New Roman" w:hAnsi="Times New Roman" w:cs="Times New Roman"/>
                <w:bCs/>
              </w:rPr>
              <w:t>平整及原材料运输、堆放等作业过程中，呈无组织排放，主要污染物为TSP，对施工区环境有一定的</w:t>
            </w:r>
            <w:r>
              <w:rPr>
                <w:rFonts w:hint="eastAsia" w:ascii="Times New Roman" w:hAnsi="Times New Roman" w:cs="Times New Roman"/>
                <w:bCs/>
              </w:rPr>
              <w:t>不利</w:t>
            </w:r>
            <w:r>
              <w:rPr>
                <w:rFonts w:ascii="Times New Roman" w:hAnsi="Times New Roman" w:cs="Times New Roman"/>
                <w:bCs/>
              </w:rPr>
              <w:t>影响。</w:t>
            </w:r>
          </w:p>
          <w:p w14:paraId="27BF79DD">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施工扬尘对环境空气造成的影响大小取决于产生量和气候条件，影响面主要集中在施工</w:t>
            </w:r>
            <w:r>
              <w:rPr>
                <w:rFonts w:hint="eastAsia" w:ascii="Times New Roman" w:hAnsi="Times New Roman" w:cs="Times New Roman"/>
                <w:bCs/>
              </w:rPr>
              <w:t>区</w:t>
            </w:r>
            <w:r>
              <w:rPr>
                <w:rFonts w:ascii="Times New Roman" w:hAnsi="Times New Roman" w:cs="Times New Roman"/>
                <w:bCs/>
              </w:rPr>
              <w:t>内。另外，进出施工场地的运输车辆也会造成施工作业场所近地面</w:t>
            </w:r>
            <w:r>
              <w:rPr>
                <w:rFonts w:hint="eastAsia" w:ascii="Times New Roman" w:hAnsi="Times New Roman" w:cs="Times New Roman"/>
                <w:bCs/>
              </w:rPr>
              <w:t>扬尘</w:t>
            </w:r>
            <w:r>
              <w:rPr>
                <w:rFonts w:ascii="Times New Roman" w:hAnsi="Times New Roman" w:cs="Times New Roman"/>
                <w:bCs/>
              </w:rPr>
              <w:t>浓度升高</w:t>
            </w:r>
            <w:r>
              <w:rPr>
                <w:rFonts w:hint="eastAsia" w:ascii="Times New Roman" w:hAnsi="Times New Roman" w:cs="Times New Roman"/>
                <w:bCs/>
              </w:rPr>
              <w:t>。车运输产生的扬尘与车速、路面清洁度有关。同样路面清洁程度条件下，车速越快，扬尘量越大；而在同样车速情况下，路面越脏，扬尘量越大。</w:t>
            </w:r>
            <w:r>
              <w:rPr>
                <w:rFonts w:ascii="Times New Roman" w:hAnsi="Times New Roman" w:cs="Times New Roman"/>
                <w:bCs/>
              </w:rPr>
              <w:t>另一方面，建筑材料运输过程中车辆扬尘将对道路沿线居民造成一定的影响。</w:t>
            </w:r>
            <w:bookmarkStart w:id="28" w:name="_Toc495668602"/>
          </w:p>
          <w:p w14:paraId="325474CF">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2）</w:t>
            </w:r>
            <w:bookmarkEnd w:id="28"/>
            <w:r>
              <w:rPr>
                <w:rFonts w:hint="eastAsia" w:ascii="Times New Roman" w:hAnsi="Times New Roman" w:cs="Times New Roman"/>
                <w:bCs/>
              </w:rPr>
              <w:t>机械尾气</w:t>
            </w:r>
          </w:p>
          <w:p w14:paraId="6E6B311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施工期</w:t>
            </w:r>
            <w:r>
              <w:rPr>
                <w:rFonts w:hint="eastAsia" w:ascii="Times New Roman" w:hAnsi="Times New Roman" w:cs="Times New Roman"/>
                <w:bCs/>
              </w:rPr>
              <w:t>机械尾气</w:t>
            </w:r>
            <w:r>
              <w:rPr>
                <w:rFonts w:ascii="Times New Roman" w:hAnsi="Times New Roman" w:cs="Times New Roman"/>
                <w:bCs/>
              </w:rPr>
              <w:t>主要来源于运输车辆及其它燃油机械设备，其中的污染物主要有NOx、CO及</w:t>
            </w:r>
            <w:r>
              <w:rPr>
                <w:rFonts w:hint="eastAsia" w:ascii="Times New Roman" w:hAnsi="Times New Roman" w:cs="Times New Roman"/>
                <w:bCs/>
              </w:rPr>
              <w:t>碳氢化合物</w:t>
            </w:r>
            <w:r>
              <w:rPr>
                <w:rFonts w:ascii="Times New Roman" w:hAnsi="Times New Roman" w:cs="Times New Roman"/>
                <w:bCs/>
              </w:rPr>
              <w:t>等。施工期的</w:t>
            </w:r>
            <w:r>
              <w:rPr>
                <w:rFonts w:hint="eastAsia" w:ascii="Times New Roman" w:hAnsi="Times New Roman" w:cs="Times New Roman"/>
                <w:bCs/>
              </w:rPr>
              <w:t>机械尾气</w:t>
            </w:r>
            <w:r>
              <w:rPr>
                <w:rFonts w:ascii="Times New Roman" w:hAnsi="Times New Roman" w:cs="Times New Roman"/>
                <w:bCs/>
              </w:rPr>
              <w:t>呈无组织排放，自然扩散稀释。</w:t>
            </w:r>
          </w:p>
          <w:p w14:paraId="60CF73CF">
            <w:pPr>
              <w:pStyle w:val="10"/>
              <w:spacing w:line="360" w:lineRule="auto"/>
              <w:ind w:left="0" w:right="105" w:rightChars="50" w:firstLine="240" w:firstLineChars="100"/>
              <w:rPr>
                <w:rFonts w:ascii="Times New Roman" w:hAnsi="Times New Roman" w:cs="Times New Roman"/>
                <w:bCs/>
              </w:rPr>
            </w:pPr>
            <w:bookmarkStart w:id="29" w:name="_Toc495668604"/>
            <w:bookmarkStart w:id="30" w:name="_Hlk99965692"/>
            <w:r>
              <w:rPr>
                <w:rFonts w:ascii="Times New Roman" w:hAnsi="Times New Roman" w:cs="Times New Roman"/>
                <w:bCs/>
              </w:rPr>
              <w:t>2</w:t>
            </w:r>
            <w:r>
              <w:rPr>
                <w:rFonts w:hint="eastAsia" w:ascii="Times New Roman" w:hAnsi="Times New Roman" w:cs="Times New Roman"/>
                <w:bCs/>
              </w:rPr>
              <w:t>、废水</w:t>
            </w:r>
            <w:bookmarkEnd w:id="29"/>
            <w:r>
              <w:rPr>
                <w:rFonts w:hint="eastAsia" w:ascii="Times New Roman" w:hAnsi="Times New Roman" w:cs="Times New Roman"/>
                <w:bCs/>
              </w:rPr>
              <w:t>影响</w:t>
            </w:r>
          </w:p>
          <w:p w14:paraId="4A0842A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施工</w:t>
            </w:r>
            <w:r>
              <w:rPr>
                <w:rFonts w:hint="eastAsia" w:ascii="Times New Roman" w:hAnsi="Times New Roman" w:cs="Times New Roman"/>
                <w:bCs/>
              </w:rPr>
              <w:t>期</w:t>
            </w:r>
            <w:r>
              <w:rPr>
                <w:rFonts w:ascii="Times New Roman" w:hAnsi="Times New Roman" w:cs="Times New Roman"/>
                <w:bCs/>
              </w:rPr>
              <w:t>废水主要</w:t>
            </w:r>
            <w:r>
              <w:rPr>
                <w:rFonts w:hint="eastAsia" w:ascii="Times New Roman" w:hAnsi="Times New Roman" w:cs="Times New Roman"/>
                <w:bCs/>
              </w:rPr>
              <w:t>为</w:t>
            </w:r>
            <w:r>
              <w:rPr>
                <w:rFonts w:ascii="Times New Roman" w:hAnsi="Times New Roman" w:cs="Times New Roman"/>
                <w:bCs/>
              </w:rPr>
              <w:t>施工废水</w:t>
            </w:r>
            <w:r>
              <w:rPr>
                <w:rFonts w:hint="eastAsia" w:ascii="Times New Roman" w:hAnsi="Times New Roman" w:cs="Times New Roman"/>
                <w:bCs/>
              </w:rPr>
              <w:t>和</w:t>
            </w:r>
            <w:r>
              <w:rPr>
                <w:rFonts w:ascii="Times New Roman" w:hAnsi="Times New Roman" w:cs="Times New Roman"/>
                <w:bCs/>
              </w:rPr>
              <w:t>施工人员产生的生活污水。</w:t>
            </w:r>
          </w:p>
          <w:p w14:paraId="7C4560CC">
            <w:pPr>
              <w:pStyle w:val="10"/>
              <w:spacing w:line="360" w:lineRule="auto"/>
              <w:ind w:left="0" w:right="105" w:rightChars="50" w:firstLine="240" w:firstLineChars="100"/>
              <w:rPr>
                <w:rFonts w:ascii="Times New Roman" w:hAnsi="Times New Roman" w:cs="Times New Roman"/>
                <w:bCs/>
              </w:rPr>
            </w:pPr>
            <w:bookmarkStart w:id="31" w:name="_Toc495668605"/>
            <w:r>
              <w:rPr>
                <w:rFonts w:ascii="Times New Roman" w:hAnsi="Times New Roman" w:cs="Times New Roman"/>
                <w:bCs/>
              </w:rPr>
              <w:t>（</w:t>
            </w:r>
            <w:r>
              <w:rPr>
                <w:rFonts w:hint="eastAsia" w:ascii="Times New Roman" w:hAnsi="Times New Roman" w:cs="Times New Roman"/>
                <w:bCs/>
              </w:rPr>
              <w:t>1）</w:t>
            </w:r>
            <w:r>
              <w:rPr>
                <w:rFonts w:ascii="Times New Roman" w:hAnsi="Times New Roman" w:cs="Times New Roman"/>
                <w:bCs/>
              </w:rPr>
              <w:t>生活污水</w:t>
            </w:r>
            <w:bookmarkEnd w:id="31"/>
          </w:p>
          <w:p w14:paraId="08BDD189">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本项目施工人员</w:t>
            </w:r>
            <w:r>
              <w:rPr>
                <w:rFonts w:hint="eastAsia" w:ascii="Times New Roman" w:hAnsi="Times New Roman" w:cs="Times New Roman"/>
                <w:bCs/>
              </w:rPr>
              <w:t>拟定</w:t>
            </w:r>
            <w:r>
              <w:rPr>
                <w:rFonts w:ascii="Times New Roman" w:hAnsi="Times New Roman" w:cs="Times New Roman"/>
                <w:bCs/>
              </w:rPr>
              <w:t>20人</w:t>
            </w:r>
            <w:r>
              <w:rPr>
                <w:rFonts w:hint="eastAsia" w:ascii="Times New Roman" w:hAnsi="Times New Roman" w:cs="Times New Roman"/>
                <w:bCs/>
              </w:rPr>
              <w:t>，均来自附近村庄，不在场地内食宿，</w:t>
            </w:r>
            <w:r>
              <w:rPr>
                <w:rFonts w:ascii="Times New Roman" w:hAnsi="Times New Roman" w:cs="Times New Roman"/>
                <w:bCs/>
              </w:rPr>
              <w:t>根据《云南省地方标准用水定额》（DB53/T168-2019）</w:t>
            </w:r>
            <w:r>
              <w:rPr>
                <w:rFonts w:hint="eastAsia" w:ascii="Times New Roman" w:hAnsi="Times New Roman" w:cs="Times New Roman"/>
                <w:bCs/>
              </w:rPr>
              <w:t>施工人员用水量</w:t>
            </w:r>
            <w:r>
              <w:rPr>
                <w:rFonts w:ascii="Times New Roman" w:hAnsi="Times New Roman" w:cs="Times New Roman"/>
                <w:bCs/>
              </w:rPr>
              <w:t>以4</w:t>
            </w:r>
            <w:r>
              <w:rPr>
                <w:rFonts w:hint="eastAsia" w:ascii="Times New Roman" w:hAnsi="Times New Roman" w:cs="Times New Roman"/>
                <w:bCs/>
              </w:rPr>
              <w:t>0</w:t>
            </w:r>
            <w:r>
              <w:rPr>
                <w:rFonts w:ascii="Times New Roman" w:hAnsi="Times New Roman" w:cs="Times New Roman"/>
                <w:bCs/>
              </w:rPr>
              <w:t>L/</w:t>
            </w:r>
            <w:r>
              <w:rPr>
                <w:rFonts w:hint="eastAsia" w:ascii="Times New Roman" w:hAnsi="Times New Roman" w:cs="Times New Roman"/>
                <w:bCs/>
              </w:rPr>
              <w:t>（</w:t>
            </w:r>
            <w:r>
              <w:rPr>
                <w:rFonts w:ascii="Times New Roman" w:hAnsi="Times New Roman" w:cs="Times New Roman"/>
                <w:bCs/>
              </w:rPr>
              <w:t>人·d</w:t>
            </w:r>
            <w:r>
              <w:rPr>
                <w:rFonts w:hint="eastAsia" w:ascii="Times New Roman" w:hAnsi="Times New Roman" w:cs="Times New Roman"/>
                <w:bCs/>
              </w:rPr>
              <w:t>）</w:t>
            </w:r>
            <w:r>
              <w:rPr>
                <w:rFonts w:ascii="Times New Roman" w:hAnsi="Times New Roman" w:cs="Times New Roman"/>
                <w:bCs/>
              </w:rPr>
              <w:t>计</w:t>
            </w:r>
            <w:r>
              <w:rPr>
                <w:rFonts w:hint="eastAsia" w:ascii="Times New Roman" w:hAnsi="Times New Roman" w:cs="Times New Roman"/>
                <w:bCs/>
              </w:rPr>
              <w:t>，</w:t>
            </w:r>
            <w:r>
              <w:rPr>
                <w:rFonts w:ascii="Times New Roman" w:hAnsi="Times New Roman" w:cs="Times New Roman"/>
                <w:bCs/>
              </w:rPr>
              <w:t>则用水量为0.80m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产物系数按0.8计，则污水</w:t>
            </w:r>
            <w:r>
              <w:rPr>
                <w:rFonts w:ascii="Times New Roman" w:hAnsi="Times New Roman" w:cs="Times New Roman"/>
                <w:bCs/>
              </w:rPr>
              <w:t>产生量为0.64m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。污水中</w:t>
            </w:r>
            <w:r>
              <w:rPr>
                <w:rFonts w:ascii="Times New Roman" w:hAnsi="Times New Roman" w:cs="Times New Roman"/>
                <w:bCs/>
              </w:rPr>
              <w:t>主要含有SS、BOD</w:t>
            </w:r>
            <w:r>
              <w:rPr>
                <w:rFonts w:ascii="Times New Roman" w:hAnsi="Times New Roman" w:cs="Times New Roman"/>
                <w:bCs/>
                <w:vertAlign w:val="subscript"/>
              </w:rPr>
              <w:t>5</w:t>
            </w:r>
            <w:r>
              <w:rPr>
                <w:rFonts w:ascii="Times New Roman" w:hAnsi="Times New Roman" w:cs="Times New Roman"/>
                <w:bCs/>
              </w:rPr>
              <w:t>、COD</w:t>
            </w:r>
            <w:r>
              <w:rPr>
                <w:rFonts w:hint="eastAsia" w:ascii="Times New Roman" w:hAnsi="Times New Roman" w:cs="Times New Roman"/>
                <w:bCs/>
              </w:rPr>
              <w:t>cr</w:t>
            </w:r>
            <w:r>
              <w:rPr>
                <w:rFonts w:ascii="Times New Roman" w:hAnsi="Times New Roman" w:cs="Times New Roman"/>
                <w:bCs/>
              </w:rPr>
              <w:t>等污染物。</w:t>
            </w:r>
          </w:p>
          <w:p w14:paraId="05E1F449">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设简易收集池收集，经自然降解、沉淀澄清后回用降尘等，不排放。</w:t>
            </w:r>
          </w:p>
          <w:p w14:paraId="12612852">
            <w:pPr>
              <w:pStyle w:val="10"/>
              <w:spacing w:line="360" w:lineRule="auto"/>
              <w:ind w:left="0" w:right="105" w:rightChars="50" w:firstLine="240" w:firstLineChars="100"/>
              <w:rPr>
                <w:rFonts w:ascii="Times New Roman" w:hAnsi="Times New Roman" w:cs="Times New Roman"/>
                <w:bCs/>
              </w:rPr>
            </w:pPr>
            <w:bookmarkStart w:id="32" w:name="_Toc495668606"/>
            <w:r>
              <w:rPr>
                <w:rFonts w:ascii="Times New Roman" w:hAnsi="Times New Roman" w:cs="Times New Roman"/>
                <w:bCs/>
              </w:rPr>
              <w:t>（</w:t>
            </w:r>
            <w:r>
              <w:rPr>
                <w:rFonts w:hint="eastAsia" w:ascii="Times New Roman" w:hAnsi="Times New Roman" w:cs="Times New Roman"/>
                <w:bCs/>
              </w:rPr>
              <w:t>2）施工</w:t>
            </w:r>
            <w:r>
              <w:rPr>
                <w:rFonts w:ascii="Times New Roman" w:hAnsi="Times New Roman" w:cs="Times New Roman"/>
                <w:bCs/>
              </w:rPr>
              <w:t>废水</w:t>
            </w:r>
            <w:bookmarkEnd w:id="32"/>
          </w:p>
          <w:p w14:paraId="4CA1194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本项目施工期施工废水主要来自于少量</w:t>
            </w:r>
            <w:r>
              <w:rPr>
                <w:rFonts w:hint="eastAsia" w:ascii="Times New Roman" w:hAnsi="Times New Roman" w:cs="Times New Roman"/>
                <w:bCs/>
              </w:rPr>
              <w:t>砂</w:t>
            </w:r>
            <w:r>
              <w:rPr>
                <w:rFonts w:ascii="Times New Roman" w:hAnsi="Times New Roman" w:cs="Times New Roman"/>
                <w:bCs/>
              </w:rPr>
              <w:t>石料拌合、机械设备和工具清洗过程中产生的废水。</w:t>
            </w:r>
            <w:r>
              <w:rPr>
                <w:rFonts w:hint="eastAsia" w:ascii="Times New Roman" w:hAnsi="Times New Roman" w:cs="Times New Roman"/>
                <w:bCs/>
              </w:rPr>
              <w:t>主要含有S</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石油类</w:t>
            </w:r>
            <w:r>
              <w:rPr>
                <w:rFonts w:hint="eastAsia" w:ascii="Times New Roman" w:hAnsi="Times New Roman" w:cs="Times New Roman"/>
                <w:bCs/>
              </w:rPr>
              <w:t>等</w:t>
            </w:r>
            <w:r>
              <w:rPr>
                <w:rFonts w:ascii="Times New Roman" w:hAnsi="Times New Roman" w:cs="Times New Roman"/>
                <w:bCs/>
              </w:rPr>
              <w:t>，产生量约0.1m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。在施工机械相对集中处设1m</w:t>
            </w:r>
            <w:r>
              <w:rPr>
                <w:rFonts w:hint="eastAsia" w:ascii="Times New Roman" w:hAnsi="Times New Roman" w:cs="Times New Roman"/>
                <w:bCs/>
                <w:vertAlign w:val="superscript"/>
              </w:rPr>
              <w:t>3</w:t>
            </w:r>
            <w:r>
              <w:rPr>
                <w:rFonts w:hint="eastAsia" w:ascii="Times New Roman" w:hAnsi="Times New Roman" w:cs="Times New Roman"/>
                <w:bCs/>
              </w:rPr>
              <w:t>简易沉淀池，</w:t>
            </w:r>
            <w:r>
              <w:rPr>
                <w:rFonts w:ascii="Times New Roman" w:hAnsi="Times New Roman" w:cs="Times New Roman"/>
                <w:bCs/>
              </w:rPr>
              <w:t>施工废水引入沉淀池中，然后回用于施工场地洒水降尘等，不外排。</w:t>
            </w:r>
          </w:p>
          <w:p w14:paraId="43B80DAE">
            <w:pPr>
              <w:pStyle w:val="10"/>
              <w:spacing w:line="360" w:lineRule="auto"/>
              <w:ind w:left="0" w:right="105" w:rightChars="50" w:firstLine="240" w:firstLineChars="100"/>
              <w:rPr>
                <w:rFonts w:ascii="Times New Roman" w:hAnsi="Times New Roman" w:cs="Times New Roman"/>
                <w:bCs/>
              </w:rPr>
            </w:pPr>
            <w:bookmarkStart w:id="33" w:name="_Toc495668608"/>
            <w:r>
              <w:rPr>
                <w:rFonts w:ascii="Times New Roman" w:hAnsi="Times New Roman" w:cs="Times New Roman"/>
                <w:bCs/>
              </w:rPr>
              <w:t>3</w:t>
            </w:r>
            <w:r>
              <w:rPr>
                <w:rFonts w:hint="eastAsia" w:ascii="Times New Roman" w:hAnsi="Times New Roman" w:cs="Times New Roman"/>
                <w:bCs/>
              </w:rPr>
              <w:t>、噪声</w:t>
            </w:r>
            <w:bookmarkEnd w:id="33"/>
            <w:r>
              <w:rPr>
                <w:rFonts w:hint="eastAsia" w:ascii="Times New Roman" w:hAnsi="Times New Roman" w:cs="Times New Roman"/>
                <w:bCs/>
              </w:rPr>
              <w:t>影响</w:t>
            </w:r>
          </w:p>
          <w:p w14:paraId="0326DE0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施工期的噪声主要来源于现场的各类机械设备和运输车辆</w:t>
            </w:r>
            <w:r>
              <w:rPr>
                <w:rFonts w:hint="eastAsia" w:ascii="Times New Roman" w:hAnsi="Times New Roman" w:cs="Times New Roman"/>
                <w:bCs/>
              </w:rPr>
              <w:t>，此外</w:t>
            </w:r>
            <w:r>
              <w:rPr>
                <w:rFonts w:ascii="Times New Roman" w:hAnsi="Times New Roman" w:cs="Times New Roman"/>
                <w:bCs/>
              </w:rPr>
              <w:t>物料装卸碰撞</w:t>
            </w:r>
            <w:r>
              <w:rPr>
                <w:rFonts w:hint="eastAsia" w:ascii="Times New Roman" w:hAnsi="Times New Roman" w:cs="Times New Roman"/>
                <w:bCs/>
              </w:rPr>
              <w:t>和</w:t>
            </w:r>
            <w:r>
              <w:rPr>
                <w:rFonts w:ascii="Times New Roman" w:hAnsi="Times New Roman" w:cs="Times New Roman"/>
                <w:bCs/>
              </w:rPr>
              <w:t>施工人员活动</w:t>
            </w:r>
            <w:r>
              <w:rPr>
                <w:rFonts w:hint="eastAsia" w:ascii="Times New Roman" w:hAnsi="Times New Roman" w:cs="Times New Roman"/>
                <w:bCs/>
              </w:rPr>
              <w:t>也会产生</w:t>
            </w:r>
            <w:r>
              <w:rPr>
                <w:rFonts w:ascii="Times New Roman" w:hAnsi="Times New Roman" w:cs="Times New Roman"/>
                <w:bCs/>
              </w:rPr>
              <w:t>噪声。主要噪声源及声级值见表2-11。</w:t>
            </w:r>
          </w:p>
          <w:p w14:paraId="6E0D3703">
            <w:pPr>
              <w:jc w:val="center"/>
              <w:rPr>
                <w:rFonts w:ascii="Times New Roman" w:hAnsi="Times New Roman" w:eastAsia="宋体" w:cs="Times New Roman"/>
                <w:b/>
                <w:szCs w:val="21"/>
              </w:rPr>
            </w:pPr>
            <w:r>
              <w:rPr>
                <w:rFonts w:ascii="Times New Roman" w:hAnsi="Times New Roman" w:eastAsia="宋体" w:cs="Times New Roman"/>
                <w:b/>
                <w:szCs w:val="21"/>
              </w:rPr>
              <w:t>表2-11    施工期噪声排污源强一览表</w:t>
            </w:r>
          </w:p>
          <w:tbl>
            <w:tblPr>
              <w:tblStyle w:val="18"/>
              <w:tblW w:w="7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947"/>
              <w:gridCol w:w="3430"/>
            </w:tblGrid>
            <w:tr w14:paraId="2F90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34" w:type="dxa"/>
                  <w:vAlign w:val="center"/>
                </w:tcPr>
                <w:p w14:paraId="2CC6F9F7">
                  <w:pPr>
                    <w:jc w:val="center"/>
                    <w:rPr>
                      <w:rFonts w:ascii="Times New Roman" w:hAnsi="Times New Roman" w:cs="Times New Roman"/>
                      <w:b/>
                      <w:bCs/>
                      <w:szCs w:val="21"/>
                    </w:rPr>
                  </w:pPr>
                  <w:bookmarkStart w:id="34" w:name="_Hlk99966604"/>
                  <w:r>
                    <w:rPr>
                      <w:rFonts w:ascii="Times New Roman" w:hAnsi="Times New Roman" w:cs="Times New Roman"/>
                      <w:b/>
                      <w:bCs/>
                      <w:szCs w:val="21"/>
                    </w:rPr>
                    <w:t>序号</w:t>
                  </w:r>
                </w:p>
              </w:tc>
              <w:tc>
                <w:tcPr>
                  <w:tcW w:w="2947" w:type="dxa"/>
                  <w:vAlign w:val="center"/>
                </w:tcPr>
                <w:p w14:paraId="4667B505">
                  <w:pPr>
                    <w:jc w:val="center"/>
                    <w:rPr>
                      <w:rFonts w:ascii="Times New Roman" w:hAnsi="Times New Roman" w:cs="Times New Roman"/>
                      <w:b/>
                      <w:bCs/>
                      <w:szCs w:val="21"/>
                    </w:rPr>
                  </w:pPr>
                  <w:r>
                    <w:rPr>
                      <w:rFonts w:ascii="Times New Roman" w:hAnsi="Times New Roman" w:cs="Times New Roman"/>
                      <w:b/>
                      <w:bCs/>
                      <w:szCs w:val="21"/>
                    </w:rPr>
                    <w:t>设备名称</w:t>
                  </w:r>
                </w:p>
              </w:tc>
              <w:tc>
                <w:tcPr>
                  <w:tcW w:w="3430" w:type="dxa"/>
                  <w:vAlign w:val="center"/>
                </w:tcPr>
                <w:p w14:paraId="398115B5">
                  <w:pPr>
                    <w:jc w:val="center"/>
                    <w:rPr>
                      <w:rFonts w:ascii="Times New Roman" w:hAnsi="Times New Roman" w:cs="Times New Roman"/>
                      <w:b/>
                      <w:bCs/>
                      <w:szCs w:val="21"/>
                    </w:rPr>
                  </w:pPr>
                  <w:r>
                    <w:rPr>
                      <w:rFonts w:ascii="Times New Roman" w:hAnsi="Times New Roman" w:cs="Times New Roman"/>
                      <w:b/>
                      <w:bCs/>
                      <w:szCs w:val="21"/>
                    </w:rPr>
                    <w:t>声级（距源1m处）[dB(A)]</w:t>
                  </w:r>
                </w:p>
              </w:tc>
            </w:tr>
            <w:tr w14:paraId="663D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1134" w:type="dxa"/>
                  <w:vAlign w:val="center"/>
                </w:tcPr>
                <w:p w14:paraId="5F87A7DC">
                  <w:pPr>
                    <w:jc w:val="center"/>
                    <w:rPr>
                      <w:rFonts w:ascii="Times New Roman" w:hAnsi="Times New Roman" w:cs="Times New Roman"/>
                      <w:szCs w:val="21"/>
                    </w:rPr>
                  </w:pPr>
                  <w:r>
                    <w:rPr>
                      <w:rFonts w:hint="eastAsia" w:ascii="Times New Roman" w:hAnsi="Times New Roman" w:cs="Times New Roman"/>
                      <w:szCs w:val="21"/>
                    </w:rPr>
                    <w:t>1</w:t>
                  </w:r>
                </w:p>
              </w:tc>
              <w:tc>
                <w:tcPr>
                  <w:tcW w:w="2947" w:type="dxa"/>
                  <w:vAlign w:val="center"/>
                </w:tcPr>
                <w:p w14:paraId="13A3276F">
                  <w:pPr>
                    <w:jc w:val="center"/>
                    <w:rPr>
                      <w:rFonts w:ascii="Times New Roman" w:hAnsi="Times New Roman" w:cs="Times New Roman"/>
                      <w:szCs w:val="21"/>
                    </w:rPr>
                  </w:pPr>
                  <w:r>
                    <w:rPr>
                      <w:rFonts w:hint="eastAsia" w:ascii="Times New Roman" w:hAnsi="Times New Roman" w:cs="Times New Roman"/>
                      <w:szCs w:val="21"/>
                    </w:rPr>
                    <w:t>切割机</w:t>
                  </w:r>
                </w:p>
              </w:tc>
              <w:tc>
                <w:tcPr>
                  <w:tcW w:w="3430" w:type="dxa"/>
                  <w:vAlign w:val="center"/>
                </w:tcPr>
                <w:p w14:paraId="15806442">
                  <w:pPr>
                    <w:jc w:val="center"/>
                    <w:rPr>
                      <w:rFonts w:ascii="Times New Roman" w:hAnsi="Times New Roman" w:cs="Times New Roman"/>
                      <w:szCs w:val="21"/>
                    </w:rPr>
                  </w:pPr>
                  <w:r>
                    <w:rPr>
                      <w:rFonts w:ascii="Times New Roman" w:hAnsi="Times New Roman" w:cs="Times New Roman"/>
                      <w:szCs w:val="21"/>
                    </w:rPr>
                    <w:t>95</w:t>
                  </w:r>
                </w:p>
              </w:tc>
            </w:tr>
            <w:tr w14:paraId="34A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1134" w:type="dxa"/>
                  <w:vAlign w:val="center"/>
                </w:tcPr>
                <w:p w14:paraId="0A77D407">
                  <w:pPr>
                    <w:jc w:val="center"/>
                    <w:rPr>
                      <w:rFonts w:ascii="Times New Roman" w:hAnsi="Times New Roman" w:cs="Times New Roman"/>
                      <w:szCs w:val="21"/>
                    </w:rPr>
                  </w:pPr>
                  <w:r>
                    <w:rPr>
                      <w:rFonts w:hint="eastAsia" w:ascii="Times New Roman" w:hAnsi="Times New Roman" w:cs="Times New Roman"/>
                      <w:szCs w:val="21"/>
                    </w:rPr>
                    <w:t>2</w:t>
                  </w:r>
                </w:p>
              </w:tc>
              <w:tc>
                <w:tcPr>
                  <w:tcW w:w="2947" w:type="dxa"/>
                  <w:vAlign w:val="center"/>
                </w:tcPr>
                <w:p w14:paraId="3D2899FA">
                  <w:pPr>
                    <w:jc w:val="center"/>
                    <w:rPr>
                      <w:rFonts w:ascii="Times New Roman" w:hAnsi="Times New Roman" w:cs="Times New Roman"/>
                      <w:szCs w:val="21"/>
                    </w:rPr>
                  </w:pPr>
                  <w:r>
                    <w:rPr>
                      <w:rFonts w:hint="eastAsia" w:ascii="Times New Roman" w:hAnsi="Times New Roman" w:cs="Times New Roman"/>
                      <w:szCs w:val="21"/>
                    </w:rPr>
                    <w:t>搅拌机</w:t>
                  </w:r>
                </w:p>
              </w:tc>
              <w:tc>
                <w:tcPr>
                  <w:tcW w:w="3430" w:type="dxa"/>
                  <w:vAlign w:val="center"/>
                </w:tcPr>
                <w:p w14:paraId="01376D00">
                  <w:pPr>
                    <w:jc w:val="center"/>
                    <w:rPr>
                      <w:rFonts w:ascii="Times New Roman" w:hAnsi="Times New Roman" w:cs="Times New Roman"/>
                      <w:szCs w:val="21"/>
                    </w:rPr>
                  </w:pPr>
                  <w:r>
                    <w:rPr>
                      <w:rFonts w:ascii="Times New Roman" w:hAnsi="Times New Roman" w:cs="Times New Roman"/>
                      <w:szCs w:val="21"/>
                    </w:rPr>
                    <w:t>85</w:t>
                  </w:r>
                </w:p>
              </w:tc>
            </w:tr>
            <w:tr w14:paraId="3582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1134" w:type="dxa"/>
                  <w:vAlign w:val="center"/>
                </w:tcPr>
                <w:p w14:paraId="347DEC79">
                  <w:pPr>
                    <w:jc w:val="center"/>
                    <w:rPr>
                      <w:rFonts w:ascii="Times New Roman" w:hAnsi="Times New Roman" w:cs="Times New Roman"/>
                      <w:szCs w:val="21"/>
                    </w:rPr>
                  </w:pPr>
                  <w:r>
                    <w:rPr>
                      <w:rFonts w:hint="eastAsia" w:ascii="Times New Roman" w:hAnsi="Times New Roman" w:cs="Times New Roman"/>
                      <w:szCs w:val="21"/>
                    </w:rPr>
                    <w:t>3</w:t>
                  </w:r>
                </w:p>
              </w:tc>
              <w:tc>
                <w:tcPr>
                  <w:tcW w:w="2947" w:type="dxa"/>
                  <w:vAlign w:val="center"/>
                </w:tcPr>
                <w:p w14:paraId="140296F0">
                  <w:pPr>
                    <w:jc w:val="center"/>
                    <w:rPr>
                      <w:rFonts w:ascii="Times New Roman" w:hAnsi="Times New Roman" w:cs="Times New Roman"/>
                      <w:szCs w:val="21"/>
                    </w:rPr>
                  </w:pPr>
                  <w:r>
                    <w:rPr>
                      <w:rFonts w:ascii="Times New Roman" w:hAnsi="Times New Roman" w:cs="Times New Roman"/>
                      <w:szCs w:val="21"/>
                    </w:rPr>
                    <w:t>电钻</w:t>
                  </w:r>
                </w:p>
              </w:tc>
              <w:tc>
                <w:tcPr>
                  <w:tcW w:w="3430" w:type="dxa"/>
                  <w:vAlign w:val="center"/>
                </w:tcPr>
                <w:p w14:paraId="2F5C5E7F">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5</w:t>
                  </w:r>
                </w:p>
              </w:tc>
            </w:tr>
            <w:tr w14:paraId="4E51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594F3314">
                  <w:pPr>
                    <w:jc w:val="center"/>
                    <w:rPr>
                      <w:rFonts w:ascii="Times New Roman" w:hAnsi="Times New Roman" w:cs="Times New Roman"/>
                      <w:szCs w:val="21"/>
                    </w:rPr>
                  </w:pPr>
                  <w:r>
                    <w:rPr>
                      <w:rFonts w:hint="eastAsia" w:ascii="Times New Roman" w:hAnsi="Times New Roman" w:cs="Times New Roman"/>
                      <w:szCs w:val="21"/>
                    </w:rPr>
                    <w:t>4</w:t>
                  </w:r>
                </w:p>
              </w:tc>
              <w:tc>
                <w:tcPr>
                  <w:tcW w:w="2947" w:type="dxa"/>
                  <w:vAlign w:val="center"/>
                </w:tcPr>
                <w:p w14:paraId="25968B61">
                  <w:pPr>
                    <w:jc w:val="center"/>
                    <w:rPr>
                      <w:rFonts w:ascii="Times New Roman" w:hAnsi="Times New Roman" w:cs="Times New Roman"/>
                      <w:szCs w:val="21"/>
                    </w:rPr>
                  </w:pPr>
                  <w:r>
                    <w:rPr>
                      <w:rFonts w:ascii="Times New Roman" w:hAnsi="Times New Roman" w:cs="Times New Roman"/>
                      <w:szCs w:val="21"/>
                    </w:rPr>
                    <w:t>轻型载重车</w:t>
                  </w:r>
                </w:p>
              </w:tc>
              <w:tc>
                <w:tcPr>
                  <w:tcW w:w="3430" w:type="dxa"/>
                  <w:vAlign w:val="center"/>
                </w:tcPr>
                <w:p w14:paraId="2B0067BF">
                  <w:pPr>
                    <w:jc w:val="center"/>
                    <w:rPr>
                      <w:rFonts w:ascii="Times New Roman" w:hAnsi="Times New Roman" w:cs="Times New Roman"/>
                      <w:szCs w:val="21"/>
                    </w:rPr>
                  </w:pPr>
                  <w:r>
                    <w:rPr>
                      <w:rFonts w:ascii="Times New Roman" w:hAnsi="Times New Roman" w:cs="Times New Roman"/>
                      <w:szCs w:val="21"/>
                    </w:rPr>
                    <w:t>75</w:t>
                  </w:r>
                </w:p>
              </w:tc>
            </w:tr>
            <w:tr w14:paraId="3D1B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7FA1B78B">
                  <w:pPr>
                    <w:jc w:val="center"/>
                    <w:rPr>
                      <w:rFonts w:ascii="Times New Roman" w:hAnsi="Times New Roman" w:cs="Times New Roman"/>
                      <w:szCs w:val="21"/>
                    </w:rPr>
                  </w:pPr>
                  <w:r>
                    <w:rPr>
                      <w:rFonts w:hint="eastAsia" w:ascii="Times New Roman" w:hAnsi="Times New Roman" w:cs="Times New Roman"/>
                      <w:szCs w:val="21"/>
                    </w:rPr>
                    <w:t>5</w:t>
                  </w:r>
                </w:p>
              </w:tc>
              <w:tc>
                <w:tcPr>
                  <w:tcW w:w="2947" w:type="dxa"/>
                  <w:vAlign w:val="center"/>
                </w:tcPr>
                <w:p w14:paraId="106E2622">
                  <w:pPr>
                    <w:jc w:val="center"/>
                    <w:rPr>
                      <w:rFonts w:ascii="Times New Roman" w:hAnsi="Times New Roman" w:cs="Times New Roman"/>
                      <w:szCs w:val="21"/>
                    </w:rPr>
                  </w:pPr>
                  <w:r>
                    <w:rPr>
                      <w:rFonts w:ascii="Times New Roman" w:hAnsi="Times New Roman" w:cs="Times New Roman"/>
                      <w:szCs w:val="21"/>
                    </w:rPr>
                    <w:t>推土机</w:t>
                  </w:r>
                </w:p>
              </w:tc>
              <w:tc>
                <w:tcPr>
                  <w:tcW w:w="3430" w:type="dxa"/>
                  <w:vAlign w:val="center"/>
                </w:tcPr>
                <w:p w14:paraId="157AE9EB">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r>
            <w:tr w14:paraId="6D2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0A28F3E3">
                  <w:pPr>
                    <w:jc w:val="center"/>
                    <w:rPr>
                      <w:rFonts w:ascii="Times New Roman" w:hAnsi="Times New Roman" w:cs="Times New Roman"/>
                      <w:szCs w:val="21"/>
                    </w:rPr>
                  </w:pPr>
                  <w:r>
                    <w:rPr>
                      <w:rFonts w:hint="eastAsia" w:ascii="Times New Roman" w:hAnsi="Times New Roman" w:cs="Times New Roman"/>
                      <w:szCs w:val="21"/>
                    </w:rPr>
                    <w:t>6</w:t>
                  </w:r>
                </w:p>
              </w:tc>
              <w:tc>
                <w:tcPr>
                  <w:tcW w:w="2947" w:type="dxa"/>
                  <w:vAlign w:val="center"/>
                </w:tcPr>
                <w:p w14:paraId="5478A145">
                  <w:pPr>
                    <w:jc w:val="center"/>
                    <w:rPr>
                      <w:rFonts w:ascii="Times New Roman" w:hAnsi="Times New Roman" w:cs="Times New Roman"/>
                      <w:szCs w:val="21"/>
                    </w:rPr>
                  </w:pPr>
                  <w:r>
                    <w:rPr>
                      <w:rFonts w:ascii="Times New Roman" w:hAnsi="Times New Roman" w:cs="Times New Roman"/>
                      <w:szCs w:val="21"/>
                    </w:rPr>
                    <w:t>挖掘机</w:t>
                  </w:r>
                </w:p>
              </w:tc>
              <w:tc>
                <w:tcPr>
                  <w:tcW w:w="3430" w:type="dxa"/>
                  <w:vAlign w:val="center"/>
                </w:tcPr>
                <w:p w14:paraId="236E639C">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r>
            <w:tr w14:paraId="3C6B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134" w:type="dxa"/>
                  <w:vAlign w:val="center"/>
                </w:tcPr>
                <w:p w14:paraId="2CBB7519">
                  <w:pPr>
                    <w:jc w:val="center"/>
                    <w:rPr>
                      <w:rFonts w:ascii="Times New Roman" w:hAnsi="Times New Roman" w:cs="Times New Roman"/>
                      <w:szCs w:val="21"/>
                    </w:rPr>
                  </w:pPr>
                  <w:r>
                    <w:rPr>
                      <w:rFonts w:hint="eastAsia" w:ascii="Times New Roman" w:hAnsi="Times New Roman" w:cs="Times New Roman"/>
                      <w:szCs w:val="21"/>
                    </w:rPr>
                    <w:t>7</w:t>
                  </w:r>
                </w:p>
              </w:tc>
              <w:tc>
                <w:tcPr>
                  <w:tcW w:w="2947" w:type="dxa"/>
                  <w:vAlign w:val="center"/>
                </w:tcPr>
                <w:p w14:paraId="62770459">
                  <w:pPr>
                    <w:jc w:val="center"/>
                    <w:rPr>
                      <w:rFonts w:ascii="Times New Roman" w:hAnsi="Times New Roman" w:cs="Times New Roman"/>
                      <w:szCs w:val="21"/>
                    </w:rPr>
                  </w:pPr>
                  <w:r>
                    <w:rPr>
                      <w:rFonts w:ascii="Times New Roman" w:hAnsi="Times New Roman" w:cs="Times New Roman"/>
                      <w:szCs w:val="21"/>
                    </w:rPr>
                    <w:t>装载机</w:t>
                  </w:r>
                </w:p>
              </w:tc>
              <w:tc>
                <w:tcPr>
                  <w:tcW w:w="3430" w:type="dxa"/>
                  <w:vAlign w:val="center"/>
                </w:tcPr>
                <w:p w14:paraId="063A99EC">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r>
            <w:bookmarkEnd w:id="34"/>
          </w:tbl>
          <w:p w14:paraId="51A5D245">
            <w:pPr>
              <w:ind w:firstLine="422" w:firstLineChars="200"/>
              <w:rPr>
                <w:b/>
                <w:szCs w:val="21"/>
              </w:rPr>
            </w:pPr>
          </w:p>
          <w:p w14:paraId="79ADC078">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、固体废物影响</w:t>
            </w:r>
          </w:p>
          <w:p w14:paraId="5919747D">
            <w:pPr>
              <w:pStyle w:val="10"/>
              <w:spacing w:line="360" w:lineRule="auto"/>
              <w:ind w:left="233" w:leftChars="111" w:right="105" w:rightChars="50"/>
              <w:rPr>
                <w:rFonts w:ascii="Times New Roman" w:hAnsi="Times New Roman" w:cs="Times New Roman"/>
                <w:bCs/>
              </w:rPr>
            </w:pPr>
            <w:r>
              <w:rPr>
                <w:rFonts w:ascii="Times New Roman" w:hAnsi="Times New Roman" w:cs="Times New Roman"/>
                <w:bCs/>
              </w:rPr>
              <w:t>项目施工期固体废物包括建筑垃圾</w:t>
            </w:r>
            <w:r>
              <w:rPr>
                <w:rFonts w:hint="eastAsia" w:ascii="Times New Roman" w:hAnsi="Times New Roman" w:cs="Times New Roman"/>
                <w:bCs/>
              </w:rPr>
              <w:t>和</w:t>
            </w:r>
            <w:r>
              <w:rPr>
                <w:rFonts w:ascii="Times New Roman" w:hAnsi="Times New Roman" w:cs="Times New Roman"/>
                <w:bCs/>
              </w:rPr>
              <w:t>施工人员生活垃圾。</w:t>
            </w:r>
          </w:p>
          <w:p w14:paraId="69065706">
            <w:pPr>
              <w:pStyle w:val="10"/>
              <w:spacing w:line="360" w:lineRule="auto"/>
              <w:ind w:left="0" w:right="105" w:rightChars="50" w:firstLine="240" w:firstLineChars="100"/>
              <w:rPr>
                <w:rFonts w:ascii="Times New Roman" w:hAnsi="Times New Roman" w:cs="Times New Roman"/>
                <w:bCs/>
              </w:rPr>
            </w:pPr>
            <w:bookmarkStart w:id="35" w:name="_Toc495668610"/>
            <w:r>
              <w:rPr>
                <w:rFonts w:hint="eastAsia" w:ascii="Times New Roman" w:hAnsi="Times New Roman" w:cs="Times New Roman"/>
                <w:bCs/>
              </w:rPr>
              <w:t>（</w:t>
            </w:r>
            <w:r>
              <w:rPr>
                <w:rFonts w:ascii="Times New Roman" w:hAnsi="Times New Roman" w:cs="Times New Roman"/>
                <w:bCs/>
              </w:rPr>
              <w:t>1</w:t>
            </w:r>
            <w:r>
              <w:rPr>
                <w:rFonts w:hint="eastAsia" w:ascii="Times New Roman" w:hAnsi="Times New Roman" w:cs="Times New Roman"/>
                <w:bCs/>
              </w:rPr>
              <w:t>）</w:t>
            </w:r>
            <w:r>
              <w:rPr>
                <w:rFonts w:ascii="Times New Roman" w:hAnsi="Times New Roman" w:cs="Times New Roman"/>
                <w:bCs/>
              </w:rPr>
              <w:t>生活垃圾</w:t>
            </w:r>
            <w:bookmarkEnd w:id="35"/>
          </w:p>
          <w:p w14:paraId="25598968">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项目施工人员20人，</w:t>
            </w:r>
            <w:r>
              <w:rPr>
                <w:rFonts w:hint="eastAsia" w:ascii="Times New Roman" w:hAnsi="Times New Roman" w:cs="Times New Roman"/>
                <w:bCs/>
              </w:rPr>
              <w:t>施工人员生活垃圾</w:t>
            </w:r>
            <w:r>
              <w:rPr>
                <w:rFonts w:ascii="Times New Roman" w:hAnsi="Times New Roman" w:cs="Times New Roman"/>
                <w:bCs/>
              </w:rPr>
              <w:t>按每人每天产生量0.5kg计，则生活垃圾产生量为10.0kg/d。在场地内设垃圾桶统一收集，</w:t>
            </w:r>
            <w:r>
              <w:rPr>
                <w:rFonts w:hint="eastAsia" w:ascii="Times New Roman" w:hAnsi="Times New Roman" w:cs="Times New Roman"/>
                <w:bCs/>
              </w:rPr>
              <w:t>并委托三台山乡环卫部门处置</w:t>
            </w:r>
            <w:r>
              <w:rPr>
                <w:rFonts w:ascii="Times New Roman" w:hAnsi="Times New Roman" w:cs="Times New Roman"/>
                <w:bCs/>
              </w:rPr>
              <w:t>。</w:t>
            </w:r>
          </w:p>
          <w:p w14:paraId="718B456B">
            <w:pPr>
              <w:pStyle w:val="10"/>
              <w:spacing w:line="360" w:lineRule="auto"/>
              <w:ind w:left="0" w:right="105" w:rightChars="50" w:firstLine="240" w:firstLineChars="100"/>
              <w:rPr>
                <w:rFonts w:ascii="Times New Roman" w:hAnsi="Times New Roman" w:cs="Times New Roman"/>
                <w:bCs/>
              </w:rPr>
            </w:pPr>
            <w:bookmarkStart w:id="36" w:name="_Toc495668611"/>
            <w:r>
              <w:rPr>
                <w:rFonts w:ascii="Times New Roman" w:hAnsi="Times New Roman" w:cs="Times New Roman"/>
                <w:bCs/>
              </w:rPr>
              <w:t>（2</w:t>
            </w:r>
            <w:r>
              <w:rPr>
                <w:rFonts w:hint="eastAsia" w:ascii="Times New Roman" w:hAnsi="Times New Roman" w:cs="Times New Roman"/>
                <w:bCs/>
              </w:rPr>
              <w:t>）</w:t>
            </w:r>
            <w:r>
              <w:rPr>
                <w:rFonts w:ascii="Times New Roman" w:hAnsi="Times New Roman" w:cs="Times New Roman"/>
                <w:bCs/>
              </w:rPr>
              <w:t>建筑垃圾</w:t>
            </w:r>
            <w:bookmarkEnd w:id="36"/>
          </w:p>
          <w:p w14:paraId="3B3721B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建筑垃圾产生于工程</w:t>
            </w:r>
            <w:r>
              <w:rPr>
                <w:rFonts w:hint="eastAsia" w:ascii="Times New Roman" w:hAnsi="Times New Roman" w:cs="Times New Roman"/>
                <w:bCs/>
              </w:rPr>
              <w:t>施工</w:t>
            </w:r>
            <w:r>
              <w:rPr>
                <w:rFonts w:ascii="Times New Roman" w:hAnsi="Times New Roman" w:cs="Times New Roman"/>
                <w:bCs/>
              </w:rPr>
              <w:t>过程，主要有渣土、废钢筋</w:t>
            </w:r>
            <w:r>
              <w:rPr>
                <w:rFonts w:hint="eastAsia" w:ascii="Times New Roman" w:hAnsi="Times New Roman" w:cs="Times New Roman"/>
                <w:bCs/>
              </w:rPr>
              <w:t>、</w:t>
            </w:r>
            <w:r>
              <w:rPr>
                <w:rFonts w:ascii="Times New Roman" w:hAnsi="Times New Roman" w:cs="Times New Roman"/>
                <w:bCs/>
              </w:rPr>
              <w:t>包装箱、包装袋、碎砖和碎混凝土块等。</w:t>
            </w:r>
          </w:p>
          <w:p w14:paraId="7FC8EDBD">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本项目建设规模小，建设过程中产生的建筑垃圾量少。首先回收其中的有用组分（如废钢筋、木料等），其余均按三台山乡管理部门要求处置。</w:t>
            </w:r>
          </w:p>
          <w:bookmarkEnd w:id="30"/>
          <w:p w14:paraId="791E8B48">
            <w:pPr>
              <w:pStyle w:val="10"/>
              <w:spacing w:line="360" w:lineRule="auto"/>
              <w:ind w:left="233" w:leftChars="111" w:right="105" w:rightChars="5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 xml:space="preserve">.3.2 </w:t>
            </w:r>
            <w:r>
              <w:rPr>
                <w:rFonts w:hint="eastAsia" w:ascii="Times New Roman" w:hAnsi="Times New Roman" w:cs="Times New Roman"/>
                <w:b/>
              </w:rPr>
              <w:t>营运期</w:t>
            </w:r>
          </w:p>
          <w:p w14:paraId="50C3E0DB">
            <w:pPr>
              <w:pStyle w:val="10"/>
              <w:spacing w:line="360" w:lineRule="auto"/>
              <w:ind w:left="233" w:leftChars="111" w:right="105" w:rightChars="50"/>
            </w:pPr>
            <w:r>
              <w:rPr>
                <w:rFonts w:hint="eastAsia" w:ascii="Times New Roman" w:hAnsi="Times New Roman" w:cs="Times New Roman"/>
                <w:bCs/>
              </w:rPr>
              <w:t>运行期生产</w:t>
            </w:r>
            <w:r>
              <w:rPr>
                <w:rFonts w:ascii="Times New Roman" w:hAnsi="Times New Roman" w:cs="Times New Roman"/>
                <w:bCs/>
              </w:rPr>
              <w:t>工艺</w:t>
            </w:r>
            <w:r>
              <w:rPr>
                <w:rFonts w:hint="eastAsia" w:ascii="Times New Roman" w:hAnsi="Times New Roman" w:cs="Times New Roman"/>
                <w:bCs/>
              </w:rPr>
              <w:t>流程</w:t>
            </w:r>
            <w:r>
              <w:rPr>
                <w:rFonts w:ascii="Times New Roman" w:hAnsi="Times New Roman" w:cs="Times New Roman"/>
                <w:bCs/>
              </w:rPr>
              <w:t>及产污环节</w:t>
            </w:r>
            <w:r>
              <w:rPr>
                <w:rFonts w:hint="eastAsia" w:ascii="Times New Roman" w:hAnsi="Times New Roman" w:cs="Times New Roman"/>
                <w:bCs/>
              </w:rPr>
              <w:t>见下图：</w:t>
            </w:r>
          </w:p>
          <w:p w14:paraId="34BE328B">
            <w:pPr>
              <w:pStyle w:val="11"/>
              <w:spacing w:after="0"/>
              <w:ind w:left="0" w:leftChars="0"/>
              <w:jc w:val="center"/>
            </w:pPr>
            <w:r>
              <w:drawing>
                <wp:inline distT="0" distB="0" distL="0" distR="0">
                  <wp:extent cx="4300855" cy="44069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15312" cy="4421683"/>
                          </a:xfrm>
                          <a:prstGeom prst="rect">
                            <a:avLst/>
                          </a:prstGeom>
                          <a:noFill/>
                          <a:ln>
                            <a:noFill/>
                          </a:ln>
                        </pic:spPr>
                      </pic:pic>
                    </a:graphicData>
                  </a:graphic>
                </wp:inline>
              </w:drawing>
            </w:r>
          </w:p>
          <w:p w14:paraId="1E82CB56">
            <w:pPr>
              <w:jc w:val="center"/>
              <w:rPr>
                <w:rFonts w:ascii="Times New Roman" w:hAnsi="Times New Roman" w:eastAsia="宋体" w:cs="Times New Roman"/>
                <w:b/>
                <w:szCs w:val="21"/>
              </w:rPr>
            </w:pPr>
            <w:r>
              <w:rPr>
                <w:rFonts w:ascii="Times New Roman" w:hAnsi="Times New Roman" w:eastAsia="宋体" w:cs="Times New Roman"/>
                <w:b/>
                <w:szCs w:val="21"/>
              </w:rPr>
              <w:t>图2-5    运营期污染物产生环节图</w:t>
            </w:r>
          </w:p>
          <w:p w14:paraId="6989825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w:t>
            </w:r>
            <w:r>
              <w:rPr>
                <w:rFonts w:hint="eastAsia" w:ascii="Times New Roman" w:hAnsi="Times New Roman" w:cs="Times New Roman"/>
                <w:bCs/>
              </w:rPr>
              <w:t>为高温法</w:t>
            </w:r>
            <w:r>
              <w:rPr>
                <w:rFonts w:ascii="Times New Roman" w:hAnsi="Times New Roman" w:cs="Times New Roman"/>
                <w:bCs/>
              </w:rPr>
              <w:t>病死畜禽</w:t>
            </w:r>
            <w:r>
              <w:rPr>
                <w:rFonts w:hint="eastAsia" w:ascii="Times New Roman" w:hAnsi="Times New Roman" w:cs="Times New Roman"/>
                <w:bCs/>
              </w:rPr>
              <w:t>无害化处理工程</w:t>
            </w:r>
            <w:r>
              <w:rPr>
                <w:rFonts w:ascii="Times New Roman" w:hAnsi="Times New Roman" w:cs="Times New Roman"/>
                <w:bCs/>
              </w:rPr>
              <w:t>，附带产品</w:t>
            </w:r>
            <w:r>
              <w:rPr>
                <w:rFonts w:hint="eastAsia" w:ascii="Times New Roman" w:hAnsi="Times New Roman" w:cs="Times New Roman"/>
                <w:bCs/>
              </w:rPr>
              <w:t>为</w:t>
            </w:r>
            <w:r>
              <w:rPr>
                <w:rFonts w:ascii="Times New Roman" w:hAnsi="Times New Roman" w:cs="Times New Roman"/>
                <w:bCs/>
              </w:rPr>
              <w:t>骨肉料</w:t>
            </w:r>
            <w:r>
              <w:rPr>
                <w:rFonts w:hint="eastAsia" w:ascii="Times New Roman" w:hAnsi="Times New Roman" w:cs="Times New Roman"/>
                <w:bCs/>
              </w:rPr>
              <w:t>和</w:t>
            </w:r>
            <w:r>
              <w:rPr>
                <w:rFonts w:ascii="Times New Roman" w:hAnsi="Times New Roman" w:cs="Times New Roman"/>
                <w:bCs/>
              </w:rPr>
              <w:t>油脂。</w:t>
            </w:r>
          </w:p>
          <w:p w14:paraId="378B395D">
            <w:pPr>
              <w:pStyle w:val="10"/>
              <w:spacing w:line="360" w:lineRule="auto"/>
              <w:ind w:left="233" w:leftChars="111" w:right="105" w:rightChars="50"/>
              <w:rPr>
                <w:rFonts w:ascii="Times New Roman" w:hAnsi="Times New Roman" w:cs="Times New Roman"/>
                <w:b/>
              </w:rPr>
            </w:pPr>
            <w:r>
              <w:rPr>
                <w:rFonts w:hint="eastAsia" w:ascii="Times New Roman" w:hAnsi="Times New Roman" w:cs="Times New Roman"/>
                <w:b/>
              </w:rPr>
              <w:t>2</w:t>
            </w:r>
            <w:r>
              <w:rPr>
                <w:rFonts w:ascii="Times New Roman" w:hAnsi="Times New Roman" w:cs="Times New Roman"/>
                <w:b/>
              </w:rPr>
              <w:t>.3.2.1生产工艺简述</w:t>
            </w:r>
          </w:p>
          <w:p w14:paraId="616C8C9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（1）封闭式运输</w:t>
            </w:r>
          </w:p>
          <w:p w14:paraId="056723E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拟建项目在接收到养殖户汇报有病死畜禽需要收集处置前，保险部门与畜禽防疫部门已派遣专业检疫人员先进入养殖户对病死畜禽进行鉴定是否为感染《病 害动物和病害动物产品生物安全处置规程》（GB16548-2006）中规定</w:t>
            </w:r>
            <w:r>
              <w:rPr>
                <w:rFonts w:hint="eastAsia" w:ascii="Times New Roman" w:hAnsi="Times New Roman" w:cs="Times New Roman"/>
              </w:rPr>
              <w:t>本</w:t>
            </w:r>
            <w:r>
              <w:rPr>
                <w:rFonts w:ascii="Times New Roman" w:hAnsi="Times New Roman" w:cs="Times New Roman"/>
              </w:rPr>
              <w:t>项目不得收集处置的疫病，若为规定</w:t>
            </w:r>
            <w:r>
              <w:rPr>
                <w:rFonts w:hint="eastAsia" w:ascii="Times New Roman" w:hAnsi="Times New Roman" w:cs="Times New Roman"/>
              </w:rPr>
              <w:t>本</w:t>
            </w:r>
            <w:r>
              <w:rPr>
                <w:rFonts w:ascii="Times New Roman" w:hAnsi="Times New Roman" w:cs="Times New Roman"/>
              </w:rPr>
              <w:t>项目不得处置的病死畜禽，</w:t>
            </w:r>
            <w:r>
              <w:rPr>
                <w:rFonts w:hint="eastAsia" w:ascii="Times New Roman" w:hAnsi="Times New Roman" w:cs="Times New Roman"/>
              </w:rPr>
              <w:t>则</w:t>
            </w:r>
            <w:r>
              <w:rPr>
                <w:rFonts w:ascii="Times New Roman" w:hAnsi="Times New Roman" w:cs="Times New Roman"/>
              </w:rPr>
              <w:t>不进行收集。病死畜禽采用公司的专用车辆进行运输，专用车辆为密封、防渗、可制冷（-18℃）的货车，具有冷藏功能，可防止动物尸体腐败发臭。运输过程不进行中转存放或堆放，直接将死亡动物从养殖户运至厂区进行无害化处理，运至无害化中心后直接将料卸入破碎机，多于一批次的物料卸入冷库，病死畜禽收集到一定量后开始进行处理。</w:t>
            </w:r>
          </w:p>
          <w:p w14:paraId="1150A83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rPr>
              <w:t>产污情况：运输过程为密闭运输</w:t>
            </w:r>
            <w:r>
              <w:rPr>
                <w:rFonts w:hint="eastAsia" w:ascii="Times New Roman" w:hAnsi="Times New Roman" w:cs="Times New Roman"/>
              </w:rPr>
              <w:t>，</w:t>
            </w:r>
            <w:r>
              <w:rPr>
                <w:rFonts w:ascii="Times New Roman" w:hAnsi="Times New Roman" w:cs="Times New Roman"/>
              </w:rPr>
              <w:t>恶臭产生</w:t>
            </w:r>
            <w:r>
              <w:rPr>
                <w:rFonts w:hint="eastAsia" w:ascii="Times New Roman" w:hAnsi="Times New Roman" w:cs="Times New Roman"/>
              </w:rPr>
              <w:t>量和排放量均不大</w:t>
            </w:r>
            <w:r>
              <w:rPr>
                <w:rFonts w:ascii="Times New Roman" w:hAnsi="Times New Roman" w:cs="Times New Roman"/>
              </w:rPr>
              <w:t>。</w:t>
            </w:r>
          </w:p>
          <w:p w14:paraId="6E2FE4C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（2）消毒</w:t>
            </w:r>
          </w:p>
          <w:p w14:paraId="31C2A2B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病死畜禽、屠宰废弃物由专用封闭自卸式运输车辆运送至生产区入口处，进入消毒通道对车辆轮胎、车身消毒。卸车完毕后，再次进入消毒通道消毒。消毒通道内设置消毒池和喷淋装置，车辆经过时可对轮胎进行消毒，喷淋装置对车身外部进行喷淋消毒，车辆内部采用喷雾器喷淋消毒。消毒池容积为18.0m</w:t>
            </w:r>
            <w:r>
              <w:rPr>
                <w:rFonts w:ascii="Times New Roman" w:hAnsi="Times New Roman" w:cs="Times New Roman"/>
                <w:vertAlign w:val="superscript"/>
              </w:rPr>
              <w:t>3</w:t>
            </w:r>
            <w:r>
              <w:rPr>
                <w:rFonts w:ascii="Times New Roman" w:hAnsi="Times New Roman" w:cs="Times New Roman"/>
              </w:rPr>
              <w:t xml:space="preserve"> （9m×5m×0.4m），采用次氯酸钠消毒剂消毒；消毒池</w:t>
            </w:r>
            <w:r>
              <w:rPr>
                <w:rFonts w:hint="eastAsia" w:ascii="Times New Roman" w:hAnsi="Times New Roman" w:cs="Times New Roman"/>
              </w:rPr>
              <w:t>采取</w:t>
            </w:r>
            <w:r>
              <w:rPr>
                <w:rFonts w:ascii="Times New Roman" w:hAnsi="Times New Roman" w:cs="Times New Roman"/>
              </w:rPr>
              <w:t>防雨</w:t>
            </w:r>
            <w:r>
              <w:rPr>
                <w:rFonts w:hint="eastAsia" w:ascii="Times New Roman" w:hAnsi="Times New Roman" w:cs="Times New Roman"/>
              </w:rPr>
              <w:t>、</w:t>
            </w:r>
            <w:r>
              <w:rPr>
                <w:rFonts w:ascii="Times New Roman" w:hAnsi="Times New Roman" w:cs="Times New Roman"/>
              </w:rPr>
              <w:t>防漏等措施，地面硬化</w:t>
            </w:r>
            <w:r>
              <w:rPr>
                <w:rFonts w:hint="eastAsia" w:ascii="Times New Roman" w:hAnsi="Times New Roman" w:cs="Times New Roman"/>
              </w:rPr>
              <w:t>；消毒池</w:t>
            </w:r>
            <w:r>
              <w:rPr>
                <w:rFonts w:ascii="Times New Roman" w:hAnsi="Times New Roman" w:cs="Times New Roman"/>
              </w:rPr>
              <w:t>定期补充新鲜水</w:t>
            </w:r>
            <w:r>
              <w:rPr>
                <w:rFonts w:hint="eastAsia" w:ascii="Times New Roman" w:hAnsi="Times New Roman" w:cs="Times New Roman"/>
              </w:rPr>
              <w:t>和</w:t>
            </w:r>
            <w:r>
              <w:rPr>
                <w:rFonts w:ascii="Times New Roman" w:hAnsi="Times New Roman" w:cs="Times New Roman"/>
              </w:rPr>
              <w:t>次氯酸钠消毒剂。</w:t>
            </w:r>
          </w:p>
          <w:p w14:paraId="7A5C016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人员通道消毒采用喷雾消毒方式，无废水、废气产生。</w:t>
            </w:r>
          </w:p>
          <w:p w14:paraId="5B17DE5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产污环节分析：消毒池废水</w:t>
            </w:r>
            <w:r>
              <w:rPr>
                <w:rFonts w:hint="eastAsia" w:ascii="Times New Roman" w:hAnsi="Times New Roman" w:cs="Times New Roman"/>
              </w:rPr>
              <w:t>收集</w:t>
            </w:r>
            <w:r>
              <w:rPr>
                <w:rFonts w:ascii="Times New Roman" w:hAnsi="Times New Roman" w:cs="Times New Roman"/>
              </w:rPr>
              <w:t>后回用于消毒，不外排。</w:t>
            </w:r>
          </w:p>
          <w:p w14:paraId="15BFC43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（3）卸料、破碎处理</w:t>
            </w:r>
          </w:p>
          <w:p w14:paraId="666E7D7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专用车辆将病死畜禽直接整车倒入密闭的进料仓内，卸货完成后，进料仓门自动关闭，开启自动喂料系统，物料根据类别在呈负压的密闭环境里通过输料泵或螺旋输送机匀速输送至破碎机内。</w:t>
            </w:r>
            <w:r>
              <w:rPr>
                <w:rFonts w:hint="eastAsia" w:ascii="Times New Roman" w:hAnsi="Times New Roman" w:cs="Times New Roman"/>
              </w:rPr>
              <w:t>物料</w:t>
            </w:r>
            <w:r>
              <w:rPr>
                <w:rFonts w:ascii="Times New Roman" w:hAnsi="Times New Roman" w:cs="Times New Roman"/>
              </w:rPr>
              <w:t>卸货完成后，</w:t>
            </w:r>
            <w:r>
              <w:rPr>
                <w:rFonts w:hint="eastAsia" w:ascii="Times New Roman" w:hAnsi="Times New Roman" w:cs="Times New Roman"/>
              </w:rPr>
              <w:t>破碎机</w:t>
            </w:r>
            <w:r>
              <w:rPr>
                <w:rFonts w:ascii="Times New Roman" w:hAnsi="Times New Roman" w:cs="Times New Roman"/>
              </w:rPr>
              <w:t>仓门自动关闭，物料在密闭的环境里在绞刀的作用下</w:t>
            </w:r>
            <w:r>
              <w:rPr>
                <w:rFonts w:hint="eastAsia" w:ascii="Times New Roman" w:hAnsi="Times New Roman" w:cs="Times New Roman"/>
              </w:rPr>
              <w:t>将</w:t>
            </w:r>
            <w:r>
              <w:rPr>
                <w:rFonts w:ascii="Times New Roman" w:hAnsi="Times New Roman" w:cs="Times New Roman"/>
              </w:rPr>
              <w:t>整头病死动物</w:t>
            </w:r>
            <w:r>
              <w:rPr>
                <w:rFonts w:hint="eastAsia" w:ascii="Times New Roman" w:hAnsi="Times New Roman" w:cs="Times New Roman"/>
              </w:rPr>
              <w:t>进行</w:t>
            </w:r>
            <w:r>
              <w:rPr>
                <w:rFonts w:ascii="Times New Roman" w:hAnsi="Times New Roman" w:cs="Times New Roman"/>
              </w:rPr>
              <w:t>破碎，破碎成直径30-50mm 的肉块</w:t>
            </w:r>
            <w:r>
              <w:rPr>
                <w:rFonts w:hint="eastAsia" w:ascii="Times New Roman" w:hAnsi="Times New Roman" w:cs="Times New Roman"/>
              </w:rPr>
              <w:t>。</w:t>
            </w:r>
            <w:r>
              <w:rPr>
                <w:rFonts w:ascii="Times New Roman" w:hAnsi="Times New Roman" w:cs="Times New Roman"/>
              </w:rPr>
              <w:t>物料输送、</w:t>
            </w:r>
            <w:r>
              <w:rPr>
                <w:rFonts w:hint="eastAsia" w:ascii="Times New Roman" w:hAnsi="Times New Roman" w:cs="Times New Roman"/>
              </w:rPr>
              <w:t>破碎</w:t>
            </w:r>
            <w:r>
              <w:rPr>
                <w:rFonts w:ascii="Times New Roman" w:hAnsi="Times New Roman" w:cs="Times New Roman"/>
              </w:rPr>
              <w:t>完成后，</w:t>
            </w:r>
            <w:r>
              <w:rPr>
                <w:rFonts w:hint="eastAsia" w:ascii="Times New Roman" w:hAnsi="Times New Roman" w:cs="Times New Roman"/>
              </w:rPr>
              <w:t>系统</w:t>
            </w:r>
            <w:r>
              <w:rPr>
                <w:rFonts w:ascii="Times New Roman" w:hAnsi="Times New Roman" w:cs="Times New Roman"/>
              </w:rPr>
              <w:t>自动对原料仓及破碎机进行清洗、消毒。</w:t>
            </w:r>
            <w:r>
              <w:rPr>
                <w:rFonts w:hint="eastAsia" w:ascii="Times New Roman" w:hAnsi="Times New Roman" w:cs="Times New Roman"/>
              </w:rPr>
              <w:t>病死畜禽</w:t>
            </w:r>
            <w:r>
              <w:rPr>
                <w:rFonts w:ascii="Times New Roman" w:hAnsi="Times New Roman" w:cs="Times New Roman"/>
              </w:rPr>
              <w:t>原则上随收集随处理，</w:t>
            </w:r>
            <w:r>
              <w:rPr>
                <w:rFonts w:hint="eastAsia" w:ascii="Times New Roman" w:hAnsi="Times New Roman" w:cs="Times New Roman"/>
              </w:rPr>
              <w:t>若有</w:t>
            </w:r>
            <w:r>
              <w:rPr>
                <w:rFonts w:ascii="Times New Roman" w:hAnsi="Times New Roman" w:cs="Times New Roman"/>
              </w:rPr>
              <w:t>不能及时处理的病死动物，</w:t>
            </w:r>
            <w:r>
              <w:rPr>
                <w:rFonts w:hint="eastAsia" w:ascii="Times New Roman" w:hAnsi="Times New Roman" w:cs="Times New Roman"/>
              </w:rPr>
              <w:t>则</w:t>
            </w:r>
            <w:r>
              <w:rPr>
                <w:rFonts w:ascii="Times New Roman" w:hAnsi="Times New Roman" w:cs="Times New Roman"/>
              </w:rPr>
              <w:t>放入冷库</w:t>
            </w:r>
            <w:r>
              <w:rPr>
                <w:rFonts w:hint="eastAsia" w:ascii="Times New Roman" w:hAnsi="Times New Roman" w:cs="Times New Roman"/>
              </w:rPr>
              <w:t>暂存</w:t>
            </w:r>
            <w:r>
              <w:rPr>
                <w:rFonts w:ascii="Times New Roman" w:hAnsi="Times New Roman" w:cs="Times New Roman"/>
              </w:rPr>
              <w:t>，等待处理。</w:t>
            </w:r>
          </w:p>
          <w:p w14:paraId="5C43A61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产污环节分析：该过程有恶臭气体、噪声、清洗废水产生。</w:t>
            </w:r>
          </w:p>
          <w:p w14:paraId="49860CA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（4）化制和干燥</w:t>
            </w:r>
          </w:p>
          <w:p w14:paraId="47BEA18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原料输送：</w:t>
            </w:r>
            <w:r>
              <w:rPr>
                <w:rFonts w:ascii="Times New Roman" w:hAnsi="Times New Roman" w:cs="Times New Roman"/>
              </w:rPr>
              <w:t>破碎后的物料进入不锈钢储料斗，储料斗起到缓冲储存的作用</w:t>
            </w:r>
            <w:r>
              <w:rPr>
                <w:rFonts w:hint="eastAsia" w:ascii="Times New Roman" w:hAnsi="Times New Roman" w:cs="Times New Roman"/>
              </w:rPr>
              <w:t>，然后通过全密封螺旋输送机送入</w:t>
            </w:r>
            <w:r>
              <w:rPr>
                <w:rFonts w:ascii="Times New Roman" w:hAnsi="Times New Roman" w:cs="Times New Roman"/>
              </w:rPr>
              <w:t>高温化制罐</w:t>
            </w:r>
            <w:r>
              <w:rPr>
                <w:rFonts w:hint="eastAsia" w:ascii="Times New Roman" w:hAnsi="Times New Roman" w:cs="Times New Roman"/>
              </w:rPr>
              <w:t>，</w:t>
            </w:r>
            <w:r>
              <w:rPr>
                <w:rFonts w:ascii="Times New Roman" w:hAnsi="Times New Roman" w:cs="Times New Roman"/>
              </w:rPr>
              <w:t>该过程全程密闭</w:t>
            </w:r>
            <w:r>
              <w:rPr>
                <w:rFonts w:hint="eastAsia" w:ascii="Times New Roman" w:hAnsi="Times New Roman" w:cs="Times New Roman"/>
              </w:rPr>
              <w:t>。</w:t>
            </w:r>
          </w:p>
          <w:p w14:paraId="5445BDE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化制：</w:t>
            </w:r>
            <w:r>
              <w:rPr>
                <w:rFonts w:hint="eastAsia" w:ascii="Times New Roman" w:hAnsi="Times New Roman" w:cs="Times New Roman"/>
              </w:rPr>
              <w:t>化制罐</w:t>
            </w:r>
            <w:r>
              <w:rPr>
                <w:rFonts w:ascii="Times New Roman" w:hAnsi="Times New Roman" w:cs="Times New Roman"/>
              </w:rPr>
              <w:t>关闭进料口，启动加热装置，罐内温度和压力达到预设值后，保持30</w:t>
            </w:r>
            <w:r>
              <w:rPr>
                <w:rFonts w:hint="eastAsia" w:ascii="Times New Roman" w:hAnsi="Times New Roman" w:cs="Times New Roman"/>
              </w:rPr>
              <w:t>min</w:t>
            </w:r>
            <w:r>
              <w:rPr>
                <w:rFonts w:ascii="Times New Roman" w:hAnsi="Times New Roman" w:cs="Times New Roman"/>
              </w:rPr>
              <w:t>（欧美灭菌标准，也可根据不同物料调整压力和温度），后进入加热化制阶段，化制3小时（可调整）后，得到含水量降至 10%左右，含油脂 30%左右的物料。具体化制控制参数如下：处理物中心温度≥140℃，压力≥0.3MPa，保温时间≥0.5h，化制时间3h，0.5h后停止加热并开启泄压阀门，单次完整化制时间为4h。</w:t>
            </w:r>
          </w:p>
          <w:p w14:paraId="5959F27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干燥：化制罐出料进入干燥机，由锅炉提供热源，间接加热，干燥机出料口密闭连接缓存仓，密闭输送至缓存仓。干燥机内水蒸气和恶臭气体经密闭管道连接恶臭废气处理系统。</w:t>
            </w:r>
          </w:p>
          <w:p w14:paraId="7A1D8DA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供热：由2t</w:t>
            </w:r>
            <w:r>
              <w:rPr>
                <w:rFonts w:hint="eastAsia" w:ascii="Times New Roman" w:hAnsi="Times New Roman" w:cs="Times New Roman"/>
              </w:rPr>
              <w:t>燃气导热油锅炉提供热源</w:t>
            </w:r>
            <w:r>
              <w:rPr>
                <w:rFonts w:ascii="Times New Roman" w:hAnsi="Times New Roman" w:cs="Times New Roman"/>
              </w:rPr>
              <w:t>，病死畜禽病毒一般在70℃下均难以存 活，高温化制保持140℃ 30min可杀死绝大多数病毒，符合《病死及病害动物无 害化处理技术规范》（农医发</w:t>
            </w:r>
            <w:r>
              <w:rPr>
                <w:rFonts w:hint="eastAsia" w:ascii="Times New Roman" w:hAnsi="Times New Roman" w:cs="Times New Roman"/>
              </w:rPr>
              <w:t>【</w:t>
            </w:r>
            <w:r>
              <w:rPr>
                <w:rFonts w:ascii="Times New Roman" w:hAnsi="Times New Roman" w:cs="Times New Roman"/>
              </w:rPr>
              <w:t>2017</w:t>
            </w:r>
            <w:r>
              <w:rPr>
                <w:rFonts w:hint="eastAsia" w:ascii="Times New Roman" w:hAnsi="Times New Roman" w:cs="Times New Roman"/>
              </w:rPr>
              <w:t>】</w:t>
            </w:r>
            <w:r>
              <w:rPr>
                <w:rFonts w:ascii="Times New Roman" w:hAnsi="Times New Roman" w:cs="Times New Roman"/>
              </w:rPr>
              <w:t>25号）中的控制参数要求。</w:t>
            </w:r>
          </w:p>
          <w:p w14:paraId="6A16D54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产污环节分析：化制罐排出的污蒸汽经过泄压后，再进入水冷式冷凝器，经冷凝器气水分离处理后，不凝废气通过管道送至恶臭废气处理系统处理</w:t>
            </w:r>
            <w:r>
              <w:rPr>
                <w:rFonts w:hint="eastAsia" w:ascii="Times New Roman" w:hAnsi="Times New Roman" w:cs="Times New Roman"/>
              </w:rPr>
              <w:t>。</w:t>
            </w:r>
            <w:r>
              <w:rPr>
                <w:rFonts w:ascii="Times New Roman" w:hAnsi="Times New Roman" w:cs="Times New Roman"/>
              </w:rPr>
              <w:t>污蒸汽经冷凝形成的工艺废水，排入10</w:t>
            </w:r>
            <w:r>
              <w:rPr>
                <w:rFonts w:hint="eastAsia" w:ascii="Times New Roman" w:hAnsi="Times New Roman" w:cs="Times New Roman"/>
              </w:rPr>
              <w:t>m</w:t>
            </w:r>
            <w:r>
              <w:rPr>
                <w:rFonts w:hint="eastAsia" w:ascii="Times New Roman" w:hAnsi="Times New Roman" w:cs="Times New Roman"/>
                <w:vertAlign w:val="superscript"/>
              </w:rPr>
              <w:t>3</w:t>
            </w:r>
            <w:r>
              <w:rPr>
                <w:rFonts w:ascii="Times New Roman" w:hAnsi="Times New Roman" w:cs="Times New Roman"/>
              </w:rPr>
              <w:t>地埋式暂存罐，待液位达到80%，并冷却至30℃以下后泵至自建污水处理站处理。</w:t>
            </w:r>
          </w:p>
          <w:p w14:paraId="7CE8090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（5）缓存仓</w:t>
            </w:r>
          </w:p>
          <w:p w14:paraId="0516196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化制干燥后的物料通过密封</w:t>
            </w:r>
            <w:r>
              <w:rPr>
                <w:rFonts w:hint="eastAsia" w:ascii="Times New Roman" w:hAnsi="Times New Roman" w:cs="Times New Roman"/>
              </w:rPr>
              <w:t>螺旋</w:t>
            </w:r>
            <w:r>
              <w:rPr>
                <w:rFonts w:ascii="Times New Roman" w:hAnsi="Times New Roman" w:cs="Times New Roman"/>
              </w:rPr>
              <w:t>输送系统送至缓存仓中进行暂时储存。</w:t>
            </w:r>
          </w:p>
          <w:p w14:paraId="448C830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（6）压榨脱脂</w:t>
            </w:r>
          </w:p>
          <w:p w14:paraId="461461D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缓存仓中的物料通过密闭螺旋输送机输送至压榨机，然后缓慢的进入榨油机榨膛进行油脂分离，压榨机采用锅炉供热系统保存恒温状态。压榨机是利用螺旋轴将物料从进料口推入并在榨膛内连续推进，螺旋轴每转一周，就将榨料向前推进一段，而榨膛内的空间体积不断变小，加上螺纹向前的推动力，使被榨料压缩，在这个压缩的过程中，油即被榨出来了，从而进行油脂分离，得到毛油脂和片状骨肉料</w:t>
            </w:r>
            <w:r>
              <w:rPr>
                <w:rFonts w:hint="eastAsia" w:ascii="Times New Roman" w:hAnsi="Times New Roman" w:cs="Times New Roman"/>
              </w:rPr>
              <w:t>。</w:t>
            </w:r>
            <w:r>
              <w:rPr>
                <w:rFonts w:ascii="Times New Roman" w:hAnsi="Times New Roman" w:cs="Times New Roman"/>
              </w:rPr>
              <w:t>毛油脂</w:t>
            </w:r>
            <w:r>
              <w:rPr>
                <w:rFonts w:hint="eastAsia" w:ascii="Times New Roman" w:hAnsi="Times New Roman" w:cs="Times New Roman"/>
              </w:rPr>
              <w:t>中仍含有部分肉骨粉，进入油脂缓存罐中进行搅拌，均匀后的毛油脂通过油脂泵送入到</w:t>
            </w:r>
            <w:r>
              <w:rPr>
                <w:rFonts w:ascii="Times New Roman" w:hAnsi="Times New Roman" w:cs="Times New Roman"/>
              </w:rPr>
              <w:t>卧式离心机进一步油渣分离提纯</w:t>
            </w:r>
            <w:r>
              <w:rPr>
                <w:rFonts w:hint="eastAsia" w:ascii="Times New Roman" w:hAnsi="Times New Roman" w:cs="Times New Roman"/>
              </w:rPr>
              <w:t>。</w:t>
            </w:r>
            <w:r>
              <w:rPr>
                <w:rFonts w:ascii="Times New Roman" w:hAnsi="Times New Roman" w:cs="Times New Roman"/>
              </w:rPr>
              <w:t>片状骨肉料收集堆存于成品存放区。</w:t>
            </w:r>
          </w:p>
          <w:p w14:paraId="609D06A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产污环节分析：该过程有恶臭、噪声产生</w:t>
            </w:r>
            <w:r>
              <w:rPr>
                <w:rFonts w:hint="eastAsia" w:ascii="Times New Roman" w:hAnsi="Times New Roman" w:cs="Times New Roman"/>
              </w:rPr>
              <w:t>，</w:t>
            </w:r>
            <w:r>
              <w:rPr>
                <w:rFonts w:ascii="Times New Roman" w:hAnsi="Times New Roman" w:cs="Times New Roman"/>
              </w:rPr>
              <w:t>压榨过程中的恶臭气体直接通过管道集中收集送至恶臭废气处理系统处理。</w:t>
            </w:r>
          </w:p>
          <w:p w14:paraId="278AE48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（7）油脂提纯及储存</w:t>
            </w:r>
          </w:p>
          <w:p w14:paraId="3B47752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脱脂过程分离出的油脂由于含有一定的油渣（油渣含量为5%左右），需对油脂进行进一步的油渣分离。分离出的油脂经过搅拌罐经加热</w:t>
            </w:r>
            <w:r>
              <w:rPr>
                <w:rFonts w:hint="eastAsia" w:ascii="Times New Roman" w:hAnsi="Times New Roman" w:cs="Times New Roman"/>
              </w:rPr>
              <w:t>（间接）</w:t>
            </w:r>
            <w:r>
              <w:rPr>
                <w:rFonts w:ascii="Times New Roman" w:hAnsi="Times New Roman" w:cs="Times New Roman"/>
              </w:rPr>
              <w:t>搅拌后，进入卧式离心机通过物理离心得到净化的</w:t>
            </w:r>
            <w:r>
              <w:rPr>
                <w:rFonts w:hint="eastAsia" w:ascii="Times New Roman" w:hAnsi="Times New Roman" w:cs="Times New Roman"/>
              </w:rPr>
              <w:t>油脂</w:t>
            </w:r>
            <w:r>
              <w:rPr>
                <w:rFonts w:ascii="Times New Roman" w:hAnsi="Times New Roman" w:cs="Times New Roman"/>
              </w:rPr>
              <w:t>，</w:t>
            </w:r>
            <w:r>
              <w:rPr>
                <w:rFonts w:hint="eastAsia" w:ascii="Times New Roman" w:hAnsi="Times New Roman" w:cs="Times New Roman"/>
              </w:rPr>
              <w:t>油脂</w:t>
            </w:r>
            <w:r>
              <w:rPr>
                <w:rFonts w:ascii="Times New Roman" w:hAnsi="Times New Roman" w:cs="Times New Roman"/>
              </w:rPr>
              <w:t>通过输油泵、管道，进入成品储油罐。分离出的油渣返回压榨机中再次进行脱脂处理。</w:t>
            </w:r>
          </w:p>
          <w:p w14:paraId="6624B18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产污环节分析：本道工序全部在密闭的情况下进行，该过程会产生噪声</w:t>
            </w:r>
            <w:r>
              <w:rPr>
                <w:rFonts w:hint="eastAsia" w:ascii="Times New Roman" w:hAnsi="Times New Roman" w:cs="Times New Roman"/>
              </w:rPr>
              <w:t>。</w:t>
            </w:r>
          </w:p>
          <w:p w14:paraId="155F931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（8）骨肉料堆存</w:t>
            </w:r>
          </w:p>
          <w:p w14:paraId="22AADC1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榨油机产生的骨肉料呈片状，经收集后暂存于成品存放区，定期外售，该过程会产生少量异味，经车间负压收集系统收集后处理。</w:t>
            </w:r>
          </w:p>
          <w:p w14:paraId="0C884701">
            <w:pPr>
              <w:pStyle w:val="10"/>
              <w:spacing w:line="360" w:lineRule="auto"/>
              <w:ind w:left="233" w:leftChars="111" w:right="105" w:rightChars="50"/>
              <w:rPr>
                <w:rFonts w:ascii="Times New Roman" w:hAnsi="Times New Roman" w:cs="Times New Roman"/>
                <w:b/>
              </w:rPr>
            </w:pPr>
            <w:bookmarkStart w:id="37" w:name="_Hlk101253602"/>
            <w:r>
              <w:rPr>
                <w:rFonts w:hint="eastAsia" w:ascii="Times New Roman" w:hAnsi="Times New Roman" w:cs="Times New Roman"/>
                <w:b/>
              </w:rPr>
              <w:t>2</w:t>
            </w:r>
            <w:r>
              <w:rPr>
                <w:rFonts w:ascii="Times New Roman" w:hAnsi="Times New Roman" w:cs="Times New Roman"/>
                <w:b/>
              </w:rPr>
              <w:t xml:space="preserve">.3.2.2 </w:t>
            </w:r>
            <w:r>
              <w:rPr>
                <w:rFonts w:hint="eastAsia" w:ascii="Times New Roman" w:hAnsi="Times New Roman" w:cs="Times New Roman"/>
                <w:b/>
              </w:rPr>
              <w:t>污染物产排核算</w:t>
            </w:r>
          </w:p>
          <w:p w14:paraId="682E3448">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经查阅《</w:t>
            </w:r>
            <w:r>
              <w:rPr>
                <w:rFonts w:ascii="Times New Roman" w:hAnsi="Times New Roman" w:cs="Times New Roman"/>
                <w:bCs/>
              </w:rPr>
              <w:t xml:space="preserve">排污许可证申请与核发技术规范 </w:t>
            </w:r>
            <w:r>
              <w:rPr>
                <w:rFonts w:hint="eastAsia" w:ascii="Times New Roman" w:hAnsi="Times New Roman" w:cs="Times New Roman"/>
                <w:bCs/>
              </w:rPr>
              <w:t>农副食品加工工业—屠宰及肉类加工工业》（</w:t>
            </w:r>
            <w:r>
              <w:rPr>
                <w:rFonts w:ascii="Times New Roman" w:hAnsi="Times New Roman" w:cs="Times New Roman"/>
                <w:bCs/>
              </w:rPr>
              <w:t>HJ 860.3-2018</w:t>
            </w:r>
            <w:r>
              <w:rPr>
                <w:rFonts w:hint="eastAsia" w:ascii="Times New Roman" w:hAnsi="Times New Roman" w:cs="Times New Roman"/>
                <w:bCs/>
              </w:rPr>
              <w:t>），其中未给出病死畜禽无害化处理行业污染物计算标准。因此，本报告将以设计资料为依据，并结合排污系数、类比分析等方法确定项目建成后的污染物产排情况。项目</w:t>
            </w:r>
            <w:r>
              <w:rPr>
                <w:rFonts w:ascii="Times New Roman" w:hAnsi="Times New Roman" w:cs="Times New Roman"/>
                <w:bCs/>
              </w:rPr>
              <w:t>产污环节</w:t>
            </w:r>
            <w:r>
              <w:rPr>
                <w:rFonts w:hint="eastAsia" w:ascii="Times New Roman" w:hAnsi="Times New Roman" w:cs="Times New Roman"/>
                <w:bCs/>
              </w:rPr>
              <w:t>见下表。</w:t>
            </w:r>
          </w:p>
          <w:p w14:paraId="20D9ABE6">
            <w:pPr>
              <w:jc w:val="center"/>
              <w:rPr>
                <w:rFonts w:ascii="Times New Roman" w:hAnsi="Times New Roman" w:eastAsia="宋体" w:cs="Times New Roman"/>
                <w:b/>
                <w:szCs w:val="21"/>
              </w:rPr>
            </w:pPr>
            <w:r>
              <w:rPr>
                <w:rFonts w:ascii="Times New Roman" w:hAnsi="Times New Roman" w:eastAsia="宋体" w:cs="Times New Roman"/>
                <w:b/>
                <w:szCs w:val="21"/>
              </w:rPr>
              <w:t>表2-12    产污环节表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053"/>
              <w:gridCol w:w="1323"/>
              <w:gridCol w:w="1278"/>
              <w:gridCol w:w="1560"/>
              <w:gridCol w:w="2489"/>
            </w:tblGrid>
            <w:tr w14:paraId="4752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3" w:type="dxa"/>
                  <w:vAlign w:val="center"/>
                </w:tcPr>
                <w:p w14:paraId="3615DB14">
                  <w:pPr>
                    <w:jc w:val="center"/>
                    <w:rPr>
                      <w:rFonts w:ascii="Times New Roman" w:hAnsi="Times New Roman" w:cs="Times New Roman"/>
                      <w:b/>
                      <w:szCs w:val="21"/>
                    </w:rPr>
                  </w:pPr>
                  <w:bookmarkStart w:id="38" w:name="_Hlk99528563"/>
                  <w:r>
                    <w:rPr>
                      <w:rFonts w:ascii="Times New Roman" w:hAnsi="Times New Roman" w:cs="Times New Roman"/>
                      <w:b/>
                      <w:szCs w:val="21"/>
                    </w:rPr>
                    <w:t>污染类别</w:t>
                  </w:r>
                </w:p>
              </w:tc>
              <w:tc>
                <w:tcPr>
                  <w:tcW w:w="1053" w:type="dxa"/>
                  <w:vAlign w:val="center"/>
                </w:tcPr>
                <w:p w14:paraId="32602969">
                  <w:pPr>
                    <w:jc w:val="center"/>
                    <w:rPr>
                      <w:rFonts w:ascii="Times New Roman" w:hAnsi="Times New Roman" w:cs="Times New Roman"/>
                      <w:b/>
                      <w:szCs w:val="21"/>
                    </w:rPr>
                  </w:pPr>
                  <w:r>
                    <w:rPr>
                      <w:rFonts w:hint="eastAsia" w:ascii="Times New Roman" w:hAnsi="Times New Roman" w:cs="Times New Roman"/>
                      <w:b/>
                      <w:szCs w:val="21"/>
                    </w:rPr>
                    <w:t>编号</w:t>
                  </w:r>
                </w:p>
              </w:tc>
              <w:tc>
                <w:tcPr>
                  <w:tcW w:w="1323" w:type="dxa"/>
                  <w:vAlign w:val="center"/>
                </w:tcPr>
                <w:p w14:paraId="05FE48F6">
                  <w:pPr>
                    <w:jc w:val="center"/>
                    <w:rPr>
                      <w:rFonts w:ascii="Times New Roman" w:hAnsi="Times New Roman" w:cs="Times New Roman"/>
                      <w:b/>
                      <w:szCs w:val="21"/>
                    </w:rPr>
                  </w:pPr>
                  <w:r>
                    <w:rPr>
                      <w:rFonts w:ascii="Times New Roman" w:hAnsi="Times New Roman" w:cs="Times New Roman"/>
                      <w:b/>
                      <w:szCs w:val="21"/>
                    </w:rPr>
                    <w:t>产污节点</w:t>
                  </w:r>
                </w:p>
              </w:tc>
              <w:tc>
                <w:tcPr>
                  <w:tcW w:w="1278" w:type="dxa"/>
                  <w:vAlign w:val="center"/>
                </w:tcPr>
                <w:p w14:paraId="77C6A60D">
                  <w:pPr>
                    <w:jc w:val="center"/>
                    <w:rPr>
                      <w:rFonts w:ascii="Times New Roman" w:hAnsi="Times New Roman" w:cs="Times New Roman"/>
                      <w:b/>
                      <w:szCs w:val="21"/>
                    </w:rPr>
                  </w:pPr>
                  <w:r>
                    <w:rPr>
                      <w:rFonts w:ascii="Times New Roman" w:hAnsi="Times New Roman" w:cs="Times New Roman"/>
                      <w:b/>
                      <w:szCs w:val="21"/>
                    </w:rPr>
                    <w:t>污染物名称</w:t>
                  </w:r>
                </w:p>
              </w:tc>
              <w:tc>
                <w:tcPr>
                  <w:tcW w:w="1560" w:type="dxa"/>
                  <w:vAlign w:val="center"/>
                </w:tcPr>
                <w:p w14:paraId="3727DF97">
                  <w:pPr>
                    <w:jc w:val="center"/>
                    <w:rPr>
                      <w:rFonts w:ascii="Times New Roman" w:hAnsi="Times New Roman" w:cs="Times New Roman"/>
                      <w:b/>
                      <w:szCs w:val="21"/>
                    </w:rPr>
                  </w:pPr>
                  <w:r>
                    <w:rPr>
                      <w:rFonts w:ascii="Times New Roman" w:hAnsi="Times New Roman" w:cs="Times New Roman"/>
                      <w:b/>
                      <w:szCs w:val="21"/>
                    </w:rPr>
                    <w:t>主要污染物</w:t>
                  </w:r>
                </w:p>
              </w:tc>
              <w:tc>
                <w:tcPr>
                  <w:tcW w:w="2489" w:type="dxa"/>
                  <w:vAlign w:val="center"/>
                </w:tcPr>
                <w:p w14:paraId="77140CC6">
                  <w:pPr>
                    <w:jc w:val="center"/>
                    <w:rPr>
                      <w:rFonts w:ascii="Times New Roman" w:hAnsi="Times New Roman" w:cs="Times New Roman"/>
                      <w:b/>
                      <w:szCs w:val="21"/>
                    </w:rPr>
                  </w:pPr>
                  <w:r>
                    <w:rPr>
                      <w:rFonts w:ascii="Times New Roman" w:hAnsi="Times New Roman" w:cs="Times New Roman"/>
                      <w:b/>
                      <w:szCs w:val="21"/>
                    </w:rPr>
                    <w:t>处理方式</w:t>
                  </w:r>
                </w:p>
              </w:tc>
            </w:tr>
            <w:tr w14:paraId="4F1F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restart"/>
                  <w:vAlign w:val="center"/>
                </w:tcPr>
                <w:p w14:paraId="4E32EA63">
                  <w:pPr>
                    <w:jc w:val="center"/>
                    <w:rPr>
                      <w:rFonts w:ascii="Times New Roman" w:hAnsi="Times New Roman" w:cs="Times New Roman"/>
                      <w:szCs w:val="21"/>
                    </w:rPr>
                  </w:pPr>
                  <w:r>
                    <w:rPr>
                      <w:rFonts w:ascii="Times New Roman" w:hAnsi="Times New Roman" w:cs="Times New Roman"/>
                      <w:szCs w:val="21"/>
                    </w:rPr>
                    <w:t>废水</w:t>
                  </w:r>
                </w:p>
              </w:tc>
              <w:tc>
                <w:tcPr>
                  <w:tcW w:w="1053" w:type="dxa"/>
                  <w:vAlign w:val="center"/>
                </w:tcPr>
                <w:p w14:paraId="47896F03">
                  <w:pPr>
                    <w:jc w:val="center"/>
                    <w:rPr>
                      <w:rFonts w:ascii="Times New Roman" w:hAnsi="Times New Roman" w:cs="Times New Roman"/>
                      <w:bCs/>
                      <w:szCs w:val="21"/>
                    </w:rPr>
                  </w:pPr>
                  <w:r>
                    <w:rPr>
                      <w:rFonts w:ascii="Times New Roman" w:hAnsi="Times New Roman" w:cs="Times New Roman"/>
                      <w:szCs w:val="21"/>
                    </w:rPr>
                    <w:t>W1</w:t>
                  </w:r>
                </w:p>
              </w:tc>
              <w:tc>
                <w:tcPr>
                  <w:tcW w:w="1323" w:type="dxa"/>
                  <w:vAlign w:val="center"/>
                </w:tcPr>
                <w:p w14:paraId="37BE6ED4">
                  <w:pPr>
                    <w:jc w:val="center"/>
                    <w:rPr>
                      <w:rFonts w:ascii="Times New Roman" w:hAnsi="Times New Roman" w:cs="Times New Roman"/>
                      <w:bCs/>
                      <w:szCs w:val="21"/>
                    </w:rPr>
                  </w:pPr>
                  <w:r>
                    <w:rPr>
                      <w:rFonts w:hint="eastAsia" w:ascii="Times New Roman" w:hAnsi="Times New Roman" w:cs="Times New Roman"/>
                      <w:szCs w:val="21"/>
                    </w:rPr>
                    <w:t>车辆消毒通道</w:t>
                  </w:r>
                </w:p>
              </w:tc>
              <w:tc>
                <w:tcPr>
                  <w:tcW w:w="1278" w:type="dxa"/>
                  <w:vAlign w:val="center"/>
                </w:tcPr>
                <w:p w14:paraId="7E4406A3">
                  <w:pPr>
                    <w:jc w:val="center"/>
                    <w:rPr>
                      <w:rFonts w:ascii="Times New Roman" w:hAnsi="Times New Roman" w:cs="Times New Roman"/>
                      <w:szCs w:val="21"/>
                    </w:rPr>
                  </w:pPr>
                  <w:r>
                    <w:t>消毒废水</w:t>
                  </w:r>
                </w:p>
              </w:tc>
              <w:tc>
                <w:tcPr>
                  <w:tcW w:w="1560" w:type="dxa"/>
                  <w:vAlign w:val="center"/>
                </w:tcPr>
                <w:p w14:paraId="038B06F5">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动植物油</w:t>
                  </w:r>
                </w:p>
              </w:tc>
              <w:tc>
                <w:tcPr>
                  <w:tcW w:w="2489" w:type="dxa"/>
                  <w:vAlign w:val="center"/>
                </w:tcPr>
                <w:p w14:paraId="5A97F520">
                  <w:pPr>
                    <w:jc w:val="center"/>
                    <w:rPr>
                      <w:rFonts w:ascii="Times New Roman" w:hAnsi="Times New Roman" w:cs="Times New Roman"/>
                      <w:szCs w:val="21"/>
                    </w:rPr>
                  </w:pPr>
                  <w:r>
                    <w:rPr>
                      <w:rFonts w:ascii="Times New Roman" w:hAnsi="Times New Roman" w:cs="Times New Roman"/>
                      <w:szCs w:val="21"/>
                    </w:rPr>
                    <w:t>收集</w:t>
                  </w:r>
                  <w:r>
                    <w:rPr>
                      <w:rFonts w:hint="eastAsia" w:ascii="Times New Roman" w:hAnsi="Times New Roman" w:cs="Times New Roman"/>
                      <w:szCs w:val="21"/>
                    </w:rPr>
                    <w:t>后</w:t>
                  </w:r>
                  <w:r>
                    <w:rPr>
                      <w:rFonts w:ascii="Times New Roman" w:hAnsi="Times New Roman" w:cs="Times New Roman"/>
                      <w:szCs w:val="21"/>
                    </w:rPr>
                    <w:t>循环使用，不外排</w:t>
                  </w:r>
                  <w:r>
                    <w:rPr>
                      <w:rFonts w:hint="eastAsia" w:ascii="Times New Roman" w:hAnsi="Times New Roman" w:cs="Times New Roman"/>
                      <w:szCs w:val="21"/>
                    </w:rPr>
                    <w:t>。</w:t>
                  </w:r>
                </w:p>
              </w:tc>
            </w:tr>
            <w:tr w14:paraId="1CF3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0EBCC53F">
                  <w:pPr>
                    <w:jc w:val="center"/>
                    <w:rPr>
                      <w:rFonts w:ascii="Times New Roman" w:hAnsi="Times New Roman" w:cs="Times New Roman"/>
                      <w:szCs w:val="21"/>
                    </w:rPr>
                  </w:pPr>
                </w:p>
              </w:tc>
              <w:tc>
                <w:tcPr>
                  <w:tcW w:w="1053" w:type="dxa"/>
                  <w:vAlign w:val="center"/>
                </w:tcPr>
                <w:p w14:paraId="1CB83B0B">
                  <w:pPr>
                    <w:jc w:val="center"/>
                    <w:rPr>
                      <w:rFonts w:ascii="Times New Roman" w:hAnsi="Times New Roman" w:cs="Times New Roman"/>
                      <w:szCs w:val="21"/>
                    </w:rPr>
                  </w:pPr>
                  <w:r>
                    <w:rPr>
                      <w:rFonts w:ascii="Times New Roman" w:hAnsi="Times New Roman" w:cs="Times New Roman"/>
                      <w:szCs w:val="21"/>
                    </w:rPr>
                    <w:t>W2</w:t>
                  </w:r>
                </w:p>
              </w:tc>
              <w:tc>
                <w:tcPr>
                  <w:tcW w:w="1323" w:type="dxa"/>
                  <w:vAlign w:val="center"/>
                </w:tcPr>
                <w:p w14:paraId="7F33021A">
                  <w:pPr>
                    <w:jc w:val="center"/>
                    <w:rPr>
                      <w:rFonts w:ascii="Times New Roman" w:hAnsi="Times New Roman" w:cs="Times New Roman"/>
                      <w:szCs w:val="21"/>
                    </w:rPr>
                  </w:pPr>
                  <w:r>
                    <w:rPr>
                      <w:rFonts w:hint="eastAsia"/>
                    </w:rPr>
                    <w:t>化制、烘干</w:t>
                  </w:r>
                </w:p>
              </w:tc>
              <w:tc>
                <w:tcPr>
                  <w:tcW w:w="1278" w:type="dxa"/>
                  <w:vAlign w:val="center"/>
                </w:tcPr>
                <w:p w14:paraId="117A2077">
                  <w:pPr>
                    <w:jc w:val="center"/>
                    <w:rPr>
                      <w:rFonts w:ascii="Times New Roman" w:hAnsi="Times New Roman" w:cs="Times New Roman"/>
                      <w:szCs w:val="21"/>
                    </w:rPr>
                  </w:pPr>
                  <w:r>
                    <w:t>工艺废水</w:t>
                  </w:r>
                </w:p>
              </w:tc>
              <w:tc>
                <w:tcPr>
                  <w:tcW w:w="1560" w:type="dxa"/>
                  <w:vAlign w:val="center"/>
                </w:tcPr>
                <w:p w14:paraId="227DD978">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4</w:t>
                  </w:r>
                  <w:r>
                    <w:rPr>
                      <w:rFonts w:ascii="Times New Roman" w:hAnsi="Times New Roman" w:cs="Times New Roman"/>
                      <w:szCs w:val="21"/>
                    </w:rPr>
                    <w:t>-N</w:t>
                  </w:r>
                  <w:r>
                    <w:rPr>
                      <w:rFonts w:hint="eastAsia" w:ascii="Times New Roman" w:hAnsi="Times New Roman" w:cs="Times New Roman"/>
                      <w:szCs w:val="21"/>
                    </w:rPr>
                    <w:t>、动植物油</w:t>
                  </w:r>
                </w:p>
              </w:tc>
              <w:tc>
                <w:tcPr>
                  <w:tcW w:w="2489" w:type="dxa"/>
                  <w:vAlign w:val="center"/>
                </w:tcPr>
                <w:p w14:paraId="6B4627AE">
                  <w:pPr>
                    <w:jc w:val="center"/>
                    <w:rPr>
                      <w:rFonts w:ascii="Times New Roman" w:hAnsi="Times New Roman" w:cs="Times New Roman"/>
                      <w:szCs w:val="21"/>
                    </w:rPr>
                  </w:pPr>
                  <w:r>
                    <w:rPr>
                      <w:rFonts w:hint="eastAsia" w:ascii="Times New Roman" w:hAnsi="Times New Roman" w:cs="Times New Roman"/>
                      <w:szCs w:val="21"/>
                    </w:rPr>
                    <w:t>设收集罐收集，送污水站处理。</w:t>
                  </w:r>
                </w:p>
              </w:tc>
            </w:tr>
            <w:tr w14:paraId="2E89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2E12356E">
                  <w:pPr>
                    <w:jc w:val="center"/>
                    <w:rPr>
                      <w:rFonts w:ascii="Times New Roman" w:hAnsi="Times New Roman" w:cs="Times New Roman"/>
                      <w:szCs w:val="21"/>
                    </w:rPr>
                  </w:pPr>
                </w:p>
              </w:tc>
              <w:tc>
                <w:tcPr>
                  <w:tcW w:w="1053" w:type="dxa"/>
                  <w:vAlign w:val="center"/>
                </w:tcPr>
                <w:p w14:paraId="58BCB88A">
                  <w:pPr>
                    <w:jc w:val="center"/>
                    <w:rPr>
                      <w:rFonts w:ascii="Times New Roman" w:hAnsi="Times New Roman" w:cs="Times New Roman"/>
                      <w:szCs w:val="21"/>
                    </w:rPr>
                  </w:pPr>
                  <w:r>
                    <w:rPr>
                      <w:rFonts w:ascii="Times New Roman" w:hAnsi="Times New Roman" w:cs="Times New Roman"/>
                      <w:szCs w:val="21"/>
                    </w:rPr>
                    <w:t>W3</w:t>
                  </w:r>
                </w:p>
              </w:tc>
              <w:tc>
                <w:tcPr>
                  <w:tcW w:w="1323" w:type="dxa"/>
                  <w:vAlign w:val="center"/>
                </w:tcPr>
                <w:p w14:paraId="4B6E117D">
                  <w:pPr>
                    <w:jc w:val="center"/>
                  </w:pPr>
                  <w:r>
                    <w:t>车间地面、设备、车辆清洗</w:t>
                  </w:r>
                </w:p>
              </w:tc>
              <w:tc>
                <w:tcPr>
                  <w:tcW w:w="1278" w:type="dxa"/>
                  <w:vAlign w:val="center"/>
                </w:tcPr>
                <w:p w14:paraId="1F11ACAB">
                  <w:pPr>
                    <w:jc w:val="center"/>
                    <w:rPr>
                      <w:rFonts w:ascii="Times New Roman" w:hAnsi="Times New Roman" w:cs="Times New Roman"/>
                      <w:szCs w:val="21"/>
                    </w:rPr>
                  </w:pPr>
                  <w:r>
                    <w:rPr>
                      <w:rFonts w:hint="eastAsia" w:ascii="Times New Roman" w:hAnsi="Times New Roman" w:cs="Times New Roman"/>
                      <w:szCs w:val="21"/>
                    </w:rPr>
                    <w:t>冲洗废水</w:t>
                  </w:r>
                </w:p>
              </w:tc>
              <w:tc>
                <w:tcPr>
                  <w:tcW w:w="1560" w:type="dxa"/>
                  <w:vAlign w:val="center"/>
                </w:tcPr>
                <w:p w14:paraId="03E94171">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动植物油</w:t>
                  </w:r>
                </w:p>
              </w:tc>
              <w:tc>
                <w:tcPr>
                  <w:tcW w:w="2489" w:type="dxa"/>
                  <w:vAlign w:val="center"/>
                </w:tcPr>
                <w:p w14:paraId="456F4205">
                  <w:pPr>
                    <w:jc w:val="center"/>
                    <w:rPr>
                      <w:rFonts w:ascii="Times New Roman" w:hAnsi="Times New Roman" w:cs="Times New Roman"/>
                      <w:szCs w:val="21"/>
                    </w:rPr>
                  </w:pPr>
                  <w:r>
                    <w:rPr>
                      <w:rFonts w:hint="eastAsia" w:ascii="Times New Roman" w:hAnsi="Times New Roman" w:cs="Times New Roman"/>
                      <w:szCs w:val="21"/>
                    </w:rPr>
                    <w:t>排至污水处理站处理。</w:t>
                  </w:r>
                </w:p>
              </w:tc>
            </w:tr>
            <w:tr w14:paraId="470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7D59F64D">
                  <w:pPr>
                    <w:jc w:val="center"/>
                    <w:rPr>
                      <w:rFonts w:ascii="Times New Roman" w:hAnsi="Times New Roman" w:cs="Times New Roman"/>
                      <w:szCs w:val="21"/>
                    </w:rPr>
                  </w:pPr>
                </w:p>
              </w:tc>
              <w:tc>
                <w:tcPr>
                  <w:tcW w:w="1053" w:type="dxa"/>
                  <w:vAlign w:val="center"/>
                </w:tcPr>
                <w:p w14:paraId="036B6302">
                  <w:pPr>
                    <w:jc w:val="center"/>
                    <w:rPr>
                      <w:rFonts w:ascii="Times New Roman" w:hAnsi="Times New Roman" w:cs="Times New Roman"/>
                      <w:szCs w:val="21"/>
                    </w:rPr>
                  </w:pPr>
                  <w:r>
                    <w:rPr>
                      <w:rFonts w:ascii="Times New Roman" w:hAnsi="Times New Roman" w:cs="Times New Roman"/>
                      <w:szCs w:val="21"/>
                    </w:rPr>
                    <w:t>W4</w:t>
                  </w:r>
                </w:p>
              </w:tc>
              <w:tc>
                <w:tcPr>
                  <w:tcW w:w="1323" w:type="dxa"/>
                  <w:vAlign w:val="center"/>
                </w:tcPr>
                <w:p w14:paraId="385438AF">
                  <w:pPr>
                    <w:jc w:val="center"/>
                  </w:pPr>
                  <w:r>
                    <w:t>冷却塔</w:t>
                  </w:r>
                </w:p>
              </w:tc>
              <w:tc>
                <w:tcPr>
                  <w:tcW w:w="1278" w:type="dxa"/>
                  <w:vAlign w:val="center"/>
                </w:tcPr>
                <w:p w14:paraId="1ACEEF93">
                  <w:pPr>
                    <w:jc w:val="center"/>
                    <w:rPr>
                      <w:rFonts w:ascii="Times New Roman" w:hAnsi="Times New Roman" w:cs="Times New Roman"/>
                      <w:szCs w:val="21"/>
                    </w:rPr>
                  </w:pPr>
                  <w:r>
                    <w:rPr>
                      <w:rFonts w:hint="eastAsia"/>
                    </w:rPr>
                    <w:t>定期</w:t>
                  </w:r>
                  <w:r>
                    <w:t>排水</w:t>
                  </w:r>
                </w:p>
              </w:tc>
              <w:tc>
                <w:tcPr>
                  <w:tcW w:w="1560" w:type="dxa"/>
                  <w:vAlign w:val="center"/>
                </w:tcPr>
                <w:p w14:paraId="5E0C3A7A">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全盐量</w:t>
                  </w:r>
                </w:p>
              </w:tc>
              <w:tc>
                <w:tcPr>
                  <w:tcW w:w="2489" w:type="dxa"/>
                  <w:vAlign w:val="center"/>
                </w:tcPr>
                <w:p w14:paraId="5F6DBA12">
                  <w:pPr>
                    <w:jc w:val="center"/>
                    <w:rPr>
                      <w:rFonts w:ascii="Times New Roman" w:hAnsi="Times New Roman" w:cs="Times New Roman"/>
                      <w:szCs w:val="21"/>
                    </w:rPr>
                  </w:pPr>
                  <w:r>
                    <w:rPr>
                      <w:rFonts w:hint="eastAsia" w:ascii="Times New Roman" w:hAnsi="Times New Roman" w:cs="Times New Roman"/>
                      <w:szCs w:val="21"/>
                    </w:rPr>
                    <w:t>收集后用于地面冲洗。</w:t>
                  </w:r>
                </w:p>
              </w:tc>
            </w:tr>
            <w:tr w14:paraId="5C6A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325E1C9A">
                  <w:pPr>
                    <w:jc w:val="center"/>
                    <w:rPr>
                      <w:rFonts w:ascii="Times New Roman" w:hAnsi="Times New Roman" w:cs="Times New Roman"/>
                      <w:szCs w:val="21"/>
                    </w:rPr>
                  </w:pPr>
                </w:p>
              </w:tc>
              <w:tc>
                <w:tcPr>
                  <w:tcW w:w="1053" w:type="dxa"/>
                  <w:vAlign w:val="center"/>
                </w:tcPr>
                <w:p w14:paraId="266A237C">
                  <w:pPr>
                    <w:jc w:val="center"/>
                    <w:rPr>
                      <w:rFonts w:ascii="Times New Roman" w:hAnsi="Times New Roman" w:cs="Times New Roman"/>
                      <w:szCs w:val="21"/>
                    </w:rPr>
                  </w:pPr>
                  <w:r>
                    <w:rPr>
                      <w:rFonts w:ascii="Times New Roman" w:hAnsi="Times New Roman" w:cs="Times New Roman"/>
                      <w:szCs w:val="21"/>
                    </w:rPr>
                    <w:t>W5</w:t>
                  </w:r>
                </w:p>
              </w:tc>
              <w:tc>
                <w:tcPr>
                  <w:tcW w:w="1323" w:type="dxa"/>
                  <w:vAlign w:val="center"/>
                </w:tcPr>
                <w:p w14:paraId="4292EFE3">
                  <w:pPr>
                    <w:jc w:val="center"/>
                  </w:pPr>
                  <w:r>
                    <w:t>喷淋塔</w:t>
                  </w:r>
                </w:p>
              </w:tc>
              <w:tc>
                <w:tcPr>
                  <w:tcW w:w="1278" w:type="dxa"/>
                  <w:vAlign w:val="center"/>
                </w:tcPr>
                <w:p w14:paraId="3972A063">
                  <w:pPr>
                    <w:jc w:val="center"/>
                    <w:rPr>
                      <w:rFonts w:ascii="Times New Roman" w:hAnsi="Times New Roman" w:cs="Times New Roman"/>
                      <w:szCs w:val="21"/>
                    </w:rPr>
                  </w:pPr>
                  <w:r>
                    <w:t>定期更换废水</w:t>
                  </w:r>
                </w:p>
              </w:tc>
              <w:tc>
                <w:tcPr>
                  <w:tcW w:w="1560" w:type="dxa"/>
                  <w:vAlign w:val="center"/>
                </w:tcPr>
                <w:p w14:paraId="6654FE6A">
                  <w:pPr>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w:t>
                  </w:r>
                </w:p>
              </w:tc>
              <w:tc>
                <w:tcPr>
                  <w:tcW w:w="2489" w:type="dxa"/>
                  <w:vAlign w:val="center"/>
                </w:tcPr>
                <w:p w14:paraId="142989E4">
                  <w:pPr>
                    <w:jc w:val="center"/>
                    <w:rPr>
                      <w:rFonts w:ascii="Times New Roman" w:hAnsi="Times New Roman" w:cs="Times New Roman"/>
                      <w:szCs w:val="21"/>
                    </w:rPr>
                  </w:pPr>
                  <w:r>
                    <w:rPr>
                      <w:rFonts w:hint="eastAsia" w:ascii="Times New Roman" w:hAnsi="Times New Roman" w:cs="Times New Roman"/>
                      <w:szCs w:val="21"/>
                    </w:rPr>
                    <w:t>中和后送处理站处理。</w:t>
                  </w:r>
                </w:p>
              </w:tc>
            </w:tr>
            <w:tr w14:paraId="4716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51975554">
                  <w:pPr>
                    <w:jc w:val="center"/>
                    <w:rPr>
                      <w:rFonts w:ascii="Times New Roman" w:hAnsi="Times New Roman" w:cs="Times New Roman"/>
                      <w:szCs w:val="21"/>
                    </w:rPr>
                  </w:pPr>
                </w:p>
              </w:tc>
              <w:tc>
                <w:tcPr>
                  <w:tcW w:w="1053" w:type="dxa"/>
                  <w:vAlign w:val="center"/>
                </w:tcPr>
                <w:p w14:paraId="0CA73AF9">
                  <w:pPr>
                    <w:jc w:val="center"/>
                    <w:rPr>
                      <w:rFonts w:ascii="Times New Roman" w:hAnsi="Times New Roman" w:cs="Times New Roman"/>
                      <w:szCs w:val="21"/>
                    </w:rPr>
                  </w:pPr>
                  <w:r>
                    <w:rPr>
                      <w:rFonts w:ascii="Times New Roman" w:hAnsi="Times New Roman" w:cs="Times New Roman"/>
                      <w:szCs w:val="21"/>
                    </w:rPr>
                    <w:t>W6</w:t>
                  </w:r>
                </w:p>
              </w:tc>
              <w:tc>
                <w:tcPr>
                  <w:tcW w:w="1323" w:type="dxa"/>
                  <w:vAlign w:val="center"/>
                </w:tcPr>
                <w:p w14:paraId="665E5D8A">
                  <w:pPr>
                    <w:jc w:val="center"/>
                  </w:pPr>
                  <w:r>
                    <w:rPr>
                      <w:rFonts w:hint="eastAsia"/>
                    </w:rPr>
                    <w:t>检验室</w:t>
                  </w:r>
                </w:p>
              </w:tc>
              <w:tc>
                <w:tcPr>
                  <w:tcW w:w="1278" w:type="dxa"/>
                  <w:vAlign w:val="center"/>
                </w:tcPr>
                <w:p w14:paraId="33B14681">
                  <w:pPr>
                    <w:jc w:val="center"/>
                    <w:rPr>
                      <w:rFonts w:ascii="Times New Roman" w:hAnsi="Times New Roman" w:cs="Times New Roman"/>
                      <w:szCs w:val="21"/>
                    </w:rPr>
                  </w:pPr>
                  <w:r>
                    <w:t>检验废水</w:t>
                  </w:r>
                </w:p>
              </w:tc>
              <w:tc>
                <w:tcPr>
                  <w:tcW w:w="1560" w:type="dxa"/>
                  <w:vAlign w:val="center"/>
                </w:tcPr>
                <w:p w14:paraId="249E90E3">
                  <w:pPr>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COD、SS、NH</w:t>
                  </w:r>
                  <w:r>
                    <w:rPr>
                      <w:rFonts w:ascii="Times New Roman" w:hAnsi="Times New Roman" w:cs="Times New Roman"/>
                      <w:szCs w:val="21"/>
                      <w:vertAlign w:val="subscript"/>
                    </w:rPr>
                    <w:t>4</w:t>
                  </w:r>
                  <w:r>
                    <w:rPr>
                      <w:rFonts w:ascii="Times New Roman" w:hAnsi="Times New Roman" w:cs="Times New Roman"/>
                      <w:szCs w:val="21"/>
                    </w:rPr>
                    <w:t>-N</w:t>
                  </w:r>
                </w:p>
              </w:tc>
              <w:tc>
                <w:tcPr>
                  <w:tcW w:w="2489" w:type="dxa"/>
                  <w:vAlign w:val="center"/>
                </w:tcPr>
                <w:p w14:paraId="74B54198">
                  <w:pPr>
                    <w:jc w:val="center"/>
                    <w:rPr>
                      <w:rFonts w:ascii="Times New Roman" w:hAnsi="Times New Roman" w:cs="Times New Roman"/>
                      <w:szCs w:val="21"/>
                    </w:rPr>
                  </w:pPr>
                  <w:r>
                    <w:t>收集桶收集，酸碱中和预处理后进入污水处理站处理</w:t>
                  </w:r>
                  <w:r>
                    <w:rPr>
                      <w:rFonts w:hint="eastAsia"/>
                    </w:rPr>
                    <w:t>。</w:t>
                  </w:r>
                </w:p>
              </w:tc>
            </w:tr>
            <w:tr w14:paraId="4365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793F036F">
                  <w:pPr>
                    <w:jc w:val="center"/>
                    <w:rPr>
                      <w:rFonts w:ascii="Times New Roman" w:hAnsi="Times New Roman" w:cs="Times New Roman"/>
                      <w:szCs w:val="21"/>
                    </w:rPr>
                  </w:pPr>
                </w:p>
              </w:tc>
              <w:tc>
                <w:tcPr>
                  <w:tcW w:w="1053" w:type="dxa"/>
                  <w:vAlign w:val="center"/>
                </w:tcPr>
                <w:p w14:paraId="1374FC13">
                  <w:pPr>
                    <w:jc w:val="center"/>
                    <w:rPr>
                      <w:rFonts w:ascii="Times New Roman" w:hAnsi="Times New Roman" w:cs="Times New Roman"/>
                      <w:szCs w:val="21"/>
                    </w:rPr>
                  </w:pPr>
                  <w:r>
                    <w:rPr>
                      <w:rFonts w:ascii="Times New Roman" w:hAnsi="Times New Roman" w:cs="Times New Roman"/>
                      <w:szCs w:val="21"/>
                    </w:rPr>
                    <w:t>W7</w:t>
                  </w:r>
                </w:p>
              </w:tc>
              <w:tc>
                <w:tcPr>
                  <w:tcW w:w="1323" w:type="dxa"/>
                  <w:vAlign w:val="center"/>
                </w:tcPr>
                <w:p w14:paraId="6BA1EBE3">
                  <w:pPr>
                    <w:jc w:val="center"/>
                  </w:pPr>
                  <w:r>
                    <w:rPr>
                      <w:rFonts w:hint="eastAsia" w:ascii="Times New Roman" w:hAnsi="Times New Roman" w:cs="Times New Roman"/>
                      <w:szCs w:val="21"/>
                    </w:rPr>
                    <w:t>职工生活</w:t>
                  </w:r>
                </w:p>
              </w:tc>
              <w:tc>
                <w:tcPr>
                  <w:tcW w:w="1278" w:type="dxa"/>
                  <w:vAlign w:val="center"/>
                </w:tcPr>
                <w:p w14:paraId="2DED73C7">
                  <w:pPr>
                    <w:jc w:val="center"/>
                    <w:rPr>
                      <w:rFonts w:ascii="Times New Roman" w:hAnsi="Times New Roman" w:cs="Times New Roman"/>
                      <w:szCs w:val="21"/>
                    </w:rPr>
                  </w:pPr>
                  <w:r>
                    <w:rPr>
                      <w:rFonts w:ascii="Times New Roman" w:hAnsi="Times New Roman" w:cs="Times New Roman"/>
                      <w:szCs w:val="21"/>
                    </w:rPr>
                    <w:t>生活污水</w:t>
                  </w:r>
                </w:p>
              </w:tc>
              <w:tc>
                <w:tcPr>
                  <w:tcW w:w="1560" w:type="dxa"/>
                  <w:vAlign w:val="center"/>
                </w:tcPr>
                <w:p w14:paraId="5F2A77BD">
                  <w:pPr>
                    <w:jc w:val="center"/>
                    <w:rPr>
                      <w:rFonts w:ascii="Times New Roman" w:hAnsi="Times New Roman" w:cs="Times New Roman"/>
                      <w:szCs w:val="21"/>
                    </w:rPr>
                  </w:pPr>
                  <w:r>
                    <w:rPr>
                      <w:rFonts w:ascii="Times New Roman" w:hAnsi="Times New Roman" w:cs="Times New Roman"/>
                      <w:szCs w:val="21"/>
                    </w:rPr>
                    <w:t>SS、COD</w:t>
                  </w:r>
                  <w:r>
                    <w:rPr>
                      <w:rFonts w:ascii="Times New Roman" w:hAnsi="Times New Roman" w:cs="Times New Roman"/>
                      <w:szCs w:val="21"/>
                      <w:vertAlign w:val="subscript"/>
                    </w:rPr>
                    <w:t>Cr</w:t>
                  </w:r>
                  <w:r>
                    <w:rPr>
                      <w:rFonts w:ascii="Times New Roman" w:hAnsi="Times New Roman" w:cs="Times New Roman"/>
                      <w:szCs w:val="21"/>
                    </w:rPr>
                    <w:t>、BOD</w:t>
                  </w:r>
                  <w:r>
                    <w:rPr>
                      <w:rFonts w:ascii="Times New Roman" w:hAnsi="Times New Roman" w:cs="Times New Roman"/>
                      <w:szCs w:val="21"/>
                      <w:vertAlign w:val="subscript"/>
                    </w:rPr>
                    <w:t>5</w:t>
                  </w:r>
                  <w:r>
                    <w:rPr>
                      <w:rFonts w:ascii="Times New Roman" w:hAnsi="Times New Roman" w:cs="Times New Roman"/>
                      <w:szCs w:val="21"/>
                    </w:rPr>
                    <w:t>、氨氮等</w:t>
                  </w:r>
                </w:p>
              </w:tc>
              <w:tc>
                <w:tcPr>
                  <w:tcW w:w="2489" w:type="dxa"/>
                  <w:vAlign w:val="center"/>
                </w:tcPr>
                <w:p w14:paraId="484FA5A2">
                  <w:pPr>
                    <w:jc w:val="center"/>
                    <w:rPr>
                      <w:rFonts w:ascii="Times New Roman" w:hAnsi="Times New Roman" w:cs="Times New Roman"/>
                      <w:szCs w:val="21"/>
                    </w:rPr>
                  </w:pPr>
                  <w:r>
                    <w:rPr>
                      <w:rFonts w:hint="eastAsia" w:ascii="Times New Roman" w:hAnsi="Times New Roman" w:cs="Times New Roman"/>
                      <w:szCs w:val="21"/>
                    </w:rPr>
                    <w:t>食堂</w:t>
                  </w:r>
                  <w:r>
                    <w:rPr>
                      <w:rFonts w:ascii="Times New Roman" w:hAnsi="Times New Roman" w:cs="Times New Roman"/>
                      <w:szCs w:val="21"/>
                    </w:rPr>
                    <w:t>污水经隔油池处理后与其他生活污水一并进入化粪池</w:t>
                  </w:r>
                  <w:r>
                    <w:rPr>
                      <w:rFonts w:hint="eastAsia" w:ascii="Times New Roman" w:hAnsi="Times New Roman" w:cs="Times New Roman"/>
                      <w:szCs w:val="21"/>
                    </w:rPr>
                    <w:t>预处理</w:t>
                  </w:r>
                  <w:r>
                    <w:rPr>
                      <w:rFonts w:ascii="Times New Roman" w:hAnsi="Times New Roman" w:cs="Times New Roman"/>
                      <w:szCs w:val="21"/>
                    </w:rPr>
                    <w:t>，</w:t>
                  </w:r>
                  <w:r>
                    <w:rPr>
                      <w:rFonts w:hint="eastAsia" w:ascii="Times New Roman" w:hAnsi="Times New Roman" w:cs="Times New Roman"/>
                      <w:szCs w:val="21"/>
                    </w:rPr>
                    <w:t>然后进入</w:t>
                  </w:r>
                  <w:r>
                    <w:rPr>
                      <w:rFonts w:ascii="Times New Roman" w:hAnsi="Times New Roman" w:cs="Times New Roman"/>
                      <w:szCs w:val="21"/>
                    </w:rPr>
                    <w:t>15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d处理站进一步</w:t>
                  </w:r>
                  <w:r>
                    <w:rPr>
                      <w:rFonts w:ascii="Times New Roman" w:hAnsi="Times New Roman" w:cs="Times New Roman"/>
                      <w:szCs w:val="21"/>
                    </w:rPr>
                    <w:t>处理</w:t>
                  </w:r>
                  <w:r>
                    <w:rPr>
                      <w:rFonts w:hint="eastAsia" w:ascii="Times New Roman" w:hAnsi="Times New Roman" w:cs="Times New Roman"/>
                      <w:szCs w:val="21"/>
                    </w:rPr>
                    <w:t>，</w:t>
                  </w:r>
                  <w:r>
                    <w:rPr>
                      <w:rFonts w:ascii="Times New Roman" w:hAnsi="Times New Roman" w:cs="Times New Roman"/>
                      <w:szCs w:val="21"/>
                    </w:rPr>
                    <w:t>达标后</w:t>
                  </w:r>
                  <w:r>
                    <w:rPr>
                      <w:rFonts w:hint="eastAsia" w:ascii="Times New Roman" w:hAnsi="Times New Roman" w:cs="Times New Roman"/>
                      <w:szCs w:val="21"/>
                    </w:rPr>
                    <w:t>用于租用耕地农灌，不外排。</w:t>
                  </w:r>
                </w:p>
              </w:tc>
            </w:tr>
            <w:tr w14:paraId="3382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restart"/>
                  <w:vAlign w:val="center"/>
                </w:tcPr>
                <w:p w14:paraId="4796B71B">
                  <w:pPr>
                    <w:jc w:val="center"/>
                    <w:rPr>
                      <w:rFonts w:ascii="Times New Roman" w:hAnsi="Times New Roman" w:cs="Times New Roman"/>
                      <w:szCs w:val="21"/>
                    </w:rPr>
                  </w:pPr>
                  <w:r>
                    <w:rPr>
                      <w:rFonts w:ascii="Times New Roman" w:hAnsi="Times New Roman" w:cs="Times New Roman"/>
                      <w:szCs w:val="21"/>
                    </w:rPr>
                    <w:t>废气</w:t>
                  </w:r>
                </w:p>
              </w:tc>
              <w:tc>
                <w:tcPr>
                  <w:tcW w:w="1053" w:type="dxa"/>
                  <w:vAlign w:val="center"/>
                </w:tcPr>
                <w:p w14:paraId="27769A27">
                  <w:pPr>
                    <w:jc w:val="center"/>
                    <w:rPr>
                      <w:rFonts w:ascii="Times New Roman" w:hAnsi="Times New Roman" w:cs="Times New Roman"/>
                      <w:szCs w:val="21"/>
                    </w:rPr>
                  </w:pPr>
                  <w:r>
                    <w:rPr>
                      <w:rFonts w:ascii="Times New Roman" w:hAnsi="Times New Roman" w:cs="Times New Roman"/>
                      <w:szCs w:val="21"/>
                    </w:rPr>
                    <w:t>G1</w:t>
                  </w:r>
                </w:p>
              </w:tc>
              <w:tc>
                <w:tcPr>
                  <w:tcW w:w="1323" w:type="dxa"/>
                  <w:vAlign w:val="center"/>
                </w:tcPr>
                <w:p w14:paraId="0B7FB4E2">
                  <w:pPr>
                    <w:jc w:val="center"/>
                    <w:rPr>
                      <w:rFonts w:ascii="Times New Roman" w:hAnsi="Times New Roman" w:cs="Times New Roman"/>
                      <w:szCs w:val="21"/>
                    </w:rPr>
                  </w:pPr>
                  <w:r>
                    <w:rPr>
                      <w:rFonts w:ascii="Times New Roman" w:hAnsi="Times New Roman" w:cs="Times New Roman"/>
                      <w:szCs w:val="21"/>
                    </w:rPr>
                    <w:t>锅炉</w:t>
                  </w:r>
                </w:p>
              </w:tc>
              <w:tc>
                <w:tcPr>
                  <w:tcW w:w="1278" w:type="dxa"/>
                  <w:vAlign w:val="center"/>
                </w:tcPr>
                <w:p w14:paraId="36B08101">
                  <w:pPr>
                    <w:jc w:val="center"/>
                    <w:rPr>
                      <w:rFonts w:ascii="Times New Roman" w:hAnsi="Times New Roman" w:cs="Times New Roman"/>
                      <w:szCs w:val="21"/>
                    </w:rPr>
                  </w:pPr>
                  <w:r>
                    <w:rPr>
                      <w:rFonts w:ascii="Times New Roman" w:hAnsi="Times New Roman" w:cs="Times New Roman"/>
                      <w:szCs w:val="21"/>
                    </w:rPr>
                    <w:t>燃烧</w:t>
                  </w:r>
                  <w:r>
                    <w:rPr>
                      <w:rFonts w:hint="eastAsia" w:ascii="Times New Roman" w:hAnsi="Times New Roman" w:cs="Times New Roman"/>
                      <w:szCs w:val="21"/>
                    </w:rPr>
                    <w:t>废气</w:t>
                  </w:r>
                </w:p>
              </w:tc>
              <w:tc>
                <w:tcPr>
                  <w:tcW w:w="1560" w:type="dxa"/>
                  <w:vAlign w:val="center"/>
                </w:tcPr>
                <w:p w14:paraId="51BCBCC9">
                  <w:pPr>
                    <w:jc w:val="center"/>
                    <w:rPr>
                      <w:rFonts w:ascii="Times New Roman" w:hAnsi="Times New Roman" w:cs="Times New Roman"/>
                      <w:szCs w:val="21"/>
                    </w:rPr>
                  </w:pPr>
                  <w:r>
                    <w:rPr>
                      <w:rFonts w:ascii="Times New Roman" w:hAnsi="Times New Roman" w:cs="Times New Roman"/>
                      <w:szCs w:val="21"/>
                    </w:rPr>
                    <w:t>烟尘、SO</w:t>
                  </w:r>
                  <w:r>
                    <w:rPr>
                      <w:rFonts w:ascii="Times New Roman" w:hAnsi="Times New Roman" w:cs="Times New Roman"/>
                      <w:szCs w:val="21"/>
                      <w:vertAlign w:val="subscript"/>
                    </w:rPr>
                    <w:t>2</w:t>
                  </w:r>
                  <w:r>
                    <w:rPr>
                      <w:rFonts w:ascii="Times New Roman" w:hAnsi="Times New Roman" w:cs="Times New Roman"/>
                      <w:szCs w:val="21"/>
                    </w:rPr>
                    <w:t>、NOx</w:t>
                  </w:r>
                </w:p>
              </w:tc>
              <w:tc>
                <w:tcPr>
                  <w:tcW w:w="2489" w:type="dxa"/>
                  <w:vAlign w:val="center"/>
                </w:tcPr>
                <w:p w14:paraId="4D88ACCB">
                  <w:pPr>
                    <w:jc w:val="center"/>
                    <w:rPr>
                      <w:rFonts w:ascii="Times New Roman" w:hAnsi="Times New Roman" w:cs="Times New Roman"/>
                      <w:szCs w:val="21"/>
                    </w:rPr>
                  </w:pPr>
                  <w:r>
                    <w:rPr>
                      <w:rFonts w:ascii="Times New Roman" w:hAnsi="Times New Roman" w:cs="Times New Roman"/>
                      <w:szCs w:val="21"/>
                    </w:rPr>
                    <w:t>采用低氮燃烧器，燃气锅炉废气由15m高烟囱排放</w:t>
                  </w:r>
                  <w:r>
                    <w:rPr>
                      <w:rFonts w:hint="eastAsia" w:ascii="Times New Roman" w:hAnsi="Times New Roman" w:cs="Times New Roman"/>
                      <w:szCs w:val="21"/>
                    </w:rPr>
                    <w:t>（D</w:t>
                  </w:r>
                  <w:r>
                    <w:rPr>
                      <w:rFonts w:ascii="Times New Roman" w:hAnsi="Times New Roman" w:cs="Times New Roman"/>
                      <w:szCs w:val="21"/>
                    </w:rPr>
                    <w:t>A001</w:t>
                  </w:r>
                  <w:r>
                    <w:rPr>
                      <w:rFonts w:hint="eastAsia" w:ascii="Times New Roman" w:hAnsi="Times New Roman" w:cs="Times New Roman"/>
                      <w:szCs w:val="21"/>
                    </w:rPr>
                    <w:t>）。</w:t>
                  </w:r>
                </w:p>
              </w:tc>
            </w:tr>
            <w:tr w14:paraId="11ED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2A4F4A67">
                  <w:pPr>
                    <w:jc w:val="center"/>
                    <w:rPr>
                      <w:rFonts w:ascii="Times New Roman" w:hAnsi="Times New Roman" w:cs="Times New Roman"/>
                      <w:szCs w:val="21"/>
                    </w:rPr>
                  </w:pPr>
                </w:p>
              </w:tc>
              <w:tc>
                <w:tcPr>
                  <w:tcW w:w="1053" w:type="dxa"/>
                  <w:vMerge w:val="restart"/>
                  <w:vAlign w:val="center"/>
                </w:tcPr>
                <w:p w14:paraId="1CD8433F">
                  <w:pPr>
                    <w:jc w:val="center"/>
                    <w:rPr>
                      <w:rFonts w:ascii="Times New Roman" w:hAnsi="Times New Roman" w:cs="Times New Roman"/>
                      <w:bCs/>
                      <w:szCs w:val="21"/>
                    </w:rPr>
                  </w:pPr>
                  <w:r>
                    <w:rPr>
                      <w:rFonts w:ascii="Times New Roman" w:hAnsi="Times New Roman" w:cs="Times New Roman"/>
                      <w:bCs/>
                      <w:szCs w:val="21"/>
                    </w:rPr>
                    <w:t>G2</w:t>
                  </w:r>
                </w:p>
              </w:tc>
              <w:tc>
                <w:tcPr>
                  <w:tcW w:w="1323" w:type="dxa"/>
                  <w:vAlign w:val="center"/>
                </w:tcPr>
                <w:p w14:paraId="771BAF3F">
                  <w:pPr>
                    <w:jc w:val="center"/>
                    <w:rPr>
                      <w:rFonts w:ascii="Times New Roman" w:hAnsi="Times New Roman" w:cs="Times New Roman"/>
                      <w:bCs/>
                      <w:szCs w:val="21"/>
                    </w:rPr>
                  </w:pPr>
                  <w:r>
                    <w:t>破碎</w:t>
                  </w:r>
                </w:p>
              </w:tc>
              <w:tc>
                <w:tcPr>
                  <w:tcW w:w="1278" w:type="dxa"/>
                  <w:vMerge w:val="restart"/>
                  <w:vAlign w:val="center"/>
                </w:tcPr>
                <w:p w14:paraId="3F97AB86">
                  <w:pPr>
                    <w:jc w:val="center"/>
                    <w:rPr>
                      <w:rFonts w:ascii="Times New Roman" w:hAnsi="Times New Roman" w:cs="Times New Roman"/>
                      <w:bCs/>
                      <w:szCs w:val="21"/>
                    </w:rPr>
                  </w:pPr>
                  <w:r>
                    <w:rPr>
                      <w:rFonts w:hint="eastAsia" w:ascii="Times New Roman" w:hAnsi="Times New Roman" w:cs="Times New Roman"/>
                      <w:bCs/>
                      <w:szCs w:val="21"/>
                    </w:rPr>
                    <w:t>恶臭</w:t>
                  </w:r>
                </w:p>
              </w:tc>
              <w:tc>
                <w:tcPr>
                  <w:tcW w:w="1560" w:type="dxa"/>
                  <w:vMerge w:val="restart"/>
                  <w:vAlign w:val="center"/>
                </w:tcPr>
                <w:p w14:paraId="5C534312">
                  <w:pPr>
                    <w:jc w:val="center"/>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S、臭气浓度</w:t>
                  </w:r>
                </w:p>
              </w:tc>
              <w:tc>
                <w:tcPr>
                  <w:tcW w:w="2489" w:type="dxa"/>
                  <w:vMerge w:val="restart"/>
                  <w:vAlign w:val="center"/>
                </w:tcPr>
                <w:p w14:paraId="17FA8180">
                  <w:pPr>
                    <w:jc w:val="center"/>
                    <w:rPr>
                      <w:rFonts w:ascii="Times New Roman" w:hAnsi="Times New Roman" w:cs="Times New Roman"/>
                      <w:szCs w:val="21"/>
                    </w:rPr>
                  </w:pPr>
                  <w:r>
                    <w:rPr>
                      <w:rFonts w:ascii="Times New Roman" w:hAnsi="Times New Roman" w:cs="Times New Roman"/>
                      <w:szCs w:val="21"/>
                    </w:rPr>
                    <w:t>管道密闭收集</w:t>
                  </w:r>
                  <w:r>
                    <w:rPr>
                      <w:rFonts w:hint="eastAsia" w:ascii="Times New Roman" w:hAnsi="Times New Roman" w:cs="Times New Roman"/>
                      <w:szCs w:val="21"/>
                    </w:rPr>
                    <w:t>，</w:t>
                  </w:r>
                  <w:r>
                    <w:rPr>
                      <w:rFonts w:ascii="Times New Roman" w:hAnsi="Times New Roman" w:cs="Times New Roman"/>
                      <w:szCs w:val="21"/>
                    </w:rPr>
                    <w:t>冷凝器+酸碱喷淋塔+锅炉焚烧</w:t>
                  </w:r>
                  <w:r>
                    <w:rPr>
                      <w:rFonts w:hint="eastAsia" w:ascii="Times New Roman" w:hAnsi="Times New Roman" w:cs="Times New Roman"/>
                      <w:szCs w:val="21"/>
                    </w:rPr>
                    <w:t>。</w:t>
                  </w:r>
                </w:p>
              </w:tc>
            </w:tr>
            <w:tr w14:paraId="4D88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538DFCB8">
                  <w:pPr>
                    <w:jc w:val="center"/>
                    <w:rPr>
                      <w:rFonts w:ascii="Times New Roman" w:hAnsi="Times New Roman" w:cs="Times New Roman"/>
                      <w:szCs w:val="21"/>
                    </w:rPr>
                  </w:pPr>
                </w:p>
              </w:tc>
              <w:tc>
                <w:tcPr>
                  <w:tcW w:w="1053" w:type="dxa"/>
                  <w:vMerge w:val="continue"/>
                  <w:vAlign w:val="center"/>
                </w:tcPr>
                <w:p w14:paraId="451CC32E">
                  <w:pPr>
                    <w:jc w:val="center"/>
                    <w:rPr>
                      <w:rFonts w:ascii="Times New Roman" w:hAnsi="Times New Roman" w:cs="Times New Roman"/>
                      <w:bCs/>
                      <w:szCs w:val="21"/>
                    </w:rPr>
                  </w:pPr>
                </w:p>
              </w:tc>
              <w:tc>
                <w:tcPr>
                  <w:tcW w:w="1323" w:type="dxa"/>
                  <w:vAlign w:val="center"/>
                </w:tcPr>
                <w:p w14:paraId="7FD66A85">
                  <w:pPr>
                    <w:jc w:val="center"/>
                    <w:rPr>
                      <w:rFonts w:ascii="Times New Roman" w:hAnsi="Times New Roman" w:cs="Times New Roman"/>
                      <w:bCs/>
                      <w:szCs w:val="21"/>
                    </w:rPr>
                  </w:pPr>
                  <w:r>
                    <w:t>高温化制</w:t>
                  </w:r>
                </w:p>
              </w:tc>
              <w:tc>
                <w:tcPr>
                  <w:tcW w:w="1278" w:type="dxa"/>
                  <w:vMerge w:val="continue"/>
                  <w:vAlign w:val="center"/>
                </w:tcPr>
                <w:p w14:paraId="3FAE4914">
                  <w:pPr>
                    <w:jc w:val="center"/>
                    <w:rPr>
                      <w:rFonts w:ascii="Times New Roman" w:hAnsi="Times New Roman" w:cs="Times New Roman"/>
                      <w:bCs/>
                      <w:szCs w:val="21"/>
                    </w:rPr>
                  </w:pPr>
                </w:p>
              </w:tc>
              <w:tc>
                <w:tcPr>
                  <w:tcW w:w="1560" w:type="dxa"/>
                  <w:vMerge w:val="continue"/>
                  <w:vAlign w:val="center"/>
                </w:tcPr>
                <w:p w14:paraId="068016C4">
                  <w:pPr>
                    <w:jc w:val="center"/>
                    <w:rPr>
                      <w:rFonts w:ascii="Times New Roman" w:hAnsi="Times New Roman" w:cs="Times New Roman"/>
                      <w:szCs w:val="21"/>
                    </w:rPr>
                  </w:pPr>
                </w:p>
              </w:tc>
              <w:tc>
                <w:tcPr>
                  <w:tcW w:w="2489" w:type="dxa"/>
                  <w:vMerge w:val="continue"/>
                  <w:vAlign w:val="center"/>
                </w:tcPr>
                <w:p w14:paraId="264489ED">
                  <w:pPr>
                    <w:jc w:val="center"/>
                    <w:rPr>
                      <w:rFonts w:ascii="Times New Roman" w:hAnsi="Times New Roman" w:cs="Times New Roman"/>
                      <w:szCs w:val="21"/>
                    </w:rPr>
                  </w:pPr>
                </w:p>
              </w:tc>
            </w:tr>
            <w:tr w14:paraId="7FF5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0D81F629">
                  <w:pPr>
                    <w:jc w:val="center"/>
                    <w:rPr>
                      <w:rFonts w:ascii="Times New Roman" w:hAnsi="Times New Roman" w:cs="Times New Roman"/>
                      <w:szCs w:val="21"/>
                    </w:rPr>
                  </w:pPr>
                </w:p>
              </w:tc>
              <w:tc>
                <w:tcPr>
                  <w:tcW w:w="1053" w:type="dxa"/>
                  <w:vMerge w:val="continue"/>
                  <w:vAlign w:val="center"/>
                </w:tcPr>
                <w:p w14:paraId="6467713A">
                  <w:pPr>
                    <w:jc w:val="center"/>
                    <w:rPr>
                      <w:rFonts w:ascii="Times New Roman" w:hAnsi="Times New Roman" w:cs="Times New Roman"/>
                      <w:bCs/>
                      <w:szCs w:val="21"/>
                    </w:rPr>
                  </w:pPr>
                </w:p>
              </w:tc>
              <w:tc>
                <w:tcPr>
                  <w:tcW w:w="1323" w:type="dxa"/>
                  <w:vAlign w:val="center"/>
                </w:tcPr>
                <w:p w14:paraId="76D786A1">
                  <w:pPr>
                    <w:jc w:val="center"/>
                    <w:rPr>
                      <w:rFonts w:ascii="Times New Roman" w:hAnsi="Times New Roman" w:cs="Times New Roman"/>
                      <w:bCs/>
                      <w:szCs w:val="21"/>
                    </w:rPr>
                  </w:pPr>
                  <w:r>
                    <w:t>压榨脱脂</w:t>
                  </w:r>
                </w:p>
              </w:tc>
              <w:tc>
                <w:tcPr>
                  <w:tcW w:w="1278" w:type="dxa"/>
                  <w:vMerge w:val="continue"/>
                  <w:vAlign w:val="center"/>
                </w:tcPr>
                <w:p w14:paraId="3197A6FD">
                  <w:pPr>
                    <w:jc w:val="center"/>
                    <w:rPr>
                      <w:rFonts w:ascii="Times New Roman" w:hAnsi="Times New Roman" w:cs="Times New Roman"/>
                      <w:bCs/>
                      <w:szCs w:val="21"/>
                    </w:rPr>
                  </w:pPr>
                </w:p>
              </w:tc>
              <w:tc>
                <w:tcPr>
                  <w:tcW w:w="1560" w:type="dxa"/>
                  <w:vMerge w:val="continue"/>
                  <w:vAlign w:val="center"/>
                </w:tcPr>
                <w:p w14:paraId="55EC0CB6">
                  <w:pPr>
                    <w:jc w:val="center"/>
                    <w:rPr>
                      <w:rFonts w:ascii="Times New Roman" w:hAnsi="Times New Roman" w:cs="Times New Roman"/>
                      <w:szCs w:val="21"/>
                    </w:rPr>
                  </w:pPr>
                </w:p>
              </w:tc>
              <w:tc>
                <w:tcPr>
                  <w:tcW w:w="2489" w:type="dxa"/>
                  <w:vMerge w:val="continue"/>
                  <w:vAlign w:val="center"/>
                </w:tcPr>
                <w:p w14:paraId="758E7E7F">
                  <w:pPr>
                    <w:jc w:val="center"/>
                    <w:rPr>
                      <w:rFonts w:ascii="Times New Roman" w:hAnsi="Times New Roman" w:cs="Times New Roman"/>
                      <w:szCs w:val="21"/>
                    </w:rPr>
                  </w:pPr>
                </w:p>
              </w:tc>
            </w:tr>
            <w:tr w14:paraId="6A4C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4761B874">
                  <w:pPr>
                    <w:jc w:val="center"/>
                    <w:rPr>
                      <w:rFonts w:ascii="Times New Roman" w:hAnsi="Times New Roman" w:cs="Times New Roman"/>
                      <w:szCs w:val="21"/>
                    </w:rPr>
                  </w:pPr>
                </w:p>
              </w:tc>
              <w:tc>
                <w:tcPr>
                  <w:tcW w:w="1053" w:type="dxa"/>
                  <w:vAlign w:val="center"/>
                </w:tcPr>
                <w:p w14:paraId="3FC17211">
                  <w:pPr>
                    <w:jc w:val="center"/>
                    <w:rPr>
                      <w:rFonts w:ascii="Times New Roman" w:hAnsi="Times New Roman" w:cs="Times New Roman"/>
                      <w:bCs/>
                      <w:szCs w:val="21"/>
                    </w:rPr>
                  </w:pPr>
                  <w:r>
                    <w:rPr>
                      <w:rFonts w:ascii="Times New Roman" w:hAnsi="Times New Roman" w:cs="Times New Roman"/>
                      <w:bCs/>
                      <w:szCs w:val="21"/>
                    </w:rPr>
                    <w:t>G3</w:t>
                  </w:r>
                </w:p>
              </w:tc>
              <w:tc>
                <w:tcPr>
                  <w:tcW w:w="1323" w:type="dxa"/>
                  <w:vAlign w:val="center"/>
                </w:tcPr>
                <w:p w14:paraId="3B4D41E2">
                  <w:pPr>
                    <w:jc w:val="center"/>
                    <w:rPr>
                      <w:rFonts w:ascii="Times New Roman" w:hAnsi="Times New Roman" w:cs="Times New Roman"/>
                      <w:bCs/>
                      <w:szCs w:val="21"/>
                    </w:rPr>
                  </w:pPr>
                  <w:r>
                    <w:rPr>
                      <w:rFonts w:hint="eastAsia" w:ascii="Times New Roman" w:hAnsi="Times New Roman" w:cs="Times New Roman"/>
                      <w:bCs/>
                      <w:szCs w:val="21"/>
                    </w:rPr>
                    <w:t>车间</w:t>
                  </w:r>
                </w:p>
              </w:tc>
              <w:tc>
                <w:tcPr>
                  <w:tcW w:w="1278" w:type="dxa"/>
                  <w:vAlign w:val="center"/>
                </w:tcPr>
                <w:p w14:paraId="1A0A1BC6">
                  <w:pPr>
                    <w:jc w:val="center"/>
                    <w:rPr>
                      <w:rFonts w:ascii="Times New Roman" w:hAnsi="Times New Roman" w:cs="Times New Roman"/>
                      <w:bCs/>
                      <w:szCs w:val="21"/>
                    </w:rPr>
                  </w:pPr>
                  <w:r>
                    <w:rPr>
                      <w:rFonts w:hint="eastAsia" w:ascii="Times New Roman" w:hAnsi="Times New Roman" w:cs="Times New Roman"/>
                      <w:bCs/>
                      <w:szCs w:val="21"/>
                    </w:rPr>
                    <w:t>异味</w:t>
                  </w:r>
                </w:p>
              </w:tc>
              <w:tc>
                <w:tcPr>
                  <w:tcW w:w="1560" w:type="dxa"/>
                  <w:vAlign w:val="center"/>
                </w:tcPr>
                <w:p w14:paraId="305E8243">
                  <w:pPr>
                    <w:jc w:val="center"/>
                    <w:rPr>
                      <w:rFonts w:ascii="Times New Roman" w:hAnsi="Times New Roman" w:cs="Times New Roman"/>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S、臭气浓度</w:t>
                  </w:r>
                </w:p>
              </w:tc>
              <w:tc>
                <w:tcPr>
                  <w:tcW w:w="2489" w:type="dxa"/>
                  <w:vAlign w:val="center"/>
                </w:tcPr>
                <w:p w14:paraId="4309E9EA">
                  <w:pPr>
                    <w:jc w:val="center"/>
                    <w:rPr>
                      <w:rFonts w:ascii="Times New Roman" w:hAnsi="Times New Roman" w:cs="Times New Roman"/>
                      <w:szCs w:val="21"/>
                    </w:rPr>
                  </w:pPr>
                  <w:r>
                    <w:rPr>
                      <w:rFonts w:hint="eastAsia" w:ascii="Times New Roman" w:hAnsi="Times New Roman" w:cs="Times New Roman"/>
                      <w:szCs w:val="21"/>
                    </w:rPr>
                    <w:t>负压收集+二级活性炭吸附+</w:t>
                  </w:r>
                  <w:r>
                    <w:rPr>
                      <w:rFonts w:ascii="Times New Roman" w:hAnsi="Times New Roman" w:cs="Times New Roman"/>
                      <w:szCs w:val="21"/>
                    </w:rPr>
                    <w:t>15</w:t>
                  </w:r>
                  <w:r>
                    <w:rPr>
                      <w:rFonts w:hint="eastAsia" w:ascii="Times New Roman" w:hAnsi="Times New Roman" w:cs="Times New Roman"/>
                      <w:szCs w:val="21"/>
                    </w:rPr>
                    <w:t>m排气筒（D</w:t>
                  </w:r>
                  <w:r>
                    <w:rPr>
                      <w:rFonts w:ascii="Times New Roman" w:hAnsi="Times New Roman" w:cs="Times New Roman"/>
                      <w:szCs w:val="21"/>
                    </w:rPr>
                    <w:t>A002</w:t>
                  </w:r>
                  <w:r>
                    <w:rPr>
                      <w:rFonts w:hint="eastAsia" w:ascii="Times New Roman" w:hAnsi="Times New Roman" w:cs="Times New Roman"/>
                      <w:szCs w:val="21"/>
                    </w:rPr>
                    <w:t>）。</w:t>
                  </w:r>
                </w:p>
              </w:tc>
            </w:tr>
            <w:tr w14:paraId="4338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036AD92C">
                  <w:pPr>
                    <w:jc w:val="center"/>
                    <w:rPr>
                      <w:rFonts w:ascii="Times New Roman" w:hAnsi="Times New Roman" w:cs="Times New Roman"/>
                      <w:szCs w:val="21"/>
                    </w:rPr>
                  </w:pPr>
                </w:p>
              </w:tc>
              <w:tc>
                <w:tcPr>
                  <w:tcW w:w="1053" w:type="dxa"/>
                  <w:vAlign w:val="center"/>
                </w:tcPr>
                <w:p w14:paraId="3495025F">
                  <w:pPr>
                    <w:jc w:val="center"/>
                    <w:rPr>
                      <w:rFonts w:ascii="Times New Roman" w:hAnsi="Times New Roman" w:cs="Times New Roman"/>
                      <w:bCs/>
                      <w:szCs w:val="21"/>
                    </w:rPr>
                  </w:pPr>
                  <w:r>
                    <w:rPr>
                      <w:rFonts w:ascii="Times New Roman" w:hAnsi="Times New Roman" w:cs="Times New Roman"/>
                      <w:bCs/>
                      <w:szCs w:val="21"/>
                    </w:rPr>
                    <w:t>G4</w:t>
                  </w:r>
                </w:p>
              </w:tc>
              <w:tc>
                <w:tcPr>
                  <w:tcW w:w="1323" w:type="dxa"/>
                  <w:vAlign w:val="center"/>
                </w:tcPr>
                <w:p w14:paraId="16F4F0B2">
                  <w:pPr>
                    <w:jc w:val="center"/>
                    <w:rPr>
                      <w:rFonts w:ascii="Times New Roman" w:hAnsi="Times New Roman" w:cs="Times New Roman"/>
                      <w:bCs/>
                      <w:szCs w:val="21"/>
                    </w:rPr>
                  </w:pPr>
                  <w:r>
                    <w:t>污水处理站</w:t>
                  </w:r>
                </w:p>
              </w:tc>
              <w:tc>
                <w:tcPr>
                  <w:tcW w:w="1278" w:type="dxa"/>
                  <w:vAlign w:val="center"/>
                </w:tcPr>
                <w:p w14:paraId="4229BD0C">
                  <w:pPr>
                    <w:jc w:val="center"/>
                    <w:rPr>
                      <w:rFonts w:ascii="Times New Roman" w:hAnsi="Times New Roman" w:cs="Times New Roman"/>
                      <w:bCs/>
                      <w:szCs w:val="21"/>
                    </w:rPr>
                  </w:pPr>
                  <w:r>
                    <w:rPr>
                      <w:rFonts w:hint="eastAsia" w:ascii="Times New Roman" w:hAnsi="Times New Roman" w:cs="Times New Roman"/>
                      <w:bCs/>
                      <w:szCs w:val="21"/>
                    </w:rPr>
                    <w:t>异味</w:t>
                  </w:r>
                </w:p>
              </w:tc>
              <w:tc>
                <w:tcPr>
                  <w:tcW w:w="1560" w:type="dxa"/>
                  <w:vAlign w:val="center"/>
                </w:tcPr>
                <w:p w14:paraId="0D05AFFD">
                  <w:pPr>
                    <w:jc w:val="center"/>
                    <w:rPr>
                      <w:rFonts w:ascii="Times New Roman" w:hAnsi="Times New Roman" w:cs="Times New Roman"/>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S、臭气浓度</w:t>
                  </w:r>
                </w:p>
              </w:tc>
              <w:tc>
                <w:tcPr>
                  <w:tcW w:w="2489" w:type="dxa"/>
                  <w:vAlign w:val="center"/>
                </w:tcPr>
                <w:p w14:paraId="5322E7E9">
                  <w:pPr>
                    <w:jc w:val="center"/>
                    <w:rPr>
                      <w:rFonts w:ascii="Times New Roman" w:hAnsi="Times New Roman" w:cs="Times New Roman"/>
                      <w:szCs w:val="21"/>
                    </w:rPr>
                  </w:pPr>
                  <w:r>
                    <w:t>喷洒除臭剂</w:t>
                  </w:r>
                </w:p>
              </w:tc>
            </w:tr>
            <w:tr w14:paraId="699D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3" w:type="dxa"/>
                  <w:vMerge w:val="continue"/>
                  <w:vAlign w:val="center"/>
                </w:tcPr>
                <w:p w14:paraId="08186C9E">
                  <w:pPr>
                    <w:jc w:val="center"/>
                    <w:rPr>
                      <w:rFonts w:ascii="Times New Roman" w:hAnsi="Times New Roman" w:cs="Times New Roman"/>
                      <w:szCs w:val="21"/>
                    </w:rPr>
                  </w:pPr>
                </w:p>
              </w:tc>
              <w:tc>
                <w:tcPr>
                  <w:tcW w:w="1053" w:type="dxa"/>
                  <w:vAlign w:val="center"/>
                </w:tcPr>
                <w:p w14:paraId="393C6995">
                  <w:pPr>
                    <w:jc w:val="center"/>
                    <w:rPr>
                      <w:rFonts w:ascii="Times New Roman" w:hAnsi="Times New Roman" w:cs="Times New Roman"/>
                      <w:bCs/>
                      <w:szCs w:val="21"/>
                    </w:rPr>
                  </w:pPr>
                  <w:r>
                    <w:rPr>
                      <w:rFonts w:ascii="Times New Roman" w:hAnsi="Times New Roman" w:cs="Times New Roman"/>
                      <w:bCs/>
                      <w:szCs w:val="21"/>
                    </w:rPr>
                    <w:t>G5</w:t>
                  </w:r>
                </w:p>
              </w:tc>
              <w:tc>
                <w:tcPr>
                  <w:tcW w:w="1323" w:type="dxa"/>
                  <w:vAlign w:val="center"/>
                </w:tcPr>
                <w:p w14:paraId="6A0A2E0B">
                  <w:pPr>
                    <w:jc w:val="center"/>
                    <w:rPr>
                      <w:rFonts w:ascii="Times New Roman" w:hAnsi="Times New Roman" w:cs="Times New Roman"/>
                      <w:bCs/>
                      <w:szCs w:val="21"/>
                    </w:rPr>
                  </w:pPr>
                  <w:r>
                    <w:t>食堂</w:t>
                  </w:r>
                </w:p>
              </w:tc>
              <w:tc>
                <w:tcPr>
                  <w:tcW w:w="1278" w:type="dxa"/>
                  <w:vAlign w:val="center"/>
                </w:tcPr>
                <w:p w14:paraId="55D257A1">
                  <w:pPr>
                    <w:jc w:val="center"/>
                    <w:rPr>
                      <w:rFonts w:ascii="Times New Roman" w:hAnsi="Times New Roman" w:cs="Times New Roman"/>
                      <w:bCs/>
                      <w:szCs w:val="21"/>
                    </w:rPr>
                  </w:pPr>
                  <w:r>
                    <w:t>油烟</w:t>
                  </w:r>
                </w:p>
              </w:tc>
              <w:tc>
                <w:tcPr>
                  <w:tcW w:w="1560" w:type="dxa"/>
                  <w:vAlign w:val="center"/>
                </w:tcPr>
                <w:p w14:paraId="1147A69B">
                  <w:pPr>
                    <w:jc w:val="center"/>
                    <w:rPr>
                      <w:rFonts w:ascii="Times New Roman" w:hAnsi="Times New Roman" w:cs="Times New Roman"/>
                    </w:rPr>
                  </w:pPr>
                  <w:r>
                    <w:rPr>
                      <w:rFonts w:hint="eastAsia" w:ascii="Times New Roman" w:hAnsi="Times New Roman" w:cs="Times New Roman"/>
                    </w:rPr>
                    <w:t>颗粒物</w:t>
                  </w:r>
                </w:p>
              </w:tc>
              <w:tc>
                <w:tcPr>
                  <w:tcW w:w="2489" w:type="dxa"/>
                  <w:vAlign w:val="center"/>
                </w:tcPr>
                <w:p w14:paraId="0963001C">
                  <w:pPr>
                    <w:jc w:val="center"/>
                    <w:rPr>
                      <w:rFonts w:ascii="Times New Roman" w:hAnsi="Times New Roman" w:cs="Times New Roman"/>
                      <w:szCs w:val="21"/>
                    </w:rPr>
                  </w:pPr>
                  <w:r>
                    <w:t>油烟净化器</w:t>
                  </w:r>
                </w:p>
              </w:tc>
            </w:tr>
            <w:tr w14:paraId="60A6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restart"/>
                  <w:vAlign w:val="center"/>
                </w:tcPr>
                <w:p w14:paraId="32DD0803">
                  <w:pPr>
                    <w:jc w:val="center"/>
                    <w:rPr>
                      <w:rFonts w:ascii="Times New Roman" w:hAnsi="Times New Roman" w:cs="Times New Roman"/>
                      <w:szCs w:val="21"/>
                    </w:rPr>
                  </w:pPr>
                  <w:r>
                    <w:rPr>
                      <w:rFonts w:ascii="Times New Roman" w:hAnsi="Times New Roman" w:cs="Times New Roman"/>
                      <w:szCs w:val="21"/>
                    </w:rPr>
                    <w:t>噪声</w:t>
                  </w:r>
                </w:p>
              </w:tc>
              <w:tc>
                <w:tcPr>
                  <w:tcW w:w="1053" w:type="dxa"/>
                  <w:vAlign w:val="center"/>
                </w:tcPr>
                <w:p w14:paraId="49758F21">
                  <w:pPr>
                    <w:jc w:val="center"/>
                    <w:rPr>
                      <w:rFonts w:ascii="Times New Roman" w:hAnsi="Times New Roman" w:cs="Times New Roman"/>
                      <w:szCs w:val="21"/>
                    </w:rPr>
                  </w:pPr>
                  <w:r>
                    <w:rPr>
                      <w:rFonts w:ascii="Times New Roman" w:hAnsi="Times New Roman" w:cs="Times New Roman"/>
                      <w:bCs/>
                      <w:szCs w:val="21"/>
                    </w:rPr>
                    <w:t>N1~</w:t>
                  </w:r>
                  <w:r>
                    <w:rPr>
                      <w:rFonts w:hint="eastAsia" w:ascii="Times New Roman" w:hAnsi="Times New Roman" w:cs="Times New Roman"/>
                      <w:bCs/>
                      <w:szCs w:val="21"/>
                    </w:rPr>
                    <w:t>N</w:t>
                  </w:r>
                  <w:r>
                    <w:rPr>
                      <w:rFonts w:ascii="Times New Roman" w:hAnsi="Times New Roman" w:cs="Times New Roman"/>
                      <w:bCs/>
                      <w:szCs w:val="21"/>
                    </w:rPr>
                    <w:t>5</w:t>
                  </w:r>
                </w:p>
              </w:tc>
              <w:tc>
                <w:tcPr>
                  <w:tcW w:w="1323" w:type="dxa"/>
                  <w:vAlign w:val="center"/>
                </w:tcPr>
                <w:p w14:paraId="5FA509B2">
                  <w:pPr>
                    <w:jc w:val="center"/>
                    <w:rPr>
                      <w:rFonts w:ascii="Times New Roman" w:hAnsi="Times New Roman" w:cs="Times New Roman"/>
                      <w:bCs/>
                      <w:szCs w:val="21"/>
                    </w:rPr>
                  </w:pPr>
                  <w:r>
                    <w:rPr>
                      <w:rFonts w:ascii="Times New Roman" w:hAnsi="Times New Roman" w:cs="Times New Roman"/>
                      <w:bCs/>
                      <w:szCs w:val="21"/>
                    </w:rPr>
                    <w:t>生产设备</w:t>
                  </w:r>
                </w:p>
              </w:tc>
              <w:tc>
                <w:tcPr>
                  <w:tcW w:w="1278" w:type="dxa"/>
                  <w:vAlign w:val="center"/>
                </w:tcPr>
                <w:p w14:paraId="4DF67350">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560A9C52">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4041FD78">
                  <w:pPr>
                    <w:jc w:val="center"/>
                    <w:rPr>
                      <w:rFonts w:ascii="Times New Roman" w:hAnsi="Times New Roman" w:cs="Times New Roman"/>
                      <w:szCs w:val="21"/>
                    </w:rPr>
                  </w:pPr>
                  <w:r>
                    <w:rPr>
                      <w:rFonts w:ascii="Times New Roman" w:hAnsi="Times New Roman" w:cs="Times New Roman"/>
                      <w:szCs w:val="21"/>
                    </w:rPr>
                    <w:t>安装</w:t>
                  </w:r>
                  <w:r>
                    <w:rPr>
                      <w:rFonts w:hint="eastAsia" w:ascii="Times New Roman" w:hAnsi="Times New Roman" w:cs="Times New Roman"/>
                      <w:szCs w:val="21"/>
                    </w:rPr>
                    <w:t>减振垫</w:t>
                  </w:r>
                  <w:r>
                    <w:rPr>
                      <w:rFonts w:ascii="Times New Roman" w:hAnsi="Times New Roman" w:cs="Times New Roman"/>
                      <w:szCs w:val="21"/>
                    </w:rPr>
                    <w:t>、</w:t>
                  </w:r>
                  <w:r>
                    <w:rPr>
                      <w:rFonts w:hint="eastAsia" w:ascii="Times New Roman" w:hAnsi="Times New Roman" w:cs="Times New Roman"/>
                      <w:szCs w:val="21"/>
                    </w:rPr>
                    <w:t>车间阻隔。</w:t>
                  </w:r>
                </w:p>
              </w:tc>
            </w:tr>
            <w:tr w14:paraId="1E2E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4F097F09">
                  <w:pPr>
                    <w:jc w:val="center"/>
                    <w:rPr>
                      <w:rFonts w:ascii="Times New Roman" w:hAnsi="Times New Roman" w:cs="Times New Roman"/>
                      <w:szCs w:val="21"/>
                    </w:rPr>
                  </w:pPr>
                </w:p>
              </w:tc>
              <w:tc>
                <w:tcPr>
                  <w:tcW w:w="1053" w:type="dxa"/>
                  <w:vAlign w:val="center"/>
                </w:tcPr>
                <w:p w14:paraId="00DABBDF">
                  <w:pPr>
                    <w:jc w:val="center"/>
                    <w:rPr>
                      <w:rFonts w:ascii="Times New Roman" w:hAnsi="Times New Roman" w:cs="Times New Roman"/>
                      <w:bCs/>
                      <w:szCs w:val="21"/>
                    </w:rPr>
                  </w:pPr>
                  <w:r>
                    <w:rPr>
                      <w:rFonts w:hint="eastAsia" w:ascii="Times New Roman" w:hAnsi="Times New Roman" w:cs="Times New Roman"/>
                      <w:bCs/>
                      <w:szCs w:val="21"/>
                    </w:rPr>
                    <w:t>N</w:t>
                  </w:r>
                  <w:r>
                    <w:rPr>
                      <w:rFonts w:ascii="Times New Roman" w:hAnsi="Times New Roman" w:cs="Times New Roman"/>
                      <w:bCs/>
                      <w:szCs w:val="21"/>
                    </w:rPr>
                    <w:t>6~N8</w:t>
                  </w:r>
                </w:p>
              </w:tc>
              <w:tc>
                <w:tcPr>
                  <w:tcW w:w="1323" w:type="dxa"/>
                  <w:vAlign w:val="center"/>
                </w:tcPr>
                <w:p w14:paraId="0AD10BA8">
                  <w:pPr>
                    <w:jc w:val="center"/>
                    <w:rPr>
                      <w:rFonts w:ascii="Times New Roman" w:hAnsi="Times New Roman" w:cs="Times New Roman"/>
                      <w:bCs/>
                      <w:szCs w:val="21"/>
                    </w:rPr>
                  </w:pPr>
                  <w:r>
                    <w:rPr>
                      <w:rFonts w:hint="eastAsia" w:ascii="Times New Roman" w:hAnsi="Times New Roman" w:cs="Times New Roman"/>
                      <w:bCs/>
                      <w:szCs w:val="21"/>
                    </w:rPr>
                    <w:t>泵类</w:t>
                  </w:r>
                </w:p>
              </w:tc>
              <w:tc>
                <w:tcPr>
                  <w:tcW w:w="1278" w:type="dxa"/>
                  <w:vAlign w:val="center"/>
                </w:tcPr>
                <w:p w14:paraId="1203826F">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2CF06EBA">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3A9C381E">
                  <w:pPr>
                    <w:jc w:val="center"/>
                    <w:rPr>
                      <w:rFonts w:ascii="Times New Roman" w:hAnsi="Times New Roman" w:cs="Times New Roman"/>
                      <w:szCs w:val="21"/>
                    </w:rPr>
                  </w:pPr>
                  <w:r>
                    <w:rPr>
                      <w:rFonts w:hint="eastAsia" w:ascii="Times New Roman" w:hAnsi="Times New Roman" w:cs="Times New Roman"/>
                      <w:szCs w:val="21"/>
                    </w:rPr>
                    <w:t>减振，建筑隔声。</w:t>
                  </w:r>
                </w:p>
              </w:tc>
            </w:tr>
            <w:tr w14:paraId="7339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509618A0">
                  <w:pPr>
                    <w:jc w:val="center"/>
                    <w:rPr>
                      <w:rFonts w:ascii="Times New Roman" w:hAnsi="Times New Roman" w:cs="Times New Roman"/>
                      <w:szCs w:val="21"/>
                    </w:rPr>
                  </w:pPr>
                </w:p>
              </w:tc>
              <w:tc>
                <w:tcPr>
                  <w:tcW w:w="1053" w:type="dxa"/>
                  <w:vAlign w:val="center"/>
                </w:tcPr>
                <w:p w14:paraId="6C53ADA3">
                  <w:pPr>
                    <w:jc w:val="center"/>
                    <w:rPr>
                      <w:rFonts w:ascii="Times New Roman" w:hAnsi="Times New Roman" w:cs="Times New Roman"/>
                      <w:szCs w:val="21"/>
                    </w:rPr>
                  </w:pPr>
                  <w:r>
                    <w:rPr>
                      <w:rFonts w:ascii="Times New Roman" w:hAnsi="Times New Roman" w:cs="Times New Roman"/>
                      <w:bCs/>
                      <w:szCs w:val="21"/>
                    </w:rPr>
                    <w:t>N9~N11</w:t>
                  </w:r>
                </w:p>
              </w:tc>
              <w:tc>
                <w:tcPr>
                  <w:tcW w:w="1323" w:type="dxa"/>
                  <w:vAlign w:val="center"/>
                </w:tcPr>
                <w:p w14:paraId="10B21361">
                  <w:pPr>
                    <w:jc w:val="center"/>
                    <w:rPr>
                      <w:rFonts w:ascii="Times New Roman" w:hAnsi="Times New Roman" w:cs="Times New Roman"/>
                      <w:bCs/>
                      <w:szCs w:val="21"/>
                    </w:rPr>
                  </w:pPr>
                  <w:r>
                    <w:rPr>
                      <w:rFonts w:ascii="Times New Roman" w:hAnsi="Times New Roman" w:cs="Times New Roman"/>
                      <w:szCs w:val="21"/>
                    </w:rPr>
                    <w:t>风机</w:t>
                  </w:r>
                </w:p>
              </w:tc>
              <w:tc>
                <w:tcPr>
                  <w:tcW w:w="1278" w:type="dxa"/>
                  <w:vAlign w:val="center"/>
                </w:tcPr>
                <w:p w14:paraId="39F7A648">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7EBB5A0F">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1EA819D1">
                  <w:pPr>
                    <w:jc w:val="center"/>
                    <w:rPr>
                      <w:rFonts w:ascii="Times New Roman" w:hAnsi="Times New Roman" w:cs="Times New Roman"/>
                      <w:szCs w:val="21"/>
                    </w:rPr>
                  </w:pPr>
                  <w:r>
                    <w:rPr>
                      <w:rFonts w:hint="eastAsia" w:ascii="Times New Roman" w:hAnsi="Times New Roman" w:cs="Times New Roman"/>
                      <w:szCs w:val="21"/>
                    </w:rPr>
                    <w:t>基础减振，加装消声器，建筑隔声。</w:t>
                  </w:r>
                </w:p>
              </w:tc>
            </w:tr>
            <w:tr w14:paraId="1D15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6FE1046A">
                  <w:pPr>
                    <w:jc w:val="center"/>
                    <w:rPr>
                      <w:rFonts w:ascii="Times New Roman" w:hAnsi="Times New Roman" w:cs="Times New Roman"/>
                      <w:szCs w:val="21"/>
                    </w:rPr>
                  </w:pPr>
                </w:p>
              </w:tc>
              <w:tc>
                <w:tcPr>
                  <w:tcW w:w="1053" w:type="dxa"/>
                  <w:vAlign w:val="center"/>
                </w:tcPr>
                <w:p w14:paraId="6F757208">
                  <w:pPr>
                    <w:jc w:val="center"/>
                    <w:rPr>
                      <w:rFonts w:ascii="Times New Roman" w:hAnsi="Times New Roman" w:cs="Times New Roman"/>
                      <w:bCs/>
                      <w:szCs w:val="21"/>
                    </w:rPr>
                  </w:pPr>
                  <w:r>
                    <w:rPr>
                      <w:rFonts w:hint="eastAsia" w:ascii="Times New Roman" w:hAnsi="Times New Roman" w:cs="Times New Roman"/>
                      <w:bCs/>
                      <w:szCs w:val="21"/>
                    </w:rPr>
                    <w:t>N</w:t>
                  </w:r>
                  <w:r>
                    <w:rPr>
                      <w:rFonts w:ascii="Times New Roman" w:hAnsi="Times New Roman" w:cs="Times New Roman"/>
                      <w:bCs/>
                      <w:szCs w:val="21"/>
                    </w:rPr>
                    <w:t>12</w:t>
                  </w:r>
                </w:p>
              </w:tc>
              <w:tc>
                <w:tcPr>
                  <w:tcW w:w="1323" w:type="dxa"/>
                  <w:vAlign w:val="center"/>
                </w:tcPr>
                <w:p w14:paraId="1B77461B">
                  <w:pPr>
                    <w:jc w:val="center"/>
                    <w:rPr>
                      <w:rFonts w:ascii="Times New Roman" w:hAnsi="Times New Roman" w:cs="Times New Roman"/>
                      <w:szCs w:val="21"/>
                    </w:rPr>
                  </w:pPr>
                  <w:r>
                    <w:rPr>
                      <w:rFonts w:hint="eastAsia" w:ascii="Times New Roman" w:hAnsi="Times New Roman" w:cs="Times New Roman"/>
                      <w:szCs w:val="21"/>
                    </w:rPr>
                    <w:t>空压机</w:t>
                  </w:r>
                </w:p>
              </w:tc>
              <w:tc>
                <w:tcPr>
                  <w:tcW w:w="1278" w:type="dxa"/>
                  <w:vAlign w:val="center"/>
                </w:tcPr>
                <w:p w14:paraId="30F01D97">
                  <w:pPr>
                    <w:jc w:val="center"/>
                    <w:rPr>
                      <w:rFonts w:ascii="Times New Roman" w:hAnsi="Times New Roman" w:cs="Times New Roman"/>
                      <w:szCs w:val="21"/>
                    </w:rPr>
                  </w:pPr>
                  <w:r>
                    <w:rPr>
                      <w:rFonts w:ascii="Times New Roman" w:hAnsi="Times New Roman" w:cs="Times New Roman"/>
                      <w:szCs w:val="21"/>
                    </w:rPr>
                    <w:t>噪声</w:t>
                  </w:r>
                </w:p>
              </w:tc>
              <w:tc>
                <w:tcPr>
                  <w:tcW w:w="1560" w:type="dxa"/>
                  <w:vAlign w:val="center"/>
                </w:tcPr>
                <w:p w14:paraId="0BD9250A">
                  <w:pPr>
                    <w:jc w:val="center"/>
                    <w:rPr>
                      <w:rFonts w:ascii="Times New Roman" w:hAnsi="Times New Roman" w:cs="Times New Roman"/>
                      <w:szCs w:val="21"/>
                    </w:rPr>
                  </w:pPr>
                  <w:r>
                    <w:rPr>
                      <w:rFonts w:ascii="Times New Roman" w:hAnsi="Times New Roman" w:cs="Times New Roman"/>
                      <w:szCs w:val="21"/>
                    </w:rPr>
                    <w:t>LeqdB（A）</w:t>
                  </w:r>
                </w:p>
              </w:tc>
              <w:tc>
                <w:tcPr>
                  <w:tcW w:w="2489" w:type="dxa"/>
                  <w:vAlign w:val="center"/>
                </w:tcPr>
                <w:p w14:paraId="0BA1F5A4">
                  <w:pPr>
                    <w:jc w:val="center"/>
                    <w:rPr>
                      <w:rFonts w:ascii="Times New Roman" w:hAnsi="Times New Roman" w:cs="Times New Roman"/>
                      <w:szCs w:val="21"/>
                    </w:rPr>
                  </w:pPr>
                  <w:r>
                    <w:rPr>
                      <w:rFonts w:hint="eastAsia" w:ascii="Times New Roman" w:hAnsi="Times New Roman" w:cs="Times New Roman"/>
                      <w:szCs w:val="21"/>
                    </w:rPr>
                    <w:t>基础减振，建筑隔声。</w:t>
                  </w:r>
                </w:p>
              </w:tc>
            </w:tr>
            <w:tr w14:paraId="1622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restart"/>
                  <w:vAlign w:val="center"/>
                </w:tcPr>
                <w:p w14:paraId="21F04957">
                  <w:pPr>
                    <w:jc w:val="center"/>
                    <w:rPr>
                      <w:rFonts w:ascii="Times New Roman" w:hAnsi="Times New Roman" w:cs="Times New Roman"/>
                      <w:szCs w:val="21"/>
                    </w:rPr>
                  </w:pPr>
                  <w:r>
                    <w:rPr>
                      <w:rFonts w:ascii="Times New Roman" w:hAnsi="Times New Roman" w:cs="Times New Roman"/>
                      <w:szCs w:val="21"/>
                    </w:rPr>
                    <w:t>固废</w:t>
                  </w:r>
                </w:p>
              </w:tc>
              <w:tc>
                <w:tcPr>
                  <w:tcW w:w="1053" w:type="dxa"/>
                  <w:vAlign w:val="center"/>
                </w:tcPr>
                <w:p w14:paraId="67B41209">
                  <w:pPr>
                    <w:jc w:val="center"/>
                    <w:rPr>
                      <w:rFonts w:ascii="Times New Roman" w:hAnsi="Times New Roman" w:cs="Times New Roman"/>
                      <w:szCs w:val="21"/>
                    </w:rPr>
                  </w:pPr>
                  <w:r>
                    <w:rPr>
                      <w:rFonts w:ascii="Times New Roman" w:hAnsi="Times New Roman" w:cs="Times New Roman"/>
                      <w:szCs w:val="21"/>
                    </w:rPr>
                    <w:t>S1</w:t>
                  </w:r>
                </w:p>
              </w:tc>
              <w:tc>
                <w:tcPr>
                  <w:tcW w:w="1323" w:type="dxa"/>
                  <w:vAlign w:val="center"/>
                </w:tcPr>
                <w:p w14:paraId="3DD4C960">
                  <w:pPr>
                    <w:jc w:val="center"/>
                    <w:rPr>
                      <w:rFonts w:ascii="Times New Roman" w:hAnsi="Times New Roman" w:cs="Times New Roman"/>
                      <w:bCs/>
                      <w:szCs w:val="21"/>
                    </w:rPr>
                  </w:pPr>
                  <w:r>
                    <w:rPr>
                      <w:rFonts w:hint="eastAsia" w:ascii="Times New Roman" w:hAnsi="Times New Roman" w:cs="Times New Roman"/>
                      <w:bCs/>
                      <w:szCs w:val="21"/>
                    </w:rPr>
                    <w:t>锅炉</w:t>
                  </w:r>
                </w:p>
              </w:tc>
              <w:tc>
                <w:tcPr>
                  <w:tcW w:w="1278" w:type="dxa"/>
                  <w:vAlign w:val="center"/>
                </w:tcPr>
                <w:p w14:paraId="02AC6714">
                  <w:pPr>
                    <w:jc w:val="center"/>
                    <w:rPr>
                      <w:rFonts w:ascii="Times New Roman" w:hAnsi="Times New Roman" w:cs="Times New Roman"/>
                      <w:szCs w:val="21"/>
                    </w:rPr>
                  </w:pPr>
                  <w:r>
                    <w:rPr>
                      <w:rFonts w:hint="eastAsia" w:ascii="Times New Roman" w:hAnsi="Times New Roman" w:cs="Times New Roman"/>
                      <w:bCs/>
                      <w:szCs w:val="21"/>
                    </w:rPr>
                    <w:t>炉渣</w:t>
                  </w:r>
                </w:p>
              </w:tc>
              <w:tc>
                <w:tcPr>
                  <w:tcW w:w="1560" w:type="dxa"/>
                  <w:vAlign w:val="center"/>
                </w:tcPr>
                <w:p w14:paraId="358D8FE1">
                  <w:pPr>
                    <w:jc w:val="center"/>
                    <w:rPr>
                      <w:rFonts w:ascii="Times New Roman" w:hAnsi="Times New Roman" w:cs="Times New Roman"/>
                      <w:szCs w:val="21"/>
                    </w:rPr>
                  </w:pPr>
                  <w:r>
                    <w:rPr>
                      <w:rFonts w:hint="eastAsia" w:ascii="Times New Roman" w:hAnsi="Times New Roman" w:cs="Times New Roman"/>
                      <w:szCs w:val="21"/>
                    </w:rPr>
                    <w:t>灰渣</w:t>
                  </w:r>
                </w:p>
              </w:tc>
              <w:tc>
                <w:tcPr>
                  <w:tcW w:w="2489" w:type="dxa"/>
                  <w:vAlign w:val="center"/>
                </w:tcPr>
                <w:p w14:paraId="5562DD11">
                  <w:pPr>
                    <w:jc w:val="center"/>
                    <w:rPr>
                      <w:rFonts w:ascii="Times New Roman" w:hAnsi="Times New Roman" w:cs="Times New Roman"/>
                      <w:szCs w:val="21"/>
                    </w:rPr>
                  </w:pPr>
                  <w:r>
                    <w:rPr>
                      <w:rFonts w:hint="eastAsia" w:ascii="Times New Roman" w:hAnsi="Times New Roman" w:cs="Times New Roman"/>
                      <w:szCs w:val="21"/>
                    </w:rPr>
                    <w:t>设专用封闭暂存间暂存，定期外售。</w:t>
                  </w:r>
                </w:p>
              </w:tc>
            </w:tr>
            <w:tr w14:paraId="62ED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61367AEB">
                  <w:pPr>
                    <w:jc w:val="center"/>
                    <w:rPr>
                      <w:rFonts w:ascii="Times New Roman" w:hAnsi="Times New Roman" w:cs="Times New Roman"/>
                      <w:szCs w:val="21"/>
                    </w:rPr>
                  </w:pPr>
                </w:p>
              </w:tc>
              <w:tc>
                <w:tcPr>
                  <w:tcW w:w="1053" w:type="dxa"/>
                  <w:vAlign w:val="center"/>
                </w:tcPr>
                <w:p w14:paraId="2A500D60">
                  <w:pPr>
                    <w:jc w:val="center"/>
                    <w:rPr>
                      <w:rFonts w:ascii="Times New Roman" w:hAnsi="Times New Roman" w:cs="Times New Roman"/>
                      <w:szCs w:val="21"/>
                    </w:rPr>
                  </w:pPr>
                  <w:r>
                    <w:rPr>
                      <w:rFonts w:ascii="Times New Roman" w:hAnsi="Times New Roman" w:cs="Times New Roman"/>
                      <w:szCs w:val="21"/>
                    </w:rPr>
                    <w:t>S2</w:t>
                  </w:r>
                </w:p>
              </w:tc>
              <w:tc>
                <w:tcPr>
                  <w:tcW w:w="1323" w:type="dxa"/>
                  <w:vAlign w:val="center"/>
                </w:tcPr>
                <w:p w14:paraId="264090CC">
                  <w:pPr>
                    <w:jc w:val="center"/>
                  </w:pPr>
                  <w:r>
                    <w:t>污水处理站</w:t>
                  </w:r>
                </w:p>
              </w:tc>
              <w:tc>
                <w:tcPr>
                  <w:tcW w:w="1278" w:type="dxa"/>
                  <w:vAlign w:val="center"/>
                </w:tcPr>
                <w:p w14:paraId="605FC1C6">
                  <w:pPr>
                    <w:jc w:val="center"/>
                    <w:rPr>
                      <w:rFonts w:ascii="Times New Roman" w:hAnsi="Times New Roman" w:cs="Times New Roman"/>
                      <w:szCs w:val="21"/>
                    </w:rPr>
                  </w:pPr>
                  <w:r>
                    <w:rPr>
                      <w:rFonts w:hint="eastAsia" w:ascii="Times New Roman" w:hAnsi="Times New Roman" w:cs="Times New Roman"/>
                      <w:szCs w:val="21"/>
                    </w:rPr>
                    <w:t>污泥</w:t>
                  </w:r>
                </w:p>
              </w:tc>
              <w:tc>
                <w:tcPr>
                  <w:tcW w:w="1560" w:type="dxa"/>
                  <w:vAlign w:val="center"/>
                </w:tcPr>
                <w:p w14:paraId="4513E55F">
                  <w:pPr>
                    <w:jc w:val="center"/>
                    <w:rPr>
                      <w:rFonts w:ascii="Times New Roman" w:hAnsi="Times New Roman" w:cs="Times New Roman"/>
                      <w:szCs w:val="21"/>
                    </w:rPr>
                  </w:pPr>
                  <w:r>
                    <w:rPr>
                      <w:rFonts w:hint="eastAsia" w:ascii="Times New Roman" w:hAnsi="Times New Roman" w:cs="Times New Roman"/>
                      <w:szCs w:val="21"/>
                    </w:rPr>
                    <w:t>污泥</w:t>
                  </w:r>
                </w:p>
              </w:tc>
              <w:tc>
                <w:tcPr>
                  <w:tcW w:w="2489" w:type="dxa"/>
                  <w:vAlign w:val="center"/>
                </w:tcPr>
                <w:p w14:paraId="7BB72C09">
                  <w:pPr>
                    <w:jc w:val="center"/>
                    <w:rPr>
                      <w:rFonts w:ascii="Times New Roman" w:hAnsi="Times New Roman" w:cs="Times New Roman"/>
                      <w:szCs w:val="21"/>
                    </w:rPr>
                  </w:pPr>
                  <w:r>
                    <w:rPr>
                      <w:rFonts w:hint="eastAsia" w:ascii="Times New Roman" w:hAnsi="Times New Roman" w:cs="Times New Roman"/>
                      <w:szCs w:val="21"/>
                    </w:rPr>
                    <w:t>消毒，脱水后与生活垃圾一同处置。</w:t>
                  </w:r>
                </w:p>
              </w:tc>
            </w:tr>
            <w:tr w14:paraId="7ABD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03" w:type="dxa"/>
                  <w:vMerge w:val="continue"/>
                  <w:vAlign w:val="center"/>
                </w:tcPr>
                <w:p w14:paraId="4873DB4B">
                  <w:pPr>
                    <w:jc w:val="center"/>
                    <w:rPr>
                      <w:rFonts w:ascii="Times New Roman" w:hAnsi="Times New Roman" w:cs="Times New Roman"/>
                      <w:szCs w:val="21"/>
                    </w:rPr>
                  </w:pPr>
                </w:p>
              </w:tc>
              <w:tc>
                <w:tcPr>
                  <w:tcW w:w="1053" w:type="dxa"/>
                  <w:vAlign w:val="center"/>
                </w:tcPr>
                <w:p w14:paraId="10320252">
                  <w:pPr>
                    <w:jc w:val="center"/>
                    <w:rPr>
                      <w:rFonts w:ascii="Times New Roman" w:hAnsi="Times New Roman" w:cs="Times New Roman"/>
                      <w:szCs w:val="21"/>
                    </w:rPr>
                  </w:pPr>
                  <w:r>
                    <w:rPr>
                      <w:rFonts w:ascii="Times New Roman" w:hAnsi="Times New Roman" w:cs="Times New Roman"/>
                      <w:szCs w:val="21"/>
                    </w:rPr>
                    <w:t>S3</w:t>
                  </w:r>
                </w:p>
              </w:tc>
              <w:tc>
                <w:tcPr>
                  <w:tcW w:w="1323" w:type="dxa"/>
                  <w:vAlign w:val="center"/>
                </w:tcPr>
                <w:p w14:paraId="3A5AC665">
                  <w:pPr>
                    <w:jc w:val="center"/>
                    <w:rPr>
                      <w:rFonts w:ascii="Times New Roman" w:hAnsi="Times New Roman" w:cs="Times New Roman"/>
                      <w:szCs w:val="21"/>
                    </w:rPr>
                  </w:pPr>
                  <w:r>
                    <w:t>隔油池</w:t>
                  </w:r>
                </w:p>
              </w:tc>
              <w:tc>
                <w:tcPr>
                  <w:tcW w:w="1278" w:type="dxa"/>
                  <w:vAlign w:val="center"/>
                </w:tcPr>
                <w:p w14:paraId="235CFDE6">
                  <w:pPr>
                    <w:jc w:val="center"/>
                    <w:rPr>
                      <w:rFonts w:ascii="Times New Roman" w:hAnsi="Times New Roman" w:cs="Times New Roman"/>
                      <w:szCs w:val="21"/>
                    </w:rPr>
                  </w:pPr>
                  <w:r>
                    <w:t>废油脂</w:t>
                  </w:r>
                </w:p>
              </w:tc>
              <w:tc>
                <w:tcPr>
                  <w:tcW w:w="1560" w:type="dxa"/>
                  <w:vAlign w:val="center"/>
                </w:tcPr>
                <w:p w14:paraId="26303435">
                  <w:pPr>
                    <w:jc w:val="center"/>
                    <w:rPr>
                      <w:rFonts w:ascii="Times New Roman" w:hAnsi="Times New Roman" w:cs="Times New Roman"/>
                      <w:szCs w:val="21"/>
                    </w:rPr>
                  </w:pPr>
                  <w:r>
                    <w:t>废油脂</w:t>
                  </w:r>
                </w:p>
              </w:tc>
              <w:tc>
                <w:tcPr>
                  <w:tcW w:w="2489" w:type="dxa"/>
                  <w:vAlign w:val="center"/>
                </w:tcPr>
                <w:p w14:paraId="369A843F">
                  <w:pPr>
                    <w:jc w:val="center"/>
                    <w:rPr>
                      <w:rFonts w:ascii="Times New Roman" w:hAnsi="Times New Roman" w:cs="Times New Roman"/>
                      <w:szCs w:val="21"/>
                    </w:rPr>
                  </w:pPr>
                  <w:r>
                    <w:t>收集后全部进入化制罐内化制后作为生物柴油原料外售</w:t>
                  </w:r>
                  <w:r>
                    <w:rPr>
                      <w:rFonts w:hint="eastAsia"/>
                    </w:rPr>
                    <w:t>。</w:t>
                  </w:r>
                </w:p>
              </w:tc>
            </w:tr>
            <w:tr w14:paraId="579C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6C86F51D">
                  <w:pPr>
                    <w:jc w:val="center"/>
                    <w:rPr>
                      <w:rFonts w:ascii="Times New Roman" w:hAnsi="Times New Roman" w:cs="Times New Roman"/>
                      <w:szCs w:val="21"/>
                    </w:rPr>
                  </w:pPr>
                </w:p>
              </w:tc>
              <w:tc>
                <w:tcPr>
                  <w:tcW w:w="1053" w:type="dxa"/>
                  <w:vAlign w:val="center"/>
                </w:tcPr>
                <w:p w14:paraId="29407531">
                  <w:pPr>
                    <w:jc w:val="center"/>
                    <w:rPr>
                      <w:rFonts w:ascii="Times New Roman" w:hAnsi="Times New Roman" w:cs="Times New Roman"/>
                      <w:szCs w:val="21"/>
                    </w:rPr>
                  </w:pPr>
                  <w:r>
                    <w:rPr>
                      <w:rFonts w:ascii="Times New Roman" w:hAnsi="Times New Roman" w:cs="Times New Roman"/>
                      <w:szCs w:val="21"/>
                    </w:rPr>
                    <w:t>S4</w:t>
                  </w:r>
                </w:p>
              </w:tc>
              <w:tc>
                <w:tcPr>
                  <w:tcW w:w="1323" w:type="dxa"/>
                  <w:vAlign w:val="center"/>
                </w:tcPr>
                <w:p w14:paraId="07930FE6">
                  <w:pPr>
                    <w:jc w:val="center"/>
                    <w:rPr>
                      <w:rFonts w:ascii="Times New Roman" w:hAnsi="Times New Roman" w:cs="Times New Roman"/>
                      <w:szCs w:val="21"/>
                    </w:rPr>
                  </w:pPr>
                  <w:r>
                    <w:rPr>
                      <w:rFonts w:hint="eastAsia"/>
                    </w:rPr>
                    <w:t>异味处理</w:t>
                  </w:r>
                </w:p>
              </w:tc>
              <w:tc>
                <w:tcPr>
                  <w:tcW w:w="1278" w:type="dxa"/>
                  <w:vAlign w:val="center"/>
                </w:tcPr>
                <w:p w14:paraId="2A576D0E">
                  <w:pPr>
                    <w:jc w:val="center"/>
                    <w:rPr>
                      <w:rFonts w:ascii="Times New Roman" w:hAnsi="Times New Roman" w:cs="Times New Roman"/>
                      <w:szCs w:val="21"/>
                    </w:rPr>
                  </w:pPr>
                  <w:r>
                    <w:rPr>
                      <w:rFonts w:hint="eastAsia"/>
                    </w:rPr>
                    <w:t>废活性炭</w:t>
                  </w:r>
                </w:p>
              </w:tc>
              <w:tc>
                <w:tcPr>
                  <w:tcW w:w="1560" w:type="dxa"/>
                  <w:vAlign w:val="center"/>
                </w:tcPr>
                <w:p w14:paraId="145EB5C2">
                  <w:pPr>
                    <w:jc w:val="center"/>
                    <w:rPr>
                      <w:rFonts w:ascii="Times New Roman" w:hAnsi="Times New Roman" w:cs="Times New Roman"/>
                      <w:szCs w:val="21"/>
                    </w:rPr>
                  </w:pPr>
                  <w:r>
                    <w:rPr>
                      <w:rFonts w:hint="eastAsia"/>
                    </w:rPr>
                    <w:t>废活性炭</w:t>
                  </w:r>
                </w:p>
              </w:tc>
              <w:tc>
                <w:tcPr>
                  <w:tcW w:w="2489" w:type="dxa"/>
                  <w:vAlign w:val="center"/>
                </w:tcPr>
                <w:p w14:paraId="745D87BC">
                  <w:pPr>
                    <w:jc w:val="center"/>
                    <w:rPr>
                      <w:rFonts w:ascii="Times New Roman" w:hAnsi="Times New Roman" w:cs="Times New Roman"/>
                      <w:szCs w:val="21"/>
                    </w:rPr>
                  </w:pPr>
                  <w:r>
                    <w:rPr>
                      <w:rFonts w:hint="eastAsia" w:ascii="Times New Roman" w:hAnsi="Times New Roman" w:cs="Times New Roman"/>
                      <w:szCs w:val="21"/>
                    </w:rPr>
                    <w:t>厂家回收</w:t>
                  </w:r>
                </w:p>
              </w:tc>
            </w:tr>
            <w:tr w14:paraId="54A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3D207E69">
                  <w:pPr>
                    <w:jc w:val="center"/>
                    <w:rPr>
                      <w:rFonts w:ascii="Times New Roman" w:hAnsi="Times New Roman" w:cs="Times New Roman"/>
                      <w:szCs w:val="21"/>
                    </w:rPr>
                  </w:pPr>
                </w:p>
              </w:tc>
              <w:tc>
                <w:tcPr>
                  <w:tcW w:w="1053" w:type="dxa"/>
                  <w:vAlign w:val="center"/>
                </w:tcPr>
                <w:p w14:paraId="352E0C2E">
                  <w:pPr>
                    <w:jc w:val="center"/>
                    <w:rPr>
                      <w:rFonts w:ascii="Times New Roman" w:hAnsi="Times New Roman" w:cs="Times New Roman"/>
                      <w:szCs w:val="21"/>
                      <w:highlight w:val="yellow"/>
                    </w:rPr>
                  </w:pPr>
                  <w:r>
                    <w:rPr>
                      <w:rFonts w:ascii="Times New Roman" w:hAnsi="Times New Roman" w:cs="Times New Roman"/>
                      <w:szCs w:val="21"/>
                    </w:rPr>
                    <w:t>S5</w:t>
                  </w:r>
                </w:p>
              </w:tc>
              <w:tc>
                <w:tcPr>
                  <w:tcW w:w="1323" w:type="dxa"/>
                  <w:vAlign w:val="center"/>
                </w:tcPr>
                <w:p w14:paraId="6F764EB3">
                  <w:pPr>
                    <w:jc w:val="center"/>
                    <w:rPr>
                      <w:highlight w:val="yellow"/>
                    </w:rPr>
                  </w:pPr>
                  <w:r>
                    <w:rPr>
                      <w:rFonts w:hint="eastAsia" w:ascii="Times New Roman" w:hAnsi="Times New Roman" w:cs="Times New Roman"/>
                      <w:szCs w:val="21"/>
                    </w:rPr>
                    <w:t>机修</w:t>
                  </w:r>
                </w:p>
              </w:tc>
              <w:tc>
                <w:tcPr>
                  <w:tcW w:w="1278" w:type="dxa"/>
                  <w:vAlign w:val="center"/>
                </w:tcPr>
                <w:p w14:paraId="432454C4">
                  <w:pPr>
                    <w:jc w:val="center"/>
                    <w:rPr>
                      <w:rFonts w:ascii="Times New Roman" w:hAnsi="Times New Roman" w:cs="Times New Roman"/>
                      <w:szCs w:val="21"/>
                      <w:highlight w:val="yellow"/>
                    </w:rPr>
                  </w:pPr>
                  <w:r>
                    <w:rPr>
                      <w:rFonts w:hint="eastAsia" w:ascii="Times New Roman" w:hAnsi="Times New Roman" w:cs="Times New Roman"/>
                      <w:szCs w:val="21"/>
                    </w:rPr>
                    <w:t>废机油</w:t>
                  </w:r>
                </w:p>
              </w:tc>
              <w:tc>
                <w:tcPr>
                  <w:tcW w:w="1560" w:type="dxa"/>
                  <w:vAlign w:val="center"/>
                </w:tcPr>
                <w:p w14:paraId="24DB700D">
                  <w:pPr>
                    <w:jc w:val="center"/>
                    <w:rPr>
                      <w:rFonts w:ascii="Times New Roman" w:hAnsi="Times New Roman" w:cs="Times New Roman"/>
                      <w:szCs w:val="21"/>
                      <w:highlight w:val="yellow"/>
                    </w:rPr>
                  </w:pPr>
                  <w:r>
                    <w:rPr>
                      <w:rFonts w:hint="eastAsia" w:ascii="Times New Roman" w:hAnsi="Times New Roman" w:cs="Times New Roman"/>
                      <w:szCs w:val="21"/>
                    </w:rPr>
                    <w:t>废机油</w:t>
                  </w:r>
                </w:p>
              </w:tc>
              <w:tc>
                <w:tcPr>
                  <w:tcW w:w="2489" w:type="dxa"/>
                  <w:vAlign w:val="center"/>
                </w:tcPr>
                <w:p w14:paraId="1E3E86A9">
                  <w:pPr>
                    <w:jc w:val="center"/>
                    <w:rPr>
                      <w:rFonts w:ascii="Times New Roman" w:hAnsi="Times New Roman" w:cs="Times New Roman"/>
                      <w:szCs w:val="21"/>
                    </w:rPr>
                  </w:pPr>
                  <w:r>
                    <w:t>暂存于危废暂存间，委托有资质的单位处置</w:t>
                  </w:r>
                </w:p>
              </w:tc>
            </w:tr>
            <w:tr w14:paraId="3BAF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41DD8351">
                  <w:pPr>
                    <w:jc w:val="center"/>
                    <w:rPr>
                      <w:rFonts w:ascii="Times New Roman" w:hAnsi="Times New Roman" w:cs="Times New Roman"/>
                      <w:szCs w:val="21"/>
                    </w:rPr>
                  </w:pPr>
                </w:p>
              </w:tc>
              <w:tc>
                <w:tcPr>
                  <w:tcW w:w="1053" w:type="dxa"/>
                  <w:vAlign w:val="center"/>
                </w:tcPr>
                <w:p w14:paraId="7D024D5F">
                  <w:pPr>
                    <w:jc w:val="center"/>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6</w:t>
                  </w:r>
                </w:p>
              </w:tc>
              <w:tc>
                <w:tcPr>
                  <w:tcW w:w="1323" w:type="dxa"/>
                  <w:vAlign w:val="center"/>
                </w:tcPr>
                <w:p w14:paraId="35F21E42">
                  <w:pPr>
                    <w:jc w:val="center"/>
                    <w:rPr>
                      <w:rFonts w:ascii="Times New Roman" w:hAnsi="Times New Roman" w:cs="Times New Roman"/>
                      <w:szCs w:val="21"/>
                    </w:rPr>
                  </w:pPr>
                  <w:r>
                    <w:rPr>
                      <w:rFonts w:hint="eastAsia" w:ascii="Times New Roman" w:hAnsi="Times New Roman" w:cs="Times New Roman"/>
                      <w:szCs w:val="21"/>
                    </w:rPr>
                    <w:t>脱硫塔</w:t>
                  </w:r>
                </w:p>
              </w:tc>
              <w:tc>
                <w:tcPr>
                  <w:tcW w:w="1278" w:type="dxa"/>
                  <w:vAlign w:val="center"/>
                </w:tcPr>
                <w:p w14:paraId="102CB769">
                  <w:pPr>
                    <w:jc w:val="center"/>
                    <w:rPr>
                      <w:rFonts w:ascii="Times New Roman" w:hAnsi="Times New Roman" w:cs="Times New Roman"/>
                      <w:szCs w:val="21"/>
                    </w:rPr>
                  </w:pPr>
                  <w:r>
                    <w:rPr>
                      <w:rFonts w:hint="eastAsia" w:ascii="Times New Roman" w:hAnsi="Times New Roman" w:cs="Times New Roman"/>
                      <w:szCs w:val="21"/>
                    </w:rPr>
                    <w:t>脱硫渣</w:t>
                  </w:r>
                </w:p>
              </w:tc>
              <w:tc>
                <w:tcPr>
                  <w:tcW w:w="1560" w:type="dxa"/>
                  <w:vAlign w:val="center"/>
                </w:tcPr>
                <w:p w14:paraId="30CBF655">
                  <w:pPr>
                    <w:jc w:val="center"/>
                    <w:rPr>
                      <w:rFonts w:ascii="Times New Roman" w:hAnsi="Times New Roman" w:cs="Times New Roman"/>
                      <w:szCs w:val="21"/>
                    </w:rPr>
                  </w:pPr>
                  <w:r>
                    <w:rPr>
                      <w:rFonts w:hint="eastAsia" w:ascii="Times New Roman" w:hAnsi="Times New Roman" w:cs="Times New Roman"/>
                      <w:szCs w:val="21"/>
                    </w:rPr>
                    <w:t>硫酸钙</w:t>
                  </w:r>
                </w:p>
              </w:tc>
              <w:tc>
                <w:tcPr>
                  <w:tcW w:w="2489" w:type="dxa"/>
                  <w:vAlign w:val="center"/>
                </w:tcPr>
                <w:p w14:paraId="3F8BE181">
                  <w:pPr>
                    <w:jc w:val="center"/>
                    <w:rPr>
                      <w:rFonts w:ascii="Times New Roman" w:hAnsi="Times New Roman" w:cs="Times New Roman"/>
                      <w:szCs w:val="21"/>
                    </w:rPr>
                  </w:pPr>
                  <w:r>
                    <w:rPr>
                      <w:rFonts w:hint="eastAsia" w:ascii="Times New Roman" w:hAnsi="Times New Roman" w:cs="Times New Roman"/>
                      <w:szCs w:val="21"/>
                    </w:rPr>
                    <w:t>定期外售</w:t>
                  </w:r>
                </w:p>
              </w:tc>
            </w:tr>
            <w:tr w14:paraId="1F8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722BA1CA">
                  <w:pPr>
                    <w:jc w:val="center"/>
                    <w:rPr>
                      <w:rFonts w:ascii="Times New Roman" w:hAnsi="Times New Roman" w:cs="Times New Roman"/>
                      <w:szCs w:val="21"/>
                    </w:rPr>
                  </w:pPr>
                </w:p>
              </w:tc>
              <w:tc>
                <w:tcPr>
                  <w:tcW w:w="1053" w:type="dxa"/>
                  <w:vAlign w:val="center"/>
                </w:tcPr>
                <w:p w14:paraId="0132F5B8">
                  <w:pPr>
                    <w:jc w:val="center"/>
                    <w:rPr>
                      <w:rFonts w:ascii="Times New Roman" w:hAnsi="Times New Roman" w:cs="Times New Roman"/>
                      <w:szCs w:val="21"/>
                    </w:rPr>
                  </w:pPr>
                  <w:r>
                    <w:rPr>
                      <w:rFonts w:ascii="Times New Roman" w:hAnsi="Times New Roman" w:cs="Times New Roman"/>
                      <w:szCs w:val="21"/>
                    </w:rPr>
                    <w:t>S7</w:t>
                  </w:r>
                </w:p>
              </w:tc>
              <w:tc>
                <w:tcPr>
                  <w:tcW w:w="1323" w:type="dxa"/>
                  <w:vAlign w:val="center"/>
                </w:tcPr>
                <w:p w14:paraId="3A7582E8">
                  <w:pPr>
                    <w:jc w:val="center"/>
                    <w:rPr>
                      <w:rFonts w:ascii="Times New Roman" w:hAnsi="Times New Roman" w:cs="Times New Roman"/>
                      <w:szCs w:val="21"/>
                    </w:rPr>
                  </w:pPr>
                  <w:r>
                    <w:t>职工生活</w:t>
                  </w:r>
                </w:p>
              </w:tc>
              <w:tc>
                <w:tcPr>
                  <w:tcW w:w="1278" w:type="dxa"/>
                  <w:vAlign w:val="center"/>
                </w:tcPr>
                <w:p w14:paraId="16E8DA85">
                  <w:pPr>
                    <w:jc w:val="center"/>
                    <w:rPr>
                      <w:rFonts w:ascii="Times New Roman" w:hAnsi="Times New Roman" w:cs="Times New Roman"/>
                      <w:szCs w:val="21"/>
                    </w:rPr>
                  </w:pPr>
                  <w:r>
                    <w:rPr>
                      <w:rFonts w:hint="eastAsia" w:ascii="Times New Roman" w:hAnsi="Times New Roman" w:cs="Times New Roman"/>
                      <w:szCs w:val="21"/>
                    </w:rPr>
                    <w:t>生活垃圾</w:t>
                  </w:r>
                </w:p>
              </w:tc>
              <w:tc>
                <w:tcPr>
                  <w:tcW w:w="1560" w:type="dxa"/>
                  <w:vAlign w:val="center"/>
                </w:tcPr>
                <w:p w14:paraId="6D87E4C0">
                  <w:pPr>
                    <w:jc w:val="center"/>
                    <w:rPr>
                      <w:rFonts w:ascii="Times New Roman" w:hAnsi="Times New Roman" w:cs="Times New Roman"/>
                      <w:szCs w:val="21"/>
                    </w:rPr>
                  </w:pPr>
                  <w:r>
                    <w:rPr>
                      <w:rFonts w:hint="eastAsia" w:ascii="Times New Roman" w:hAnsi="Times New Roman" w:cs="Times New Roman"/>
                      <w:szCs w:val="21"/>
                    </w:rPr>
                    <w:t>塑料、纸屑、食物残渣等</w:t>
                  </w:r>
                </w:p>
              </w:tc>
              <w:tc>
                <w:tcPr>
                  <w:tcW w:w="2489" w:type="dxa"/>
                  <w:vAlign w:val="center"/>
                </w:tcPr>
                <w:p w14:paraId="1274C34C">
                  <w:pPr>
                    <w:jc w:val="center"/>
                  </w:pPr>
                  <w:r>
                    <w:rPr>
                      <w:rFonts w:hint="eastAsia" w:ascii="Times New Roman" w:hAnsi="Times New Roman" w:cs="Times New Roman"/>
                      <w:szCs w:val="21"/>
                    </w:rPr>
                    <w:t>设垃圾桶统一收集后，按环卫部门要求处置</w:t>
                  </w:r>
                </w:p>
              </w:tc>
            </w:tr>
            <w:tr w14:paraId="6FA9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34AE9829">
                  <w:pPr>
                    <w:jc w:val="center"/>
                    <w:rPr>
                      <w:rFonts w:ascii="Times New Roman" w:hAnsi="Times New Roman" w:cs="Times New Roman"/>
                      <w:szCs w:val="21"/>
                    </w:rPr>
                  </w:pPr>
                </w:p>
              </w:tc>
              <w:tc>
                <w:tcPr>
                  <w:tcW w:w="1053" w:type="dxa"/>
                  <w:vAlign w:val="center"/>
                </w:tcPr>
                <w:p w14:paraId="2240D463">
                  <w:pPr>
                    <w:jc w:val="center"/>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8</w:t>
                  </w:r>
                </w:p>
              </w:tc>
              <w:tc>
                <w:tcPr>
                  <w:tcW w:w="1323" w:type="dxa"/>
                  <w:vAlign w:val="center"/>
                </w:tcPr>
                <w:p w14:paraId="3F98B6F2">
                  <w:pPr>
                    <w:jc w:val="center"/>
                  </w:pPr>
                  <w:r>
                    <w:rPr>
                      <w:rFonts w:hint="eastAsia"/>
                    </w:rPr>
                    <w:t>食堂</w:t>
                  </w:r>
                </w:p>
              </w:tc>
              <w:tc>
                <w:tcPr>
                  <w:tcW w:w="1278" w:type="dxa"/>
                  <w:vAlign w:val="center"/>
                </w:tcPr>
                <w:p w14:paraId="7AC2F734">
                  <w:pPr>
                    <w:jc w:val="center"/>
                    <w:rPr>
                      <w:rFonts w:ascii="Times New Roman" w:hAnsi="Times New Roman" w:cs="Times New Roman"/>
                      <w:szCs w:val="21"/>
                    </w:rPr>
                  </w:pPr>
                  <w:r>
                    <w:rPr>
                      <w:rFonts w:hint="eastAsia"/>
                    </w:rPr>
                    <w:t>泔水</w:t>
                  </w:r>
                </w:p>
              </w:tc>
              <w:tc>
                <w:tcPr>
                  <w:tcW w:w="1560" w:type="dxa"/>
                  <w:vAlign w:val="center"/>
                </w:tcPr>
                <w:p w14:paraId="24FDBD47">
                  <w:pPr>
                    <w:jc w:val="center"/>
                    <w:rPr>
                      <w:rFonts w:ascii="Times New Roman" w:hAnsi="Times New Roman" w:cs="Times New Roman"/>
                      <w:szCs w:val="21"/>
                    </w:rPr>
                  </w:pPr>
                  <w:r>
                    <w:rPr>
                      <w:rFonts w:hint="eastAsia" w:ascii="Times New Roman" w:hAnsi="Times New Roman" w:cs="Times New Roman"/>
                      <w:szCs w:val="21"/>
                    </w:rPr>
                    <w:t>食物残渣</w:t>
                  </w:r>
                </w:p>
              </w:tc>
              <w:tc>
                <w:tcPr>
                  <w:tcW w:w="2489" w:type="dxa"/>
                  <w:vAlign w:val="center"/>
                </w:tcPr>
                <w:p w14:paraId="0818B7C3">
                  <w:pPr>
                    <w:jc w:val="center"/>
                    <w:rPr>
                      <w:rFonts w:ascii="Times New Roman" w:hAnsi="Times New Roman" w:cs="Times New Roman"/>
                      <w:szCs w:val="21"/>
                    </w:rPr>
                  </w:pPr>
                  <w:r>
                    <w:rPr>
                      <w:rFonts w:hint="eastAsia" w:ascii="Times New Roman" w:hAnsi="Times New Roman" w:cs="Times New Roman"/>
                      <w:szCs w:val="21"/>
                    </w:rPr>
                    <w:t>按要求处置</w:t>
                  </w:r>
                </w:p>
              </w:tc>
            </w:tr>
            <w:tr w14:paraId="3C97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3" w:type="dxa"/>
                  <w:vMerge w:val="continue"/>
                  <w:vAlign w:val="center"/>
                </w:tcPr>
                <w:p w14:paraId="0CA68AD7">
                  <w:pPr>
                    <w:jc w:val="center"/>
                    <w:rPr>
                      <w:rFonts w:ascii="Times New Roman" w:hAnsi="Times New Roman" w:cs="Times New Roman"/>
                      <w:szCs w:val="21"/>
                    </w:rPr>
                  </w:pPr>
                </w:p>
              </w:tc>
              <w:tc>
                <w:tcPr>
                  <w:tcW w:w="1053" w:type="dxa"/>
                  <w:vAlign w:val="center"/>
                </w:tcPr>
                <w:p w14:paraId="0C8DDBF4">
                  <w:pPr>
                    <w:jc w:val="center"/>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9</w:t>
                  </w:r>
                </w:p>
              </w:tc>
              <w:tc>
                <w:tcPr>
                  <w:tcW w:w="1323" w:type="dxa"/>
                  <w:vAlign w:val="center"/>
                </w:tcPr>
                <w:p w14:paraId="758E1D7F">
                  <w:pPr>
                    <w:jc w:val="center"/>
                  </w:pPr>
                  <w:r>
                    <w:rPr>
                      <w:rFonts w:hint="eastAsia"/>
                    </w:rPr>
                    <w:t>包装运输</w:t>
                  </w:r>
                </w:p>
              </w:tc>
              <w:tc>
                <w:tcPr>
                  <w:tcW w:w="1278" w:type="dxa"/>
                  <w:vAlign w:val="center"/>
                </w:tcPr>
                <w:p w14:paraId="76E89C5E">
                  <w:pPr>
                    <w:jc w:val="center"/>
                  </w:pPr>
                  <w:r>
                    <w:rPr>
                      <w:rFonts w:hint="eastAsia"/>
                    </w:rPr>
                    <w:t>包装袋</w:t>
                  </w:r>
                </w:p>
              </w:tc>
              <w:tc>
                <w:tcPr>
                  <w:tcW w:w="1560" w:type="dxa"/>
                  <w:vAlign w:val="center"/>
                </w:tcPr>
                <w:p w14:paraId="5B1463D1">
                  <w:pPr>
                    <w:jc w:val="center"/>
                    <w:rPr>
                      <w:rFonts w:ascii="Times New Roman" w:hAnsi="Times New Roman" w:cs="Times New Roman"/>
                      <w:szCs w:val="21"/>
                    </w:rPr>
                  </w:pPr>
                  <w:r>
                    <w:rPr>
                      <w:rFonts w:hint="eastAsia" w:ascii="Times New Roman" w:hAnsi="Times New Roman" w:cs="Times New Roman"/>
                      <w:szCs w:val="21"/>
                    </w:rPr>
                    <w:t>塑料</w:t>
                  </w:r>
                </w:p>
              </w:tc>
              <w:tc>
                <w:tcPr>
                  <w:tcW w:w="2489" w:type="dxa"/>
                  <w:vAlign w:val="center"/>
                </w:tcPr>
                <w:p w14:paraId="4E0FAED1">
                  <w:pPr>
                    <w:jc w:val="center"/>
                    <w:rPr>
                      <w:rFonts w:ascii="Times New Roman" w:hAnsi="Times New Roman" w:cs="Times New Roman"/>
                      <w:szCs w:val="21"/>
                    </w:rPr>
                  </w:pPr>
                  <w:r>
                    <w:rPr>
                      <w:rFonts w:hint="eastAsia" w:ascii="Times New Roman" w:hAnsi="Times New Roman" w:cs="Times New Roman"/>
                      <w:szCs w:val="21"/>
                    </w:rPr>
                    <w:t>回收利用</w:t>
                  </w:r>
                </w:p>
              </w:tc>
            </w:tr>
            <w:bookmarkEnd w:id="38"/>
          </w:tbl>
          <w:p w14:paraId="398E74C4">
            <w:pPr>
              <w:pStyle w:val="10"/>
              <w:ind w:left="0" w:right="105" w:rightChars="50" w:firstLine="240" w:firstLineChars="100"/>
              <w:jc w:val="center"/>
              <w:rPr>
                <w:rFonts w:ascii="Times New Roman" w:hAnsi="Times New Roman" w:cs="Times New Roman"/>
              </w:rPr>
            </w:pPr>
            <w:bookmarkStart w:id="39" w:name="_Hlk96891363"/>
            <w:bookmarkStart w:id="40" w:name="_Hlk97286067"/>
          </w:p>
          <w:p w14:paraId="6551576F">
            <w:pPr>
              <w:pStyle w:val="10"/>
              <w:spacing w:line="360" w:lineRule="auto"/>
              <w:ind w:left="0" w:right="105" w:rightChars="50" w:firstLine="240" w:firstLineChars="100"/>
              <w:rPr>
                <w:rFonts w:ascii="Times New Roman" w:hAnsi="Times New Roman" w:cs="Times New Roman"/>
                <w:lang w:val="en-US"/>
              </w:rPr>
            </w:pPr>
            <w:r>
              <w:rPr>
                <w:rFonts w:hint="eastAsia" w:ascii="Times New Roman" w:hAnsi="Times New Roman" w:cs="Times New Roman"/>
              </w:rPr>
              <w:t>一、</w:t>
            </w:r>
            <w:r>
              <w:rPr>
                <w:rFonts w:ascii="Times New Roman" w:hAnsi="Times New Roman" w:cs="Times New Roman"/>
              </w:rPr>
              <w:t>水污染源分析</w:t>
            </w:r>
          </w:p>
          <w:p w14:paraId="61CB14AD">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废水</w:t>
            </w:r>
          </w:p>
          <w:p w14:paraId="5B76850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hint="eastAsia" w:ascii="Times New Roman" w:hAnsi="Times New Roman" w:cs="Times New Roman"/>
                <w:bCs/>
              </w:rPr>
              <w:t>消毒废水（W</w:t>
            </w:r>
            <w:r>
              <w:rPr>
                <w:rFonts w:ascii="Times New Roman" w:hAnsi="Times New Roman" w:cs="Times New Roman"/>
                <w:bCs/>
              </w:rPr>
              <w:t>1</w:t>
            </w:r>
            <w:r>
              <w:rPr>
                <w:rFonts w:hint="eastAsia" w:ascii="Times New Roman" w:hAnsi="Times New Roman" w:cs="Times New Roman"/>
                <w:bCs/>
              </w:rPr>
              <w:t>）</w:t>
            </w:r>
          </w:p>
          <w:p w14:paraId="7AB1B96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本项目消毒废水</w:t>
            </w:r>
            <w:r>
              <w:rPr>
                <w:rFonts w:hint="eastAsia" w:ascii="Times New Roman" w:hAnsi="Times New Roman" w:cs="Times New Roman"/>
                <w:bCs/>
              </w:rPr>
              <w:t>主要来自</w:t>
            </w:r>
            <w:r>
              <w:rPr>
                <w:rFonts w:ascii="Times New Roman" w:hAnsi="Times New Roman" w:cs="Times New Roman"/>
                <w:bCs/>
              </w:rPr>
              <w:t>车辆</w:t>
            </w:r>
            <w:r>
              <w:rPr>
                <w:rFonts w:ascii="Times New Roman" w:hAnsi="Times New Roman" w:cs="Times New Roman"/>
              </w:rPr>
              <w:t>喷淋</w:t>
            </w:r>
            <w:r>
              <w:rPr>
                <w:rFonts w:hint="eastAsia" w:ascii="Times New Roman" w:hAnsi="Times New Roman" w:cs="Times New Roman"/>
              </w:rPr>
              <w:t>消毒通道，设消毒池收集，循环使用不排放。消毒废水主要污染物是</w:t>
            </w:r>
            <w:r>
              <w:rPr>
                <w:rFonts w:ascii="Times New Roman" w:hAnsi="Times New Roman" w:cs="Times New Roman"/>
                <w:szCs w:val="21"/>
              </w:rPr>
              <w:t>COD、SS、</w:t>
            </w:r>
            <w:r>
              <w:rPr>
                <w:rFonts w:hint="eastAsia" w:ascii="Times New Roman" w:hAnsi="Times New Roman" w:cs="Times New Roman"/>
                <w:szCs w:val="21"/>
              </w:rPr>
              <w:t>动植物油等。</w:t>
            </w:r>
          </w:p>
          <w:p w14:paraId="2AD142C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工艺废水</w:t>
            </w:r>
            <w:r>
              <w:rPr>
                <w:rFonts w:hint="eastAsia" w:ascii="Times New Roman" w:hAnsi="Times New Roman" w:cs="Times New Roman"/>
                <w:bCs/>
              </w:rPr>
              <w:t>（W</w:t>
            </w:r>
            <w:r>
              <w:rPr>
                <w:rFonts w:ascii="Times New Roman" w:hAnsi="Times New Roman" w:cs="Times New Roman"/>
                <w:bCs/>
              </w:rPr>
              <w:t>2</w:t>
            </w:r>
            <w:r>
              <w:rPr>
                <w:rFonts w:hint="eastAsia" w:ascii="Times New Roman" w:hAnsi="Times New Roman" w:cs="Times New Roman"/>
                <w:bCs/>
              </w:rPr>
              <w:t>）</w:t>
            </w:r>
          </w:p>
          <w:p w14:paraId="11F4B24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工艺废水主要来源于病死动物自身带水、血液等</w:t>
            </w:r>
            <w:r>
              <w:rPr>
                <w:rFonts w:hint="eastAsia" w:ascii="Times New Roman" w:hAnsi="Times New Roman" w:cs="Times New Roman"/>
                <w:bCs/>
              </w:rPr>
              <w:t>，在化制、干燥过程</w:t>
            </w:r>
            <w:r>
              <w:rPr>
                <w:rFonts w:ascii="Times New Roman" w:hAnsi="Times New Roman" w:cs="Times New Roman"/>
                <w:bCs/>
              </w:rPr>
              <w:t>中水分大部分蒸发</w:t>
            </w:r>
            <w:r>
              <w:rPr>
                <w:rFonts w:hint="eastAsia" w:ascii="Times New Roman" w:hAnsi="Times New Roman" w:cs="Times New Roman"/>
                <w:bCs/>
              </w:rPr>
              <w:t>形成</w:t>
            </w:r>
            <w:r>
              <w:rPr>
                <w:rFonts w:ascii="Times New Roman" w:hAnsi="Times New Roman" w:cs="Times New Roman"/>
                <w:bCs/>
              </w:rPr>
              <w:t>污蒸汽，少部分随副产品骨肉料带走</w:t>
            </w:r>
            <w:r>
              <w:rPr>
                <w:rFonts w:hint="eastAsia" w:ascii="Times New Roman" w:hAnsi="Times New Roman" w:cs="Times New Roman"/>
                <w:bCs/>
              </w:rPr>
              <w:t>。生成的污蒸汽</w:t>
            </w:r>
            <w:r>
              <w:rPr>
                <w:rFonts w:ascii="Times New Roman" w:hAnsi="Times New Roman" w:cs="Times New Roman"/>
                <w:bCs/>
              </w:rPr>
              <w:t>采用冷凝器进行冷凝，</w:t>
            </w:r>
            <w:r>
              <w:rPr>
                <w:rFonts w:hint="eastAsia" w:ascii="Times New Roman" w:hAnsi="Times New Roman" w:cs="Times New Roman"/>
                <w:bCs/>
              </w:rPr>
              <w:t>其中大部分凝结成污水，少部分随废气进入废气处理系统。</w:t>
            </w:r>
          </w:p>
          <w:p w14:paraId="727CC02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拟建项目病死畜禽尸体年设计处理量 3000t/a，含水</w:t>
            </w:r>
            <w:r>
              <w:rPr>
                <w:rFonts w:hint="eastAsia" w:ascii="Times New Roman" w:hAnsi="Times New Roman" w:cs="Times New Roman"/>
                <w:bCs/>
              </w:rPr>
              <w:t>量</w:t>
            </w:r>
            <w:r>
              <w:rPr>
                <w:rFonts w:ascii="Times New Roman" w:hAnsi="Times New Roman" w:cs="Times New Roman"/>
                <w:bCs/>
              </w:rPr>
              <w:t>约为2100m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7.0m</w:t>
            </w:r>
            <w:r>
              <w:rPr>
                <w:rFonts w:ascii="Times New Roman" w:hAnsi="Times New Roman" w:cs="Times New Roman"/>
                <w:bCs/>
                <w:vertAlign w:val="superscript"/>
              </w:rPr>
              <w:t>3</w:t>
            </w:r>
            <w:r>
              <w:rPr>
                <w:rFonts w:ascii="Times New Roman" w:hAnsi="Times New Roman" w:cs="Times New Roman"/>
                <w:bCs/>
              </w:rPr>
              <w:t>/d。污蒸汽中含水量</w:t>
            </w:r>
            <w:r>
              <w:rPr>
                <w:rFonts w:hint="eastAsia" w:ascii="Times New Roman" w:hAnsi="Times New Roman" w:cs="Times New Roman"/>
                <w:bCs/>
              </w:rPr>
              <w:t>约</w:t>
            </w:r>
            <w:r>
              <w:rPr>
                <w:rFonts w:ascii="Times New Roman" w:hAnsi="Times New Roman" w:cs="Times New Roman"/>
                <w:bCs/>
              </w:rPr>
              <w:t>为2064m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，折合</w:t>
            </w:r>
            <w:r>
              <w:rPr>
                <w:rFonts w:ascii="Times New Roman" w:hAnsi="Times New Roman" w:cs="Times New Roman"/>
                <w:bCs/>
              </w:rPr>
              <w:t>6.88m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bookmarkStart w:id="41" w:name="_Hlk100867861"/>
            <w:r>
              <w:rPr>
                <w:rFonts w:ascii="Times New Roman" w:hAnsi="Times New Roman" w:cs="Times New Roman"/>
                <w:bCs/>
              </w:rPr>
              <w:t>污冷凝水产生量约为1857m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6.19m</w:t>
            </w:r>
            <w:r>
              <w:rPr>
                <w:rFonts w:ascii="Times New Roman" w:hAnsi="Times New Roman" w:cs="Times New Roman"/>
                <w:bCs/>
                <w:vertAlign w:val="superscript"/>
              </w:rPr>
              <w:t>3</w:t>
            </w:r>
            <w:r>
              <w:rPr>
                <w:rFonts w:ascii="Times New Roman" w:hAnsi="Times New Roman" w:cs="Times New Roman"/>
                <w:bCs/>
              </w:rPr>
              <w:t>/d。该部分废水经一个10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的地埋式暂存罐收集、暂存，进入</w:t>
            </w:r>
            <w:r>
              <w:rPr>
                <w:rFonts w:hint="eastAsia" w:ascii="Times New Roman" w:hAnsi="Times New Roman" w:cs="Times New Roman"/>
                <w:bCs/>
              </w:rPr>
              <w:t>厂区</w:t>
            </w:r>
            <w:r>
              <w:rPr>
                <w:rFonts w:ascii="Times New Roman" w:hAnsi="Times New Roman" w:cs="Times New Roman"/>
                <w:bCs/>
              </w:rPr>
              <w:t>污水处理站处理。</w:t>
            </w:r>
          </w:p>
          <w:bookmarkEnd w:id="41"/>
          <w:p w14:paraId="725842BD">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冷凝污水中主要污染物为：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4</w:t>
            </w:r>
            <w:r>
              <w:rPr>
                <w:rFonts w:ascii="Times New Roman" w:hAnsi="Times New Roman" w:cs="Times New Roman"/>
                <w:szCs w:val="21"/>
              </w:rPr>
              <w:t>-N</w:t>
            </w:r>
            <w:r>
              <w:rPr>
                <w:rFonts w:hint="eastAsia" w:ascii="Times New Roman" w:hAnsi="Times New Roman" w:cs="Times New Roman"/>
                <w:szCs w:val="21"/>
              </w:rPr>
              <w:t>、动植物油等。</w:t>
            </w:r>
          </w:p>
          <w:p w14:paraId="7059624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hint="eastAsia" w:ascii="Times New Roman" w:hAnsi="Times New Roman" w:cs="Times New Roman"/>
                <w:bCs/>
              </w:rPr>
              <w:t>冲洗废水（W</w:t>
            </w:r>
            <w:r>
              <w:rPr>
                <w:rFonts w:ascii="Times New Roman" w:hAnsi="Times New Roman" w:cs="Times New Roman"/>
                <w:bCs/>
              </w:rPr>
              <w:t>3</w:t>
            </w:r>
            <w:r>
              <w:rPr>
                <w:rFonts w:hint="eastAsia" w:ascii="Times New Roman" w:hAnsi="Times New Roman" w:cs="Times New Roman"/>
                <w:bCs/>
              </w:rPr>
              <w:t>）</w:t>
            </w:r>
          </w:p>
          <w:p w14:paraId="0398F2D6">
            <w:pPr>
              <w:pStyle w:val="10"/>
              <w:spacing w:line="360" w:lineRule="auto"/>
              <w:ind w:left="105" w:leftChars="50" w:right="105" w:rightChars="50" w:firstLine="240" w:firstLineChars="100"/>
              <w:rPr>
                <w:rFonts w:ascii="Times New Roman" w:hAnsi="Times New Roman" w:cs="Times New Roman"/>
                <w:bCs/>
              </w:rPr>
            </w:pPr>
            <w:r>
              <w:rPr>
                <w:rFonts w:hint="eastAsia"/>
              </w:rPr>
              <w:t>主要来自</w:t>
            </w:r>
            <w:r>
              <w:t>车间地面</w:t>
            </w:r>
            <w:r>
              <w:rPr>
                <w:rFonts w:hint="eastAsia"/>
              </w:rPr>
              <w:t>冲洗</w:t>
            </w:r>
            <w:r>
              <w:t>、设备</w:t>
            </w:r>
            <w:r>
              <w:rPr>
                <w:rFonts w:hint="eastAsia"/>
              </w:rPr>
              <w:t>冲洗和</w:t>
            </w:r>
            <w:r>
              <w:t>车辆清洗</w:t>
            </w:r>
            <w:r>
              <w:rPr>
                <w:rFonts w:hint="eastAsia"/>
              </w:rPr>
              <w:t>，收集后均送</w:t>
            </w:r>
            <w:r>
              <w:rPr>
                <w:rFonts w:ascii="Times New Roman" w:hAnsi="Times New Roman" w:cs="Times New Roman"/>
                <w:bCs/>
              </w:rPr>
              <w:t>污水处理站处理。</w:t>
            </w:r>
          </w:p>
          <w:p w14:paraId="502AE867">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rPr>
              <w:t>其中，</w:t>
            </w:r>
            <w:r>
              <w:rPr>
                <w:rFonts w:ascii="Times New Roman" w:hAnsi="Times New Roman" w:cs="Times New Roman"/>
                <w:bCs/>
              </w:rPr>
              <w:t>生产设备清洗废水量为0.16m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48m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，车</w:t>
            </w:r>
            <w:r>
              <w:rPr>
                <w:rFonts w:ascii="Times New Roman" w:hAnsi="Times New Roman" w:cs="Times New Roman"/>
                <w:bCs/>
              </w:rPr>
              <w:t>间地面清洗废水量为2.7m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810m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运输车辆</w:t>
            </w:r>
            <w:r>
              <w:rPr>
                <w:rFonts w:hint="eastAsia" w:ascii="Times New Roman" w:hAnsi="Times New Roman" w:cs="Times New Roman"/>
                <w:bCs/>
              </w:rPr>
              <w:t>清洗</w:t>
            </w:r>
            <w:r>
              <w:rPr>
                <w:rFonts w:ascii="Times New Roman" w:hAnsi="Times New Roman" w:cs="Times New Roman"/>
                <w:bCs/>
              </w:rPr>
              <w:t>废水量为0.45m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135m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，共计3</w:t>
            </w:r>
            <w:r>
              <w:rPr>
                <w:rFonts w:ascii="Times New Roman" w:hAnsi="Times New Roman" w:cs="Times New Roman"/>
                <w:bCs/>
              </w:rPr>
              <w:t>.31m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993m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。冲洗废水主要污染物为：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4</w:t>
            </w:r>
            <w:r>
              <w:rPr>
                <w:rFonts w:ascii="Times New Roman" w:hAnsi="Times New Roman" w:cs="Times New Roman"/>
                <w:szCs w:val="21"/>
              </w:rPr>
              <w:t>-N</w:t>
            </w:r>
            <w:r>
              <w:rPr>
                <w:rFonts w:hint="eastAsia" w:ascii="Times New Roman" w:hAnsi="Times New Roman" w:cs="Times New Roman"/>
                <w:szCs w:val="21"/>
              </w:rPr>
              <w:t>、动植物油等。</w:t>
            </w:r>
          </w:p>
          <w:p w14:paraId="166DC7B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冷却塔</w:t>
            </w:r>
            <w:r>
              <w:rPr>
                <w:rFonts w:hint="eastAsia" w:ascii="Times New Roman" w:hAnsi="Times New Roman" w:cs="Times New Roman"/>
                <w:bCs/>
              </w:rPr>
              <w:t>（W</w:t>
            </w:r>
            <w:r>
              <w:rPr>
                <w:rFonts w:ascii="Times New Roman" w:hAnsi="Times New Roman" w:cs="Times New Roman"/>
                <w:bCs/>
              </w:rPr>
              <w:t>4</w:t>
            </w:r>
            <w:r>
              <w:rPr>
                <w:rFonts w:hint="eastAsia" w:ascii="Times New Roman" w:hAnsi="Times New Roman" w:cs="Times New Roman"/>
                <w:bCs/>
              </w:rPr>
              <w:t>）</w:t>
            </w:r>
          </w:p>
          <w:p w14:paraId="78AADAF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项目冷却塔循环水循环一定时间后，</w:t>
            </w:r>
            <w:r>
              <w:rPr>
                <w:rFonts w:hint="eastAsia" w:ascii="Times New Roman" w:hAnsi="Times New Roman" w:cs="Times New Roman"/>
                <w:bCs/>
              </w:rPr>
              <w:t>水中</w:t>
            </w:r>
            <w:r>
              <w:rPr>
                <w:rFonts w:ascii="Times New Roman" w:hAnsi="Times New Roman" w:cs="Times New Roman"/>
                <w:bCs/>
              </w:rPr>
              <w:t>盐类成分增加，需定期</w:t>
            </w:r>
            <w:r>
              <w:rPr>
                <w:rFonts w:hint="eastAsia" w:ascii="Times New Roman" w:hAnsi="Times New Roman" w:cs="Times New Roman"/>
                <w:bCs/>
              </w:rPr>
              <w:t>置换部分循环水。</w:t>
            </w:r>
          </w:p>
          <w:p w14:paraId="5A91EF8D">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根据建设单位提供资料，拟每</w:t>
            </w:r>
            <w:r>
              <w:rPr>
                <w:rFonts w:ascii="Times New Roman" w:hAnsi="Times New Roman" w:cs="Times New Roman"/>
                <w:bCs/>
              </w:rPr>
              <w:t>一个月</w:t>
            </w:r>
            <w:r>
              <w:rPr>
                <w:rFonts w:hint="eastAsia" w:ascii="Times New Roman" w:hAnsi="Times New Roman" w:cs="Times New Roman"/>
                <w:bCs/>
              </w:rPr>
              <w:t>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r>
              <w:rPr>
                <w:rFonts w:hint="eastAsia" w:ascii="Times New Roman" w:hAnsi="Times New Roman" w:cs="Times New Roman"/>
                <w:bCs/>
              </w:rPr>
              <w:t>，形成冲洗废水，最终进入污水处理站处理。</w:t>
            </w:r>
          </w:p>
          <w:p w14:paraId="65A0B24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bCs/>
              </w:rPr>
              <w:t>冷却塔排水主要污染物为：</w:t>
            </w:r>
            <w:r>
              <w:rPr>
                <w:rFonts w:ascii="Times New Roman" w:hAnsi="Times New Roman" w:cs="Times New Roman"/>
                <w:szCs w:val="21"/>
              </w:rPr>
              <w:t>COD、SS、</w:t>
            </w:r>
            <w:r>
              <w:rPr>
                <w:rFonts w:hint="eastAsia" w:ascii="Times New Roman" w:hAnsi="Times New Roman" w:cs="Times New Roman"/>
                <w:szCs w:val="21"/>
              </w:rPr>
              <w:t>全盐量。</w:t>
            </w:r>
          </w:p>
          <w:p w14:paraId="138A39A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w:t>
            </w:r>
            <w:r>
              <w:rPr>
                <w:rFonts w:hint="eastAsia" w:ascii="Times New Roman" w:hAnsi="Times New Roman" w:cs="Times New Roman"/>
                <w:bCs/>
              </w:rPr>
              <w:t>废水（W</w:t>
            </w:r>
            <w:r>
              <w:rPr>
                <w:rFonts w:ascii="Times New Roman" w:hAnsi="Times New Roman" w:cs="Times New Roman"/>
                <w:bCs/>
              </w:rPr>
              <w:t>5</w:t>
            </w:r>
            <w:r>
              <w:rPr>
                <w:rFonts w:hint="eastAsia" w:ascii="Times New Roman" w:hAnsi="Times New Roman" w:cs="Times New Roman"/>
                <w:bCs/>
              </w:rPr>
              <w:t>）</w:t>
            </w:r>
          </w:p>
          <w:p w14:paraId="70BAF107">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项目酸碱喷淋</w:t>
            </w:r>
            <w:r>
              <w:rPr>
                <w:rFonts w:hint="eastAsia" w:ascii="Times New Roman" w:hAnsi="Times New Roman" w:cs="Times New Roman"/>
                <w:bCs/>
              </w:rPr>
              <w:t>系统内在水量为2</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，日循环水量为</w:t>
            </w:r>
            <w:r>
              <w:rPr>
                <w:rFonts w:ascii="Times New Roman" w:hAnsi="Times New Roman" w:cs="Times New Roman"/>
                <w:bCs/>
              </w:rPr>
              <w:t>128m</w:t>
            </w:r>
            <w:r>
              <w:rPr>
                <w:rFonts w:ascii="Times New Roman" w:hAnsi="Times New Roman" w:cs="Times New Roman"/>
                <w:bCs/>
                <w:vertAlign w:val="superscript"/>
              </w:rPr>
              <w:t>3</w:t>
            </w:r>
            <w:r>
              <w:rPr>
                <w:rFonts w:ascii="Times New Roman" w:hAnsi="Times New Roman" w:cs="Times New Roman"/>
                <w:bCs/>
              </w:rPr>
              <w:t>，</w:t>
            </w:r>
            <w:r>
              <w:rPr>
                <w:rFonts w:hint="eastAsia" w:ascii="Times New Roman" w:hAnsi="Times New Roman" w:cs="Times New Roman"/>
                <w:bCs/>
              </w:rPr>
              <w:t>喷淋系统</w:t>
            </w:r>
            <w:r>
              <w:rPr>
                <w:rFonts w:ascii="Times New Roman" w:hAnsi="Times New Roman" w:cs="Times New Roman"/>
                <w:bCs/>
              </w:rPr>
              <w:t>每天需补充新鲜水</w:t>
            </w:r>
            <w:r>
              <w:rPr>
                <w:rFonts w:hint="eastAsia" w:ascii="Times New Roman" w:hAnsi="Times New Roman" w:cs="Times New Roman"/>
                <w:bCs/>
              </w:rPr>
              <w:t>为</w:t>
            </w:r>
            <w:r>
              <w:rPr>
                <w:rFonts w:ascii="Times New Roman" w:hAnsi="Times New Roman" w:cs="Times New Roman"/>
                <w:bCs/>
              </w:rPr>
              <w:t>6.4m</w:t>
            </w:r>
            <w:r>
              <w:rPr>
                <w:rFonts w:ascii="Times New Roman" w:hAnsi="Times New Roman" w:cs="Times New Roman"/>
                <w:bCs/>
                <w:vertAlign w:val="superscript"/>
              </w:rPr>
              <w:t>3</w:t>
            </w:r>
            <w:r>
              <w:rPr>
                <w:rFonts w:hint="eastAsia" w:ascii="Times New Roman" w:hAnsi="Times New Roman" w:cs="Times New Roman"/>
                <w:bCs/>
              </w:rPr>
              <w:t>，蒸发水分由</w:t>
            </w:r>
            <w:r>
              <w:rPr>
                <w:rFonts w:ascii="Times New Roman" w:hAnsi="Times New Roman" w:cs="Times New Roman"/>
                <w:bCs/>
              </w:rPr>
              <w:t>新鲜水</w:t>
            </w:r>
            <w:r>
              <w:rPr>
                <w:rFonts w:hint="eastAsia" w:ascii="Times New Roman" w:hAnsi="Times New Roman" w:cs="Times New Roman"/>
                <w:bCs/>
              </w:rPr>
              <w:t>补充，整个过程中无废水产生</w:t>
            </w:r>
            <w:r>
              <w:rPr>
                <w:rFonts w:ascii="Times New Roman" w:hAnsi="Times New Roman" w:cs="Times New Roman"/>
                <w:bCs/>
              </w:rPr>
              <w:t>。</w:t>
            </w:r>
          </w:p>
          <w:p w14:paraId="20E9E06E">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本项目采用的喷淋系统为全封闭金属塔结构，采取抗酸碱腐蚀处理，喷淋液添加柠檬酸或Na</w:t>
            </w:r>
            <w:r>
              <w:rPr>
                <w:rFonts w:ascii="Times New Roman" w:hAnsi="Times New Roman" w:cs="Times New Roman"/>
                <w:bCs/>
              </w:rPr>
              <w:t>OH</w:t>
            </w:r>
            <w:r>
              <w:rPr>
                <w:rFonts w:hint="eastAsia" w:ascii="Times New Roman" w:hAnsi="Times New Roman" w:cs="Times New Roman"/>
                <w:bCs/>
              </w:rPr>
              <w:t>再生后循环使用。</w:t>
            </w:r>
          </w:p>
          <w:p w14:paraId="21DDF20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检验废水</w:t>
            </w:r>
            <w:r>
              <w:rPr>
                <w:rFonts w:hint="eastAsia" w:ascii="Times New Roman" w:hAnsi="Times New Roman" w:cs="Times New Roman"/>
                <w:bCs/>
              </w:rPr>
              <w:t>（W</w:t>
            </w:r>
            <w:r>
              <w:rPr>
                <w:rFonts w:ascii="Times New Roman" w:hAnsi="Times New Roman" w:cs="Times New Roman"/>
                <w:bCs/>
              </w:rPr>
              <w:t>6</w:t>
            </w:r>
            <w:r>
              <w:rPr>
                <w:rFonts w:hint="eastAsia" w:ascii="Times New Roman" w:hAnsi="Times New Roman" w:cs="Times New Roman"/>
                <w:bCs/>
              </w:rPr>
              <w:t>）</w:t>
            </w:r>
          </w:p>
          <w:p w14:paraId="465D3FB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项目检验室检验废水产生量约为0.1m</w:t>
            </w:r>
            <w:r>
              <w:rPr>
                <w:rFonts w:ascii="Times New Roman" w:hAnsi="Times New Roman" w:cs="Times New Roman"/>
                <w:bCs/>
                <w:vertAlign w:val="superscript"/>
              </w:rPr>
              <w:t>3</w:t>
            </w:r>
            <w:r>
              <w:rPr>
                <w:rFonts w:ascii="Times New Roman" w:hAnsi="Times New Roman" w:cs="Times New Roman"/>
                <w:bCs/>
              </w:rPr>
              <w:t>/d，该部分废水</w:t>
            </w:r>
            <w:r>
              <w:rPr>
                <w:rFonts w:hint="eastAsia" w:ascii="Times New Roman" w:hAnsi="Times New Roman" w:cs="Times New Roman"/>
                <w:bCs/>
              </w:rPr>
              <w:t>采用</w:t>
            </w:r>
            <w:r>
              <w:rPr>
                <w:rFonts w:ascii="Times New Roman" w:hAnsi="Times New Roman" w:cs="Times New Roman"/>
                <w:bCs/>
              </w:rPr>
              <w:t>收集桶收集，进行酸碱中和预处理后进入污水处理站处理。</w:t>
            </w:r>
          </w:p>
          <w:p w14:paraId="2B1840B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bCs/>
              </w:rPr>
              <w:t>检验废水</w:t>
            </w:r>
            <w:r>
              <w:rPr>
                <w:rFonts w:hint="eastAsia" w:ascii="Times New Roman" w:hAnsi="Times New Roman" w:cs="Times New Roman"/>
                <w:bCs/>
              </w:rPr>
              <w:t>主要污染物为：</w:t>
            </w:r>
            <w:r>
              <w:rPr>
                <w:rFonts w:hint="eastAsia" w:ascii="Times New Roman" w:hAnsi="Times New Roman" w:cs="Times New Roman"/>
                <w:szCs w:val="21"/>
              </w:rPr>
              <w:t>p</w:t>
            </w:r>
            <w:r>
              <w:rPr>
                <w:rFonts w:ascii="Times New Roman" w:hAnsi="Times New Roman" w:cs="Times New Roman"/>
                <w:szCs w:val="21"/>
              </w:rPr>
              <w:t>H</w:t>
            </w:r>
            <w:r>
              <w:rPr>
                <w:rFonts w:hint="eastAsia" w:ascii="Times New Roman" w:hAnsi="Times New Roman" w:cs="Times New Roman"/>
                <w:szCs w:val="21"/>
              </w:rPr>
              <w:t>、</w:t>
            </w:r>
            <w:r>
              <w:rPr>
                <w:rFonts w:ascii="Times New Roman" w:hAnsi="Times New Roman" w:cs="Times New Roman"/>
                <w:szCs w:val="21"/>
              </w:rPr>
              <w:t>COD、SS、NH</w:t>
            </w:r>
            <w:r>
              <w:rPr>
                <w:rFonts w:ascii="Times New Roman" w:hAnsi="Times New Roman" w:cs="Times New Roman"/>
                <w:szCs w:val="21"/>
                <w:vertAlign w:val="subscript"/>
              </w:rPr>
              <w:t>4</w:t>
            </w:r>
            <w:r>
              <w:rPr>
                <w:rFonts w:ascii="Times New Roman" w:hAnsi="Times New Roman" w:cs="Times New Roman"/>
                <w:szCs w:val="21"/>
              </w:rPr>
              <w:t>-N</w:t>
            </w:r>
            <w:r>
              <w:rPr>
                <w:rFonts w:hint="eastAsia" w:ascii="Times New Roman" w:hAnsi="Times New Roman" w:cs="Times New Roman"/>
                <w:szCs w:val="21"/>
              </w:rPr>
              <w:t>等。</w:t>
            </w:r>
          </w:p>
          <w:p w14:paraId="7724995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7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⑦</w:t>
            </w:r>
            <w:r>
              <w:rPr>
                <w:rFonts w:ascii="Times New Roman" w:hAnsi="Times New Roman" w:cs="Times New Roman"/>
                <w:szCs w:val="21"/>
              </w:rPr>
              <w:fldChar w:fldCharType="end"/>
            </w:r>
            <w:r>
              <w:rPr>
                <w:rFonts w:ascii="Times New Roman" w:hAnsi="Times New Roman" w:cs="Times New Roman"/>
                <w:bCs/>
              </w:rPr>
              <w:t>水膜除尘器</w:t>
            </w:r>
            <w:r>
              <w:rPr>
                <w:rFonts w:hint="eastAsia" w:ascii="Times New Roman" w:hAnsi="Times New Roman" w:cs="Times New Roman"/>
                <w:bCs/>
              </w:rPr>
              <w:t>废水（W</w:t>
            </w:r>
            <w:r>
              <w:rPr>
                <w:rFonts w:ascii="Times New Roman" w:hAnsi="Times New Roman" w:cs="Times New Roman"/>
                <w:bCs/>
              </w:rPr>
              <w:t>7</w:t>
            </w:r>
            <w:r>
              <w:rPr>
                <w:rFonts w:hint="eastAsia" w:ascii="Times New Roman" w:hAnsi="Times New Roman" w:cs="Times New Roman"/>
                <w:bCs/>
              </w:rPr>
              <w:t>）</w:t>
            </w:r>
          </w:p>
          <w:p w14:paraId="707F132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项目拟设置1套水膜除尘器处理锅炉烟气，除尘后的废水经配套循环水池收集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w:t>
            </w:r>
          </w:p>
          <w:p w14:paraId="60638ADC">
            <w:pPr>
              <w:pStyle w:val="10"/>
              <w:spacing w:line="360" w:lineRule="auto"/>
              <w:ind w:left="105" w:leftChars="50" w:right="105" w:rightChars="50" w:firstLine="240" w:firstLineChars="1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8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⑧</w:t>
            </w:r>
            <w:r>
              <w:rPr>
                <w:rFonts w:ascii="Times New Roman" w:hAnsi="Times New Roman" w:cs="Times New Roman"/>
                <w:szCs w:val="21"/>
              </w:rPr>
              <w:fldChar w:fldCharType="end"/>
            </w:r>
            <w:r>
              <w:rPr>
                <w:rFonts w:hint="eastAsia" w:ascii="Times New Roman" w:hAnsi="Times New Roman" w:cs="Times New Roman"/>
                <w:szCs w:val="21"/>
              </w:rPr>
              <w:t>职工生活（W</w:t>
            </w:r>
            <w:r>
              <w:rPr>
                <w:rFonts w:ascii="Times New Roman" w:hAnsi="Times New Roman" w:cs="Times New Roman"/>
                <w:szCs w:val="21"/>
              </w:rPr>
              <w:t>9</w:t>
            </w:r>
            <w:r>
              <w:rPr>
                <w:rFonts w:hint="eastAsia" w:ascii="Times New Roman" w:hAnsi="Times New Roman" w:cs="Times New Roman"/>
                <w:szCs w:val="21"/>
              </w:rPr>
              <w:t>）</w:t>
            </w:r>
          </w:p>
          <w:p w14:paraId="2274AA33">
            <w:pPr>
              <w:pStyle w:val="10"/>
              <w:spacing w:line="360" w:lineRule="auto"/>
              <w:ind w:left="105" w:leftChars="50" w:right="105" w:rightChars="50" w:firstLine="240" w:firstLineChars="100"/>
              <w:rPr>
                <w:rFonts w:ascii="Times New Roman" w:hAnsi="Times New Roman" w:cs="Times New Roman"/>
                <w:szCs w:val="21"/>
              </w:rPr>
            </w:pPr>
            <w:r>
              <w:rPr>
                <w:rFonts w:ascii="Times New Roman" w:hAnsi="Times New Roman" w:cs="Times New Roman"/>
                <w:szCs w:val="21"/>
              </w:rPr>
              <w:t>项目生活</w:t>
            </w:r>
            <w:r>
              <w:rPr>
                <w:rFonts w:hint="eastAsia" w:ascii="Times New Roman" w:hAnsi="Times New Roman" w:cs="Times New Roman"/>
                <w:szCs w:val="21"/>
              </w:rPr>
              <w:t>污水产生量约为</w:t>
            </w:r>
            <w:r>
              <w:rPr>
                <w:rFonts w:ascii="Times New Roman" w:hAnsi="Times New Roman" w:cs="Times New Roman"/>
                <w:szCs w:val="21"/>
              </w:rPr>
              <w:t>2.38m</w:t>
            </w:r>
            <w:r>
              <w:rPr>
                <w:rFonts w:ascii="Times New Roman" w:hAnsi="Times New Roman" w:cs="Times New Roman"/>
                <w:szCs w:val="21"/>
                <w:vertAlign w:val="superscript"/>
              </w:rPr>
              <w:t>3</w:t>
            </w:r>
            <w:r>
              <w:rPr>
                <w:rFonts w:ascii="Times New Roman" w:hAnsi="Times New Roman" w:cs="Times New Roman"/>
                <w:szCs w:val="21"/>
              </w:rPr>
              <w:t>/d、712.8m</w:t>
            </w:r>
            <w:r>
              <w:rPr>
                <w:rFonts w:ascii="Times New Roman" w:hAnsi="Times New Roman" w:cs="Times New Roman"/>
                <w:szCs w:val="21"/>
                <w:vertAlign w:val="superscript"/>
              </w:rPr>
              <w:t>3</w:t>
            </w:r>
            <w:r>
              <w:rPr>
                <w:rFonts w:ascii="Times New Roman" w:hAnsi="Times New Roman" w:cs="Times New Roman"/>
                <w:szCs w:val="21"/>
              </w:rPr>
              <w:t>/a</w:t>
            </w:r>
            <w:r>
              <w:rPr>
                <w:rFonts w:hint="eastAsia" w:ascii="Times New Roman" w:hAnsi="Times New Roman" w:cs="Times New Roman"/>
                <w:szCs w:val="21"/>
              </w:rPr>
              <w:t>。其中，食堂废水量约为0</w:t>
            </w:r>
            <w:r>
              <w:rPr>
                <w:rFonts w:ascii="Times New Roman" w:hAnsi="Times New Roman" w:cs="Times New Roman"/>
                <w:szCs w:val="21"/>
              </w:rPr>
              <w:t>.22</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/d，其它生活污水量为2</w:t>
            </w:r>
            <w:r>
              <w:rPr>
                <w:rFonts w:ascii="Times New Roman" w:hAnsi="Times New Roman" w:cs="Times New Roman"/>
                <w:szCs w:val="21"/>
              </w:rPr>
              <w:t>.16</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/d。食堂废水</w:t>
            </w:r>
            <w:r>
              <w:rPr>
                <w:rFonts w:ascii="Times New Roman" w:hAnsi="Times New Roman" w:cs="Times New Roman"/>
                <w:szCs w:val="21"/>
              </w:rPr>
              <w:t>经0.1m</w:t>
            </w:r>
            <w:r>
              <w:rPr>
                <w:rFonts w:ascii="Times New Roman" w:hAnsi="Times New Roman" w:cs="Times New Roman"/>
                <w:szCs w:val="21"/>
                <w:vertAlign w:val="superscript"/>
              </w:rPr>
              <w:t>3</w:t>
            </w:r>
            <w:r>
              <w:rPr>
                <w:rFonts w:ascii="Times New Roman" w:hAnsi="Times New Roman" w:cs="Times New Roman"/>
                <w:szCs w:val="21"/>
              </w:rPr>
              <w:t>的隔油池</w:t>
            </w:r>
            <w:r>
              <w:rPr>
                <w:rFonts w:hint="eastAsia" w:ascii="Times New Roman" w:hAnsi="Times New Roman" w:cs="Times New Roman"/>
                <w:szCs w:val="21"/>
              </w:rPr>
              <w:t>预</w:t>
            </w:r>
            <w:r>
              <w:rPr>
                <w:rFonts w:ascii="Times New Roman" w:hAnsi="Times New Roman" w:cs="Times New Roman"/>
                <w:szCs w:val="21"/>
              </w:rPr>
              <w:t>处理后</w:t>
            </w:r>
            <w:r>
              <w:rPr>
                <w:rFonts w:hint="eastAsia" w:ascii="Times New Roman" w:hAnsi="Times New Roman" w:cs="Times New Roman"/>
                <w:szCs w:val="21"/>
              </w:rPr>
              <w:t>，与其它</w:t>
            </w:r>
            <w:r>
              <w:rPr>
                <w:rFonts w:ascii="Times New Roman" w:hAnsi="Times New Roman" w:cs="Times New Roman"/>
                <w:szCs w:val="21"/>
              </w:rPr>
              <w:t>生活污水一起进入5m</w:t>
            </w:r>
            <w:r>
              <w:rPr>
                <w:rFonts w:ascii="Times New Roman" w:hAnsi="Times New Roman" w:cs="Times New Roman"/>
                <w:szCs w:val="21"/>
                <w:vertAlign w:val="superscript"/>
              </w:rPr>
              <w:t>3</w:t>
            </w:r>
            <w:r>
              <w:rPr>
                <w:rFonts w:ascii="Times New Roman" w:hAnsi="Times New Roman" w:cs="Times New Roman"/>
                <w:szCs w:val="21"/>
              </w:rPr>
              <w:t>化粪池处理</w:t>
            </w:r>
            <w:r>
              <w:rPr>
                <w:rFonts w:hint="eastAsia" w:ascii="Times New Roman" w:hAnsi="Times New Roman" w:cs="Times New Roman"/>
                <w:szCs w:val="21"/>
              </w:rPr>
              <w:t>，然后</w:t>
            </w:r>
            <w:r>
              <w:rPr>
                <w:rFonts w:ascii="Times New Roman" w:hAnsi="Times New Roman" w:cs="Times New Roman"/>
                <w:szCs w:val="21"/>
              </w:rPr>
              <w:t>进入污水处理站</w:t>
            </w:r>
            <w:r>
              <w:rPr>
                <w:rFonts w:hint="eastAsia" w:ascii="Times New Roman" w:hAnsi="Times New Roman" w:cs="Times New Roman"/>
                <w:szCs w:val="21"/>
              </w:rPr>
              <w:t>进一步</w:t>
            </w:r>
            <w:r>
              <w:rPr>
                <w:rFonts w:ascii="Times New Roman" w:hAnsi="Times New Roman" w:cs="Times New Roman"/>
                <w:szCs w:val="21"/>
              </w:rPr>
              <w:t>处理。</w:t>
            </w:r>
          </w:p>
          <w:p w14:paraId="1F8C701F">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生活污水主要污染物为：</w:t>
            </w:r>
            <w:r>
              <w:rPr>
                <w:rFonts w:ascii="Times New Roman" w:hAnsi="Times New Roman" w:cs="Times New Roman"/>
                <w:szCs w:val="21"/>
              </w:rPr>
              <w:t>SS、CODCr、BOD</w:t>
            </w:r>
            <w:r>
              <w:rPr>
                <w:rFonts w:ascii="Times New Roman" w:hAnsi="Times New Roman" w:cs="Times New Roman"/>
                <w:szCs w:val="21"/>
                <w:vertAlign w:val="subscript"/>
              </w:rPr>
              <w:t>5</w:t>
            </w:r>
            <w:r>
              <w:rPr>
                <w:rFonts w:ascii="Times New Roman" w:hAnsi="Times New Roman" w:cs="Times New Roman"/>
                <w:szCs w:val="21"/>
              </w:rPr>
              <w:t>、氨氮等</w:t>
            </w:r>
            <w:r>
              <w:rPr>
                <w:rFonts w:hint="eastAsia" w:ascii="Times New Roman" w:hAnsi="Times New Roman" w:cs="Times New Roman"/>
                <w:szCs w:val="21"/>
              </w:rPr>
              <w:t>。</w:t>
            </w:r>
          </w:p>
          <w:p w14:paraId="1F07F6A1">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类比邢台市柏乡县病死动物无害化处理项目竣工环保验收监测报告（2</w:t>
            </w:r>
            <w:r>
              <w:rPr>
                <w:rFonts w:ascii="Times New Roman" w:hAnsi="Times New Roman" w:cs="Times New Roman"/>
                <w:szCs w:val="21"/>
              </w:rPr>
              <w:t>021</w:t>
            </w:r>
            <w:r>
              <w:rPr>
                <w:rFonts w:hint="eastAsia" w:ascii="Times New Roman" w:hAnsi="Times New Roman" w:cs="Times New Roman"/>
                <w:szCs w:val="21"/>
              </w:rPr>
              <w:t>年4月），污水处理站进口水质如下：</w:t>
            </w:r>
          </w:p>
          <w:p w14:paraId="2B483B5C">
            <w:pPr>
              <w:jc w:val="center"/>
              <w:rPr>
                <w:rFonts w:ascii="Times New Roman" w:hAnsi="Times New Roman" w:eastAsia="宋体" w:cs="Times New Roman"/>
                <w:b/>
                <w:szCs w:val="21"/>
              </w:rPr>
            </w:pPr>
            <w:r>
              <w:rPr>
                <w:rFonts w:ascii="Times New Roman" w:hAnsi="Times New Roman" w:eastAsia="宋体" w:cs="Times New Roman"/>
                <w:b/>
                <w:szCs w:val="21"/>
              </w:rPr>
              <w:t xml:space="preserve">表2-13    </w:t>
            </w:r>
            <w:r>
              <w:rPr>
                <w:rFonts w:hint="eastAsia" w:ascii="Times New Roman" w:hAnsi="Times New Roman" w:eastAsia="宋体" w:cs="Times New Roman"/>
                <w:b/>
                <w:szCs w:val="21"/>
              </w:rPr>
              <w:t xml:space="preserve">废水处理工艺进出水质表 </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单位：mg</w:t>
            </w:r>
            <w:r>
              <w:rPr>
                <w:rFonts w:ascii="Times New Roman" w:hAnsi="Times New Roman" w:eastAsia="宋体" w:cs="Times New Roman"/>
                <w:b/>
                <w:szCs w:val="21"/>
              </w:rPr>
              <w:t>/L</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021"/>
              <w:gridCol w:w="893"/>
              <w:gridCol w:w="907"/>
              <w:gridCol w:w="822"/>
              <w:gridCol w:w="927"/>
              <w:gridCol w:w="826"/>
              <w:gridCol w:w="826"/>
              <w:gridCol w:w="1384"/>
            </w:tblGrid>
            <w:tr w14:paraId="5E58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Merge w:val="restart"/>
                  <w:vAlign w:val="center"/>
                </w:tcPr>
                <w:p w14:paraId="33CC351C">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项目</w:t>
                  </w:r>
                </w:p>
              </w:tc>
              <w:tc>
                <w:tcPr>
                  <w:tcW w:w="7555" w:type="dxa"/>
                  <w:gridSpan w:val="8"/>
                  <w:vAlign w:val="center"/>
                </w:tcPr>
                <w:p w14:paraId="0477D58B">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污染物</w:t>
                  </w:r>
                </w:p>
              </w:tc>
            </w:tr>
            <w:tr w14:paraId="57E5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Merge w:val="continue"/>
                  <w:vAlign w:val="center"/>
                </w:tcPr>
                <w:p w14:paraId="2A227E83">
                  <w:pPr>
                    <w:pStyle w:val="10"/>
                    <w:ind w:left="0" w:right="105" w:rightChars="50"/>
                    <w:jc w:val="center"/>
                    <w:rPr>
                      <w:rFonts w:ascii="Times New Roman" w:hAnsi="Times New Roman" w:cs="Times New Roman"/>
                      <w:sz w:val="21"/>
                      <w:szCs w:val="21"/>
                    </w:rPr>
                  </w:pPr>
                </w:p>
              </w:tc>
              <w:tc>
                <w:tcPr>
                  <w:tcW w:w="843" w:type="dxa"/>
                  <w:vAlign w:val="center"/>
                </w:tcPr>
                <w:p w14:paraId="3CB0E907">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p</w:t>
                  </w:r>
                  <w:r>
                    <w:rPr>
                      <w:rFonts w:ascii="Times New Roman" w:hAnsi="Times New Roman" w:cs="Times New Roman"/>
                      <w:sz w:val="21"/>
                      <w:szCs w:val="21"/>
                    </w:rPr>
                    <w:t>H</w:t>
                  </w:r>
                </w:p>
              </w:tc>
              <w:tc>
                <w:tcPr>
                  <w:tcW w:w="917" w:type="dxa"/>
                  <w:vAlign w:val="center"/>
                </w:tcPr>
                <w:p w14:paraId="1366391C">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C</w:t>
                  </w:r>
                  <w:r>
                    <w:rPr>
                      <w:rFonts w:ascii="Times New Roman" w:hAnsi="Times New Roman" w:cs="Times New Roman"/>
                      <w:sz w:val="21"/>
                      <w:szCs w:val="21"/>
                    </w:rPr>
                    <w:t>OD</w:t>
                  </w:r>
                </w:p>
              </w:tc>
              <w:tc>
                <w:tcPr>
                  <w:tcW w:w="921" w:type="dxa"/>
                  <w:vAlign w:val="center"/>
                </w:tcPr>
                <w:p w14:paraId="6964BC9E">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B</w:t>
                  </w:r>
                  <w:r>
                    <w:rPr>
                      <w:rFonts w:ascii="Times New Roman" w:hAnsi="Times New Roman" w:cs="Times New Roman"/>
                      <w:sz w:val="21"/>
                      <w:szCs w:val="21"/>
                    </w:rPr>
                    <w:t>OD</w:t>
                  </w:r>
                  <w:r>
                    <w:rPr>
                      <w:rFonts w:ascii="Times New Roman" w:hAnsi="Times New Roman" w:cs="Times New Roman"/>
                      <w:sz w:val="21"/>
                      <w:szCs w:val="21"/>
                      <w:vertAlign w:val="subscript"/>
                    </w:rPr>
                    <w:t>5</w:t>
                  </w:r>
                </w:p>
              </w:tc>
              <w:tc>
                <w:tcPr>
                  <w:tcW w:w="857" w:type="dxa"/>
                  <w:vAlign w:val="center"/>
                </w:tcPr>
                <w:p w14:paraId="2E63CCA7">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S</w:t>
                  </w:r>
                  <w:r>
                    <w:rPr>
                      <w:rFonts w:ascii="Times New Roman" w:hAnsi="Times New Roman" w:cs="Times New Roman"/>
                      <w:sz w:val="21"/>
                      <w:szCs w:val="21"/>
                    </w:rPr>
                    <w:t>S</w:t>
                  </w:r>
                </w:p>
              </w:tc>
              <w:tc>
                <w:tcPr>
                  <w:tcW w:w="930" w:type="dxa"/>
                  <w:vAlign w:val="center"/>
                </w:tcPr>
                <w:p w14:paraId="080C9990">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N</w:t>
                  </w:r>
                  <w:r>
                    <w:rPr>
                      <w:rFonts w:ascii="Times New Roman" w:hAnsi="Times New Roman" w:cs="Times New Roman"/>
                      <w:sz w:val="21"/>
                      <w:szCs w:val="21"/>
                    </w:rPr>
                    <w:t>H</w:t>
                  </w:r>
                  <w:r>
                    <w:rPr>
                      <w:rFonts w:ascii="Times New Roman" w:hAnsi="Times New Roman" w:cs="Times New Roman"/>
                      <w:sz w:val="21"/>
                      <w:szCs w:val="21"/>
                      <w:vertAlign w:val="subscript"/>
                    </w:rPr>
                    <w:t>4</w:t>
                  </w:r>
                  <w:r>
                    <w:rPr>
                      <w:rFonts w:ascii="Times New Roman" w:hAnsi="Times New Roman" w:cs="Times New Roman"/>
                      <w:sz w:val="21"/>
                      <w:szCs w:val="21"/>
                    </w:rPr>
                    <w:t>-N</w:t>
                  </w:r>
                </w:p>
              </w:tc>
              <w:tc>
                <w:tcPr>
                  <w:tcW w:w="852" w:type="dxa"/>
                  <w:vAlign w:val="center"/>
                </w:tcPr>
                <w:p w14:paraId="19ADAD7A">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总磷</w:t>
                  </w:r>
                </w:p>
              </w:tc>
              <w:tc>
                <w:tcPr>
                  <w:tcW w:w="852" w:type="dxa"/>
                  <w:vAlign w:val="center"/>
                </w:tcPr>
                <w:p w14:paraId="043CA74B">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动植物油</w:t>
                  </w:r>
                </w:p>
              </w:tc>
              <w:tc>
                <w:tcPr>
                  <w:tcW w:w="1383" w:type="dxa"/>
                  <w:vAlign w:val="center"/>
                </w:tcPr>
                <w:p w14:paraId="1E8F446A">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粪大肠菌群（M</w:t>
                  </w:r>
                  <w:r>
                    <w:rPr>
                      <w:rFonts w:ascii="Times New Roman" w:hAnsi="Times New Roman" w:cs="Times New Roman"/>
                      <w:sz w:val="21"/>
                      <w:szCs w:val="21"/>
                    </w:rPr>
                    <w:t>PN/L</w:t>
                  </w:r>
                  <w:r>
                    <w:rPr>
                      <w:rFonts w:hint="eastAsia" w:ascii="Times New Roman" w:hAnsi="Times New Roman" w:cs="Times New Roman"/>
                      <w:sz w:val="21"/>
                      <w:szCs w:val="21"/>
                    </w:rPr>
                    <w:t>）</w:t>
                  </w:r>
                </w:p>
              </w:tc>
            </w:tr>
            <w:tr w14:paraId="75CC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26B9FA6C">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进水水质</w:t>
                  </w:r>
                </w:p>
              </w:tc>
              <w:tc>
                <w:tcPr>
                  <w:tcW w:w="843" w:type="dxa"/>
                  <w:vAlign w:val="center"/>
                </w:tcPr>
                <w:p w14:paraId="2FDFB169">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7</w:t>
                  </w:r>
                  <w:r>
                    <w:rPr>
                      <w:rFonts w:ascii="Times New Roman" w:hAnsi="Times New Roman" w:cs="Times New Roman"/>
                      <w:sz w:val="21"/>
                      <w:szCs w:val="21"/>
                    </w:rPr>
                    <w:t>.4-7.44</w:t>
                  </w:r>
                </w:p>
              </w:tc>
              <w:tc>
                <w:tcPr>
                  <w:tcW w:w="917" w:type="dxa"/>
                  <w:vAlign w:val="center"/>
                </w:tcPr>
                <w:p w14:paraId="59B7B3A3">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730</w:t>
                  </w:r>
                </w:p>
              </w:tc>
              <w:tc>
                <w:tcPr>
                  <w:tcW w:w="921" w:type="dxa"/>
                  <w:vAlign w:val="center"/>
                </w:tcPr>
                <w:p w14:paraId="25F5A202">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120</w:t>
                  </w:r>
                </w:p>
              </w:tc>
              <w:tc>
                <w:tcPr>
                  <w:tcW w:w="857" w:type="dxa"/>
                  <w:vAlign w:val="center"/>
                </w:tcPr>
                <w:p w14:paraId="552AC559">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82</w:t>
                  </w:r>
                </w:p>
              </w:tc>
              <w:tc>
                <w:tcPr>
                  <w:tcW w:w="930" w:type="dxa"/>
                  <w:vAlign w:val="center"/>
                </w:tcPr>
                <w:p w14:paraId="7B53F6D6">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6</w:t>
                  </w:r>
                  <w:r>
                    <w:rPr>
                      <w:rFonts w:ascii="Times New Roman" w:hAnsi="Times New Roman" w:cs="Times New Roman"/>
                      <w:sz w:val="21"/>
                      <w:szCs w:val="21"/>
                    </w:rPr>
                    <w:t>1.7</w:t>
                  </w:r>
                </w:p>
              </w:tc>
              <w:tc>
                <w:tcPr>
                  <w:tcW w:w="852" w:type="dxa"/>
                  <w:vAlign w:val="center"/>
                </w:tcPr>
                <w:p w14:paraId="58916BFE">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8</w:t>
                  </w:r>
                  <w:r>
                    <w:rPr>
                      <w:rFonts w:ascii="Times New Roman" w:hAnsi="Times New Roman" w:cs="Times New Roman"/>
                      <w:sz w:val="21"/>
                      <w:szCs w:val="21"/>
                    </w:rPr>
                    <w:t>.13</w:t>
                  </w:r>
                </w:p>
              </w:tc>
              <w:tc>
                <w:tcPr>
                  <w:tcW w:w="852" w:type="dxa"/>
                  <w:vAlign w:val="center"/>
                </w:tcPr>
                <w:p w14:paraId="6A2610D3">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2.2</w:t>
                  </w:r>
                </w:p>
              </w:tc>
              <w:tc>
                <w:tcPr>
                  <w:tcW w:w="1383" w:type="dxa"/>
                  <w:vAlign w:val="center"/>
                </w:tcPr>
                <w:p w14:paraId="0C4BFDCA">
                  <w:pPr>
                    <w:pStyle w:val="10"/>
                    <w:ind w:left="0" w:right="105" w:rightChars="50"/>
                    <w:jc w:val="cente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.5</w:t>
                  </w:r>
                  <w:r>
                    <w:rPr>
                      <w:rFonts w:hint="eastAsia" w:ascii="Times New Roman" w:hAnsi="Times New Roman" w:cs="Times New Roman"/>
                      <w:sz w:val="21"/>
                      <w:szCs w:val="21"/>
                    </w:rPr>
                    <w:t>×</w:t>
                  </w:r>
                  <w:r>
                    <w:rPr>
                      <w:rFonts w:ascii="Times New Roman" w:hAnsi="Times New Roman" w:cs="Times New Roman"/>
                      <w:sz w:val="21"/>
                      <w:szCs w:val="21"/>
                    </w:rPr>
                    <w:t>10</w:t>
                  </w:r>
                  <w:r>
                    <w:rPr>
                      <w:rFonts w:ascii="Times New Roman" w:hAnsi="Times New Roman" w:cs="Times New Roman"/>
                      <w:sz w:val="21"/>
                      <w:szCs w:val="21"/>
                      <w:vertAlign w:val="superscript"/>
                    </w:rPr>
                    <w:t>4</w:t>
                  </w:r>
                </w:p>
              </w:tc>
            </w:tr>
          </w:tbl>
          <w:p w14:paraId="68790CC1">
            <w:pPr>
              <w:pStyle w:val="10"/>
              <w:ind w:left="0" w:right="105" w:rightChars="50"/>
              <w:jc w:val="center"/>
              <w:rPr>
                <w:rFonts w:ascii="Times New Roman" w:hAnsi="Times New Roman" w:cs="Times New Roman"/>
                <w:sz w:val="21"/>
                <w:szCs w:val="21"/>
              </w:rPr>
            </w:pPr>
            <w:r>
              <w:rPr>
                <w:rFonts w:ascii="Times New Roman" w:hAnsi="Times New Roman" w:cs="Times New Roman"/>
                <w:sz w:val="21"/>
                <w:szCs w:val="21"/>
              </w:rPr>
              <w:t>注：SS、动植物油类比项目未检测，参考其他同类型项目的水质检测情况确定。</w:t>
            </w:r>
          </w:p>
          <w:p w14:paraId="3E5A52A1">
            <w:pPr>
              <w:adjustRightInd w:val="0"/>
              <w:snapToGrid w:val="0"/>
              <w:spacing w:line="360" w:lineRule="auto"/>
              <w:ind w:firstLine="240" w:firstLineChars="100"/>
              <w:rPr>
                <w:rFonts w:ascii="Times New Roman" w:hAnsi="Times New Roman" w:cs="Times New Roman"/>
                <w:sz w:val="24"/>
              </w:rPr>
            </w:pPr>
            <w:bookmarkStart w:id="42" w:name="_Hlk92180657"/>
            <w:r>
              <w:rPr>
                <w:rFonts w:hint="eastAsia" w:ascii="Times New Roman" w:hAnsi="Times New Roman" w:cs="Times New Roman"/>
                <w:sz w:val="24"/>
              </w:rPr>
              <w:t>该项目位于河北省邢台市柏乡县小里甫村，生产工艺与本项目基本一致，处理规模3</w:t>
            </w:r>
            <w:r>
              <w:rPr>
                <w:rFonts w:ascii="Times New Roman" w:hAnsi="Times New Roman" w:cs="Times New Roman"/>
                <w:sz w:val="24"/>
              </w:rPr>
              <w:t>0</w:t>
            </w:r>
            <w:r>
              <w:rPr>
                <w:rFonts w:hint="eastAsia" w:ascii="Times New Roman" w:hAnsi="Times New Roman" w:cs="Times New Roman"/>
                <w:sz w:val="24"/>
              </w:rPr>
              <w:t>t/d，具有可类比性。</w:t>
            </w:r>
          </w:p>
          <w:p w14:paraId="20F89A77">
            <w:pPr>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经处理站处理后，预计污染物浓度降低为</w:t>
            </w:r>
            <w:r>
              <w:rPr>
                <w:rFonts w:ascii="Times New Roman" w:hAnsi="Times New Roman" w:cs="Times New Roman"/>
                <w:sz w:val="24"/>
              </w:rPr>
              <w:t>：</w:t>
            </w:r>
            <w:r>
              <w:rPr>
                <w:rFonts w:hint="eastAsia" w:ascii="Times New Roman" w:hAnsi="Times New Roman" w:cs="Times New Roman"/>
                <w:sz w:val="24"/>
              </w:rPr>
              <w:t>p</w:t>
            </w:r>
            <w:r>
              <w:rPr>
                <w:rFonts w:ascii="Times New Roman" w:hAnsi="Times New Roman" w:cs="Times New Roman"/>
                <w:sz w:val="24"/>
              </w:rPr>
              <w:t>H 6-9</w:t>
            </w:r>
            <w:r>
              <w:rPr>
                <w:rFonts w:hint="eastAsia" w:ascii="Times New Roman" w:hAnsi="Times New Roman" w:cs="Times New Roman"/>
                <w:sz w:val="24"/>
              </w:rPr>
              <w:t>、</w:t>
            </w:r>
            <w:r>
              <w:rPr>
                <w:rFonts w:ascii="Times New Roman" w:hAnsi="Times New Roman" w:cs="Times New Roman"/>
                <w:sz w:val="24"/>
              </w:rPr>
              <w:t>CODcr</w:t>
            </w:r>
            <w:r>
              <w:rPr>
                <w:rFonts w:hint="eastAsia" w:ascii="Times New Roman" w:hAnsi="Times New Roman" w:cs="Times New Roman"/>
                <w:sz w:val="24"/>
              </w:rPr>
              <w:t xml:space="preserve"> </w:t>
            </w:r>
            <w:r>
              <w:rPr>
                <w:rFonts w:ascii="Times New Roman" w:hAnsi="Times New Roman" w:cs="Times New Roman"/>
                <w:bCs/>
                <w:sz w:val="24"/>
              </w:rPr>
              <w:t>173</w:t>
            </w:r>
            <w:r>
              <w:rPr>
                <w:rFonts w:ascii="Times New Roman" w:hAnsi="Times New Roman" w:cs="Times New Roman"/>
                <w:sz w:val="24"/>
              </w:rPr>
              <w:t>mg/L、BOD</w:t>
            </w:r>
            <w:r>
              <w:rPr>
                <w:rFonts w:ascii="Times New Roman" w:hAnsi="Times New Roman" w:cs="Times New Roman"/>
                <w:sz w:val="24"/>
                <w:vertAlign w:val="subscript"/>
              </w:rPr>
              <w:t>5</w:t>
            </w:r>
            <w:r>
              <w:rPr>
                <w:rFonts w:hint="eastAsia" w:ascii="Times New Roman" w:hAnsi="Times New Roman" w:cs="Times New Roman"/>
                <w:sz w:val="24"/>
              </w:rPr>
              <w:t xml:space="preserve"> </w:t>
            </w:r>
            <w:r>
              <w:rPr>
                <w:rFonts w:ascii="Times New Roman" w:hAnsi="Times New Roman" w:cs="Times New Roman"/>
                <w:bCs/>
                <w:sz w:val="24"/>
              </w:rPr>
              <w:t>56</w:t>
            </w:r>
            <w:r>
              <w:rPr>
                <w:rFonts w:ascii="Times New Roman" w:hAnsi="Times New Roman" w:cs="Times New Roman"/>
                <w:sz w:val="24"/>
              </w:rPr>
              <w:t>mg/L、SS</w:t>
            </w:r>
            <w:r>
              <w:rPr>
                <w:rFonts w:hint="eastAsia" w:ascii="Times New Roman" w:hAnsi="Times New Roman" w:cs="Times New Roman"/>
                <w:sz w:val="24"/>
              </w:rPr>
              <w:t xml:space="preserve"> </w:t>
            </w:r>
            <w:r>
              <w:rPr>
                <w:rFonts w:ascii="Times New Roman" w:hAnsi="Times New Roman" w:cs="Times New Roman"/>
                <w:bCs/>
                <w:sz w:val="24"/>
              </w:rPr>
              <w:t>18.2</w:t>
            </w:r>
            <w:r>
              <w:rPr>
                <w:rFonts w:ascii="Times New Roman" w:hAnsi="Times New Roman" w:cs="Times New Roman"/>
                <w:sz w:val="24"/>
              </w:rPr>
              <w:t>mg/L、氨氮</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4</w:t>
            </w:r>
            <w:r>
              <w:rPr>
                <w:rFonts w:ascii="Times New Roman" w:hAnsi="Times New Roman" w:cs="Times New Roman"/>
                <w:sz w:val="24"/>
              </w:rPr>
              <w:t>-N</w:t>
            </w:r>
            <w:r>
              <w:rPr>
                <w:rFonts w:hint="eastAsia" w:ascii="Times New Roman" w:hAnsi="Times New Roman" w:cs="Times New Roman"/>
                <w:sz w:val="24"/>
              </w:rPr>
              <w:t xml:space="preserve">） </w:t>
            </w:r>
            <w:r>
              <w:rPr>
                <w:rFonts w:ascii="Times New Roman" w:hAnsi="Times New Roman" w:cs="Times New Roman"/>
                <w:bCs/>
                <w:sz w:val="24"/>
              </w:rPr>
              <w:t>6.2</w:t>
            </w:r>
            <w:r>
              <w:rPr>
                <w:rFonts w:ascii="Times New Roman" w:hAnsi="Times New Roman" w:cs="Times New Roman"/>
                <w:sz w:val="24"/>
              </w:rPr>
              <w:t>mg/L、</w:t>
            </w:r>
            <w:r>
              <w:rPr>
                <w:rFonts w:hint="eastAsia" w:ascii="Times New Roman" w:hAnsi="Times New Roman" w:cs="Times New Roman"/>
                <w:sz w:val="24"/>
              </w:rPr>
              <w:t xml:space="preserve">总磷 </w:t>
            </w:r>
            <w:r>
              <w:rPr>
                <w:rFonts w:ascii="Times New Roman" w:hAnsi="Times New Roman" w:cs="Times New Roman"/>
                <w:sz w:val="24"/>
              </w:rPr>
              <w:t>2.0mg/L</w:t>
            </w:r>
            <w:r>
              <w:rPr>
                <w:rFonts w:hint="eastAsia" w:ascii="Times New Roman" w:hAnsi="Times New Roman" w:cs="Times New Roman"/>
                <w:sz w:val="24"/>
              </w:rPr>
              <w:t>、动植物油1</w:t>
            </w:r>
            <w:r>
              <w:rPr>
                <w:rFonts w:ascii="Times New Roman" w:hAnsi="Times New Roman" w:cs="Times New Roman"/>
                <w:sz w:val="24"/>
              </w:rPr>
              <w:t>.83mg/L</w:t>
            </w:r>
            <w:r>
              <w:rPr>
                <w:rFonts w:hint="eastAsia" w:ascii="Times New Roman" w:hAnsi="Times New Roman" w:cs="Times New Roman"/>
                <w:sz w:val="24"/>
              </w:rPr>
              <w:t xml:space="preserve">、粪大肠菌群 </w:t>
            </w:r>
            <w:r>
              <w:rPr>
                <w:rFonts w:ascii="Times New Roman" w:hAnsi="Times New Roman" w:cs="Times New Roman"/>
                <w:sz w:val="24"/>
              </w:rPr>
              <w:t>3500</w:t>
            </w:r>
            <w:r>
              <w:rPr>
                <w:rFonts w:hint="eastAsia" w:ascii="Times New Roman" w:hAnsi="Times New Roman" w:cs="Times New Roman"/>
                <w:sz w:val="24"/>
              </w:rPr>
              <w:t xml:space="preserve"> M</w:t>
            </w:r>
            <w:r>
              <w:rPr>
                <w:rFonts w:ascii="Times New Roman" w:hAnsi="Times New Roman" w:cs="Times New Roman"/>
                <w:sz w:val="24"/>
              </w:rPr>
              <w:t>PN/L。</w:t>
            </w:r>
          </w:p>
          <w:p w14:paraId="7C63B1B2">
            <w:pPr>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项目水污染物产生及排放情况详见下表2-14。</w:t>
            </w:r>
          </w:p>
          <w:p w14:paraId="0DFBAA5C">
            <w:pPr>
              <w:adjustRightInd w:val="0"/>
              <w:snapToGrid w:val="0"/>
              <w:ind w:firstLine="422" w:firstLineChars="200"/>
              <w:jc w:val="center"/>
              <w:rPr>
                <w:rFonts w:ascii="Times New Roman" w:hAnsi="Times New Roman" w:cs="Times New Roman"/>
                <w:b/>
                <w:bCs/>
                <w:szCs w:val="21"/>
              </w:rPr>
            </w:pPr>
            <w:r>
              <w:rPr>
                <w:rFonts w:ascii="Times New Roman" w:hAnsi="Times New Roman" w:cs="Times New Roman"/>
                <w:b/>
                <w:szCs w:val="21"/>
              </w:rPr>
              <w:t>表2-14   项目水污染物产生及排放情况表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975"/>
              <w:gridCol w:w="977"/>
              <w:gridCol w:w="915"/>
              <w:gridCol w:w="992"/>
              <w:gridCol w:w="992"/>
              <w:gridCol w:w="851"/>
              <w:gridCol w:w="1178"/>
            </w:tblGrid>
            <w:tr w14:paraId="1FEF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14:paraId="2A6136A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项目</w:t>
                  </w:r>
                </w:p>
              </w:tc>
              <w:tc>
                <w:tcPr>
                  <w:tcW w:w="6880" w:type="dxa"/>
                  <w:gridSpan w:val="7"/>
                  <w:vAlign w:val="center"/>
                </w:tcPr>
                <w:p w14:paraId="2E859DC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污染物</w:t>
                  </w:r>
                </w:p>
              </w:tc>
            </w:tr>
            <w:tr w14:paraId="6955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14:paraId="666709B6">
                  <w:pPr>
                    <w:pStyle w:val="10"/>
                    <w:ind w:left="0" w:right="105" w:rightChars="50"/>
                    <w:jc w:val="center"/>
                    <w:rPr>
                      <w:rFonts w:ascii="Times New Roman" w:hAnsi="Times New Roman" w:cs="Times New Roman"/>
                      <w:sz w:val="21"/>
                      <w:szCs w:val="21"/>
                      <w:lang w:val="en-US"/>
                    </w:rPr>
                  </w:pPr>
                </w:p>
              </w:tc>
              <w:tc>
                <w:tcPr>
                  <w:tcW w:w="975" w:type="dxa"/>
                  <w:vAlign w:val="center"/>
                </w:tcPr>
                <w:p w14:paraId="3F5FCAB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水量</w:t>
                  </w:r>
                </w:p>
              </w:tc>
              <w:tc>
                <w:tcPr>
                  <w:tcW w:w="977" w:type="dxa"/>
                  <w:vAlign w:val="center"/>
                </w:tcPr>
                <w:p w14:paraId="728BD62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C</w:t>
                  </w:r>
                  <w:r>
                    <w:rPr>
                      <w:rFonts w:ascii="Times New Roman" w:hAnsi="Times New Roman" w:cs="Times New Roman"/>
                      <w:sz w:val="21"/>
                      <w:szCs w:val="21"/>
                      <w:lang w:val="en-US"/>
                    </w:rPr>
                    <w:t>OD</w:t>
                  </w:r>
                </w:p>
              </w:tc>
              <w:tc>
                <w:tcPr>
                  <w:tcW w:w="915" w:type="dxa"/>
                  <w:vAlign w:val="center"/>
                </w:tcPr>
                <w:p w14:paraId="7EDFB72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B</w:t>
                  </w:r>
                  <w:r>
                    <w:rPr>
                      <w:rFonts w:ascii="Times New Roman" w:hAnsi="Times New Roman" w:cs="Times New Roman"/>
                      <w:sz w:val="21"/>
                      <w:szCs w:val="21"/>
                      <w:lang w:val="en-US"/>
                    </w:rPr>
                    <w:t>OD</w:t>
                  </w:r>
                  <w:r>
                    <w:rPr>
                      <w:rFonts w:ascii="Times New Roman" w:hAnsi="Times New Roman" w:cs="Times New Roman"/>
                      <w:sz w:val="21"/>
                      <w:szCs w:val="21"/>
                      <w:vertAlign w:val="subscript"/>
                      <w:lang w:val="en-US"/>
                    </w:rPr>
                    <w:t>5</w:t>
                  </w:r>
                </w:p>
              </w:tc>
              <w:tc>
                <w:tcPr>
                  <w:tcW w:w="992" w:type="dxa"/>
                  <w:vAlign w:val="center"/>
                </w:tcPr>
                <w:p w14:paraId="66A25FC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S</w:t>
                  </w:r>
                  <w:r>
                    <w:rPr>
                      <w:rFonts w:ascii="Times New Roman" w:hAnsi="Times New Roman" w:cs="Times New Roman"/>
                      <w:sz w:val="21"/>
                      <w:szCs w:val="21"/>
                      <w:lang w:val="en-US"/>
                    </w:rPr>
                    <w:t>S</w:t>
                  </w:r>
                </w:p>
              </w:tc>
              <w:tc>
                <w:tcPr>
                  <w:tcW w:w="992" w:type="dxa"/>
                  <w:vAlign w:val="center"/>
                </w:tcPr>
                <w:p w14:paraId="6A96FEA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N</w:t>
                  </w:r>
                  <w:r>
                    <w:rPr>
                      <w:rFonts w:ascii="Times New Roman" w:hAnsi="Times New Roman" w:cs="Times New Roman"/>
                      <w:sz w:val="21"/>
                      <w:szCs w:val="21"/>
                      <w:lang w:val="en-US"/>
                    </w:rPr>
                    <w:t>H</w:t>
                  </w:r>
                  <w:r>
                    <w:rPr>
                      <w:rFonts w:ascii="Times New Roman" w:hAnsi="Times New Roman" w:cs="Times New Roman"/>
                      <w:sz w:val="21"/>
                      <w:szCs w:val="21"/>
                      <w:vertAlign w:val="subscript"/>
                      <w:lang w:val="en-US"/>
                    </w:rPr>
                    <w:t>4</w:t>
                  </w:r>
                  <w:r>
                    <w:rPr>
                      <w:rFonts w:ascii="Times New Roman" w:hAnsi="Times New Roman" w:cs="Times New Roman"/>
                      <w:sz w:val="21"/>
                      <w:szCs w:val="21"/>
                      <w:lang w:val="en-US"/>
                    </w:rPr>
                    <w:t>-N</w:t>
                  </w:r>
                </w:p>
              </w:tc>
              <w:tc>
                <w:tcPr>
                  <w:tcW w:w="851" w:type="dxa"/>
                  <w:vAlign w:val="center"/>
                </w:tcPr>
                <w:p w14:paraId="3B43F0B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总磷</w:t>
                  </w:r>
                </w:p>
              </w:tc>
              <w:tc>
                <w:tcPr>
                  <w:tcW w:w="1178" w:type="dxa"/>
                  <w:vAlign w:val="center"/>
                </w:tcPr>
                <w:p w14:paraId="3054A31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动植物油</w:t>
                  </w:r>
                </w:p>
              </w:tc>
            </w:tr>
            <w:tr w14:paraId="2098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1C2B40E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产生浓度</w:t>
                  </w:r>
                  <w:r>
                    <w:rPr>
                      <w:rFonts w:hint="eastAsia" w:ascii="Times New Roman" w:hAnsi="Times New Roman" w:cs="Times New Roman"/>
                      <w:sz w:val="21"/>
                      <w:szCs w:val="21"/>
                      <w:lang w:val="en-US"/>
                    </w:rPr>
                    <w:t>（mg/L）</w:t>
                  </w:r>
                </w:p>
              </w:tc>
              <w:tc>
                <w:tcPr>
                  <w:tcW w:w="975" w:type="dxa"/>
                  <w:vMerge w:val="restart"/>
                  <w:vAlign w:val="center"/>
                </w:tcPr>
                <w:p w14:paraId="5D9443C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3</w:t>
                  </w:r>
                  <w:r>
                    <w:rPr>
                      <w:rFonts w:ascii="Times New Roman" w:hAnsi="Times New Roman" w:cs="Times New Roman"/>
                      <w:sz w:val="21"/>
                      <w:szCs w:val="21"/>
                      <w:lang w:val="en-US"/>
                    </w:rPr>
                    <w:t>594</w:t>
                  </w:r>
                  <w:r>
                    <w:rPr>
                      <w:rFonts w:hint="eastAsia" w:ascii="Times New Roman" w:hAnsi="Times New Roman" w:cs="Times New Roman"/>
                      <w:sz w:val="21"/>
                      <w:szCs w:val="21"/>
                      <w:lang w:val="en-US"/>
                    </w:rPr>
                    <w:t>m</w:t>
                  </w:r>
                  <w:r>
                    <w:rPr>
                      <w:rFonts w:hint="eastAsia" w:ascii="Times New Roman" w:hAnsi="Times New Roman" w:cs="Times New Roman"/>
                      <w:sz w:val="21"/>
                      <w:szCs w:val="21"/>
                      <w:vertAlign w:val="superscript"/>
                      <w:lang w:val="en-US"/>
                    </w:rPr>
                    <w:t>3</w:t>
                  </w:r>
                </w:p>
              </w:tc>
              <w:tc>
                <w:tcPr>
                  <w:tcW w:w="977" w:type="dxa"/>
                  <w:vAlign w:val="center"/>
                </w:tcPr>
                <w:p w14:paraId="5F8A0C1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730</w:t>
                  </w:r>
                </w:p>
              </w:tc>
              <w:tc>
                <w:tcPr>
                  <w:tcW w:w="915" w:type="dxa"/>
                  <w:vAlign w:val="center"/>
                </w:tcPr>
                <w:p w14:paraId="78DAACE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120</w:t>
                  </w:r>
                </w:p>
              </w:tc>
              <w:tc>
                <w:tcPr>
                  <w:tcW w:w="992" w:type="dxa"/>
                  <w:vAlign w:val="center"/>
                </w:tcPr>
                <w:p w14:paraId="32134E0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82</w:t>
                  </w:r>
                </w:p>
              </w:tc>
              <w:tc>
                <w:tcPr>
                  <w:tcW w:w="992" w:type="dxa"/>
                  <w:vAlign w:val="center"/>
                </w:tcPr>
                <w:p w14:paraId="1D7CC5E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1.7</w:t>
                  </w:r>
                </w:p>
              </w:tc>
              <w:tc>
                <w:tcPr>
                  <w:tcW w:w="851" w:type="dxa"/>
                  <w:vAlign w:val="center"/>
                </w:tcPr>
                <w:p w14:paraId="56BA695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.13</w:t>
                  </w:r>
                </w:p>
              </w:tc>
              <w:tc>
                <w:tcPr>
                  <w:tcW w:w="1178" w:type="dxa"/>
                  <w:vAlign w:val="center"/>
                </w:tcPr>
                <w:p w14:paraId="2FCD81C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2.2</w:t>
                  </w:r>
                </w:p>
              </w:tc>
            </w:tr>
            <w:tr w14:paraId="65B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3422B3E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产生量</w:t>
                  </w:r>
                  <w:r>
                    <w:rPr>
                      <w:rFonts w:hint="eastAsia" w:ascii="Times New Roman" w:hAnsi="Times New Roman" w:cs="Times New Roman"/>
                      <w:sz w:val="21"/>
                      <w:szCs w:val="21"/>
                      <w:lang w:val="en-US"/>
                    </w:rPr>
                    <w:t>（t/a）</w:t>
                  </w:r>
                </w:p>
              </w:tc>
              <w:tc>
                <w:tcPr>
                  <w:tcW w:w="975" w:type="dxa"/>
                  <w:vMerge w:val="continue"/>
                  <w:vAlign w:val="center"/>
                </w:tcPr>
                <w:p w14:paraId="7270C0A8">
                  <w:pPr>
                    <w:pStyle w:val="10"/>
                    <w:ind w:left="0" w:right="105" w:rightChars="50"/>
                    <w:jc w:val="center"/>
                    <w:rPr>
                      <w:rFonts w:ascii="Times New Roman" w:hAnsi="Times New Roman" w:cs="Times New Roman"/>
                      <w:sz w:val="21"/>
                      <w:szCs w:val="21"/>
                      <w:lang w:val="en-US"/>
                    </w:rPr>
                  </w:pPr>
                </w:p>
              </w:tc>
              <w:tc>
                <w:tcPr>
                  <w:tcW w:w="977" w:type="dxa"/>
                  <w:vAlign w:val="center"/>
                </w:tcPr>
                <w:p w14:paraId="304283A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.22</w:t>
                  </w:r>
                </w:p>
              </w:tc>
              <w:tc>
                <w:tcPr>
                  <w:tcW w:w="915" w:type="dxa"/>
                  <w:vAlign w:val="center"/>
                </w:tcPr>
                <w:p w14:paraId="55396F7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4</w:t>
                  </w:r>
                  <w:r>
                    <w:rPr>
                      <w:rFonts w:ascii="Times New Roman" w:hAnsi="Times New Roman" w:cs="Times New Roman"/>
                      <w:sz w:val="21"/>
                      <w:szCs w:val="21"/>
                      <w:lang w:val="en-US"/>
                    </w:rPr>
                    <w:t>.03</w:t>
                  </w:r>
                </w:p>
              </w:tc>
              <w:tc>
                <w:tcPr>
                  <w:tcW w:w="992" w:type="dxa"/>
                  <w:vAlign w:val="center"/>
                </w:tcPr>
                <w:p w14:paraId="5FF4571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.65</w:t>
                  </w:r>
                </w:p>
              </w:tc>
              <w:tc>
                <w:tcPr>
                  <w:tcW w:w="992" w:type="dxa"/>
                  <w:vAlign w:val="center"/>
                </w:tcPr>
                <w:p w14:paraId="34F6AF1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.22</w:t>
                  </w:r>
                </w:p>
              </w:tc>
              <w:tc>
                <w:tcPr>
                  <w:tcW w:w="851" w:type="dxa"/>
                  <w:vAlign w:val="center"/>
                </w:tcPr>
                <w:p w14:paraId="6D25690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.03</w:t>
                  </w:r>
                </w:p>
              </w:tc>
              <w:tc>
                <w:tcPr>
                  <w:tcW w:w="1178" w:type="dxa"/>
                  <w:vAlign w:val="center"/>
                </w:tcPr>
                <w:p w14:paraId="1985346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.04</w:t>
                  </w:r>
                </w:p>
              </w:tc>
            </w:tr>
            <w:tr w14:paraId="4AA1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6EA9F11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出水浓度</w:t>
                  </w:r>
                  <w:r>
                    <w:rPr>
                      <w:rFonts w:hint="eastAsia" w:ascii="Times New Roman" w:hAnsi="Times New Roman" w:cs="Times New Roman"/>
                      <w:sz w:val="21"/>
                      <w:szCs w:val="21"/>
                      <w:lang w:val="en-US"/>
                    </w:rPr>
                    <w:t>（mg/L）</w:t>
                  </w:r>
                </w:p>
              </w:tc>
              <w:tc>
                <w:tcPr>
                  <w:tcW w:w="975" w:type="dxa"/>
                  <w:vMerge w:val="restart"/>
                  <w:vAlign w:val="center"/>
                </w:tcPr>
                <w:p w14:paraId="4AFDDD4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3</w:t>
                  </w:r>
                  <w:r>
                    <w:rPr>
                      <w:rFonts w:ascii="Times New Roman" w:hAnsi="Times New Roman" w:cs="Times New Roman"/>
                      <w:sz w:val="21"/>
                      <w:szCs w:val="21"/>
                      <w:lang w:val="en-US"/>
                    </w:rPr>
                    <w:t>594</w:t>
                  </w:r>
                  <w:r>
                    <w:rPr>
                      <w:rFonts w:hint="eastAsia" w:ascii="Times New Roman" w:hAnsi="Times New Roman" w:cs="Times New Roman"/>
                      <w:sz w:val="21"/>
                      <w:szCs w:val="21"/>
                      <w:lang w:val="en-US"/>
                    </w:rPr>
                    <w:t>m</w:t>
                  </w:r>
                  <w:r>
                    <w:rPr>
                      <w:rFonts w:hint="eastAsia" w:ascii="Times New Roman" w:hAnsi="Times New Roman" w:cs="Times New Roman"/>
                      <w:sz w:val="21"/>
                      <w:szCs w:val="21"/>
                      <w:vertAlign w:val="superscript"/>
                      <w:lang w:val="en-US"/>
                    </w:rPr>
                    <w:t>3</w:t>
                  </w:r>
                </w:p>
              </w:tc>
              <w:tc>
                <w:tcPr>
                  <w:tcW w:w="977" w:type="dxa"/>
                  <w:vAlign w:val="center"/>
                </w:tcPr>
                <w:p w14:paraId="5744D28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73</w:t>
                  </w:r>
                </w:p>
              </w:tc>
              <w:tc>
                <w:tcPr>
                  <w:tcW w:w="915" w:type="dxa"/>
                  <w:vAlign w:val="center"/>
                </w:tcPr>
                <w:p w14:paraId="3935B15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5</w:t>
                  </w:r>
                  <w:r>
                    <w:rPr>
                      <w:rFonts w:ascii="Times New Roman" w:hAnsi="Times New Roman" w:cs="Times New Roman"/>
                      <w:sz w:val="21"/>
                      <w:szCs w:val="21"/>
                      <w:lang w:val="en-US"/>
                    </w:rPr>
                    <w:t>6</w:t>
                  </w:r>
                </w:p>
              </w:tc>
              <w:tc>
                <w:tcPr>
                  <w:tcW w:w="992" w:type="dxa"/>
                  <w:vAlign w:val="center"/>
                </w:tcPr>
                <w:p w14:paraId="56BD381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8.2</w:t>
                  </w:r>
                </w:p>
              </w:tc>
              <w:tc>
                <w:tcPr>
                  <w:tcW w:w="992" w:type="dxa"/>
                  <w:vAlign w:val="center"/>
                </w:tcPr>
                <w:p w14:paraId="2426ABE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.2</w:t>
                  </w:r>
                </w:p>
              </w:tc>
              <w:tc>
                <w:tcPr>
                  <w:tcW w:w="851" w:type="dxa"/>
                  <w:vAlign w:val="center"/>
                </w:tcPr>
                <w:p w14:paraId="4B23818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w:t>
                  </w:r>
                  <w:r>
                    <w:rPr>
                      <w:rFonts w:ascii="Times New Roman" w:hAnsi="Times New Roman" w:cs="Times New Roman"/>
                      <w:sz w:val="21"/>
                      <w:szCs w:val="21"/>
                      <w:lang w:val="en-US"/>
                    </w:rPr>
                    <w:t>.0</w:t>
                  </w:r>
                </w:p>
              </w:tc>
              <w:tc>
                <w:tcPr>
                  <w:tcW w:w="1178" w:type="dxa"/>
                  <w:vAlign w:val="center"/>
                </w:tcPr>
                <w:p w14:paraId="447A869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.83</w:t>
                  </w:r>
                </w:p>
              </w:tc>
            </w:tr>
            <w:tr w14:paraId="3A7B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1E2F248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出水量</w:t>
                  </w:r>
                  <w:r>
                    <w:rPr>
                      <w:rFonts w:hint="eastAsia" w:ascii="Times New Roman" w:hAnsi="Times New Roman" w:cs="Times New Roman"/>
                      <w:sz w:val="21"/>
                      <w:szCs w:val="21"/>
                      <w:lang w:val="en-US"/>
                    </w:rPr>
                    <w:t>（t/a）</w:t>
                  </w:r>
                </w:p>
              </w:tc>
              <w:tc>
                <w:tcPr>
                  <w:tcW w:w="975" w:type="dxa"/>
                  <w:vMerge w:val="continue"/>
                  <w:vAlign w:val="center"/>
                </w:tcPr>
                <w:p w14:paraId="7A716891">
                  <w:pPr>
                    <w:pStyle w:val="10"/>
                    <w:ind w:left="0" w:right="105" w:rightChars="50"/>
                    <w:jc w:val="center"/>
                    <w:rPr>
                      <w:rFonts w:ascii="Times New Roman" w:hAnsi="Times New Roman" w:cs="Times New Roman"/>
                      <w:sz w:val="21"/>
                      <w:szCs w:val="21"/>
                      <w:lang w:val="en-US"/>
                    </w:rPr>
                  </w:pPr>
                </w:p>
              </w:tc>
              <w:tc>
                <w:tcPr>
                  <w:tcW w:w="977" w:type="dxa"/>
                  <w:vAlign w:val="center"/>
                </w:tcPr>
                <w:p w14:paraId="77E297F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.62</w:t>
                  </w:r>
                </w:p>
              </w:tc>
              <w:tc>
                <w:tcPr>
                  <w:tcW w:w="915" w:type="dxa"/>
                  <w:vAlign w:val="center"/>
                </w:tcPr>
                <w:p w14:paraId="52E4D76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.20</w:t>
                  </w:r>
                </w:p>
              </w:tc>
              <w:tc>
                <w:tcPr>
                  <w:tcW w:w="992" w:type="dxa"/>
                  <w:vAlign w:val="center"/>
                </w:tcPr>
                <w:p w14:paraId="1BCF070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.07</w:t>
                  </w:r>
                </w:p>
              </w:tc>
              <w:tc>
                <w:tcPr>
                  <w:tcW w:w="992" w:type="dxa"/>
                  <w:vAlign w:val="center"/>
                </w:tcPr>
                <w:p w14:paraId="739440C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.02</w:t>
                  </w:r>
                </w:p>
              </w:tc>
              <w:tc>
                <w:tcPr>
                  <w:tcW w:w="851" w:type="dxa"/>
                  <w:vAlign w:val="center"/>
                </w:tcPr>
                <w:p w14:paraId="609CAD6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.01</w:t>
                  </w:r>
                </w:p>
              </w:tc>
              <w:tc>
                <w:tcPr>
                  <w:tcW w:w="1178" w:type="dxa"/>
                  <w:vAlign w:val="center"/>
                </w:tcPr>
                <w:p w14:paraId="77BF19E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r>
                    <w:rPr>
                      <w:rFonts w:ascii="Times New Roman" w:hAnsi="Times New Roman" w:cs="Times New Roman"/>
                      <w:sz w:val="21"/>
                      <w:szCs w:val="21"/>
                      <w:lang w:val="en-US"/>
                    </w:rPr>
                    <w:t>.01</w:t>
                  </w:r>
                </w:p>
              </w:tc>
            </w:tr>
            <w:tr w14:paraId="398E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5F99773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rPr>
                    <w:t>排放量</w:t>
                  </w:r>
                  <w:r>
                    <w:rPr>
                      <w:rFonts w:hint="eastAsia" w:ascii="Times New Roman" w:hAnsi="Times New Roman" w:cs="Times New Roman"/>
                      <w:sz w:val="21"/>
                      <w:szCs w:val="21"/>
                      <w:lang w:val="en-US"/>
                    </w:rPr>
                    <w:t>（t/a）</w:t>
                  </w:r>
                </w:p>
              </w:tc>
              <w:tc>
                <w:tcPr>
                  <w:tcW w:w="975" w:type="dxa"/>
                  <w:vAlign w:val="center"/>
                </w:tcPr>
                <w:p w14:paraId="438E042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77" w:type="dxa"/>
                  <w:vAlign w:val="center"/>
                </w:tcPr>
                <w:p w14:paraId="7113FC0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15" w:type="dxa"/>
                  <w:vAlign w:val="center"/>
                </w:tcPr>
                <w:p w14:paraId="2525030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92" w:type="dxa"/>
                  <w:vAlign w:val="center"/>
                </w:tcPr>
                <w:p w14:paraId="50DB0CB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992" w:type="dxa"/>
                  <w:vAlign w:val="center"/>
                </w:tcPr>
                <w:p w14:paraId="4C34783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851" w:type="dxa"/>
                  <w:vAlign w:val="center"/>
                </w:tcPr>
                <w:p w14:paraId="1863DD2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c>
                <w:tcPr>
                  <w:tcW w:w="1178" w:type="dxa"/>
                  <w:vAlign w:val="center"/>
                </w:tcPr>
                <w:p w14:paraId="6F7917F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0</w:t>
                  </w:r>
                </w:p>
              </w:tc>
            </w:tr>
          </w:tbl>
          <w:p w14:paraId="6E5FE859">
            <w:pPr>
              <w:snapToGrid w:val="0"/>
              <w:jc w:val="center"/>
              <w:rPr>
                <w:rFonts w:ascii="Times New Roman" w:hAnsi="Times New Roman" w:cs="Times New Roman"/>
                <w:szCs w:val="21"/>
              </w:rPr>
            </w:pPr>
          </w:p>
          <w:bookmarkEnd w:id="42"/>
          <w:p w14:paraId="46776502">
            <w:pPr>
              <w:pStyle w:val="10"/>
              <w:spacing w:line="360" w:lineRule="auto"/>
              <w:ind w:left="0" w:right="105" w:rightChars="50" w:firstLine="240" w:firstLineChars="100"/>
              <w:rPr>
                <w:rFonts w:ascii="Times New Roman" w:hAnsi="Times New Roman" w:cs="Times New Roman"/>
                <w:lang w:val="en-US"/>
              </w:rPr>
            </w:pPr>
            <w:bookmarkStart w:id="43" w:name="_Hlk100690226"/>
            <w:r>
              <w:rPr>
                <w:rFonts w:hint="eastAsia" w:ascii="Times New Roman" w:hAnsi="Times New Roman" w:cs="Times New Roman"/>
                <w:lang w:val="en-US"/>
              </w:rPr>
              <w:t>污废水处理后全部用于自有耕地灌溉，不排放。</w:t>
            </w:r>
          </w:p>
          <w:bookmarkEnd w:id="37"/>
          <w:bookmarkEnd w:id="43"/>
          <w:p w14:paraId="5A415433">
            <w:pPr>
              <w:pStyle w:val="10"/>
              <w:spacing w:line="360" w:lineRule="auto"/>
              <w:ind w:left="0" w:right="105" w:rightChars="50" w:firstLine="240" w:firstLineChars="100"/>
              <w:rPr>
                <w:rFonts w:ascii="Times New Roman" w:hAnsi="Times New Roman" w:cs="Times New Roman"/>
                <w:bCs/>
              </w:rPr>
            </w:pPr>
            <w:bookmarkStart w:id="44" w:name="_Hlk99564671"/>
            <w:r>
              <w:rPr>
                <w:rFonts w:hint="eastAsia" w:ascii="Times New Roman" w:hAnsi="Times New Roman" w:cs="Times New Roman"/>
                <w:bCs/>
              </w:rPr>
              <w:t>2、</w:t>
            </w:r>
            <w:r>
              <w:rPr>
                <w:rFonts w:ascii="Times New Roman" w:hAnsi="Times New Roman" w:cs="Times New Roman"/>
                <w:bCs/>
              </w:rPr>
              <w:t>环境空气污染源</w:t>
            </w:r>
          </w:p>
          <w:p w14:paraId="6F853823">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1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①</w:t>
            </w:r>
            <w:r>
              <w:rPr>
                <w:rFonts w:ascii="Times New Roman" w:hAnsi="Times New Roman" w:cs="Times New Roman"/>
                <w:szCs w:val="21"/>
              </w:rPr>
              <w:fldChar w:fldCharType="end"/>
            </w:r>
            <w:r>
              <w:rPr>
                <w:rFonts w:ascii="Times New Roman" w:hAnsi="Times New Roman" w:cs="Times New Roman"/>
                <w:szCs w:val="21"/>
              </w:rPr>
              <w:t>燃烧</w:t>
            </w:r>
            <w:r>
              <w:rPr>
                <w:rFonts w:hint="eastAsia" w:ascii="Times New Roman" w:hAnsi="Times New Roman" w:cs="Times New Roman"/>
                <w:szCs w:val="21"/>
              </w:rPr>
              <w:t>废气（G</w:t>
            </w:r>
            <w:r>
              <w:rPr>
                <w:rFonts w:ascii="Times New Roman" w:hAnsi="Times New Roman" w:cs="Times New Roman"/>
                <w:szCs w:val="21"/>
              </w:rPr>
              <w:t>1</w:t>
            </w:r>
            <w:r>
              <w:rPr>
                <w:rFonts w:hint="eastAsia" w:ascii="Times New Roman" w:hAnsi="Times New Roman" w:cs="Times New Roman"/>
                <w:szCs w:val="21"/>
              </w:rPr>
              <w:t>）</w:t>
            </w:r>
          </w:p>
          <w:p w14:paraId="011A25A7">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lang w:val="en-US"/>
              </w:rPr>
              <w:t>项目设有</w:t>
            </w:r>
            <w:r>
              <w:rPr>
                <w:rFonts w:hint="eastAsia" w:ascii="Times New Roman" w:hAnsi="Times New Roman" w:cs="Times New Roman"/>
                <w:lang w:val="en-US"/>
              </w:rPr>
              <w:t>1台</w:t>
            </w:r>
            <w:r>
              <w:rPr>
                <w:rFonts w:ascii="Times New Roman" w:hAnsi="Times New Roman" w:cs="Times New Roman"/>
                <w:lang w:val="en-US"/>
              </w:rPr>
              <w:t>2</w:t>
            </w:r>
            <w:r>
              <w:rPr>
                <w:rFonts w:hint="eastAsia" w:ascii="Times New Roman" w:hAnsi="Times New Roman" w:cs="Times New Roman"/>
                <w:lang w:val="en-US"/>
              </w:rPr>
              <w:t>t导热油锅炉</w:t>
            </w:r>
            <w:r>
              <w:rPr>
                <w:rFonts w:ascii="Times New Roman" w:hAnsi="Times New Roman" w:cs="Times New Roman"/>
                <w:lang w:val="en-US"/>
              </w:rPr>
              <w:t>为高温处理过程提供热量，同时作为工艺废气末端处理措施（引至炉膛焚烧），该锅炉采用</w:t>
            </w:r>
            <w:r>
              <w:rPr>
                <w:rFonts w:hint="eastAsia" w:ascii="Times New Roman" w:hAnsi="Times New Roman" w:cs="Times New Roman"/>
                <w:lang w:val="en-US"/>
              </w:rPr>
              <w:t>生物质燃料</w:t>
            </w:r>
            <w:r>
              <w:rPr>
                <w:rFonts w:ascii="Times New Roman" w:hAnsi="Times New Roman" w:cs="Times New Roman"/>
                <w:lang w:val="en-US"/>
              </w:rPr>
              <w:t>为燃料，</w:t>
            </w:r>
            <w:r>
              <w:rPr>
                <w:rFonts w:hint="eastAsia" w:ascii="Times New Roman" w:hAnsi="Times New Roman" w:cs="Times New Roman"/>
                <w:lang w:val="en-US"/>
              </w:rPr>
              <w:t>热效率约为8</w:t>
            </w:r>
            <w:r>
              <w:rPr>
                <w:rFonts w:ascii="Times New Roman" w:hAnsi="Times New Roman" w:cs="Times New Roman"/>
                <w:lang w:val="en-US"/>
              </w:rPr>
              <w:t>0</w:t>
            </w:r>
            <w:r>
              <w:rPr>
                <w:rFonts w:hint="eastAsia" w:ascii="Times New Roman" w:hAnsi="Times New Roman" w:cs="Times New Roman"/>
                <w:lang w:val="en-US"/>
              </w:rPr>
              <w:t>%，</w:t>
            </w:r>
            <w:r>
              <w:rPr>
                <w:rFonts w:ascii="Times New Roman" w:hAnsi="Times New Roman" w:cs="Times New Roman"/>
                <w:lang w:val="en-US"/>
              </w:rPr>
              <w:t>工艺废气经燃烧产生的污染物主要是烟尘、SO</w:t>
            </w:r>
            <w:r>
              <w:rPr>
                <w:rFonts w:ascii="Times New Roman" w:hAnsi="Times New Roman" w:cs="Times New Roman"/>
                <w:vertAlign w:val="subscript"/>
                <w:lang w:val="en-US"/>
              </w:rPr>
              <w:t>2</w:t>
            </w:r>
            <w:r>
              <w:rPr>
                <w:rFonts w:ascii="Times New Roman" w:hAnsi="Times New Roman" w:cs="Times New Roman"/>
                <w:lang w:val="en-US"/>
              </w:rPr>
              <w:t>、NOx</w:t>
            </w:r>
            <w:r>
              <w:rPr>
                <w:rFonts w:hint="eastAsia" w:ascii="Times New Roman" w:hAnsi="Times New Roman" w:cs="Times New Roman"/>
                <w:lang w:val="en-US"/>
              </w:rPr>
              <w:t>等，属于有组织排放。</w:t>
            </w:r>
          </w:p>
          <w:p w14:paraId="2C6E9B7E">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szCs w:val="21"/>
              </w:rPr>
              <w:t>项目锅炉年平均运行时间为2400h（每天</w:t>
            </w:r>
            <w:r>
              <w:rPr>
                <w:rFonts w:ascii="Times New Roman" w:hAnsi="Times New Roman" w:cs="Times New Roman"/>
                <w:szCs w:val="21"/>
              </w:rPr>
              <w:t>8</w:t>
            </w:r>
            <w:r>
              <w:rPr>
                <w:rFonts w:hint="eastAsia" w:ascii="Times New Roman" w:hAnsi="Times New Roman" w:cs="Times New Roman"/>
                <w:szCs w:val="21"/>
              </w:rPr>
              <w:t>h，每年300天)，根据建设单位提供的设计资料，锅炉燃料用量约为1</w:t>
            </w:r>
            <w:r>
              <w:rPr>
                <w:rFonts w:ascii="Times New Roman" w:hAnsi="Times New Roman" w:cs="Times New Roman"/>
                <w:szCs w:val="21"/>
              </w:rPr>
              <w:t>800</w:t>
            </w:r>
            <w:r>
              <w:rPr>
                <w:rFonts w:hint="eastAsia" w:ascii="Times New Roman" w:hAnsi="Times New Roman" w:cs="Times New Roman"/>
                <w:szCs w:val="21"/>
              </w:rPr>
              <w:t>t/a，折合6t/d、0</w:t>
            </w:r>
            <w:r>
              <w:rPr>
                <w:rFonts w:ascii="Times New Roman" w:hAnsi="Times New Roman" w:cs="Times New Roman"/>
                <w:szCs w:val="21"/>
              </w:rPr>
              <w:t>.75</w:t>
            </w:r>
            <w:r>
              <w:rPr>
                <w:rFonts w:hint="eastAsia" w:ascii="Times New Roman" w:hAnsi="Times New Roman" w:cs="Times New Roman"/>
                <w:szCs w:val="21"/>
              </w:rPr>
              <w:t>t/h（7</w:t>
            </w:r>
            <w:r>
              <w:rPr>
                <w:rFonts w:ascii="Times New Roman" w:hAnsi="Times New Roman" w:cs="Times New Roman"/>
                <w:szCs w:val="21"/>
              </w:rPr>
              <w:t>50</w:t>
            </w:r>
            <w:r>
              <w:rPr>
                <w:rFonts w:hint="eastAsia" w:ascii="Times New Roman" w:hAnsi="Times New Roman" w:cs="Times New Roman"/>
                <w:szCs w:val="21"/>
              </w:rPr>
              <w:t>kg/h）。</w:t>
            </w:r>
          </w:p>
          <w:p w14:paraId="33875F3A">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根据《排放源统计调查产排污核算方法和系数手册》中热力生产和供应行业系数手册，燃烧生物质成型压块燃料的锅炉烟气排放系数以及SO</w:t>
            </w:r>
            <w:r>
              <w:rPr>
                <w:rFonts w:ascii="Times New Roman" w:hAnsi="Times New Roman" w:cs="Times New Roman"/>
                <w:szCs w:val="21"/>
                <w:vertAlign w:val="subscript"/>
              </w:rPr>
              <w:t>2</w:t>
            </w:r>
            <w:r>
              <w:rPr>
                <w:rFonts w:ascii="Times New Roman" w:hAnsi="Times New Roman" w:cs="Times New Roman"/>
                <w:szCs w:val="21"/>
              </w:rPr>
              <w:t>、NOx的产污系数如下：</w:t>
            </w:r>
          </w:p>
          <w:p w14:paraId="6A7FB8F6">
            <w:pPr>
              <w:pStyle w:val="10"/>
              <w:spacing w:line="360" w:lineRule="auto"/>
              <w:ind w:left="0" w:right="105" w:rightChars="50" w:firstLine="240" w:firstLineChars="100"/>
              <w:rPr>
                <w:rFonts w:ascii="Times New Roman" w:hAnsi="Times New Roman" w:cs="Times New Roman"/>
                <w:szCs w:val="21"/>
              </w:rPr>
            </w:pPr>
            <w:r>
              <w:rPr>
                <w:rFonts w:hint="eastAsia"/>
                <w:szCs w:val="21"/>
              </w:rPr>
              <w:t>①</w:t>
            </w:r>
            <w:r>
              <w:rPr>
                <w:rFonts w:ascii="Times New Roman" w:hAnsi="Times New Roman" w:cs="Times New Roman"/>
                <w:szCs w:val="21"/>
              </w:rPr>
              <w:t>烟气产污系数</w:t>
            </w:r>
          </w:p>
          <w:p w14:paraId="114A88E3">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V</w:t>
            </w:r>
            <w:r>
              <w:rPr>
                <w:rFonts w:ascii="Times New Roman" w:hAnsi="Times New Roman" w:cs="Times New Roman"/>
                <w:szCs w:val="21"/>
                <w:vertAlign w:val="subscript"/>
              </w:rPr>
              <w:t>产</w:t>
            </w:r>
            <w:r>
              <w:rPr>
                <w:rFonts w:ascii="Times New Roman" w:hAnsi="Times New Roman" w:cs="Times New Roman"/>
                <w:szCs w:val="21"/>
              </w:rPr>
              <w:t>＝6240.28Nm</w:t>
            </w:r>
            <w:r>
              <w:rPr>
                <w:rFonts w:ascii="Times New Roman" w:hAnsi="Times New Roman" w:cs="Times New Roman"/>
                <w:szCs w:val="21"/>
                <w:vertAlign w:val="superscript"/>
              </w:rPr>
              <w:t>3</w:t>
            </w:r>
            <w:r>
              <w:rPr>
                <w:rFonts w:ascii="Times New Roman" w:hAnsi="Times New Roman" w:cs="Times New Roman"/>
                <w:szCs w:val="21"/>
              </w:rPr>
              <w:t>/t-燃料</w:t>
            </w:r>
          </w:p>
          <w:p w14:paraId="29851273">
            <w:pPr>
              <w:pStyle w:val="10"/>
              <w:spacing w:line="360" w:lineRule="auto"/>
              <w:ind w:left="0" w:right="105" w:rightChars="50" w:firstLine="240" w:firstLineChars="100"/>
              <w:rPr>
                <w:rFonts w:ascii="Times New Roman" w:hAnsi="Times New Roman" w:cs="Times New Roman"/>
                <w:szCs w:val="21"/>
              </w:rPr>
            </w:pPr>
            <w:r>
              <w:rPr>
                <w:rFonts w:hint="eastAsia"/>
                <w:szCs w:val="21"/>
              </w:rPr>
              <w:t>②</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产污系数</w:t>
            </w:r>
          </w:p>
          <w:p w14:paraId="38AC337E">
            <w:pPr>
              <w:pStyle w:val="10"/>
              <w:spacing w:line="360" w:lineRule="auto"/>
              <w:ind w:left="0" w:right="105" w:rightChars="50"/>
              <w:jc w:val="center"/>
              <w:rPr>
                <w:rFonts w:ascii="Times New Roman" w:hAnsi="Times New Roman" w:cs="Times New Roman"/>
                <w:szCs w:val="21"/>
                <w:lang w:val="en-US"/>
              </w:rPr>
            </w:pPr>
            <w:r>
              <w:rPr>
                <w:rFonts w:ascii="Times New Roman" w:hAnsi="Times New Roman" w:cs="Times New Roman"/>
                <w:szCs w:val="21"/>
                <w:lang w:val="en-US"/>
              </w:rPr>
              <w:t>G</w:t>
            </w:r>
            <w:r>
              <w:rPr>
                <w:rFonts w:ascii="Times New Roman" w:hAnsi="Times New Roman" w:cs="Times New Roman"/>
                <w:szCs w:val="21"/>
                <w:vertAlign w:val="subscript"/>
                <w:lang w:val="en-US"/>
              </w:rPr>
              <w:t>SO2</w:t>
            </w:r>
            <w:r>
              <w:rPr>
                <w:rFonts w:ascii="Times New Roman" w:hAnsi="Times New Roman" w:cs="Times New Roman"/>
                <w:szCs w:val="21"/>
                <w:lang w:val="en-US"/>
              </w:rPr>
              <w:t>=17</w:t>
            </w:r>
            <w:r>
              <w:rPr>
                <w:rFonts w:hint="eastAsia" w:ascii="Times New Roman" w:hAnsi="Times New Roman" w:cs="Times New Roman"/>
                <w:szCs w:val="21"/>
                <w:lang w:val="en-US"/>
              </w:rPr>
              <w:t>×</w:t>
            </w:r>
            <w:r>
              <w:rPr>
                <w:rFonts w:ascii="Times New Roman" w:hAnsi="Times New Roman" w:cs="Times New Roman"/>
                <w:szCs w:val="21"/>
                <w:lang w:val="en-US"/>
              </w:rPr>
              <w:t>S=0.51kg/t-</w:t>
            </w:r>
            <w:r>
              <w:rPr>
                <w:rFonts w:ascii="Times New Roman" w:hAnsi="Times New Roman" w:cs="Times New Roman"/>
                <w:szCs w:val="21"/>
              </w:rPr>
              <w:t>燃料</w:t>
            </w:r>
            <w:r>
              <w:rPr>
                <w:rFonts w:ascii="Times New Roman" w:hAnsi="Times New Roman" w:cs="Times New Roman"/>
                <w:szCs w:val="21"/>
                <w:lang w:val="en-US"/>
              </w:rPr>
              <w:t>（S</w:t>
            </w:r>
            <w:r>
              <w:rPr>
                <w:rFonts w:ascii="Times New Roman" w:hAnsi="Times New Roman" w:cs="Times New Roman"/>
                <w:szCs w:val="21"/>
              </w:rPr>
              <w:t>含硫率</w:t>
            </w:r>
            <w:r>
              <w:rPr>
                <w:rFonts w:ascii="Times New Roman" w:hAnsi="Times New Roman" w:cs="Times New Roman"/>
                <w:szCs w:val="21"/>
                <w:lang w:val="en-US"/>
              </w:rPr>
              <w:t>，</w:t>
            </w:r>
            <w:r>
              <w:rPr>
                <w:rFonts w:ascii="Times New Roman" w:hAnsi="Times New Roman" w:cs="Times New Roman"/>
                <w:szCs w:val="21"/>
              </w:rPr>
              <w:t>取</w:t>
            </w:r>
            <w:r>
              <w:rPr>
                <w:rFonts w:ascii="Times New Roman" w:hAnsi="Times New Roman" w:cs="Times New Roman"/>
                <w:szCs w:val="21"/>
                <w:lang w:val="en-US"/>
              </w:rPr>
              <w:t>0.03）</w:t>
            </w:r>
          </w:p>
          <w:p w14:paraId="762F1D8E">
            <w:pPr>
              <w:pStyle w:val="10"/>
              <w:spacing w:line="360" w:lineRule="auto"/>
              <w:ind w:left="0" w:right="105" w:rightChars="50" w:firstLine="240" w:firstLineChars="100"/>
              <w:rPr>
                <w:rFonts w:ascii="Times New Roman" w:hAnsi="Times New Roman" w:cs="Times New Roman"/>
                <w:szCs w:val="21"/>
              </w:rPr>
            </w:pPr>
            <w:r>
              <w:rPr>
                <w:rFonts w:hint="eastAsia"/>
                <w:szCs w:val="21"/>
              </w:rPr>
              <w:t>③</w:t>
            </w:r>
            <w:r>
              <w:rPr>
                <w:rFonts w:ascii="Times New Roman" w:hAnsi="Times New Roman" w:cs="Times New Roman"/>
                <w:szCs w:val="21"/>
              </w:rPr>
              <w:t>NOx产污系数</w:t>
            </w:r>
          </w:p>
          <w:p w14:paraId="3FC6BAC5">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G</w:t>
            </w:r>
            <w:r>
              <w:rPr>
                <w:rFonts w:ascii="Times New Roman" w:hAnsi="Times New Roman" w:cs="Times New Roman"/>
                <w:szCs w:val="21"/>
                <w:vertAlign w:val="subscript"/>
              </w:rPr>
              <w:t>NOx</w:t>
            </w:r>
            <w:r>
              <w:rPr>
                <w:rFonts w:ascii="Times New Roman" w:hAnsi="Times New Roman" w:cs="Times New Roman"/>
                <w:szCs w:val="21"/>
              </w:rPr>
              <w:t xml:space="preserve"> =1.02kg/t-燃料</w:t>
            </w:r>
          </w:p>
          <w:p w14:paraId="6F14DB05">
            <w:pPr>
              <w:pStyle w:val="10"/>
              <w:spacing w:line="360" w:lineRule="auto"/>
              <w:ind w:left="0" w:right="105" w:rightChars="50" w:firstLine="240" w:firstLineChars="100"/>
              <w:rPr>
                <w:rFonts w:ascii="Times New Roman" w:hAnsi="Times New Roman" w:cs="Times New Roman"/>
                <w:szCs w:val="21"/>
              </w:rPr>
            </w:pPr>
            <w:r>
              <w:rPr>
                <w:rFonts w:hint="eastAsia"/>
                <w:szCs w:val="21"/>
              </w:rPr>
              <w:t>④</w:t>
            </w:r>
            <w:r>
              <w:rPr>
                <w:rFonts w:ascii="Times New Roman" w:hAnsi="Times New Roman" w:cs="Times New Roman"/>
                <w:szCs w:val="21"/>
              </w:rPr>
              <w:t>烟尘产污系数</w:t>
            </w:r>
          </w:p>
          <w:p w14:paraId="46DAA90E">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G</w:t>
            </w:r>
            <w:r>
              <w:rPr>
                <w:rFonts w:ascii="Times New Roman" w:hAnsi="Times New Roman" w:cs="Times New Roman"/>
                <w:szCs w:val="21"/>
                <w:vertAlign w:val="subscript"/>
              </w:rPr>
              <w:t>d</w:t>
            </w:r>
            <w:r>
              <w:rPr>
                <w:rFonts w:ascii="Times New Roman" w:hAnsi="Times New Roman" w:cs="Times New Roman"/>
                <w:szCs w:val="21"/>
              </w:rPr>
              <w:t>=0.5kg/t-燃料</w:t>
            </w:r>
          </w:p>
          <w:p w14:paraId="2EFDDC87">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 xml:space="preserve">根据污染物浓度的计算公式： </w:t>
            </w:r>
          </w:p>
          <w:p w14:paraId="120A1D64">
            <w:pPr>
              <w:pStyle w:val="10"/>
              <w:spacing w:line="360" w:lineRule="auto"/>
              <w:ind w:left="0" w:right="105" w:rightChars="50"/>
              <w:jc w:val="center"/>
              <w:rPr>
                <w:rFonts w:ascii="Times New Roman" w:hAnsi="Times New Roman" w:cs="Times New Roman"/>
                <w:szCs w:val="21"/>
              </w:rPr>
            </w:pPr>
            <w:r>
              <w:rPr>
                <w:rFonts w:ascii="Times New Roman" w:hAnsi="Times New Roman" w:cs="Times New Roman"/>
                <w:szCs w:val="21"/>
              </w:rPr>
              <w:t>C=G/W</w:t>
            </w:r>
            <w:r>
              <w:rPr>
                <w:rFonts w:hint="eastAsia" w:ascii="Times New Roman" w:hAnsi="Times New Roman" w:cs="Times New Roman"/>
                <w:szCs w:val="21"/>
              </w:rPr>
              <w:t>烟气</w:t>
            </w:r>
          </w:p>
          <w:p w14:paraId="7402B39E">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式中：C—污染物的产生浓度（mg/Nm</w:t>
            </w:r>
            <w:r>
              <w:rPr>
                <w:rFonts w:ascii="Times New Roman" w:hAnsi="Times New Roman" w:cs="Times New Roman"/>
                <w:szCs w:val="21"/>
                <w:vertAlign w:val="superscript"/>
              </w:rPr>
              <w:t>3</w:t>
            </w:r>
            <w:r>
              <w:rPr>
                <w:rFonts w:ascii="Times New Roman" w:hAnsi="Times New Roman" w:cs="Times New Roman"/>
                <w:szCs w:val="21"/>
              </w:rPr>
              <w:t>）；</w:t>
            </w:r>
          </w:p>
          <w:p w14:paraId="65C5EED8">
            <w:pPr>
              <w:pStyle w:val="10"/>
              <w:spacing w:line="360" w:lineRule="auto"/>
              <w:ind w:left="0" w:right="105" w:rightChars="50" w:firstLine="960" w:firstLineChars="400"/>
              <w:rPr>
                <w:rFonts w:ascii="Times New Roman" w:hAnsi="Times New Roman" w:cs="Times New Roman"/>
                <w:szCs w:val="21"/>
              </w:rPr>
            </w:pPr>
            <w:r>
              <w:rPr>
                <w:rFonts w:ascii="Times New Roman" w:hAnsi="Times New Roman" w:cs="Times New Roman"/>
                <w:szCs w:val="21"/>
              </w:rPr>
              <w:t>W</w:t>
            </w:r>
            <w:r>
              <w:rPr>
                <w:rFonts w:ascii="Times New Roman" w:hAnsi="Times New Roman" w:cs="Times New Roman"/>
                <w:szCs w:val="21"/>
                <w:vertAlign w:val="subscript"/>
              </w:rPr>
              <w:t>烟气</w:t>
            </w:r>
            <w:r>
              <w:rPr>
                <w:rFonts w:ascii="Times New Roman" w:hAnsi="Times New Roman" w:cs="Times New Roman"/>
                <w:szCs w:val="21"/>
              </w:rPr>
              <w:t>—锅炉烟气量（Nm</w:t>
            </w:r>
            <w:r>
              <w:rPr>
                <w:rFonts w:ascii="Times New Roman" w:hAnsi="Times New Roman" w:cs="Times New Roman"/>
                <w:szCs w:val="21"/>
                <w:vertAlign w:val="superscript"/>
              </w:rPr>
              <w:t>3</w:t>
            </w:r>
            <w:r>
              <w:rPr>
                <w:rFonts w:ascii="Times New Roman" w:hAnsi="Times New Roman" w:cs="Times New Roman"/>
                <w:szCs w:val="21"/>
              </w:rPr>
              <w:t>/t）；</w:t>
            </w:r>
          </w:p>
          <w:p w14:paraId="754939D9">
            <w:pPr>
              <w:pStyle w:val="10"/>
              <w:spacing w:line="360" w:lineRule="auto"/>
              <w:ind w:left="0" w:right="105" w:rightChars="50" w:firstLine="960" w:firstLineChars="400"/>
              <w:rPr>
                <w:rFonts w:ascii="Times New Roman" w:hAnsi="Times New Roman" w:cs="Times New Roman"/>
                <w:szCs w:val="21"/>
              </w:rPr>
            </w:pPr>
            <w:r>
              <w:rPr>
                <w:rFonts w:ascii="Times New Roman" w:hAnsi="Times New Roman" w:cs="Times New Roman"/>
                <w:szCs w:val="21"/>
              </w:rPr>
              <w:t>G—污染源的产生量（mg/t）；</w:t>
            </w:r>
          </w:p>
          <w:p w14:paraId="2A57100B">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根据以上产污系数计算出，生物质燃烧的烟气产生量约为</w:t>
            </w:r>
            <w:r>
              <w:rPr>
                <w:rFonts w:hint="eastAsia" w:ascii="Times New Roman" w:hAnsi="Times New Roman" w:cs="Times New Roman"/>
                <w:szCs w:val="21"/>
              </w:rPr>
              <w:t>4</w:t>
            </w:r>
            <w:r>
              <w:rPr>
                <w:rFonts w:ascii="Times New Roman" w:hAnsi="Times New Roman" w:cs="Times New Roman"/>
                <w:szCs w:val="21"/>
              </w:rPr>
              <w:t>680.21Nm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w:t>
            </w:r>
            <w:r>
              <w:rPr>
                <w:rFonts w:ascii="Times New Roman" w:hAnsi="Times New Roman" w:cs="Times New Roman"/>
                <w:szCs w:val="21"/>
              </w:rPr>
              <w:t>1.12×10</w:t>
            </w:r>
            <w:r>
              <w:rPr>
                <w:rFonts w:ascii="Times New Roman" w:hAnsi="Times New Roman" w:cs="Times New Roman"/>
                <w:szCs w:val="21"/>
                <w:vertAlign w:val="superscript"/>
              </w:rPr>
              <w:t>7</w:t>
            </w:r>
            <w:r>
              <w:rPr>
                <w:rFonts w:ascii="Times New Roman" w:hAnsi="Times New Roman" w:cs="Times New Roman"/>
                <w:szCs w:val="21"/>
              </w:rPr>
              <w:t>Nm</w:t>
            </w:r>
            <w:r>
              <w:rPr>
                <w:rFonts w:ascii="Times New Roman" w:hAnsi="Times New Roman" w:cs="Times New Roman"/>
                <w:szCs w:val="21"/>
                <w:vertAlign w:val="superscript"/>
              </w:rPr>
              <w:t>3</w:t>
            </w:r>
            <w:r>
              <w:rPr>
                <w:rFonts w:ascii="Times New Roman" w:hAnsi="Times New Roman" w:cs="Times New Roman"/>
                <w:szCs w:val="21"/>
              </w:rPr>
              <w:t>/a，SO</w:t>
            </w:r>
            <w:r>
              <w:rPr>
                <w:rFonts w:ascii="Times New Roman" w:hAnsi="Times New Roman" w:cs="Times New Roman"/>
                <w:szCs w:val="21"/>
                <w:vertAlign w:val="subscript"/>
              </w:rPr>
              <w:t>2</w:t>
            </w:r>
            <w:r>
              <w:rPr>
                <w:rFonts w:ascii="Times New Roman" w:hAnsi="Times New Roman" w:cs="Times New Roman"/>
                <w:szCs w:val="21"/>
              </w:rPr>
              <w:t>的产生量为</w:t>
            </w:r>
            <w:r>
              <w:rPr>
                <w:rFonts w:hint="eastAsia" w:ascii="Times New Roman" w:hAnsi="Times New Roman" w:cs="Times New Roman"/>
                <w:szCs w:val="21"/>
              </w:rPr>
              <w:t>0</w:t>
            </w:r>
            <w:r>
              <w:rPr>
                <w:rFonts w:ascii="Times New Roman" w:hAnsi="Times New Roman" w:cs="Times New Roman"/>
                <w:szCs w:val="21"/>
              </w:rPr>
              <w:t>.3825</w:t>
            </w:r>
            <w:r>
              <w:rPr>
                <w:rFonts w:hint="eastAsia" w:ascii="Times New Roman" w:hAnsi="Times New Roman" w:cs="Times New Roman"/>
                <w:szCs w:val="21"/>
              </w:rPr>
              <w:t>kg/h、0</w:t>
            </w:r>
            <w:r>
              <w:rPr>
                <w:rFonts w:ascii="Times New Roman" w:hAnsi="Times New Roman" w:cs="Times New Roman"/>
                <w:szCs w:val="21"/>
              </w:rPr>
              <w:t>.9180</w:t>
            </w:r>
            <w:r>
              <w:rPr>
                <w:rFonts w:hint="eastAsia" w:ascii="Times New Roman" w:hAnsi="Times New Roman" w:cs="Times New Roman"/>
                <w:szCs w:val="21"/>
              </w:rPr>
              <w:t>t/a，</w:t>
            </w:r>
            <w:r>
              <w:rPr>
                <w:rFonts w:ascii="Times New Roman" w:hAnsi="Times New Roman" w:cs="Times New Roman"/>
                <w:szCs w:val="21"/>
              </w:rPr>
              <w:t>NOx的产生量为</w:t>
            </w:r>
            <w:r>
              <w:rPr>
                <w:rFonts w:hint="eastAsia" w:ascii="Times New Roman" w:hAnsi="Times New Roman" w:cs="Times New Roman"/>
                <w:szCs w:val="21"/>
              </w:rPr>
              <w:t>0</w:t>
            </w:r>
            <w:r>
              <w:rPr>
                <w:rFonts w:ascii="Times New Roman" w:hAnsi="Times New Roman" w:cs="Times New Roman"/>
                <w:szCs w:val="21"/>
              </w:rPr>
              <w:t>.7650</w:t>
            </w:r>
            <w:r>
              <w:rPr>
                <w:rFonts w:hint="eastAsia" w:ascii="Times New Roman" w:hAnsi="Times New Roman" w:cs="Times New Roman"/>
                <w:szCs w:val="21"/>
              </w:rPr>
              <w:t>kg/h、</w:t>
            </w:r>
            <w:r>
              <w:rPr>
                <w:rFonts w:ascii="Times New Roman" w:hAnsi="Times New Roman" w:cs="Times New Roman"/>
                <w:szCs w:val="21"/>
              </w:rPr>
              <w:t>1.8360</w:t>
            </w:r>
            <w:r>
              <w:rPr>
                <w:rFonts w:hint="eastAsia" w:ascii="Times New Roman" w:hAnsi="Times New Roman" w:cs="Times New Roman"/>
                <w:szCs w:val="21"/>
              </w:rPr>
              <w:t>t/a，</w:t>
            </w:r>
            <w:r>
              <w:rPr>
                <w:rFonts w:ascii="Times New Roman" w:hAnsi="Times New Roman" w:cs="Times New Roman"/>
                <w:szCs w:val="21"/>
              </w:rPr>
              <w:t>烟尘的产生量为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NOx</w:t>
            </w:r>
            <w:r>
              <w:rPr>
                <w:rFonts w:hint="eastAsia" w:ascii="Times New Roman" w:hAnsi="Times New Roman" w:cs="Times New Roman"/>
                <w:szCs w:val="21"/>
              </w:rPr>
              <w:t>、</w:t>
            </w:r>
            <w:r>
              <w:rPr>
                <w:rFonts w:ascii="Times New Roman" w:hAnsi="Times New Roman" w:cs="Times New Roman"/>
                <w:szCs w:val="21"/>
              </w:rPr>
              <w:t>烟尘</w:t>
            </w:r>
            <w:r>
              <w:rPr>
                <w:rFonts w:hint="eastAsia" w:ascii="Times New Roman" w:hAnsi="Times New Roman" w:cs="Times New Roman"/>
                <w:szCs w:val="21"/>
              </w:rPr>
              <w:t>产生浓度分别为8</w:t>
            </w:r>
            <w:r>
              <w:rPr>
                <w:rFonts w:ascii="Times New Roman" w:hAnsi="Times New Roman" w:cs="Times New Roman"/>
                <w:szCs w:val="21"/>
              </w:rPr>
              <w:t>1.7271</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163.4542</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80.1246</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720FEC6B">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此外，锅炉作为工艺废气的末端处理设施，工艺废气中大部分</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szCs w:val="21"/>
              </w:rPr>
              <w:t>和</w:t>
            </w:r>
            <w:r>
              <w:rPr>
                <w:rFonts w:hint="eastAsia"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S气体，已被前端喷淋除臭设施去除，剩余部分主要为其他成分的有机臭气，这些臭 气燃烧主要产生二氧化碳和水，少量硫化氢燃烧会产生一定量的SO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少量</w:t>
            </w:r>
            <w:r>
              <w:rPr>
                <w:rFonts w:hint="eastAsia" w:ascii="Times New Roman" w:hAnsi="Times New Roman" w:cs="Times New Roman"/>
                <w:szCs w:val="21"/>
              </w:rPr>
              <w:t>氨气</w:t>
            </w:r>
            <w:r>
              <w:rPr>
                <w:rFonts w:ascii="Times New Roman" w:hAnsi="Times New Roman" w:cs="Times New Roman"/>
                <w:szCs w:val="21"/>
              </w:rPr>
              <w:t>燃烧会产生一定量的NO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bCs/>
              </w:rPr>
              <w:t>本项目拟采用“冷凝+喷淋+焚烧”的方式处理工艺废气，根据《第二次全国污染源普查工业污染源普查 其他畜牧专业及辅助性活动（畜禽尸体化制）系数手册》，“冷凝+喷淋洗涤”对臭气的去除效率为80%，“冷凝+焚烧”对臭气的去除效率为90%，</w:t>
            </w:r>
            <w:r>
              <w:rPr>
                <w:rFonts w:hint="eastAsia" w:ascii="Times New Roman" w:hAnsi="Times New Roman" w:cs="Times New Roman"/>
                <w:szCs w:val="21"/>
              </w:rPr>
              <w:t>本</w:t>
            </w:r>
            <w:r>
              <w:rPr>
                <w:rFonts w:ascii="Times New Roman" w:hAnsi="Times New Roman" w:cs="Times New Roman"/>
                <w:szCs w:val="21"/>
              </w:rPr>
              <w:t>项目工艺废气量为1200m</w:t>
            </w:r>
            <w:r>
              <w:rPr>
                <w:rFonts w:ascii="Times New Roman" w:hAnsi="Times New Roman" w:cs="Times New Roman"/>
                <w:szCs w:val="21"/>
                <w:vertAlign w:val="superscript"/>
              </w:rPr>
              <w:t>3</w:t>
            </w:r>
            <w:r>
              <w:rPr>
                <w:rFonts w:ascii="Times New Roman" w:hAnsi="Times New Roman" w:cs="Times New Roman"/>
                <w:szCs w:val="21"/>
              </w:rPr>
              <w:t>/h，</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szCs w:val="21"/>
              </w:rPr>
              <w:t>产生量为</w:t>
            </w:r>
            <w:r>
              <w:rPr>
                <w:rFonts w:ascii="Times New Roman" w:hAnsi="Times New Roman" w:cs="Times New Roman"/>
                <w:bCs/>
              </w:rPr>
              <w:t>0.7975kg/h</w:t>
            </w:r>
            <w:r>
              <w:rPr>
                <w:rFonts w:hint="eastAsia" w:ascii="Times New Roman" w:hAnsi="Times New Roman" w:cs="Times New Roman"/>
                <w:bCs/>
              </w:rPr>
              <w:t>、</w:t>
            </w:r>
            <w:r>
              <w:rPr>
                <w:rFonts w:ascii="Times New Roman" w:hAnsi="Times New Roman" w:cs="Times New Roman"/>
                <w:bCs/>
              </w:rPr>
              <w:t>1.9140t/a</w:t>
            </w:r>
            <w:r>
              <w:rPr>
                <w:rFonts w:ascii="Times New Roman" w:hAnsi="Times New Roman" w:cs="Times New Roman"/>
                <w:szCs w:val="21"/>
              </w:rPr>
              <w:t>，</w:t>
            </w:r>
            <w:r>
              <w:rPr>
                <w:rFonts w:hint="eastAsia"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S产生量为</w:t>
            </w:r>
            <w:r>
              <w:rPr>
                <w:rFonts w:ascii="Times New Roman" w:hAnsi="Times New Roman" w:cs="Times New Roman"/>
                <w:bCs/>
              </w:rPr>
              <w:t>0.0026kg/h、0.0062t/a</w:t>
            </w:r>
            <w:r>
              <w:rPr>
                <w:rFonts w:hint="eastAsia" w:ascii="Times New Roman" w:hAnsi="Times New Roman" w:cs="Times New Roman"/>
                <w:szCs w:val="21"/>
              </w:rPr>
              <w:t>。</w:t>
            </w:r>
            <w:r>
              <w:rPr>
                <w:rFonts w:ascii="Times New Roman" w:hAnsi="Times New Roman" w:cs="Times New Roman"/>
                <w:szCs w:val="21"/>
              </w:rPr>
              <w:t>经前端喷淋系统处理（处理效率80%）后，剩余进入锅炉焚烧的</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量为</w:t>
            </w:r>
            <w:r>
              <w:rPr>
                <w:rFonts w:ascii="Times New Roman" w:hAnsi="Times New Roman" w:cs="Times New Roman"/>
                <w:szCs w:val="21"/>
              </w:rPr>
              <w:t>0.1595</w:t>
            </w:r>
            <w:r>
              <w:rPr>
                <w:rFonts w:hint="eastAsia" w:ascii="Times New Roman" w:hAnsi="Times New Roman" w:cs="Times New Roman"/>
                <w:szCs w:val="21"/>
              </w:rPr>
              <w:t>kg/h、</w:t>
            </w:r>
            <w:r>
              <w:rPr>
                <w:rFonts w:ascii="Times New Roman" w:hAnsi="Times New Roman" w:cs="Times New Roman"/>
                <w:szCs w:val="21"/>
              </w:rPr>
              <w:t>0.3828</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为</w:t>
            </w:r>
            <w:r>
              <w:rPr>
                <w:rFonts w:ascii="Times New Roman" w:hAnsi="Times New Roman" w:cs="Times New Roman"/>
                <w:szCs w:val="21"/>
              </w:rPr>
              <w:t>0.0005</w:t>
            </w:r>
            <w:r>
              <w:rPr>
                <w:rFonts w:hint="eastAsia" w:ascii="Times New Roman" w:hAnsi="Times New Roman" w:cs="Times New Roman"/>
                <w:szCs w:val="21"/>
              </w:rPr>
              <w:t>kg/h、</w:t>
            </w:r>
            <w:r>
              <w:rPr>
                <w:rFonts w:ascii="Times New Roman" w:hAnsi="Times New Roman" w:cs="Times New Roman"/>
                <w:szCs w:val="21"/>
              </w:rPr>
              <w:t>0.0012</w:t>
            </w:r>
            <w:r>
              <w:rPr>
                <w:rFonts w:hint="eastAsia" w:ascii="Times New Roman" w:hAnsi="Times New Roman" w:cs="Times New Roman"/>
                <w:szCs w:val="21"/>
              </w:rPr>
              <w:t>t/a。</w:t>
            </w:r>
            <w:r>
              <w:rPr>
                <w:rFonts w:ascii="Times New Roman" w:hAnsi="Times New Roman" w:cs="Times New Roman"/>
                <w:szCs w:val="21"/>
              </w:rPr>
              <w:t>焚烧处理效率为90%，则</w:t>
            </w:r>
            <w:r>
              <w:rPr>
                <w:rFonts w:hint="eastAsia" w:ascii="Times New Roman" w:hAnsi="Times New Roman" w:cs="Times New Roman"/>
                <w:szCs w:val="21"/>
              </w:rPr>
              <w:t>被</w:t>
            </w:r>
            <w:r>
              <w:rPr>
                <w:rFonts w:ascii="Times New Roman" w:hAnsi="Times New Roman" w:cs="Times New Roman"/>
                <w:szCs w:val="21"/>
              </w:rPr>
              <w:t>焚烧的</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和H</w:t>
            </w:r>
            <w:r>
              <w:rPr>
                <w:rFonts w:ascii="Times New Roman" w:hAnsi="Times New Roman" w:cs="Times New Roman"/>
                <w:szCs w:val="21"/>
                <w:vertAlign w:val="subscript"/>
              </w:rPr>
              <w:t>2</w:t>
            </w:r>
            <w:r>
              <w:rPr>
                <w:rFonts w:ascii="Times New Roman" w:hAnsi="Times New Roman" w:cs="Times New Roman"/>
                <w:szCs w:val="21"/>
              </w:rPr>
              <w:t>S的量</w:t>
            </w:r>
            <w:r>
              <w:rPr>
                <w:rFonts w:hint="eastAsia" w:ascii="Times New Roman" w:hAnsi="Times New Roman" w:cs="Times New Roman"/>
                <w:szCs w:val="21"/>
              </w:rPr>
              <w:t>分别</w:t>
            </w:r>
            <w:r>
              <w:rPr>
                <w:rFonts w:ascii="Times New Roman" w:hAnsi="Times New Roman" w:cs="Times New Roman"/>
                <w:szCs w:val="21"/>
              </w:rPr>
              <w:t>为</w:t>
            </w:r>
            <w:r>
              <w:rPr>
                <w:rFonts w:hint="eastAsia" w:ascii="Times New Roman" w:hAnsi="Times New Roman" w:cs="Times New Roman"/>
                <w:szCs w:val="21"/>
              </w:rPr>
              <w:t>：</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 xml:space="preserve"> </w:t>
            </w:r>
            <w:r>
              <w:rPr>
                <w:rFonts w:ascii="Times New Roman" w:hAnsi="Times New Roman" w:cs="Times New Roman"/>
                <w:szCs w:val="21"/>
              </w:rPr>
              <w:t>0.1436</w:t>
            </w:r>
            <w:r>
              <w:rPr>
                <w:rFonts w:hint="eastAsia" w:ascii="Times New Roman" w:hAnsi="Times New Roman" w:cs="Times New Roman"/>
                <w:szCs w:val="21"/>
              </w:rPr>
              <w:t>kg/h、</w:t>
            </w:r>
            <w:r>
              <w:rPr>
                <w:rFonts w:ascii="Times New Roman" w:hAnsi="Times New Roman" w:cs="Times New Roman"/>
                <w:szCs w:val="21"/>
              </w:rPr>
              <w:t>0.3445</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 xml:space="preserve">S </w:t>
            </w:r>
            <w:r>
              <w:rPr>
                <w:rFonts w:hint="eastAsia" w:ascii="Times New Roman" w:hAnsi="Times New Roman" w:cs="Times New Roman"/>
                <w:szCs w:val="21"/>
              </w:rPr>
              <w:t>0</w:t>
            </w:r>
            <w:r>
              <w:rPr>
                <w:rFonts w:ascii="Times New Roman" w:hAnsi="Times New Roman" w:cs="Times New Roman"/>
                <w:szCs w:val="21"/>
              </w:rPr>
              <w:t>.0005</w:t>
            </w:r>
            <w:r>
              <w:rPr>
                <w:rFonts w:hint="eastAsia" w:ascii="Times New Roman" w:hAnsi="Times New Roman" w:cs="Times New Roman"/>
                <w:szCs w:val="21"/>
              </w:rPr>
              <w:t>kg/h、0</w:t>
            </w:r>
            <w:r>
              <w:rPr>
                <w:rFonts w:ascii="Times New Roman" w:hAnsi="Times New Roman" w:cs="Times New Roman"/>
                <w:szCs w:val="21"/>
              </w:rPr>
              <w:t>.0011</w:t>
            </w:r>
            <w:r>
              <w:rPr>
                <w:rFonts w:hint="eastAsia" w:ascii="Times New Roman" w:hAnsi="Times New Roman" w:cs="Times New Roman"/>
                <w:szCs w:val="21"/>
              </w:rPr>
              <w:t>t/a。</w:t>
            </w:r>
            <w:r>
              <w:rPr>
                <w:rFonts w:ascii="Times New Roman" w:hAnsi="Times New Roman" w:cs="Times New Roman"/>
                <w:szCs w:val="21"/>
              </w:rPr>
              <w:t>根据</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和H</w:t>
            </w:r>
            <w:r>
              <w:rPr>
                <w:rFonts w:ascii="Times New Roman" w:hAnsi="Times New Roman" w:cs="Times New Roman"/>
                <w:szCs w:val="21"/>
                <w:vertAlign w:val="subscript"/>
              </w:rPr>
              <w:t>2</w:t>
            </w:r>
            <w:r>
              <w:rPr>
                <w:rFonts w:ascii="Times New Roman" w:hAnsi="Times New Roman" w:cs="Times New Roman"/>
                <w:szCs w:val="21"/>
              </w:rPr>
              <w:t>S的燃烧化学式：</w:t>
            </w:r>
            <w:r>
              <w:rPr>
                <w:rFonts w:hint="eastAsia" w:ascii="Times New Roman" w:hAnsi="Times New Roman" w:cs="Times New Roman"/>
                <w:szCs w:val="21"/>
              </w:rPr>
              <w:t>4NH</w:t>
            </w:r>
            <w:r>
              <w:rPr>
                <w:rFonts w:hint="eastAsia" w:ascii="Times New Roman" w:hAnsi="Times New Roman" w:cs="Times New Roman"/>
                <w:szCs w:val="21"/>
                <w:vertAlign w:val="subscript"/>
              </w:rPr>
              <w:t>3</w:t>
            </w:r>
            <w:r>
              <w:rPr>
                <w:rFonts w:hint="eastAsia" w:ascii="Times New Roman" w:hAnsi="Times New Roman" w:cs="Times New Roman"/>
                <w:szCs w:val="21"/>
              </w:rPr>
              <w:t>+5O</w:t>
            </w:r>
            <w:r>
              <w:rPr>
                <w:rFonts w:hint="eastAsia" w:ascii="Times New Roman" w:hAnsi="Times New Roman" w:cs="Times New Roman"/>
                <w:szCs w:val="21"/>
                <w:vertAlign w:val="subscript"/>
              </w:rPr>
              <w:t>2</w:t>
            </w:r>
            <w:r>
              <w:rPr>
                <w:rFonts w:hint="eastAsia" w:ascii="Times New Roman" w:hAnsi="Times New Roman" w:cs="Times New Roman"/>
                <w:szCs w:val="21"/>
              </w:rPr>
              <w:t>=4NO</w:t>
            </w:r>
            <w:r>
              <w:rPr>
                <w:rFonts w:hint="eastAsia" w:ascii="Times New Roman" w:hAnsi="Times New Roman" w:cs="Times New Roman"/>
                <w:szCs w:val="21"/>
                <w:vertAlign w:val="subscript"/>
              </w:rPr>
              <w:t>2</w:t>
            </w:r>
            <w:r>
              <w:rPr>
                <w:rFonts w:hint="eastAsia" w:ascii="Times New Roman" w:hAnsi="Times New Roman" w:cs="Times New Roman"/>
                <w:szCs w:val="21"/>
              </w:rPr>
              <w:t>+6H</w:t>
            </w:r>
            <w:r>
              <w:rPr>
                <w:rFonts w:hint="eastAsia" w:ascii="Times New Roman" w:hAnsi="Times New Roman" w:cs="Times New Roman"/>
                <w:szCs w:val="21"/>
                <w:vertAlign w:val="subscript"/>
              </w:rPr>
              <w:t>2</w:t>
            </w:r>
            <w:r>
              <w:rPr>
                <w:rFonts w:ascii="Times New Roman" w:hAnsi="Times New Roman" w:cs="Times New Roman"/>
                <w:szCs w:val="21"/>
              </w:rPr>
              <w:t>O</w:t>
            </w:r>
            <w:r>
              <w:rPr>
                <w:rFonts w:hint="eastAsia" w:ascii="Times New Roman" w:hAnsi="Times New Roman" w:cs="Times New Roman"/>
                <w:szCs w:val="21"/>
              </w:rPr>
              <w:t>和</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S</w:t>
            </w:r>
            <w:r>
              <w:rPr>
                <w:rFonts w:ascii="Times New Roman" w:hAnsi="Times New Roman" w:cs="Times New Roman"/>
                <w:szCs w:val="21"/>
              </w:rPr>
              <w:sym w:font="Symbol" w:char="F02B"/>
            </w:r>
            <w:r>
              <w:rPr>
                <w:rFonts w:ascii="Times New Roman" w:hAnsi="Times New Roman" w:cs="Times New Roman"/>
                <w:szCs w:val="21"/>
              </w:rPr>
              <w:t>3O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sym w:font="Symbol" w:char="F0BE"/>
            </w:r>
            <w:r>
              <w:rPr>
                <w:rFonts w:ascii="Times New Roman" w:hAnsi="Times New Roman" w:cs="Times New Roman"/>
                <w:szCs w:val="21"/>
              </w:rPr>
              <w:sym w:font="Symbol" w:char="F0AE"/>
            </w:r>
            <w:r>
              <w:rPr>
                <w:rFonts w:ascii="Times New Roman" w:hAnsi="Times New Roman" w:cs="Times New Roman"/>
                <w:szCs w:val="21"/>
              </w:rPr>
              <w:t xml:space="preserve"> 2H</w:t>
            </w:r>
            <w:r>
              <w:rPr>
                <w:rFonts w:ascii="Times New Roman" w:hAnsi="Times New Roman" w:cs="Times New Roman"/>
                <w:szCs w:val="21"/>
                <w:vertAlign w:val="subscript"/>
              </w:rPr>
              <w:t>2</w:t>
            </w:r>
            <w:r>
              <w:rPr>
                <w:rFonts w:ascii="Times New Roman" w:hAnsi="Times New Roman" w:cs="Times New Roman"/>
                <w:szCs w:val="21"/>
              </w:rPr>
              <w:t xml:space="preserve">O </w:t>
            </w:r>
            <w:r>
              <w:rPr>
                <w:rFonts w:ascii="Times New Roman" w:hAnsi="Times New Roman" w:cs="Times New Roman"/>
                <w:szCs w:val="21"/>
              </w:rPr>
              <w:sym w:font="Symbol" w:char="F02B"/>
            </w:r>
            <w:r>
              <w:rPr>
                <w:rFonts w:ascii="Times New Roman" w:hAnsi="Times New Roman" w:cs="Times New Roman"/>
                <w:szCs w:val="21"/>
              </w:rPr>
              <w:t>2SO</w:t>
            </w:r>
            <w:r>
              <w:rPr>
                <w:rFonts w:ascii="Times New Roman" w:hAnsi="Times New Roman" w:cs="Times New Roman"/>
                <w:szCs w:val="21"/>
                <w:vertAlign w:val="subscript"/>
              </w:rPr>
              <w:t>2</w:t>
            </w:r>
            <w:r>
              <w:rPr>
                <w:rFonts w:ascii="Times New Roman" w:hAnsi="Times New Roman" w:cs="Times New Roman"/>
                <w:szCs w:val="21"/>
              </w:rPr>
              <w:t>可知，</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燃烧生成的N</w:t>
            </w:r>
            <w:r>
              <w:rPr>
                <w:rFonts w:ascii="Times New Roman" w:hAnsi="Times New Roman" w:cs="Times New Roman"/>
                <w:szCs w:val="21"/>
              </w:rPr>
              <w:t>O</w:t>
            </w:r>
            <w:r>
              <w:rPr>
                <w:rFonts w:ascii="Times New Roman" w:hAnsi="Times New Roman" w:cs="Times New Roman"/>
                <w:szCs w:val="21"/>
                <w:vertAlign w:val="subscript"/>
              </w:rPr>
              <w:t>2</w:t>
            </w:r>
            <w:r>
              <w:rPr>
                <w:rFonts w:hint="eastAsia" w:ascii="Times New Roman" w:hAnsi="Times New Roman" w:cs="Times New Roman"/>
                <w:szCs w:val="21"/>
              </w:rPr>
              <w:t>量为</w:t>
            </w:r>
            <w:r>
              <w:rPr>
                <w:rFonts w:ascii="Times New Roman" w:hAnsi="Times New Roman" w:cs="Times New Roman"/>
                <w:szCs w:val="21"/>
              </w:rPr>
              <w:t>0.3877</w:t>
            </w:r>
            <w:r>
              <w:rPr>
                <w:rFonts w:hint="eastAsia" w:ascii="Times New Roman" w:hAnsi="Times New Roman" w:cs="Times New Roman"/>
                <w:szCs w:val="21"/>
              </w:rPr>
              <w:t>kg/h、</w:t>
            </w:r>
            <w:r>
              <w:rPr>
                <w:rFonts w:ascii="Times New Roman" w:hAnsi="Times New Roman" w:cs="Times New Roman"/>
                <w:szCs w:val="21"/>
              </w:rPr>
              <w:t>0.9301</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燃烧生成的</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为</w:t>
            </w:r>
            <w:r>
              <w:rPr>
                <w:rFonts w:ascii="Times New Roman" w:hAnsi="Times New Roman" w:cs="Times New Roman"/>
                <w:szCs w:val="21"/>
              </w:rPr>
              <w:t>0.0009</w:t>
            </w:r>
            <w:r>
              <w:rPr>
                <w:rFonts w:hint="eastAsia" w:ascii="Times New Roman" w:hAnsi="Times New Roman" w:cs="Times New Roman"/>
                <w:szCs w:val="21"/>
              </w:rPr>
              <w:t>kg/h、</w:t>
            </w:r>
            <w:r>
              <w:rPr>
                <w:rFonts w:ascii="Times New Roman" w:hAnsi="Times New Roman" w:cs="Times New Roman"/>
                <w:szCs w:val="21"/>
              </w:rPr>
              <w:t>0.0021</w:t>
            </w:r>
            <w:r>
              <w:rPr>
                <w:rFonts w:hint="eastAsia" w:ascii="Times New Roman" w:hAnsi="Times New Roman" w:cs="Times New Roman"/>
                <w:szCs w:val="21"/>
              </w:rPr>
              <w:t>t/a。</w:t>
            </w:r>
          </w:p>
          <w:p w14:paraId="75ED7025">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综上，</w:t>
            </w:r>
            <w:r>
              <w:rPr>
                <w:rFonts w:hint="eastAsia" w:ascii="Times New Roman" w:hAnsi="Times New Roman" w:cs="Times New Roman"/>
                <w:szCs w:val="21"/>
              </w:rPr>
              <w:t>锅炉自身燃烧废气量为4</w:t>
            </w:r>
            <w:r>
              <w:rPr>
                <w:rFonts w:ascii="Times New Roman" w:hAnsi="Times New Roman" w:cs="Times New Roman"/>
                <w:szCs w:val="21"/>
              </w:rPr>
              <w:t>680.21Nm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h，工艺废气设计气量为</w:t>
            </w:r>
            <w:r>
              <w:rPr>
                <w:rFonts w:ascii="Times New Roman" w:hAnsi="Times New Roman" w:cs="Times New Roman"/>
                <w:szCs w:val="21"/>
              </w:rPr>
              <w:t>1200Nm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h，则锅炉排气筒总排气量为5</w:t>
            </w:r>
            <w:r>
              <w:rPr>
                <w:rFonts w:ascii="Times New Roman" w:hAnsi="Times New Roman" w:cs="Times New Roman"/>
                <w:szCs w:val="21"/>
              </w:rPr>
              <w:t>880.21Nm</w:t>
            </w:r>
            <w:r>
              <w:rPr>
                <w:rFonts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h。废气中</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总量为</w:t>
            </w:r>
            <w:r>
              <w:rPr>
                <w:rFonts w:ascii="Times New Roman" w:hAnsi="Times New Roman" w:cs="Times New Roman"/>
                <w:szCs w:val="21"/>
              </w:rPr>
              <w:t>0.3834</w:t>
            </w:r>
            <w:r>
              <w:rPr>
                <w:rFonts w:hint="eastAsia" w:ascii="Times New Roman" w:hAnsi="Times New Roman" w:cs="Times New Roman"/>
                <w:szCs w:val="21"/>
              </w:rPr>
              <w:t>kg/h、</w:t>
            </w:r>
            <w:r>
              <w:rPr>
                <w:rFonts w:ascii="Times New Roman" w:hAnsi="Times New Roman" w:cs="Times New Roman"/>
                <w:szCs w:val="21"/>
              </w:rPr>
              <w:t>0.9201</w:t>
            </w:r>
            <w:r>
              <w:rPr>
                <w:rFonts w:hint="eastAsia" w:ascii="Times New Roman" w:hAnsi="Times New Roman" w:cs="Times New Roman"/>
                <w:szCs w:val="21"/>
              </w:rPr>
              <w:t>t/a，</w:t>
            </w:r>
            <w:r>
              <w:rPr>
                <w:rFonts w:ascii="Times New Roman" w:hAnsi="Times New Roman" w:cs="Times New Roman"/>
                <w:szCs w:val="21"/>
              </w:rPr>
              <w:t>NOx</w:t>
            </w:r>
            <w:r>
              <w:rPr>
                <w:rFonts w:hint="eastAsia" w:ascii="Times New Roman" w:hAnsi="Times New Roman" w:cs="Times New Roman"/>
                <w:szCs w:val="21"/>
              </w:rPr>
              <w:t>总量为</w:t>
            </w:r>
            <w:r>
              <w:rPr>
                <w:rFonts w:ascii="Times New Roman" w:hAnsi="Times New Roman" w:cs="Times New Roman"/>
                <w:szCs w:val="21"/>
              </w:rPr>
              <w:t>1.1527</w:t>
            </w:r>
            <w:r>
              <w:rPr>
                <w:rFonts w:hint="eastAsia" w:ascii="Times New Roman" w:hAnsi="Times New Roman" w:cs="Times New Roman"/>
                <w:szCs w:val="21"/>
              </w:rPr>
              <w:t>kg/h、</w:t>
            </w:r>
            <w:r>
              <w:rPr>
                <w:rFonts w:ascii="Times New Roman" w:hAnsi="Times New Roman" w:cs="Times New Roman"/>
                <w:szCs w:val="21"/>
              </w:rPr>
              <w:t>2.7661</w:t>
            </w:r>
            <w:r>
              <w:rPr>
                <w:rFonts w:hint="eastAsia" w:ascii="Times New Roman" w:hAnsi="Times New Roman" w:cs="Times New Roman"/>
                <w:szCs w:val="21"/>
              </w:rPr>
              <w:t>t/a，</w:t>
            </w:r>
            <w:r>
              <w:rPr>
                <w:rFonts w:ascii="Times New Roman" w:hAnsi="Times New Roman" w:cs="Times New Roman"/>
                <w:szCs w:val="21"/>
              </w:rPr>
              <w:t>烟尘的</w:t>
            </w:r>
            <w:r>
              <w:rPr>
                <w:rFonts w:hint="eastAsia" w:ascii="Times New Roman" w:hAnsi="Times New Roman" w:cs="Times New Roman"/>
                <w:szCs w:val="21"/>
              </w:rPr>
              <w:t>总</w:t>
            </w:r>
            <w:r>
              <w:rPr>
                <w:rFonts w:ascii="Times New Roman" w:hAnsi="Times New Roman" w:cs="Times New Roman"/>
                <w:szCs w:val="21"/>
              </w:rPr>
              <w:t>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NOx</w:t>
            </w:r>
            <w:r>
              <w:rPr>
                <w:rFonts w:hint="eastAsia" w:ascii="Times New Roman" w:hAnsi="Times New Roman" w:cs="Times New Roman"/>
                <w:szCs w:val="21"/>
              </w:rPr>
              <w:t>、</w:t>
            </w:r>
            <w:r>
              <w:rPr>
                <w:rFonts w:ascii="Times New Roman" w:hAnsi="Times New Roman" w:cs="Times New Roman"/>
                <w:szCs w:val="21"/>
              </w:rPr>
              <w:t>烟尘</w:t>
            </w:r>
            <w:r>
              <w:rPr>
                <w:rFonts w:hint="eastAsia" w:ascii="Times New Roman" w:hAnsi="Times New Roman" w:cs="Times New Roman"/>
                <w:szCs w:val="21"/>
              </w:rPr>
              <w:t>浓度分别为</w:t>
            </w:r>
            <w:r>
              <w:rPr>
                <w:rFonts w:ascii="Times New Roman" w:hAnsi="Times New Roman" w:cs="Times New Roman"/>
                <w:szCs w:val="21"/>
              </w:rPr>
              <w:t>65.2017</w:t>
            </w:r>
            <w:r>
              <w:rPr>
                <w:rFonts w:hint="eastAsia" w:ascii="Times New Roman" w:hAnsi="Times New Roman" w:cs="Times New Roman"/>
                <w:szCs w:val="21"/>
              </w:rPr>
              <w:t>mg</w:t>
            </w:r>
            <w:r>
              <w:rPr>
                <w:rFonts w:ascii="Times New Roman" w:hAnsi="Times New Roman" w:cs="Times New Roman"/>
                <w:szCs w:val="21"/>
              </w:rPr>
              <w:t>/</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、1</w:t>
            </w:r>
            <w:r>
              <w:rPr>
                <w:rFonts w:ascii="Times New Roman" w:hAnsi="Times New Roman" w:cs="Times New Roman"/>
                <w:szCs w:val="21"/>
              </w:rPr>
              <w:t>96.0304</w:t>
            </w:r>
            <w:r>
              <w:rPr>
                <w:rFonts w:hint="eastAsia" w:ascii="Times New Roman" w:hAnsi="Times New Roman" w:cs="Times New Roman"/>
                <w:szCs w:val="21"/>
              </w:rPr>
              <w:t>mg</w:t>
            </w:r>
            <w:r>
              <w:rPr>
                <w:rFonts w:ascii="Times New Roman" w:hAnsi="Times New Roman" w:cs="Times New Roman"/>
                <w:szCs w:val="21"/>
              </w:rPr>
              <w:t>/</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63.7732</w:t>
            </w:r>
            <w:r>
              <w:rPr>
                <w:rFonts w:hint="eastAsia" w:ascii="Times New Roman" w:hAnsi="Times New Roman" w:cs="Times New Roman"/>
                <w:szCs w:val="21"/>
              </w:rPr>
              <w:t>mg</w:t>
            </w:r>
            <w:r>
              <w:rPr>
                <w:rFonts w:ascii="Times New Roman" w:hAnsi="Times New Roman" w:cs="Times New Roman"/>
                <w:szCs w:val="21"/>
              </w:rPr>
              <w:t>/</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08086AA3">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szCs w:val="21"/>
              </w:rPr>
              <w:t>烟气未燃烧的</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和H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分别为：</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 xml:space="preserve"> </w:t>
            </w:r>
            <w:r>
              <w:rPr>
                <w:rFonts w:ascii="Times New Roman" w:hAnsi="Times New Roman" w:cs="Times New Roman"/>
                <w:szCs w:val="21"/>
              </w:rPr>
              <w:t>0.0159</w:t>
            </w:r>
            <w:r>
              <w:rPr>
                <w:rFonts w:hint="eastAsia" w:ascii="Times New Roman" w:hAnsi="Times New Roman" w:cs="Times New Roman"/>
                <w:szCs w:val="21"/>
              </w:rPr>
              <w:t>kg/h、0</w:t>
            </w:r>
            <w:r>
              <w:rPr>
                <w:rFonts w:ascii="Times New Roman" w:hAnsi="Times New Roman" w:cs="Times New Roman"/>
                <w:szCs w:val="21"/>
              </w:rPr>
              <w:t>.0383</w:t>
            </w:r>
            <w:r>
              <w:rPr>
                <w:rFonts w:hint="eastAsia" w:ascii="Times New Roman" w:hAnsi="Times New Roman" w:cs="Times New Roman"/>
                <w:szCs w:val="21"/>
              </w:rPr>
              <w:t>t/a，H</w:t>
            </w:r>
            <w:r>
              <w:rPr>
                <w:rFonts w:ascii="Times New Roman" w:hAnsi="Times New Roman" w:cs="Times New Roman"/>
                <w:szCs w:val="21"/>
                <w:vertAlign w:val="subscript"/>
              </w:rPr>
              <w:t>2</w:t>
            </w:r>
            <w:r>
              <w:rPr>
                <w:rFonts w:ascii="Times New Roman" w:hAnsi="Times New Roman" w:cs="Times New Roman"/>
                <w:szCs w:val="21"/>
              </w:rPr>
              <w:t xml:space="preserve">S </w:t>
            </w:r>
            <w:r>
              <w:rPr>
                <w:rFonts w:hint="eastAsia" w:ascii="Times New Roman" w:hAnsi="Times New Roman" w:cs="Times New Roman"/>
                <w:szCs w:val="21"/>
              </w:rPr>
              <w:t>0</w:t>
            </w:r>
            <w:r>
              <w:rPr>
                <w:rFonts w:ascii="Times New Roman" w:hAnsi="Times New Roman" w:cs="Times New Roman"/>
                <w:szCs w:val="21"/>
              </w:rPr>
              <w:t>.42×10</w:t>
            </w:r>
            <w:r>
              <w:rPr>
                <w:rFonts w:ascii="Times New Roman" w:hAnsi="Times New Roman" w:cs="Times New Roman"/>
                <w:szCs w:val="21"/>
                <w:vertAlign w:val="superscript"/>
              </w:rPr>
              <w:t>-4</w:t>
            </w:r>
            <w:r>
              <w:rPr>
                <w:rFonts w:hint="eastAsia" w:ascii="Times New Roman" w:hAnsi="Times New Roman" w:cs="Times New Roman"/>
                <w:szCs w:val="21"/>
              </w:rPr>
              <w:t>kg/h、0</w:t>
            </w:r>
            <w:r>
              <w:rPr>
                <w:rFonts w:ascii="Times New Roman" w:hAnsi="Times New Roman" w:cs="Times New Roman"/>
                <w:szCs w:val="21"/>
              </w:rPr>
              <w:t>.0001</w:t>
            </w:r>
            <w:r>
              <w:rPr>
                <w:rFonts w:hint="eastAsia" w:ascii="Times New Roman" w:hAnsi="Times New Roman" w:cs="Times New Roman"/>
                <w:szCs w:val="21"/>
              </w:rPr>
              <w:t>t/a；浓度分别为</w:t>
            </w:r>
            <w:r>
              <w:rPr>
                <w:rFonts w:ascii="Times New Roman" w:hAnsi="Times New Roman" w:cs="Times New Roman"/>
                <w:szCs w:val="21"/>
              </w:rPr>
              <w:t>2.7000</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、0</w:t>
            </w:r>
            <w:r>
              <w:rPr>
                <w:rFonts w:ascii="Times New Roman" w:hAnsi="Times New Roman" w:cs="Times New Roman"/>
                <w:szCs w:val="21"/>
              </w:rPr>
              <w:t>.0071</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75FECAEE">
            <w:pPr>
              <w:pStyle w:val="10"/>
              <w:spacing w:line="360" w:lineRule="auto"/>
              <w:ind w:left="0" w:right="105" w:rightChars="50" w:firstLine="240" w:firstLineChars="100"/>
              <w:rPr>
                <w:rFonts w:ascii="Times New Roman" w:hAnsi="Times New Roman" w:cs="Times New Roman"/>
                <w:szCs w:val="21"/>
              </w:rPr>
            </w:pPr>
            <w:r>
              <w:rPr>
                <w:rFonts w:ascii="Times New Roman" w:hAnsi="Times New Roman" w:cs="Times New Roman"/>
                <w:szCs w:val="21"/>
              </w:rPr>
              <w:t>本项目锅炉烟气拟采用</w:t>
            </w:r>
            <w:r>
              <w:rPr>
                <w:rFonts w:hint="eastAsia" w:ascii="Times New Roman" w:hAnsi="Times New Roman" w:cs="Times New Roman"/>
                <w:szCs w:val="21"/>
              </w:rPr>
              <w:t>双碱法</w:t>
            </w:r>
            <w:r>
              <w:rPr>
                <w:rFonts w:ascii="Times New Roman" w:hAnsi="Times New Roman" w:cs="Times New Roman"/>
                <w:szCs w:val="21"/>
              </w:rPr>
              <w:t>水膜</w:t>
            </w:r>
            <w:r>
              <w:rPr>
                <w:rFonts w:hint="eastAsia" w:ascii="Times New Roman" w:hAnsi="Times New Roman" w:cs="Times New Roman"/>
                <w:szCs w:val="21"/>
              </w:rPr>
              <w:t>脱硫</w:t>
            </w:r>
            <w:r>
              <w:rPr>
                <w:rFonts w:ascii="Times New Roman" w:hAnsi="Times New Roman" w:cs="Times New Roman"/>
                <w:szCs w:val="21"/>
              </w:rPr>
              <w:t>除尘</w:t>
            </w:r>
            <w:r>
              <w:rPr>
                <w:rFonts w:hint="eastAsia" w:ascii="Times New Roman" w:hAnsi="Times New Roman" w:cs="Times New Roman"/>
                <w:szCs w:val="21"/>
              </w:rPr>
              <w:t>塔</w:t>
            </w:r>
            <w:r>
              <w:rPr>
                <w:rFonts w:ascii="Times New Roman" w:hAnsi="Times New Roman" w:cs="Times New Roman"/>
                <w:szCs w:val="21"/>
              </w:rPr>
              <w:t>进行处理，</w:t>
            </w:r>
            <w:r>
              <w:rPr>
                <w:rFonts w:hint="eastAsia" w:ascii="Times New Roman" w:hAnsi="Times New Roman" w:cs="Times New Roman"/>
                <w:szCs w:val="21"/>
              </w:rPr>
              <w:t>参考</w:t>
            </w:r>
            <w:r>
              <w:rPr>
                <w:rFonts w:ascii="Times New Roman" w:hAnsi="Times New Roman" w:cs="Times New Roman"/>
                <w:szCs w:val="21"/>
              </w:rPr>
              <w:t>《排放源统计调查产排污核算方法和系数手册》</w:t>
            </w:r>
            <w:r>
              <w:rPr>
                <w:rFonts w:hint="eastAsia" w:ascii="Times New Roman" w:hAnsi="Times New Roman" w:cs="Times New Roman"/>
                <w:szCs w:val="21"/>
              </w:rPr>
              <w:t>及类似</w:t>
            </w:r>
            <w:r>
              <w:rPr>
                <w:rFonts w:ascii="Times New Roman" w:hAnsi="Times New Roman" w:cs="Times New Roman"/>
                <w:szCs w:val="21"/>
              </w:rPr>
              <w:t>水膜</w:t>
            </w:r>
            <w:r>
              <w:rPr>
                <w:rFonts w:hint="eastAsia" w:ascii="Times New Roman" w:hAnsi="Times New Roman" w:cs="Times New Roman"/>
                <w:szCs w:val="21"/>
              </w:rPr>
              <w:t>脱硫</w:t>
            </w:r>
            <w:r>
              <w:rPr>
                <w:rFonts w:ascii="Times New Roman" w:hAnsi="Times New Roman" w:cs="Times New Roman"/>
                <w:szCs w:val="21"/>
              </w:rPr>
              <w:t>除尘</w:t>
            </w:r>
            <w:r>
              <w:rPr>
                <w:rFonts w:hint="eastAsia" w:ascii="Times New Roman" w:hAnsi="Times New Roman" w:cs="Times New Roman"/>
                <w:szCs w:val="21"/>
              </w:rPr>
              <w:t>塔实际应用效果</w:t>
            </w:r>
            <w:r>
              <w:rPr>
                <w:rFonts w:ascii="Times New Roman" w:hAnsi="Times New Roman" w:cs="Times New Roman"/>
                <w:szCs w:val="21"/>
              </w:rPr>
              <w:t>，水膜</w:t>
            </w:r>
            <w:r>
              <w:rPr>
                <w:rFonts w:hint="eastAsia" w:ascii="Times New Roman" w:hAnsi="Times New Roman" w:cs="Times New Roman"/>
                <w:szCs w:val="21"/>
              </w:rPr>
              <w:t>脱硫</w:t>
            </w:r>
            <w:r>
              <w:rPr>
                <w:rFonts w:ascii="Times New Roman" w:hAnsi="Times New Roman" w:cs="Times New Roman"/>
                <w:szCs w:val="21"/>
              </w:rPr>
              <w:t>除尘</w:t>
            </w:r>
            <w:r>
              <w:rPr>
                <w:rFonts w:hint="eastAsia" w:ascii="Times New Roman" w:hAnsi="Times New Roman" w:cs="Times New Roman"/>
                <w:szCs w:val="21"/>
              </w:rPr>
              <w:t>塔</w:t>
            </w:r>
            <w:r>
              <w:rPr>
                <w:rFonts w:ascii="Times New Roman" w:hAnsi="Times New Roman" w:cs="Times New Roman"/>
                <w:szCs w:val="21"/>
              </w:rPr>
              <w:t>除尘效率</w:t>
            </w:r>
            <w:r>
              <w:rPr>
                <w:rFonts w:hint="eastAsia" w:ascii="Times New Roman" w:hAnsi="Times New Roman" w:cs="Times New Roman"/>
                <w:szCs w:val="21"/>
              </w:rPr>
              <w:t>可达到</w:t>
            </w:r>
            <w:r>
              <w:rPr>
                <w:rFonts w:ascii="Times New Roman" w:hAnsi="Times New Roman" w:cs="Times New Roman"/>
                <w:szCs w:val="21"/>
              </w:rPr>
              <w:t>87%</w:t>
            </w:r>
            <w:r>
              <w:rPr>
                <w:rFonts w:hint="eastAsia" w:ascii="Times New Roman" w:hAnsi="Times New Roman" w:cs="Times New Roman"/>
                <w:szCs w:val="21"/>
              </w:rPr>
              <w:t>，脱硫效率可达到8</w:t>
            </w:r>
            <w:r>
              <w:rPr>
                <w:rFonts w:ascii="Times New Roman" w:hAnsi="Times New Roman" w:cs="Times New Roman"/>
                <w:szCs w:val="21"/>
              </w:rPr>
              <w:t>0</w:t>
            </w:r>
            <w:r>
              <w:rPr>
                <w:rFonts w:hint="eastAsia" w:ascii="Times New Roman" w:hAnsi="Times New Roman" w:cs="Times New Roman"/>
                <w:szCs w:val="21"/>
              </w:rPr>
              <w:t>%，脱硝效率约</w:t>
            </w:r>
            <w:r>
              <w:rPr>
                <w:rFonts w:ascii="Times New Roman" w:hAnsi="Times New Roman" w:cs="Times New Roman"/>
                <w:szCs w:val="21"/>
              </w:rPr>
              <w:t>20</w:t>
            </w:r>
            <w:r>
              <w:rPr>
                <w:rFonts w:hint="eastAsia" w:ascii="Times New Roman" w:hAnsi="Times New Roman" w:cs="Times New Roman"/>
                <w:szCs w:val="21"/>
              </w:rPr>
              <w:t>%。</w:t>
            </w:r>
            <w:r>
              <w:rPr>
                <w:rFonts w:ascii="Times New Roman" w:hAnsi="Times New Roman" w:cs="Times New Roman"/>
                <w:bCs/>
              </w:rPr>
              <w:t>根据《第二次全国污染源普查工业污染源普查 其他畜牧专业及辅助性活动（畜禽尸体化制）系数手册》，“喷淋洗涤”对臭气的去除效率</w:t>
            </w:r>
            <w:r>
              <w:rPr>
                <w:rFonts w:hint="eastAsia" w:ascii="Times New Roman" w:hAnsi="Times New Roman" w:cs="Times New Roman"/>
                <w:bCs/>
              </w:rPr>
              <w:t>取</w:t>
            </w:r>
            <w:r>
              <w:rPr>
                <w:rFonts w:ascii="Times New Roman" w:hAnsi="Times New Roman" w:cs="Times New Roman"/>
                <w:bCs/>
              </w:rPr>
              <w:t>80%</w:t>
            </w:r>
            <w:r>
              <w:rPr>
                <w:rFonts w:hint="eastAsia" w:ascii="Times New Roman" w:hAnsi="Times New Roman" w:cs="Times New Roman"/>
                <w:bCs/>
              </w:rPr>
              <w:t>。则锅炉尾气中</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cs="Times New Roman"/>
                <w:szCs w:val="21"/>
              </w:rPr>
              <w:t>、</w:t>
            </w:r>
            <w:r>
              <w:rPr>
                <w:rFonts w:ascii="Times New Roman" w:hAnsi="Times New Roman" w:cs="Times New Roman"/>
                <w:szCs w:val="21"/>
              </w:rPr>
              <w:t>NOx</w:t>
            </w:r>
            <w:r>
              <w:rPr>
                <w:rFonts w:hint="eastAsia" w:ascii="Times New Roman" w:hAnsi="Times New Roman" w:cs="Times New Roman"/>
                <w:szCs w:val="21"/>
              </w:rPr>
              <w:t>、</w:t>
            </w:r>
            <w:r>
              <w:rPr>
                <w:rFonts w:ascii="Times New Roman" w:hAnsi="Times New Roman" w:cs="Times New Roman"/>
                <w:szCs w:val="21"/>
              </w:rPr>
              <w:t>烟尘</w:t>
            </w:r>
            <w:r>
              <w:rPr>
                <w:rFonts w:hint="eastAsia" w:ascii="Times New Roman" w:hAnsi="Times New Roman" w:cs="Times New Roman"/>
                <w:szCs w:val="21"/>
              </w:rPr>
              <w:t>、</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排放量分别为：0</w:t>
            </w:r>
            <w:r>
              <w:rPr>
                <w:rFonts w:ascii="Times New Roman" w:hAnsi="Times New Roman" w:cs="Times New Roman"/>
                <w:szCs w:val="21"/>
              </w:rPr>
              <w:t>.0767</w:t>
            </w:r>
            <w:r>
              <w:rPr>
                <w:rFonts w:hint="eastAsia" w:ascii="Times New Roman" w:hAnsi="Times New Roman" w:cs="Times New Roman"/>
                <w:szCs w:val="21"/>
              </w:rPr>
              <w:t>kg/h（0</w:t>
            </w:r>
            <w:r>
              <w:rPr>
                <w:rFonts w:ascii="Times New Roman" w:hAnsi="Times New Roman" w:cs="Times New Roman"/>
                <w:szCs w:val="21"/>
              </w:rPr>
              <w:t>.1840</w:t>
            </w:r>
            <w:r>
              <w:rPr>
                <w:rFonts w:hint="eastAsia" w:ascii="Times New Roman" w:hAnsi="Times New Roman" w:cs="Times New Roman"/>
                <w:szCs w:val="21"/>
              </w:rPr>
              <w:t>t/a）、0</w:t>
            </w:r>
            <w:r>
              <w:rPr>
                <w:rFonts w:ascii="Times New Roman" w:hAnsi="Times New Roman" w:cs="Times New Roman"/>
                <w:szCs w:val="21"/>
              </w:rPr>
              <w:t>.9222</w:t>
            </w:r>
            <w:r>
              <w:rPr>
                <w:rFonts w:hint="eastAsia" w:ascii="Times New Roman" w:hAnsi="Times New Roman" w:cs="Times New Roman"/>
                <w:szCs w:val="21"/>
              </w:rPr>
              <w:t>kg/h（</w:t>
            </w:r>
            <w:r>
              <w:rPr>
                <w:rFonts w:ascii="Times New Roman" w:hAnsi="Times New Roman" w:cs="Times New Roman"/>
                <w:szCs w:val="21"/>
              </w:rPr>
              <w:t>2.2129</w:t>
            </w:r>
            <w:r>
              <w:rPr>
                <w:rFonts w:hint="eastAsia" w:ascii="Times New Roman" w:hAnsi="Times New Roman" w:cs="Times New Roman"/>
                <w:szCs w:val="21"/>
              </w:rPr>
              <w:t>t/a）、0</w:t>
            </w:r>
            <w:r>
              <w:rPr>
                <w:rFonts w:ascii="Times New Roman" w:hAnsi="Times New Roman" w:cs="Times New Roman"/>
                <w:szCs w:val="21"/>
              </w:rPr>
              <w:t>.0488</w:t>
            </w:r>
            <w:r>
              <w:rPr>
                <w:rFonts w:hint="eastAsia" w:ascii="Times New Roman" w:hAnsi="Times New Roman" w:cs="Times New Roman"/>
                <w:szCs w:val="21"/>
              </w:rPr>
              <w:t>kg/h（0</w:t>
            </w:r>
            <w:r>
              <w:rPr>
                <w:rFonts w:ascii="Times New Roman" w:hAnsi="Times New Roman" w:cs="Times New Roman"/>
                <w:szCs w:val="21"/>
              </w:rPr>
              <w:t>.1170</w:t>
            </w:r>
            <w:r>
              <w:rPr>
                <w:rFonts w:hint="eastAsia" w:ascii="Times New Roman" w:hAnsi="Times New Roman" w:cs="Times New Roman"/>
                <w:szCs w:val="21"/>
              </w:rPr>
              <w:t>t/a）、0</w:t>
            </w:r>
            <w:r>
              <w:rPr>
                <w:rFonts w:ascii="Times New Roman" w:hAnsi="Times New Roman" w:cs="Times New Roman"/>
                <w:szCs w:val="21"/>
              </w:rPr>
              <w:t>.0032</w:t>
            </w:r>
            <w:r>
              <w:rPr>
                <w:rFonts w:hint="eastAsia" w:ascii="Times New Roman" w:hAnsi="Times New Roman" w:cs="Times New Roman"/>
                <w:szCs w:val="21"/>
              </w:rPr>
              <w:t>kg/h</w:t>
            </w:r>
            <w:bookmarkStart w:id="45" w:name="_Hlk101129235"/>
            <w:r>
              <w:rPr>
                <w:rFonts w:hint="eastAsia" w:ascii="Times New Roman" w:hAnsi="Times New Roman" w:cs="Times New Roman"/>
                <w:szCs w:val="21"/>
              </w:rPr>
              <w:t>（0</w:t>
            </w:r>
            <w:r>
              <w:rPr>
                <w:rFonts w:ascii="Times New Roman" w:hAnsi="Times New Roman" w:cs="Times New Roman"/>
                <w:szCs w:val="21"/>
              </w:rPr>
              <w:t>.0077</w:t>
            </w:r>
            <w:r>
              <w:rPr>
                <w:rFonts w:hint="eastAsia" w:ascii="Times New Roman" w:hAnsi="Times New Roman" w:cs="Times New Roman"/>
                <w:szCs w:val="21"/>
              </w:rPr>
              <w:t>t/a）</w:t>
            </w:r>
            <w:bookmarkEnd w:id="45"/>
            <w:r>
              <w:rPr>
                <w:rFonts w:hint="eastAsia" w:ascii="Times New Roman" w:hAnsi="Times New Roman" w:cs="Times New Roman"/>
                <w:szCs w:val="21"/>
              </w:rPr>
              <w:t>、0</w:t>
            </w:r>
            <w:r>
              <w:rPr>
                <w:rFonts w:ascii="Times New Roman" w:hAnsi="Times New Roman" w:cs="Times New Roman"/>
                <w:szCs w:val="21"/>
              </w:rPr>
              <w:t>.084×10</w:t>
            </w:r>
            <w:r>
              <w:rPr>
                <w:rFonts w:ascii="Times New Roman" w:hAnsi="Times New Roman" w:cs="Times New Roman"/>
                <w:szCs w:val="21"/>
                <w:vertAlign w:val="superscript"/>
              </w:rPr>
              <w:t>-4</w:t>
            </w:r>
            <w:r>
              <w:rPr>
                <w:rFonts w:hint="eastAsia" w:ascii="Times New Roman" w:hAnsi="Times New Roman" w:cs="Times New Roman"/>
                <w:szCs w:val="21"/>
              </w:rPr>
              <w:t>kg/h（0</w:t>
            </w:r>
            <w:r>
              <w:rPr>
                <w:rFonts w:ascii="Times New Roman" w:hAnsi="Times New Roman" w:cs="Times New Roman"/>
                <w:szCs w:val="21"/>
              </w:rPr>
              <w:t>.2×10</w:t>
            </w:r>
            <w:r>
              <w:rPr>
                <w:rFonts w:ascii="Times New Roman" w:hAnsi="Times New Roman" w:cs="Times New Roman"/>
                <w:szCs w:val="21"/>
                <w:vertAlign w:val="superscript"/>
              </w:rPr>
              <w:t>-4</w:t>
            </w:r>
            <w:r>
              <w:rPr>
                <w:rFonts w:hint="eastAsia" w:ascii="Times New Roman" w:hAnsi="Times New Roman" w:cs="Times New Roman"/>
                <w:szCs w:val="21"/>
              </w:rPr>
              <w:t>t/a），排放浓度分别为1</w:t>
            </w:r>
            <w:r>
              <w:rPr>
                <w:rFonts w:ascii="Times New Roman" w:hAnsi="Times New Roman" w:cs="Times New Roman"/>
                <w:szCs w:val="21"/>
              </w:rPr>
              <w:t>3.0403</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156.8243</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8.2905</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0.5400</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r>
              <w:rPr>
                <w:rFonts w:ascii="Times New Roman" w:hAnsi="Times New Roman" w:cs="Times New Roman"/>
                <w:szCs w:val="21"/>
              </w:rPr>
              <w:t>0.0014</w:t>
            </w:r>
            <w:r>
              <w:rPr>
                <w:rFonts w:hint="eastAsia" w:ascii="Times New Roman" w:hAnsi="Times New Roman" w:cs="Times New Roman"/>
                <w:szCs w:val="21"/>
              </w:rPr>
              <w:t>mg/m</w:t>
            </w:r>
            <w:r>
              <w:rPr>
                <w:rFonts w:hint="eastAsia" w:ascii="Times New Roman" w:hAnsi="Times New Roman" w:cs="Times New Roman"/>
                <w:szCs w:val="21"/>
                <w:vertAlign w:val="superscript"/>
              </w:rPr>
              <w:t>3</w:t>
            </w:r>
            <w:r>
              <w:rPr>
                <w:rFonts w:hint="eastAsia" w:ascii="Times New Roman" w:hAnsi="Times New Roman" w:cs="Times New Roman"/>
                <w:szCs w:val="21"/>
              </w:rPr>
              <w:t>。</w:t>
            </w:r>
          </w:p>
          <w:p w14:paraId="1B133764">
            <w:pPr>
              <w:jc w:val="center"/>
              <w:rPr>
                <w:rFonts w:ascii="Times New Roman" w:hAnsi="Times New Roman" w:eastAsia="宋体" w:cs="Times New Roman"/>
                <w:b/>
                <w:szCs w:val="21"/>
              </w:rPr>
            </w:pPr>
            <w:r>
              <w:rPr>
                <w:rFonts w:ascii="Times New Roman" w:hAnsi="Times New Roman" w:eastAsia="宋体" w:cs="Times New Roman"/>
                <w:b/>
                <w:szCs w:val="21"/>
              </w:rPr>
              <w:t xml:space="preserve">表2-15    </w:t>
            </w:r>
            <w:r>
              <w:rPr>
                <w:rFonts w:hint="eastAsia" w:ascii="Times New Roman" w:hAnsi="Times New Roman" w:eastAsia="宋体" w:cs="Times New Roman"/>
                <w:b/>
                <w:szCs w:val="21"/>
              </w:rPr>
              <w:t>锅炉污染物排放情况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75"/>
              <w:gridCol w:w="1060"/>
              <w:gridCol w:w="1017"/>
              <w:gridCol w:w="816"/>
              <w:gridCol w:w="911"/>
              <w:gridCol w:w="1161"/>
              <w:gridCol w:w="1107"/>
              <w:gridCol w:w="1015"/>
            </w:tblGrid>
            <w:tr w14:paraId="137D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586B06D">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锅炉</w:t>
                  </w:r>
                </w:p>
              </w:tc>
              <w:tc>
                <w:tcPr>
                  <w:tcW w:w="584" w:type="dxa"/>
                  <w:vAlign w:val="center"/>
                </w:tcPr>
                <w:p w14:paraId="015FEAAA">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污染物</w:t>
                  </w:r>
                </w:p>
              </w:tc>
              <w:tc>
                <w:tcPr>
                  <w:tcW w:w="1064" w:type="dxa"/>
                  <w:vAlign w:val="center"/>
                </w:tcPr>
                <w:p w14:paraId="0F8F24D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18" w:type="dxa"/>
                  <w:vAlign w:val="center"/>
                </w:tcPr>
                <w:p w14:paraId="422DBAA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产生强度（kg/h）</w:t>
                  </w:r>
                </w:p>
              </w:tc>
              <w:tc>
                <w:tcPr>
                  <w:tcW w:w="816" w:type="dxa"/>
                  <w:vAlign w:val="center"/>
                </w:tcPr>
                <w:p w14:paraId="0F850E00">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产生量（t/a）</w:t>
                  </w:r>
                </w:p>
              </w:tc>
              <w:tc>
                <w:tcPr>
                  <w:tcW w:w="982" w:type="dxa"/>
                  <w:vAlign w:val="center"/>
                </w:tcPr>
                <w:p w14:paraId="59CAB138">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处理措施</w:t>
                  </w:r>
                </w:p>
              </w:tc>
              <w:tc>
                <w:tcPr>
                  <w:tcW w:w="1162" w:type="dxa"/>
                  <w:vAlign w:val="center"/>
                </w:tcPr>
                <w:p w14:paraId="4CAD072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108" w:type="dxa"/>
                  <w:vAlign w:val="center"/>
                </w:tcPr>
                <w:p w14:paraId="0240053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排放强度（kg/h）</w:t>
                  </w:r>
                </w:p>
              </w:tc>
              <w:tc>
                <w:tcPr>
                  <w:tcW w:w="928" w:type="dxa"/>
                  <w:vAlign w:val="center"/>
                </w:tcPr>
                <w:p w14:paraId="26C4371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排放量（t/a）</w:t>
                  </w:r>
                </w:p>
              </w:tc>
            </w:tr>
            <w:tr w14:paraId="106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6" w:type="dxa"/>
                  <w:vMerge w:val="restart"/>
                  <w:vAlign w:val="center"/>
                </w:tcPr>
                <w:p w14:paraId="751B193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A001</w:t>
                  </w:r>
                </w:p>
              </w:tc>
              <w:tc>
                <w:tcPr>
                  <w:tcW w:w="584" w:type="dxa"/>
                  <w:vAlign w:val="center"/>
                </w:tcPr>
                <w:p w14:paraId="60EB3B0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898" w:type="dxa"/>
                  <w:gridSpan w:val="3"/>
                  <w:vAlign w:val="center"/>
                </w:tcPr>
                <w:p w14:paraId="47F150BE">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982" w:type="dxa"/>
                  <w:vMerge w:val="restart"/>
                  <w:vAlign w:val="center"/>
                </w:tcPr>
                <w:p w14:paraId="44152694">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87</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80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20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90</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p>
              </w:tc>
              <w:tc>
                <w:tcPr>
                  <w:tcW w:w="3198" w:type="dxa"/>
                  <w:gridSpan w:val="3"/>
                  <w:vAlign w:val="center"/>
                </w:tcPr>
                <w:p w14:paraId="421AF708">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31D8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6" w:type="dxa"/>
                  <w:vMerge w:val="continue"/>
                  <w:vAlign w:val="center"/>
                </w:tcPr>
                <w:p w14:paraId="2A97122F">
                  <w:pPr>
                    <w:pStyle w:val="10"/>
                    <w:snapToGrid w:val="0"/>
                    <w:ind w:left="0"/>
                    <w:jc w:val="center"/>
                    <w:rPr>
                      <w:rFonts w:ascii="Times New Roman" w:hAnsi="Times New Roman" w:cs="Times New Roman"/>
                      <w:sz w:val="18"/>
                      <w:szCs w:val="18"/>
                      <w:lang w:val="en-US"/>
                    </w:rPr>
                  </w:pPr>
                </w:p>
              </w:tc>
              <w:tc>
                <w:tcPr>
                  <w:tcW w:w="584" w:type="dxa"/>
                  <w:vAlign w:val="center"/>
                </w:tcPr>
                <w:p w14:paraId="3E39EDDB">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烟尘</w:t>
                  </w:r>
                </w:p>
              </w:tc>
              <w:tc>
                <w:tcPr>
                  <w:tcW w:w="1064" w:type="dxa"/>
                  <w:vAlign w:val="center"/>
                </w:tcPr>
                <w:p w14:paraId="39C85E91">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63.7732</w:t>
                  </w:r>
                </w:p>
              </w:tc>
              <w:tc>
                <w:tcPr>
                  <w:tcW w:w="1018" w:type="dxa"/>
                  <w:vAlign w:val="center"/>
                </w:tcPr>
                <w:p w14:paraId="49E388F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.3750</w:t>
                  </w:r>
                </w:p>
              </w:tc>
              <w:tc>
                <w:tcPr>
                  <w:tcW w:w="816" w:type="dxa"/>
                  <w:vAlign w:val="center"/>
                </w:tcPr>
                <w:p w14:paraId="4A884325">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0.9000</w:t>
                  </w:r>
                </w:p>
              </w:tc>
              <w:tc>
                <w:tcPr>
                  <w:tcW w:w="982" w:type="dxa"/>
                  <w:vMerge w:val="continue"/>
                  <w:vAlign w:val="center"/>
                </w:tcPr>
                <w:p w14:paraId="32C0A19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1E8B3C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.2905</w:t>
                  </w:r>
                </w:p>
              </w:tc>
              <w:tc>
                <w:tcPr>
                  <w:tcW w:w="1108" w:type="dxa"/>
                  <w:vAlign w:val="center"/>
                </w:tcPr>
                <w:p w14:paraId="76E74EE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.0488</w:t>
                  </w:r>
                </w:p>
              </w:tc>
              <w:tc>
                <w:tcPr>
                  <w:tcW w:w="928" w:type="dxa"/>
                  <w:vAlign w:val="center"/>
                </w:tcPr>
                <w:p w14:paraId="76590D6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.1170</w:t>
                  </w:r>
                </w:p>
              </w:tc>
            </w:tr>
            <w:tr w14:paraId="2CC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vMerge w:val="continue"/>
                  <w:vAlign w:val="center"/>
                </w:tcPr>
                <w:p w14:paraId="53A88091">
                  <w:pPr>
                    <w:pStyle w:val="10"/>
                    <w:snapToGrid w:val="0"/>
                    <w:ind w:left="0"/>
                    <w:jc w:val="center"/>
                    <w:rPr>
                      <w:rFonts w:ascii="Times New Roman" w:hAnsi="Times New Roman" w:cs="Times New Roman"/>
                      <w:sz w:val="18"/>
                      <w:szCs w:val="18"/>
                      <w:lang w:val="en-US"/>
                    </w:rPr>
                  </w:pPr>
                </w:p>
              </w:tc>
              <w:tc>
                <w:tcPr>
                  <w:tcW w:w="584" w:type="dxa"/>
                  <w:vAlign w:val="center"/>
                </w:tcPr>
                <w:p w14:paraId="30709CCE">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SO</w:t>
                  </w:r>
                  <w:r>
                    <w:rPr>
                      <w:rFonts w:ascii="Times New Roman" w:hAnsi="Times New Roman" w:cs="Times New Roman"/>
                      <w:sz w:val="18"/>
                      <w:szCs w:val="18"/>
                      <w:vertAlign w:val="subscript"/>
                      <w:lang w:val="en-US"/>
                    </w:rPr>
                    <w:t>2</w:t>
                  </w:r>
                </w:p>
              </w:tc>
              <w:tc>
                <w:tcPr>
                  <w:tcW w:w="1064" w:type="dxa"/>
                  <w:vAlign w:val="center"/>
                </w:tcPr>
                <w:p w14:paraId="1A8B6AB5">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65.2017</w:t>
                  </w:r>
                </w:p>
              </w:tc>
              <w:tc>
                <w:tcPr>
                  <w:tcW w:w="1018" w:type="dxa"/>
                  <w:vAlign w:val="center"/>
                </w:tcPr>
                <w:p w14:paraId="1B213E2C">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0.3834</w:t>
                  </w:r>
                </w:p>
              </w:tc>
              <w:tc>
                <w:tcPr>
                  <w:tcW w:w="816" w:type="dxa"/>
                  <w:vAlign w:val="center"/>
                </w:tcPr>
                <w:p w14:paraId="107C5BE9">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0.9201</w:t>
                  </w:r>
                </w:p>
              </w:tc>
              <w:tc>
                <w:tcPr>
                  <w:tcW w:w="982" w:type="dxa"/>
                  <w:vMerge w:val="continue"/>
                  <w:vAlign w:val="center"/>
                </w:tcPr>
                <w:p w14:paraId="73A08536">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30951C8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3.0403</w:t>
                  </w:r>
                </w:p>
              </w:tc>
              <w:tc>
                <w:tcPr>
                  <w:tcW w:w="1108" w:type="dxa"/>
                  <w:vAlign w:val="center"/>
                </w:tcPr>
                <w:p w14:paraId="3327080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.0767</w:t>
                  </w:r>
                </w:p>
              </w:tc>
              <w:tc>
                <w:tcPr>
                  <w:tcW w:w="928" w:type="dxa"/>
                  <w:vAlign w:val="center"/>
                </w:tcPr>
                <w:p w14:paraId="7EC09D2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.1840</w:t>
                  </w:r>
                </w:p>
              </w:tc>
            </w:tr>
            <w:tr w14:paraId="6532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6" w:type="dxa"/>
                  <w:vMerge w:val="continue"/>
                  <w:vAlign w:val="center"/>
                </w:tcPr>
                <w:p w14:paraId="30B6454D">
                  <w:pPr>
                    <w:pStyle w:val="10"/>
                    <w:snapToGrid w:val="0"/>
                    <w:ind w:left="0"/>
                    <w:jc w:val="center"/>
                    <w:rPr>
                      <w:rFonts w:ascii="Times New Roman" w:hAnsi="Times New Roman" w:cs="Times New Roman"/>
                      <w:sz w:val="18"/>
                      <w:szCs w:val="18"/>
                      <w:lang w:val="en-US"/>
                    </w:rPr>
                  </w:pPr>
                </w:p>
              </w:tc>
              <w:tc>
                <w:tcPr>
                  <w:tcW w:w="584" w:type="dxa"/>
                  <w:vAlign w:val="center"/>
                </w:tcPr>
                <w:p w14:paraId="5EDB87F9">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NOx</w:t>
                  </w:r>
                </w:p>
              </w:tc>
              <w:tc>
                <w:tcPr>
                  <w:tcW w:w="1064" w:type="dxa"/>
                  <w:vAlign w:val="center"/>
                </w:tcPr>
                <w:p w14:paraId="352804B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96.0304</w:t>
                  </w:r>
                </w:p>
              </w:tc>
              <w:tc>
                <w:tcPr>
                  <w:tcW w:w="1018" w:type="dxa"/>
                  <w:vAlign w:val="center"/>
                </w:tcPr>
                <w:p w14:paraId="2ACE8A5F">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1.1527</w:t>
                  </w:r>
                </w:p>
              </w:tc>
              <w:tc>
                <w:tcPr>
                  <w:tcW w:w="816" w:type="dxa"/>
                  <w:vAlign w:val="center"/>
                </w:tcPr>
                <w:p w14:paraId="730DD1FC">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2.7661</w:t>
                  </w:r>
                </w:p>
              </w:tc>
              <w:tc>
                <w:tcPr>
                  <w:tcW w:w="982" w:type="dxa"/>
                  <w:vMerge w:val="continue"/>
                  <w:vAlign w:val="center"/>
                </w:tcPr>
                <w:p w14:paraId="38932CF2">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0655EBE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56.8243</w:t>
                  </w:r>
                </w:p>
              </w:tc>
              <w:tc>
                <w:tcPr>
                  <w:tcW w:w="1108" w:type="dxa"/>
                  <w:vAlign w:val="center"/>
                </w:tcPr>
                <w:p w14:paraId="3B99E74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.9222</w:t>
                  </w:r>
                </w:p>
              </w:tc>
              <w:tc>
                <w:tcPr>
                  <w:tcW w:w="928" w:type="dxa"/>
                  <w:vAlign w:val="center"/>
                </w:tcPr>
                <w:p w14:paraId="4AF2898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.2129</w:t>
                  </w:r>
                </w:p>
              </w:tc>
            </w:tr>
            <w:tr w14:paraId="52C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44E1470">
                  <w:pPr>
                    <w:pStyle w:val="10"/>
                    <w:snapToGrid w:val="0"/>
                    <w:ind w:left="0"/>
                    <w:jc w:val="center"/>
                    <w:rPr>
                      <w:rFonts w:ascii="Times New Roman" w:hAnsi="Times New Roman" w:cs="Times New Roman"/>
                      <w:sz w:val="18"/>
                      <w:szCs w:val="18"/>
                      <w:lang w:val="en-US"/>
                    </w:rPr>
                  </w:pPr>
                </w:p>
              </w:tc>
              <w:tc>
                <w:tcPr>
                  <w:tcW w:w="584" w:type="dxa"/>
                  <w:vAlign w:val="center"/>
                </w:tcPr>
                <w:p w14:paraId="0CA1FF60">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64" w:type="dxa"/>
                  <w:vAlign w:val="center"/>
                </w:tcPr>
                <w:p w14:paraId="070EFB99">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2.7000</w:t>
                  </w:r>
                </w:p>
              </w:tc>
              <w:tc>
                <w:tcPr>
                  <w:tcW w:w="1018" w:type="dxa"/>
                  <w:vAlign w:val="center"/>
                </w:tcPr>
                <w:p w14:paraId="2500A36F">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0.0159</w:t>
                  </w:r>
                </w:p>
              </w:tc>
              <w:tc>
                <w:tcPr>
                  <w:tcW w:w="816" w:type="dxa"/>
                  <w:vAlign w:val="center"/>
                </w:tcPr>
                <w:p w14:paraId="5F097BA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.0383</w:t>
                  </w:r>
                </w:p>
              </w:tc>
              <w:tc>
                <w:tcPr>
                  <w:tcW w:w="982" w:type="dxa"/>
                  <w:vMerge w:val="continue"/>
                  <w:vAlign w:val="center"/>
                </w:tcPr>
                <w:p w14:paraId="28080EA1">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535153A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.2700</w:t>
                  </w:r>
                </w:p>
              </w:tc>
              <w:tc>
                <w:tcPr>
                  <w:tcW w:w="1108" w:type="dxa"/>
                  <w:vAlign w:val="center"/>
                </w:tcPr>
                <w:p w14:paraId="4E46FEA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.0016</w:t>
                  </w:r>
                </w:p>
              </w:tc>
              <w:tc>
                <w:tcPr>
                  <w:tcW w:w="928" w:type="dxa"/>
                  <w:vAlign w:val="center"/>
                </w:tcPr>
                <w:p w14:paraId="15FC721C">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.0038</w:t>
                  </w:r>
                </w:p>
              </w:tc>
            </w:tr>
            <w:tr w14:paraId="29D6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733FBC78">
                  <w:pPr>
                    <w:pStyle w:val="10"/>
                    <w:snapToGrid w:val="0"/>
                    <w:ind w:left="0"/>
                    <w:jc w:val="center"/>
                    <w:rPr>
                      <w:rFonts w:ascii="Times New Roman" w:hAnsi="Times New Roman" w:cs="Times New Roman"/>
                      <w:sz w:val="18"/>
                      <w:szCs w:val="18"/>
                      <w:lang w:val="en-US"/>
                    </w:rPr>
                  </w:pPr>
                </w:p>
              </w:tc>
              <w:tc>
                <w:tcPr>
                  <w:tcW w:w="584" w:type="dxa"/>
                  <w:vAlign w:val="center"/>
                </w:tcPr>
                <w:p w14:paraId="26EADF76">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64" w:type="dxa"/>
                  <w:vAlign w:val="center"/>
                </w:tcPr>
                <w:p w14:paraId="32B99E9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.0071</w:t>
                  </w:r>
                </w:p>
              </w:tc>
              <w:tc>
                <w:tcPr>
                  <w:tcW w:w="1018" w:type="dxa"/>
                  <w:vAlign w:val="center"/>
                </w:tcPr>
                <w:p w14:paraId="06D7889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.42×10</w:t>
                  </w:r>
                  <w:r>
                    <w:rPr>
                      <w:rFonts w:ascii="Times New Roman" w:hAnsi="Times New Roman" w:cs="Times New Roman"/>
                      <w:sz w:val="18"/>
                      <w:szCs w:val="18"/>
                      <w:vertAlign w:val="superscript"/>
                    </w:rPr>
                    <w:t>-4</w:t>
                  </w:r>
                </w:p>
              </w:tc>
              <w:tc>
                <w:tcPr>
                  <w:tcW w:w="816" w:type="dxa"/>
                  <w:vAlign w:val="center"/>
                </w:tcPr>
                <w:p w14:paraId="188870A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.0001</w:t>
                  </w:r>
                </w:p>
              </w:tc>
              <w:tc>
                <w:tcPr>
                  <w:tcW w:w="982" w:type="dxa"/>
                  <w:vMerge w:val="continue"/>
                  <w:vAlign w:val="center"/>
                </w:tcPr>
                <w:p w14:paraId="523DA1F8">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C7F23D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.0007</w:t>
                  </w:r>
                </w:p>
              </w:tc>
              <w:tc>
                <w:tcPr>
                  <w:tcW w:w="1108" w:type="dxa"/>
                  <w:vAlign w:val="center"/>
                </w:tcPr>
                <w:p w14:paraId="5DA46C0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.042×10</w:t>
                  </w:r>
                  <w:r>
                    <w:rPr>
                      <w:rFonts w:ascii="Times New Roman" w:hAnsi="Times New Roman" w:cs="Times New Roman"/>
                      <w:sz w:val="18"/>
                      <w:szCs w:val="18"/>
                      <w:vertAlign w:val="superscript"/>
                    </w:rPr>
                    <w:t>-4</w:t>
                  </w:r>
                </w:p>
              </w:tc>
              <w:tc>
                <w:tcPr>
                  <w:tcW w:w="928" w:type="dxa"/>
                  <w:vAlign w:val="center"/>
                </w:tcPr>
                <w:p w14:paraId="18154F5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.10×10</w:t>
                  </w:r>
                  <w:r>
                    <w:rPr>
                      <w:rFonts w:ascii="Times New Roman" w:hAnsi="Times New Roman" w:cs="Times New Roman"/>
                      <w:sz w:val="18"/>
                      <w:szCs w:val="18"/>
                      <w:vertAlign w:val="superscript"/>
                    </w:rPr>
                    <w:t>-4</w:t>
                  </w:r>
                </w:p>
              </w:tc>
            </w:tr>
          </w:tbl>
          <w:p w14:paraId="2105D841">
            <w:pPr>
              <w:pStyle w:val="10"/>
              <w:ind w:left="0" w:right="105" w:rightChars="50"/>
              <w:jc w:val="center"/>
              <w:rPr>
                <w:rFonts w:ascii="Times New Roman" w:hAnsi="Times New Roman" w:cs="Times New Roman"/>
                <w:sz w:val="21"/>
                <w:szCs w:val="21"/>
                <w:lang w:val="en-US"/>
              </w:rPr>
            </w:pPr>
          </w:p>
          <w:p w14:paraId="0D1B7FAF">
            <w:pPr>
              <w:pStyle w:val="10"/>
              <w:spacing w:line="360" w:lineRule="auto"/>
              <w:ind w:left="0" w:right="105" w:rightChars="50" w:firstLine="240" w:firstLineChars="100"/>
              <w:rPr>
                <w:rFonts w:ascii="Times New Roman" w:hAnsi="Times New Roman" w:cs="Times New Roman"/>
                <w:bCs/>
              </w:rPr>
            </w:pPr>
            <w:bookmarkStart w:id="46" w:name="_Hlk100867954"/>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病死动物无害化处理废</w:t>
            </w:r>
            <w:r>
              <w:rPr>
                <w:rFonts w:hint="eastAsia" w:ascii="Times New Roman" w:hAnsi="Times New Roman" w:cs="Times New Roman"/>
                <w:bCs/>
              </w:rPr>
              <w:t>气</w:t>
            </w:r>
            <w:r>
              <w:rPr>
                <w:rFonts w:hint="eastAsia" w:ascii="Times New Roman" w:hAnsi="Times New Roman" w:cs="Times New Roman"/>
                <w:szCs w:val="21"/>
              </w:rPr>
              <w:t>（G</w:t>
            </w:r>
            <w:r>
              <w:rPr>
                <w:rFonts w:ascii="Times New Roman" w:hAnsi="Times New Roman" w:cs="Times New Roman"/>
                <w:szCs w:val="21"/>
              </w:rPr>
              <w:t>2</w:t>
            </w:r>
            <w:r>
              <w:rPr>
                <w:rFonts w:hint="eastAsia" w:ascii="Times New Roman" w:hAnsi="Times New Roman" w:cs="Times New Roman"/>
                <w:szCs w:val="21"/>
              </w:rPr>
              <w:t>）</w:t>
            </w:r>
          </w:p>
          <w:p w14:paraId="4A4807C1">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病死畜禽在无害化处理过程中会产生恶臭气体，其中主要是一些含硫的化合物、含氮化合物及含氧化合物，以氨和硫化氢</w:t>
            </w:r>
            <w:r>
              <w:rPr>
                <w:rFonts w:hint="eastAsia" w:ascii="Times New Roman" w:hAnsi="Times New Roman" w:cs="Times New Roman"/>
                <w:bCs/>
              </w:rPr>
              <w:t>为特征污染物</w:t>
            </w:r>
            <w:r>
              <w:rPr>
                <w:rFonts w:ascii="Times New Roman" w:hAnsi="Times New Roman" w:cs="Times New Roman"/>
                <w:bCs/>
              </w:rPr>
              <w:t>。</w:t>
            </w:r>
          </w:p>
          <w:p w14:paraId="5D18340D">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项目无害化过程中破碎、高温化制、压榨脱脂三个环节为主要废气产生点，破碎机、化制罐、榨油机均为密闭装置，化制罐采用锅炉提供的热源间接加热升压</w:t>
            </w:r>
            <w:r>
              <w:rPr>
                <w:rFonts w:hint="eastAsia" w:ascii="Times New Roman" w:hAnsi="Times New Roman" w:cs="Times New Roman"/>
                <w:bCs/>
              </w:rPr>
              <w:t>、</w:t>
            </w:r>
            <w:r>
              <w:rPr>
                <w:rFonts w:ascii="Times New Roman" w:hAnsi="Times New Roman" w:cs="Times New Roman"/>
                <w:bCs/>
              </w:rPr>
              <w:t>灭菌和烘干，化制罐内的污蒸汽经泄压后排出，与破碎、压榨脱脂工序收集的废气一起采用“冷凝+喷淋+焚烧”工艺处理，焚烧在</w:t>
            </w:r>
            <w:r>
              <w:rPr>
                <w:rFonts w:hint="eastAsia" w:ascii="Times New Roman" w:hAnsi="Times New Roman" w:cs="Times New Roman"/>
                <w:bCs/>
              </w:rPr>
              <w:t>天然气</w:t>
            </w:r>
            <w:r>
              <w:rPr>
                <w:rFonts w:ascii="Times New Roman" w:hAnsi="Times New Roman" w:cs="Times New Roman"/>
                <w:bCs/>
              </w:rPr>
              <w:t>锅炉炉膛进行，废气最终与燃烧烟气一并由1#排气筒（DA001）排放。根据建设单位提供设计资料，工艺废气量为20m</w:t>
            </w:r>
            <w:r>
              <w:rPr>
                <w:rFonts w:ascii="Times New Roman" w:hAnsi="Times New Roman" w:cs="Times New Roman"/>
                <w:bCs/>
                <w:vertAlign w:val="superscript"/>
              </w:rPr>
              <w:t>3</w:t>
            </w:r>
            <w:r>
              <w:rPr>
                <w:rFonts w:ascii="Times New Roman" w:hAnsi="Times New Roman" w:cs="Times New Roman"/>
                <w:bCs/>
              </w:rPr>
              <w:t>/min、1200m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、0</w:t>
            </w:r>
            <w:r>
              <w:rPr>
                <w:rFonts w:ascii="Times New Roman" w:hAnsi="Times New Roman" w:cs="Times New Roman"/>
                <w:bCs/>
              </w:rPr>
              <w:t>.29</w:t>
            </w:r>
            <w:r>
              <w:rPr>
                <w:rFonts w:ascii="Times New Roman" w:hAnsi="Times New Roman" w:cs="Times New Roman"/>
                <w:szCs w:val="21"/>
              </w:rPr>
              <w:t>×10</w:t>
            </w:r>
            <w:r>
              <w:rPr>
                <w:rFonts w:ascii="Times New Roman" w:hAnsi="Times New Roman" w:cs="Times New Roman"/>
                <w:szCs w:val="21"/>
                <w:vertAlign w:val="superscript"/>
              </w:rPr>
              <w:t>7</w:t>
            </w:r>
            <w:r>
              <w:rPr>
                <w:rFonts w:ascii="Times New Roman" w:hAnsi="Times New Roman" w:cs="Times New Roman"/>
                <w:szCs w:val="21"/>
              </w:rPr>
              <w:t>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/a</w:t>
            </w:r>
            <w:r>
              <w:rPr>
                <w:rFonts w:ascii="Times New Roman" w:hAnsi="Times New Roman" w:cs="Times New Roman"/>
                <w:bCs/>
              </w:rPr>
              <w:t>。</w:t>
            </w:r>
          </w:p>
          <w:p w14:paraId="5B60096B">
            <w:pPr>
              <w:pStyle w:val="10"/>
              <w:spacing w:line="360" w:lineRule="auto"/>
              <w:ind w:left="0" w:right="105" w:rightChars="50" w:firstLine="240" w:firstLineChars="100"/>
              <w:rPr>
                <w:rFonts w:ascii="Times New Roman" w:hAnsi="Times New Roman" w:cs="Times New Roman"/>
                <w:bCs/>
              </w:rPr>
            </w:pPr>
            <w:bookmarkStart w:id="47" w:name="_Hlk101129964"/>
            <w:r>
              <w:rPr>
                <w:rFonts w:ascii="Times New Roman" w:hAnsi="Times New Roman" w:cs="Times New Roman"/>
                <w:bCs/>
              </w:rPr>
              <w:t>根据《第二次全国污染源普查工业污染源普查</w:t>
            </w:r>
            <w:r>
              <w:rPr>
                <w:rFonts w:hint="eastAsia" w:ascii="Times New Roman" w:hAnsi="Times New Roman" w:cs="Times New Roman"/>
                <w:bCs/>
              </w:rPr>
              <w:t xml:space="preserve"> </w:t>
            </w:r>
            <w:r>
              <w:rPr>
                <w:rFonts w:ascii="Times New Roman" w:hAnsi="Times New Roman" w:cs="Times New Roman"/>
                <w:bCs/>
              </w:rPr>
              <w:t>其他畜牧专业及辅助性活动 （畜禽尸体化制）系数手册》中，NH</w:t>
            </w:r>
            <w:r>
              <w:rPr>
                <w:rFonts w:ascii="Times New Roman" w:hAnsi="Times New Roman" w:cs="Times New Roman"/>
                <w:bCs/>
                <w:vertAlign w:val="subscript"/>
              </w:rPr>
              <w:t>3</w:t>
            </w:r>
            <w:r>
              <w:rPr>
                <w:rFonts w:ascii="Times New Roman" w:hAnsi="Times New Roman" w:cs="Times New Roman"/>
                <w:bCs/>
              </w:rPr>
              <w:t>的产污系数为638g/</w:t>
            </w:r>
            <w:r>
              <w:rPr>
                <w:rFonts w:hint="eastAsia" w:ascii="Times New Roman" w:hAnsi="Times New Roman" w:cs="Times New Roman"/>
                <w:bCs/>
              </w:rPr>
              <w:t>t</w:t>
            </w:r>
            <w:r>
              <w:rPr>
                <w:rFonts w:ascii="Times New Roman" w:hAnsi="Times New Roman" w:cs="Times New Roman"/>
                <w:bCs/>
              </w:rPr>
              <w:t>-原料</w:t>
            </w:r>
            <w:r>
              <w:rPr>
                <w:rFonts w:hint="eastAsia" w:ascii="Times New Roman" w:hAnsi="Times New Roman" w:cs="Times New Roman"/>
                <w:bCs/>
              </w:rPr>
              <w:t>。</w:t>
            </w:r>
            <w:r>
              <w:rPr>
                <w:rFonts w:ascii="Times New Roman" w:hAnsi="Times New Roman" w:cs="Times New Roman"/>
                <w:bCs/>
              </w:rPr>
              <w:t>项目年处理病死畜禽3000t，</w:t>
            </w:r>
            <w:bookmarkStart w:id="48" w:name="_Hlk101104349"/>
            <w:r>
              <w:rPr>
                <w:rFonts w:ascii="Times New Roman" w:hAnsi="Times New Roman" w:cs="Times New Roman"/>
                <w:bCs/>
              </w:rPr>
              <w:t>则NH</w:t>
            </w:r>
            <w:r>
              <w:rPr>
                <w:rFonts w:ascii="Times New Roman" w:hAnsi="Times New Roman" w:cs="Times New Roman"/>
                <w:bCs/>
                <w:vertAlign w:val="subscript"/>
              </w:rPr>
              <w:t>3</w:t>
            </w:r>
            <w:r>
              <w:rPr>
                <w:rFonts w:ascii="Times New Roman" w:hAnsi="Times New Roman" w:cs="Times New Roman"/>
                <w:bCs/>
              </w:rPr>
              <w:t>产生量为1.9140t/a，产生速率为0.7975kg/h。</w:t>
            </w:r>
            <w:bookmarkEnd w:id="48"/>
            <w:r>
              <w:rPr>
                <w:rFonts w:ascii="Times New Roman" w:hAnsi="Times New Roman" w:cs="Times New Roman"/>
                <w:bCs/>
              </w:rPr>
              <w:t>拟建项目营运期产生的H</w:t>
            </w:r>
            <w:r>
              <w:rPr>
                <w:rFonts w:ascii="Times New Roman" w:hAnsi="Times New Roman" w:cs="Times New Roman"/>
                <w:bCs/>
                <w:vertAlign w:val="subscript"/>
              </w:rPr>
              <w:t>2</w:t>
            </w:r>
            <w:r>
              <w:rPr>
                <w:rFonts w:ascii="Times New Roman" w:hAnsi="Times New Roman" w:cs="Times New Roman"/>
                <w:bCs/>
              </w:rPr>
              <w:t>S污染源核算采用类比法</w:t>
            </w:r>
            <w:r>
              <w:rPr>
                <w:rFonts w:hint="eastAsia" w:ascii="Times New Roman" w:hAnsi="Times New Roman" w:cs="Times New Roman"/>
                <w:bCs/>
              </w:rPr>
              <w:t>，</w:t>
            </w:r>
            <w:r>
              <w:rPr>
                <w:rFonts w:ascii="Times New Roman" w:hAnsi="Times New Roman" w:cs="Times New Roman"/>
                <w:bCs/>
              </w:rPr>
              <w:t>类比对象为柏乡县病死动物无害化处理升级改造项目</w:t>
            </w:r>
            <w:r>
              <w:rPr>
                <w:rFonts w:hint="eastAsia" w:ascii="Times New Roman" w:hAnsi="Times New Roman" w:cs="Times New Roman"/>
                <w:bCs/>
              </w:rPr>
              <w:t>，根据该项目的</w:t>
            </w:r>
            <w:r>
              <w:rPr>
                <w:rFonts w:ascii="Times New Roman" w:hAnsi="Times New Roman" w:cs="Times New Roman"/>
                <w:bCs/>
              </w:rPr>
              <w:t>《竣工环境保护验收监测报告》</w:t>
            </w:r>
            <w:r>
              <w:rPr>
                <w:rFonts w:hint="eastAsia" w:ascii="Times New Roman" w:hAnsi="Times New Roman" w:cs="Times New Roman"/>
                <w:bCs/>
              </w:rPr>
              <w:t>，</w:t>
            </w:r>
            <w:r>
              <w:rPr>
                <w:rFonts w:ascii="Times New Roman" w:hAnsi="Times New Roman" w:cs="Times New Roman"/>
                <w:bCs/>
              </w:rPr>
              <w:t>2021年3月24日</w:t>
            </w:r>
            <w:r>
              <w:rPr>
                <w:rFonts w:hint="eastAsia" w:cs="Times New Roman"/>
                <w:bCs/>
              </w:rPr>
              <w:t>～</w:t>
            </w:r>
            <w:r>
              <w:rPr>
                <w:rFonts w:ascii="Times New Roman" w:hAnsi="Times New Roman" w:cs="Times New Roman"/>
                <w:bCs/>
              </w:rPr>
              <w:t>3月25日</w:t>
            </w:r>
            <w:r>
              <w:rPr>
                <w:rFonts w:hint="eastAsia" w:ascii="Times New Roman" w:hAnsi="Times New Roman" w:cs="Times New Roman"/>
                <w:bCs/>
              </w:rPr>
              <w:t>验收监测单位对工艺废气进行了监测。</w:t>
            </w:r>
          </w:p>
          <w:p w14:paraId="76DE8A1C">
            <w:pPr>
              <w:pStyle w:val="10"/>
              <w:spacing w:line="360" w:lineRule="auto"/>
              <w:ind w:left="0" w:right="105" w:rightChars="50" w:firstLine="240" w:firstLineChars="100"/>
            </w:pPr>
            <w:r>
              <w:t>该项目与本项目的类比条件如下表：</w:t>
            </w:r>
          </w:p>
          <w:bookmarkEnd w:id="47"/>
          <w:p w14:paraId="20C8593E">
            <w:pPr>
              <w:adjustRightInd w:val="0"/>
              <w:snapToGrid w:val="0"/>
              <w:ind w:firstLine="422" w:firstLineChars="200"/>
              <w:jc w:val="center"/>
              <w:rPr>
                <w:rFonts w:ascii="Times New Roman" w:hAnsi="Times New Roman" w:cs="Times New Roman"/>
                <w:b/>
                <w:szCs w:val="21"/>
              </w:rPr>
            </w:pPr>
            <w:r>
              <w:rPr>
                <w:rFonts w:ascii="Times New Roman" w:hAnsi="Times New Roman" w:cs="Times New Roman"/>
                <w:b/>
                <w:szCs w:val="21"/>
              </w:rPr>
              <w:t>表2-16    污染源强类别项目情况对比</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697"/>
              <w:gridCol w:w="2809"/>
              <w:gridCol w:w="1298"/>
            </w:tblGrid>
            <w:tr w14:paraId="31A0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1D15E2CE">
                  <w:pPr>
                    <w:jc w:val="center"/>
                    <w:rPr>
                      <w:rFonts w:ascii="Times New Roman" w:hAnsi="Times New Roman" w:cs="Times New Roman"/>
                      <w:b/>
                      <w:bCs/>
                      <w:szCs w:val="21"/>
                    </w:rPr>
                  </w:pPr>
                  <w:r>
                    <w:rPr>
                      <w:rFonts w:ascii="Times New Roman" w:hAnsi="Times New Roman" w:cs="Times New Roman"/>
                      <w:b/>
                      <w:bCs/>
                      <w:szCs w:val="21"/>
                    </w:rPr>
                    <w:t>工程内容</w:t>
                  </w:r>
                </w:p>
              </w:tc>
              <w:tc>
                <w:tcPr>
                  <w:tcW w:w="2697" w:type="dxa"/>
                  <w:vAlign w:val="center"/>
                </w:tcPr>
                <w:p w14:paraId="1DFEEC14">
                  <w:pPr>
                    <w:jc w:val="center"/>
                    <w:rPr>
                      <w:rFonts w:ascii="Times New Roman" w:hAnsi="Times New Roman" w:cs="Times New Roman"/>
                      <w:b/>
                      <w:bCs/>
                      <w:szCs w:val="21"/>
                    </w:rPr>
                  </w:pPr>
                  <w:r>
                    <w:rPr>
                      <w:rFonts w:ascii="Times New Roman" w:hAnsi="Times New Roman" w:cs="Times New Roman"/>
                      <w:b/>
                      <w:bCs/>
                      <w:szCs w:val="21"/>
                    </w:rPr>
                    <w:t>类比项目</w:t>
                  </w:r>
                </w:p>
              </w:tc>
              <w:tc>
                <w:tcPr>
                  <w:tcW w:w="2809" w:type="dxa"/>
                  <w:vAlign w:val="center"/>
                </w:tcPr>
                <w:p w14:paraId="22E9AFE7">
                  <w:pPr>
                    <w:jc w:val="center"/>
                    <w:rPr>
                      <w:rFonts w:ascii="Times New Roman" w:hAnsi="Times New Roman" w:cs="Times New Roman"/>
                      <w:b/>
                      <w:bCs/>
                      <w:szCs w:val="21"/>
                    </w:rPr>
                  </w:pPr>
                  <w:r>
                    <w:rPr>
                      <w:rFonts w:ascii="Times New Roman" w:hAnsi="Times New Roman" w:cs="Times New Roman"/>
                      <w:b/>
                      <w:bCs/>
                      <w:szCs w:val="21"/>
                    </w:rPr>
                    <w:t>本工程</w:t>
                  </w:r>
                </w:p>
              </w:tc>
              <w:tc>
                <w:tcPr>
                  <w:tcW w:w="1298" w:type="dxa"/>
                  <w:vAlign w:val="center"/>
                </w:tcPr>
                <w:p w14:paraId="38D4A97B">
                  <w:pPr>
                    <w:jc w:val="center"/>
                    <w:rPr>
                      <w:rFonts w:ascii="Times New Roman" w:hAnsi="Times New Roman" w:cs="Times New Roman"/>
                      <w:b/>
                      <w:bCs/>
                      <w:szCs w:val="21"/>
                    </w:rPr>
                  </w:pPr>
                  <w:r>
                    <w:rPr>
                      <w:rFonts w:ascii="Times New Roman" w:hAnsi="Times New Roman" w:cs="Times New Roman"/>
                      <w:b/>
                      <w:bCs/>
                      <w:szCs w:val="21"/>
                    </w:rPr>
                    <w:t>备注</w:t>
                  </w:r>
                </w:p>
              </w:tc>
            </w:tr>
            <w:tr w14:paraId="5249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07B35046">
                  <w:pPr>
                    <w:jc w:val="center"/>
                    <w:rPr>
                      <w:rFonts w:ascii="Times New Roman" w:hAnsi="Times New Roman" w:cs="Times New Roman"/>
                      <w:szCs w:val="21"/>
                    </w:rPr>
                  </w:pPr>
                  <w:r>
                    <w:rPr>
                      <w:rFonts w:ascii="Times New Roman" w:hAnsi="Times New Roman" w:cs="Times New Roman"/>
                    </w:rPr>
                    <w:t>处理规模</w:t>
                  </w:r>
                </w:p>
              </w:tc>
              <w:tc>
                <w:tcPr>
                  <w:tcW w:w="2697" w:type="dxa"/>
                  <w:vAlign w:val="center"/>
                </w:tcPr>
                <w:p w14:paraId="0E92B2A4">
                  <w:pPr>
                    <w:jc w:val="center"/>
                    <w:rPr>
                      <w:rFonts w:ascii="Times New Roman" w:hAnsi="Times New Roman" w:cs="Times New Roman"/>
                      <w:szCs w:val="21"/>
                    </w:rPr>
                  </w:pPr>
                  <w:r>
                    <w:rPr>
                      <w:rFonts w:ascii="Times New Roman" w:hAnsi="Times New Roman" w:cs="Times New Roman"/>
                      <w:szCs w:val="21"/>
                    </w:rPr>
                    <w:t>生产能力9000t/a</w:t>
                  </w:r>
                </w:p>
              </w:tc>
              <w:tc>
                <w:tcPr>
                  <w:tcW w:w="2809" w:type="dxa"/>
                  <w:vAlign w:val="center"/>
                </w:tcPr>
                <w:p w14:paraId="49CF85BB">
                  <w:pPr>
                    <w:jc w:val="center"/>
                    <w:rPr>
                      <w:rFonts w:ascii="Times New Roman" w:hAnsi="Times New Roman" w:cs="Times New Roman"/>
                      <w:szCs w:val="21"/>
                    </w:rPr>
                  </w:pPr>
                  <w:r>
                    <w:rPr>
                      <w:rFonts w:ascii="Times New Roman" w:hAnsi="Times New Roman" w:cs="Times New Roman"/>
                      <w:szCs w:val="21"/>
                    </w:rPr>
                    <w:t>生产能力3000t/a</w:t>
                  </w:r>
                </w:p>
              </w:tc>
              <w:tc>
                <w:tcPr>
                  <w:tcW w:w="1298" w:type="dxa"/>
                  <w:vMerge w:val="restart"/>
                  <w:vAlign w:val="center"/>
                </w:tcPr>
                <w:p w14:paraId="7285790D">
                  <w:pPr>
                    <w:jc w:val="center"/>
                    <w:rPr>
                      <w:rFonts w:ascii="Times New Roman" w:hAnsi="Times New Roman" w:cs="Times New Roman"/>
                      <w:szCs w:val="21"/>
                    </w:rPr>
                  </w:pPr>
                  <w:r>
                    <w:rPr>
                      <w:rFonts w:ascii="Times New Roman" w:hAnsi="Times New Roman" w:cs="Times New Roman"/>
                      <w:szCs w:val="21"/>
                    </w:rPr>
                    <w:t>本项目小于类比工程</w:t>
                  </w:r>
                </w:p>
              </w:tc>
            </w:tr>
            <w:tr w14:paraId="55AC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26D43391">
                  <w:pPr>
                    <w:jc w:val="center"/>
                    <w:rPr>
                      <w:rFonts w:ascii="Times New Roman" w:hAnsi="Times New Roman" w:cs="Times New Roman"/>
                      <w:szCs w:val="21"/>
                    </w:rPr>
                  </w:pPr>
                  <w:r>
                    <w:rPr>
                      <w:rFonts w:ascii="Times New Roman" w:hAnsi="Times New Roman" w:cs="Times New Roman"/>
                      <w:szCs w:val="21"/>
                    </w:rPr>
                    <w:t>产品</w:t>
                  </w:r>
                </w:p>
              </w:tc>
              <w:tc>
                <w:tcPr>
                  <w:tcW w:w="2697" w:type="dxa"/>
                  <w:vAlign w:val="center"/>
                </w:tcPr>
                <w:p w14:paraId="1E302AA6">
                  <w:pPr>
                    <w:jc w:val="center"/>
                    <w:rPr>
                      <w:rFonts w:ascii="Times New Roman" w:hAnsi="Times New Roman" w:cs="Times New Roman"/>
                      <w:szCs w:val="21"/>
                    </w:rPr>
                  </w:pPr>
                  <w:r>
                    <w:rPr>
                      <w:rFonts w:ascii="Times New Roman" w:hAnsi="Times New Roman" w:cs="Times New Roman"/>
                      <w:szCs w:val="21"/>
                    </w:rPr>
                    <w:t>骨肉料1620t/a，油脂720t/a</w:t>
                  </w:r>
                </w:p>
              </w:tc>
              <w:tc>
                <w:tcPr>
                  <w:tcW w:w="2809" w:type="dxa"/>
                  <w:vAlign w:val="center"/>
                </w:tcPr>
                <w:p w14:paraId="7D81EC2E">
                  <w:pPr>
                    <w:jc w:val="center"/>
                    <w:rPr>
                      <w:rFonts w:ascii="Times New Roman" w:hAnsi="Times New Roman" w:cs="Times New Roman"/>
                      <w:szCs w:val="21"/>
                    </w:rPr>
                  </w:pPr>
                  <w:r>
                    <w:rPr>
                      <w:rFonts w:ascii="Times New Roman" w:hAnsi="Times New Roman" w:cs="Times New Roman"/>
                      <w:szCs w:val="21"/>
                    </w:rPr>
                    <w:t>骨肉料600t/a，油脂300t/a</w:t>
                  </w:r>
                </w:p>
              </w:tc>
              <w:tc>
                <w:tcPr>
                  <w:tcW w:w="1298" w:type="dxa"/>
                  <w:vMerge w:val="continue"/>
                  <w:vAlign w:val="center"/>
                </w:tcPr>
                <w:p w14:paraId="4689C1C1">
                  <w:pPr>
                    <w:jc w:val="center"/>
                    <w:rPr>
                      <w:rFonts w:ascii="Times New Roman" w:hAnsi="Times New Roman" w:cs="Times New Roman"/>
                      <w:szCs w:val="21"/>
                    </w:rPr>
                  </w:pPr>
                </w:p>
              </w:tc>
            </w:tr>
            <w:tr w14:paraId="1927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1E48FC4A">
                  <w:pPr>
                    <w:jc w:val="center"/>
                    <w:rPr>
                      <w:rFonts w:ascii="Times New Roman" w:hAnsi="Times New Roman" w:cs="Times New Roman"/>
                      <w:szCs w:val="21"/>
                    </w:rPr>
                  </w:pPr>
                  <w:r>
                    <w:rPr>
                      <w:rFonts w:ascii="Times New Roman" w:hAnsi="Times New Roman" w:cs="Times New Roman"/>
                    </w:rPr>
                    <w:t>生产工艺</w:t>
                  </w:r>
                </w:p>
              </w:tc>
              <w:tc>
                <w:tcPr>
                  <w:tcW w:w="2697" w:type="dxa"/>
                  <w:vAlign w:val="center"/>
                </w:tcPr>
                <w:p w14:paraId="4796EEDD">
                  <w:pPr>
                    <w:jc w:val="center"/>
                    <w:rPr>
                      <w:rFonts w:ascii="Times New Roman" w:hAnsi="Times New Roman" w:cs="Times New Roman"/>
                      <w:szCs w:val="21"/>
                    </w:rPr>
                  </w:pPr>
                  <w:r>
                    <w:rPr>
                      <w:rFonts w:ascii="Times New Roman" w:hAnsi="Times New Roman" w:cs="Times New Roman"/>
                    </w:rPr>
                    <w:t>高温干法化制</w:t>
                  </w:r>
                </w:p>
              </w:tc>
              <w:tc>
                <w:tcPr>
                  <w:tcW w:w="2809" w:type="dxa"/>
                  <w:vAlign w:val="center"/>
                </w:tcPr>
                <w:p w14:paraId="0738B633">
                  <w:pPr>
                    <w:jc w:val="center"/>
                    <w:rPr>
                      <w:rFonts w:ascii="Times New Roman" w:hAnsi="Times New Roman" w:cs="Times New Roman"/>
                      <w:szCs w:val="21"/>
                    </w:rPr>
                  </w:pPr>
                  <w:r>
                    <w:rPr>
                      <w:rFonts w:ascii="Times New Roman" w:hAnsi="Times New Roman" w:cs="Times New Roman"/>
                    </w:rPr>
                    <w:t>高温干法化制</w:t>
                  </w:r>
                </w:p>
              </w:tc>
              <w:tc>
                <w:tcPr>
                  <w:tcW w:w="1298" w:type="dxa"/>
                  <w:vAlign w:val="center"/>
                </w:tcPr>
                <w:p w14:paraId="3E57A117">
                  <w:pPr>
                    <w:jc w:val="center"/>
                    <w:rPr>
                      <w:rFonts w:ascii="Times New Roman" w:hAnsi="Times New Roman" w:cs="Times New Roman"/>
                      <w:szCs w:val="21"/>
                    </w:rPr>
                  </w:pPr>
                  <w:r>
                    <w:rPr>
                      <w:rFonts w:ascii="Times New Roman" w:hAnsi="Times New Roman" w:cs="Times New Roman"/>
                    </w:rPr>
                    <w:t>一致</w:t>
                  </w:r>
                </w:p>
              </w:tc>
            </w:tr>
            <w:tr w14:paraId="6784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608B8093">
                  <w:pPr>
                    <w:jc w:val="center"/>
                    <w:rPr>
                      <w:rFonts w:ascii="Times New Roman" w:hAnsi="Times New Roman" w:cs="Times New Roman"/>
                      <w:szCs w:val="21"/>
                    </w:rPr>
                  </w:pPr>
                  <w:r>
                    <w:rPr>
                      <w:rFonts w:ascii="Times New Roman" w:hAnsi="Times New Roman" w:cs="Times New Roman"/>
                    </w:rPr>
                    <w:t>运行时间</w:t>
                  </w:r>
                </w:p>
              </w:tc>
              <w:tc>
                <w:tcPr>
                  <w:tcW w:w="2697" w:type="dxa"/>
                  <w:vAlign w:val="center"/>
                </w:tcPr>
                <w:p w14:paraId="4BE1F8D0">
                  <w:pPr>
                    <w:jc w:val="center"/>
                    <w:rPr>
                      <w:rFonts w:ascii="Times New Roman" w:hAnsi="Times New Roman" w:cs="Times New Roman"/>
                      <w:szCs w:val="21"/>
                    </w:rPr>
                  </w:pPr>
                  <w:r>
                    <w:rPr>
                      <w:rFonts w:ascii="Times New Roman" w:hAnsi="Times New Roman" w:cs="Times New Roman"/>
                    </w:rPr>
                    <w:t>每日1班制，每班工 作8小时，年工作300 天。</w:t>
                  </w:r>
                </w:p>
              </w:tc>
              <w:tc>
                <w:tcPr>
                  <w:tcW w:w="2809" w:type="dxa"/>
                  <w:vAlign w:val="center"/>
                </w:tcPr>
                <w:p w14:paraId="66553A4C">
                  <w:pPr>
                    <w:jc w:val="center"/>
                    <w:rPr>
                      <w:rFonts w:ascii="Times New Roman" w:hAnsi="Times New Roman" w:cs="Times New Roman"/>
                      <w:szCs w:val="21"/>
                    </w:rPr>
                  </w:pPr>
                  <w:r>
                    <w:rPr>
                      <w:rFonts w:ascii="Times New Roman" w:hAnsi="Times New Roman" w:cs="Times New Roman"/>
                    </w:rPr>
                    <w:t>每日1班制，每班工 作8小时，年工作300 天。</w:t>
                  </w:r>
                </w:p>
              </w:tc>
              <w:tc>
                <w:tcPr>
                  <w:tcW w:w="1298" w:type="dxa"/>
                  <w:vAlign w:val="center"/>
                </w:tcPr>
                <w:p w14:paraId="78ABFB4D">
                  <w:pPr>
                    <w:jc w:val="center"/>
                    <w:rPr>
                      <w:rFonts w:ascii="Times New Roman" w:hAnsi="Times New Roman" w:cs="Times New Roman"/>
                      <w:szCs w:val="21"/>
                    </w:rPr>
                  </w:pPr>
                  <w:r>
                    <w:rPr>
                      <w:rFonts w:ascii="Times New Roman" w:hAnsi="Times New Roman" w:cs="Times New Roman"/>
                    </w:rPr>
                    <w:t>一致</w:t>
                  </w:r>
                </w:p>
              </w:tc>
            </w:tr>
            <w:tr w14:paraId="3C1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65" w:type="dxa"/>
                  <w:vAlign w:val="center"/>
                </w:tcPr>
                <w:p w14:paraId="3A22F74C">
                  <w:pPr>
                    <w:jc w:val="center"/>
                    <w:rPr>
                      <w:rFonts w:ascii="Times New Roman" w:hAnsi="Times New Roman" w:cs="Times New Roman"/>
                      <w:szCs w:val="21"/>
                    </w:rPr>
                  </w:pPr>
                  <w:r>
                    <w:rPr>
                      <w:rFonts w:ascii="Times New Roman" w:hAnsi="Times New Roman" w:cs="Times New Roman"/>
                    </w:rPr>
                    <w:t>处理过程</w:t>
                  </w:r>
                </w:p>
              </w:tc>
              <w:tc>
                <w:tcPr>
                  <w:tcW w:w="2697" w:type="dxa"/>
                  <w:vAlign w:val="center"/>
                </w:tcPr>
                <w:p w14:paraId="003B1ADB">
                  <w:pPr>
                    <w:jc w:val="left"/>
                    <w:rPr>
                      <w:rFonts w:ascii="Times New Roman" w:hAnsi="Times New Roman" w:cs="Times New Roman"/>
                    </w:rPr>
                  </w:pPr>
                  <w:r>
                    <w:rPr>
                      <w:rFonts w:ascii="Times New Roman" w:hAnsi="Times New Roman" w:cs="Times New Roman"/>
                    </w:rPr>
                    <w:t>前处理：破碎机破碎</w:t>
                  </w:r>
                </w:p>
                <w:p w14:paraId="78C8A62A">
                  <w:pPr>
                    <w:jc w:val="left"/>
                    <w:rPr>
                      <w:rFonts w:ascii="Times New Roman" w:hAnsi="Times New Roman" w:cs="Times New Roman"/>
                    </w:rPr>
                  </w:pPr>
                  <w:r>
                    <w:rPr>
                      <w:rFonts w:ascii="Times New Roman" w:hAnsi="Times New Roman" w:cs="Times New Roman"/>
                    </w:rPr>
                    <w:t>主处理：高温干法化制</w:t>
                  </w:r>
                </w:p>
                <w:p w14:paraId="591FD5E1">
                  <w:pPr>
                    <w:jc w:val="left"/>
                    <w:rPr>
                      <w:rFonts w:ascii="Times New Roman" w:hAnsi="Times New Roman" w:cs="Times New Roman"/>
                      <w:szCs w:val="21"/>
                    </w:rPr>
                  </w:pPr>
                  <w:r>
                    <w:rPr>
                      <w:rFonts w:ascii="Times New Roman" w:hAnsi="Times New Roman" w:cs="Times New Roman"/>
                    </w:rPr>
                    <w:t>残余处理：缓存、压榨脱脂、离心分离</w:t>
                  </w:r>
                </w:p>
              </w:tc>
              <w:tc>
                <w:tcPr>
                  <w:tcW w:w="2809" w:type="dxa"/>
                  <w:vAlign w:val="center"/>
                </w:tcPr>
                <w:p w14:paraId="36734789">
                  <w:pPr>
                    <w:jc w:val="left"/>
                    <w:rPr>
                      <w:rFonts w:ascii="Times New Roman" w:hAnsi="Times New Roman" w:cs="Times New Roman"/>
                    </w:rPr>
                  </w:pPr>
                  <w:r>
                    <w:rPr>
                      <w:rFonts w:ascii="Times New Roman" w:hAnsi="Times New Roman" w:cs="Times New Roman"/>
                    </w:rPr>
                    <w:t>前处理：破碎机破碎</w:t>
                  </w:r>
                </w:p>
                <w:p w14:paraId="14043440">
                  <w:pPr>
                    <w:jc w:val="left"/>
                    <w:rPr>
                      <w:rFonts w:ascii="Times New Roman" w:hAnsi="Times New Roman" w:cs="Times New Roman"/>
                    </w:rPr>
                  </w:pPr>
                  <w:r>
                    <w:rPr>
                      <w:rFonts w:ascii="Times New Roman" w:hAnsi="Times New Roman" w:cs="Times New Roman"/>
                    </w:rPr>
                    <w:t>主处理：高温干法化制</w:t>
                  </w:r>
                </w:p>
                <w:p w14:paraId="13AA134F">
                  <w:pPr>
                    <w:jc w:val="left"/>
                    <w:rPr>
                      <w:rFonts w:ascii="Times New Roman" w:hAnsi="Times New Roman" w:cs="Times New Roman"/>
                      <w:szCs w:val="21"/>
                    </w:rPr>
                  </w:pPr>
                  <w:r>
                    <w:rPr>
                      <w:rFonts w:ascii="Times New Roman" w:hAnsi="Times New Roman" w:cs="Times New Roman"/>
                    </w:rPr>
                    <w:t>残余处理：缓存、压榨脱脂、离心分离</w:t>
                  </w:r>
                </w:p>
              </w:tc>
              <w:tc>
                <w:tcPr>
                  <w:tcW w:w="1298" w:type="dxa"/>
                  <w:vAlign w:val="center"/>
                </w:tcPr>
                <w:p w14:paraId="4A2DEF58">
                  <w:pPr>
                    <w:jc w:val="center"/>
                    <w:rPr>
                      <w:rFonts w:ascii="Times New Roman" w:hAnsi="Times New Roman" w:cs="Times New Roman"/>
                      <w:szCs w:val="21"/>
                    </w:rPr>
                  </w:pPr>
                  <w:r>
                    <w:rPr>
                      <w:rFonts w:ascii="Times New Roman" w:hAnsi="Times New Roman" w:cs="Times New Roman"/>
                    </w:rPr>
                    <w:t>一致</w:t>
                  </w:r>
                </w:p>
              </w:tc>
            </w:tr>
          </w:tbl>
          <w:p w14:paraId="0713030B">
            <w:pPr>
              <w:jc w:val="center"/>
              <w:rPr>
                <w:rFonts w:ascii="Times New Roman" w:hAnsi="Times New Roman" w:cs="Times New Roman"/>
                <w:szCs w:val="21"/>
              </w:rPr>
            </w:pPr>
          </w:p>
          <w:p w14:paraId="443B69B0">
            <w:pPr>
              <w:pStyle w:val="10"/>
              <w:spacing w:line="360" w:lineRule="auto"/>
              <w:ind w:left="0" w:right="105" w:rightChars="50" w:firstLine="240" w:firstLineChars="100"/>
              <w:rPr>
                <w:rFonts w:ascii="Times New Roman" w:hAnsi="Times New Roman" w:cs="Times New Roman"/>
                <w:bCs/>
              </w:rPr>
            </w:pPr>
            <w:bookmarkStart w:id="49" w:name="_Hlk101129956"/>
            <w:r>
              <w:rPr>
                <w:rFonts w:ascii="Times New Roman" w:hAnsi="Times New Roman" w:cs="Times New Roman"/>
                <w:bCs/>
              </w:rPr>
              <w:t>本项目采用的工艺、生产设备均与其相似，破碎机、化制罐、榨油机等均为密闭装置，整体生产线工艺一致，且废气收集方式一致，具有类比可行性</w:t>
            </w:r>
            <w:r>
              <w:rPr>
                <w:rFonts w:hint="eastAsia" w:ascii="Times New Roman" w:hAnsi="Times New Roman" w:cs="Times New Roman"/>
                <w:bCs/>
              </w:rPr>
              <w:t>。</w:t>
            </w:r>
            <w:r>
              <w:rPr>
                <w:rFonts w:ascii="Times New Roman" w:hAnsi="Times New Roman" w:cs="Times New Roman"/>
                <w:bCs/>
              </w:rPr>
              <w:t>类比</w:t>
            </w:r>
            <w:r>
              <w:rPr>
                <w:rFonts w:hint="eastAsia" w:ascii="Times New Roman" w:hAnsi="Times New Roman" w:cs="Times New Roman"/>
                <w:bCs/>
              </w:rPr>
              <w:t>该</w:t>
            </w:r>
            <w:r>
              <w:rPr>
                <w:rFonts w:ascii="Times New Roman" w:hAnsi="Times New Roman" w:cs="Times New Roman"/>
                <w:bCs/>
              </w:rPr>
              <w:t>项目验收监测期间工艺废气处理设施进口H</w:t>
            </w:r>
            <w:r>
              <w:rPr>
                <w:rFonts w:ascii="Times New Roman" w:hAnsi="Times New Roman" w:cs="Times New Roman"/>
                <w:bCs/>
                <w:vertAlign w:val="subscript"/>
              </w:rPr>
              <w:t>2</w:t>
            </w:r>
            <w:r>
              <w:rPr>
                <w:rFonts w:ascii="Times New Roman" w:hAnsi="Times New Roman" w:cs="Times New Roman"/>
                <w:bCs/>
              </w:rPr>
              <w:t>S平均产生浓度为0.51mg/m</w:t>
            </w:r>
            <w:r>
              <w:rPr>
                <w:rFonts w:ascii="Times New Roman" w:hAnsi="Times New Roman" w:cs="Times New Roman"/>
                <w:bCs/>
                <w:vertAlign w:val="superscript"/>
              </w:rPr>
              <w:t>3</w:t>
            </w:r>
            <w:r>
              <w:rPr>
                <w:rFonts w:ascii="Times New Roman" w:hAnsi="Times New Roman" w:cs="Times New Roman"/>
                <w:bCs/>
              </w:rPr>
              <w:t>，平均废气流量为13788m</w:t>
            </w:r>
            <w:r>
              <w:rPr>
                <w:rFonts w:ascii="Times New Roman" w:hAnsi="Times New Roman" w:cs="Times New Roman"/>
                <w:bCs/>
                <w:vertAlign w:val="superscript"/>
              </w:rPr>
              <w:t>3</w:t>
            </w:r>
            <w:r>
              <w:rPr>
                <w:rFonts w:ascii="Times New Roman" w:hAnsi="Times New Roman" w:cs="Times New Roman"/>
                <w:bCs/>
              </w:rPr>
              <w:t>/h，平均产生量为0.007kg/h。运行工况为90%，则满负荷情况下，H</w:t>
            </w:r>
            <w:r>
              <w:rPr>
                <w:rFonts w:ascii="Times New Roman" w:hAnsi="Times New Roman" w:cs="Times New Roman"/>
                <w:bCs/>
                <w:vertAlign w:val="subscript"/>
              </w:rPr>
              <w:t>2</w:t>
            </w:r>
            <w:r>
              <w:rPr>
                <w:rFonts w:ascii="Times New Roman" w:hAnsi="Times New Roman" w:cs="Times New Roman"/>
                <w:bCs/>
              </w:rPr>
              <w:t>S平均产生量为0.0078kg/h</w:t>
            </w:r>
            <w:r>
              <w:rPr>
                <w:rFonts w:hint="eastAsia" w:ascii="Times New Roman" w:hAnsi="Times New Roman" w:cs="Times New Roman"/>
                <w:bCs/>
              </w:rPr>
              <w:t>。</w:t>
            </w:r>
            <w:bookmarkStart w:id="50" w:name="_Hlk101104332"/>
            <w:r>
              <w:rPr>
                <w:rFonts w:ascii="Times New Roman" w:hAnsi="Times New Roman" w:cs="Times New Roman"/>
                <w:bCs/>
              </w:rPr>
              <w:t>本项目设计年处理能力为3000t，年生产2400h，则项目H</w:t>
            </w:r>
            <w:r>
              <w:rPr>
                <w:rFonts w:ascii="Times New Roman" w:hAnsi="Times New Roman" w:cs="Times New Roman"/>
                <w:bCs/>
                <w:vertAlign w:val="subscript"/>
              </w:rPr>
              <w:t>2</w:t>
            </w:r>
            <w:r>
              <w:rPr>
                <w:rFonts w:ascii="Times New Roman" w:hAnsi="Times New Roman" w:cs="Times New Roman"/>
                <w:bCs/>
              </w:rPr>
              <w:t>S产生量约为 0.0026kg/h、0.0062t/a。</w:t>
            </w:r>
            <w:bookmarkEnd w:id="50"/>
          </w:p>
          <w:p w14:paraId="2CF3B7D4">
            <w:pPr>
              <w:pStyle w:val="10"/>
              <w:spacing w:line="360" w:lineRule="auto"/>
              <w:ind w:left="0" w:right="105" w:rightChars="50" w:firstLine="240" w:firstLineChars="100"/>
              <w:rPr>
                <w:rFonts w:ascii="Times New Roman" w:hAnsi="Times New Roman" w:cs="Times New Roman"/>
                <w:bCs/>
              </w:rPr>
            </w:pPr>
            <w:bookmarkStart w:id="51" w:name="_Hlk101104292"/>
            <w:r>
              <w:rPr>
                <w:rFonts w:hint="eastAsia" w:ascii="Times New Roman" w:hAnsi="Times New Roman" w:cs="Times New Roman"/>
                <w:bCs/>
              </w:rPr>
              <w:t>综上，无害化处理过程中</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产生量为1.9140t/a，产生速率为0.7975kg/h</w:t>
            </w:r>
            <w:r>
              <w:rPr>
                <w:rFonts w:hint="eastAsia" w:ascii="Times New Roman" w:hAnsi="Times New Roman" w:cs="Times New Roman"/>
                <w:bCs/>
              </w:rPr>
              <w:t>，</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S产生量约为 0.0026kg/h、0.0062t/a。本项目拟采用“冷凝+喷淋+焚烧”的方式处理工艺废气</w:t>
            </w:r>
            <w:r>
              <w:rPr>
                <w:rFonts w:hint="eastAsia" w:ascii="Times New Roman" w:hAnsi="Times New Roman" w:cs="Times New Roman"/>
                <w:bCs/>
              </w:rPr>
              <w:t>。</w:t>
            </w:r>
            <w:bookmarkEnd w:id="51"/>
          </w:p>
          <w:bookmarkEnd w:id="46"/>
          <w:bookmarkEnd w:id="49"/>
          <w:p w14:paraId="2EF41A5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ascii="Times New Roman" w:hAnsi="Times New Roman" w:cs="Times New Roman"/>
                <w:bCs/>
              </w:rPr>
              <w:t>车间废气</w:t>
            </w:r>
            <w:r>
              <w:rPr>
                <w:rFonts w:hint="eastAsia" w:ascii="Times New Roman" w:hAnsi="Times New Roman" w:cs="Times New Roman"/>
                <w:szCs w:val="21"/>
              </w:rPr>
              <w:t>（G</w:t>
            </w:r>
            <w:r>
              <w:rPr>
                <w:rFonts w:ascii="Times New Roman" w:hAnsi="Times New Roman" w:cs="Times New Roman"/>
                <w:szCs w:val="21"/>
              </w:rPr>
              <w:t>3</w:t>
            </w:r>
            <w:r>
              <w:rPr>
                <w:rFonts w:hint="eastAsia" w:ascii="Times New Roman" w:hAnsi="Times New Roman" w:cs="Times New Roman"/>
                <w:szCs w:val="21"/>
              </w:rPr>
              <w:t>）</w:t>
            </w:r>
          </w:p>
          <w:p w14:paraId="33536C8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车间废气主要</w:t>
            </w:r>
            <w:r>
              <w:rPr>
                <w:rFonts w:hint="eastAsia" w:ascii="Times New Roman" w:hAnsi="Times New Roman" w:cs="Times New Roman"/>
                <w:bCs/>
              </w:rPr>
              <w:t>为</w:t>
            </w:r>
            <w:r>
              <w:rPr>
                <w:rFonts w:ascii="Times New Roman" w:hAnsi="Times New Roman" w:cs="Times New Roman"/>
                <w:bCs/>
              </w:rPr>
              <w:t>未被管道收集的恶臭气体</w:t>
            </w:r>
            <w:r>
              <w:rPr>
                <w:rFonts w:hint="eastAsia" w:ascii="Times New Roman" w:hAnsi="Times New Roman" w:cs="Times New Roman"/>
                <w:bCs/>
              </w:rPr>
              <w:t>，</w:t>
            </w:r>
            <w:r>
              <w:rPr>
                <w:rFonts w:ascii="Times New Roman" w:hAnsi="Times New Roman" w:cs="Times New Roman"/>
                <w:bCs/>
              </w:rPr>
              <w:t>以氨和硫化氢</w:t>
            </w:r>
            <w:r>
              <w:rPr>
                <w:rFonts w:hint="eastAsia" w:ascii="Times New Roman" w:hAnsi="Times New Roman" w:cs="Times New Roman"/>
                <w:bCs/>
              </w:rPr>
              <w:t>为特征污染物</w:t>
            </w:r>
            <w:r>
              <w:rPr>
                <w:rFonts w:ascii="Times New Roman" w:hAnsi="Times New Roman" w:cs="Times New Roman"/>
                <w:bCs/>
              </w:rPr>
              <w:t>。</w:t>
            </w:r>
          </w:p>
          <w:p w14:paraId="15860C14">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a.</w:t>
            </w:r>
            <w:r>
              <w:rPr>
                <w:rFonts w:ascii="Times New Roman" w:hAnsi="Times New Roman" w:cs="Times New Roman"/>
                <w:bCs/>
              </w:rPr>
              <w:t>有组织</w:t>
            </w:r>
            <w:r>
              <w:rPr>
                <w:rFonts w:hint="eastAsia" w:ascii="Times New Roman" w:hAnsi="Times New Roman" w:cs="Times New Roman"/>
                <w:bCs/>
              </w:rPr>
              <w:t>废气</w:t>
            </w:r>
          </w:p>
          <w:p w14:paraId="1BA32A87">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无害化车间物料输送过程中由于输送系统局部未完全密封</w:t>
            </w:r>
            <w:r>
              <w:rPr>
                <w:rFonts w:hint="eastAsia" w:ascii="Times New Roman" w:hAnsi="Times New Roman" w:cs="Times New Roman"/>
                <w:bCs/>
              </w:rPr>
              <w:t>，</w:t>
            </w:r>
            <w:r>
              <w:rPr>
                <w:rFonts w:ascii="Times New Roman" w:hAnsi="Times New Roman" w:cs="Times New Roman"/>
                <w:bCs/>
              </w:rPr>
              <w:t>会造成部分恶臭气体外逸，扩散至车间内，该部分废气按整个无害化过程中产生的总恶臭量的5%估算，NH</w:t>
            </w:r>
            <w:r>
              <w:rPr>
                <w:rFonts w:ascii="Times New Roman" w:hAnsi="Times New Roman" w:cs="Times New Roman"/>
                <w:bCs/>
                <w:vertAlign w:val="subscript"/>
              </w:rPr>
              <w:t>3</w:t>
            </w:r>
            <w:r>
              <w:rPr>
                <w:rFonts w:ascii="Times New Roman" w:hAnsi="Times New Roman" w:cs="Times New Roman"/>
                <w:bCs/>
              </w:rPr>
              <w:t>产生量</w:t>
            </w:r>
            <w:r>
              <w:rPr>
                <w:rFonts w:hint="eastAsia" w:ascii="Times New Roman" w:hAnsi="Times New Roman" w:cs="Times New Roman"/>
                <w:bCs/>
              </w:rPr>
              <w:t>约</w:t>
            </w:r>
            <w:r>
              <w:rPr>
                <w:rFonts w:ascii="Times New Roman" w:hAnsi="Times New Roman" w:cs="Times New Roman"/>
                <w:bCs/>
              </w:rPr>
              <w:t>为0.0957t/a，产生速率为0.0399kg/h</w:t>
            </w:r>
            <w:r>
              <w:rPr>
                <w:rFonts w:hint="eastAsia" w:ascii="Times New Roman" w:hAnsi="Times New Roman" w:cs="Times New Roman"/>
                <w:bCs/>
              </w:rPr>
              <w:t>，</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S产生量</w:t>
            </w:r>
            <w:r>
              <w:rPr>
                <w:rFonts w:hint="eastAsia" w:ascii="Times New Roman" w:hAnsi="Times New Roman" w:cs="Times New Roman"/>
                <w:bCs/>
              </w:rPr>
              <w:t>约</w:t>
            </w:r>
            <w:r>
              <w:rPr>
                <w:rFonts w:ascii="Times New Roman" w:hAnsi="Times New Roman" w:cs="Times New Roman"/>
                <w:bCs/>
              </w:rPr>
              <w:t>为0.0003t/a，产生速率为0.0001kg/h</w:t>
            </w:r>
            <w:r>
              <w:rPr>
                <w:rFonts w:hint="eastAsia" w:ascii="Times New Roman" w:hAnsi="Times New Roman" w:cs="Times New Roman"/>
                <w:bCs/>
              </w:rPr>
              <w:t>。</w:t>
            </w:r>
            <w:r>
              <w:rPr>
                <w:rFonts w:ascii="Times New Roman" w:hAnsi="Times New Roman" w:cs="Times New Roman"/>
                <w:bCs/>
              </w:rPr>
              <w:t>环评</w:t>
            </w:r>
            <w:r>
              <w:rPr>
                <w:rFonts w:hint="eastAsia" w:ascii="Times New Roman" w:hAnsi="Times New Roman" w:cs="Times New Roman"/>
                <w:bCs/>
              </w:rPr>
              <w:t>要求</w:t>
            </w:r>
            <w:r>
              <w:rPr>
                <w:rFonts w:ascii="Times New Roman" w:hAnsi="Times New Roman" w:cs="Times New Roman"/>
                <w:bCs/>
              </w:rPr>
              <w:t>整个车间密闭</w:t>
            </w:r>
            <w:r>
              <w:rPr>
                <w:rFonts w:hint="eastAsia" w:ascii="Times New Roman" w:hAnsi="Times New Roman" w:cs="Times New Roman"/>
                <w:bCs/>
              </w:rPr>
              <w:t>，采用抽风机抽风，在车间内</w:t>
            </w:r>
            <w:r>
              <w:rPr>
                <w:rFonts w:ascii="Times New Roman" w:hAnsi="Times New Roman" w:cs="Times New Roman"/>
                <w:bCs/>
              </w:rPr>
              <w:t>形成微负压</w:t>
            </w:r>
            <w:r>
              <w:rPr>
                <w:rFonts w:hint="eastAsia" w:ascii="Times New Roman" w:hAnsi="Times New Roman" w:cs="Times New Roman"/>
                <w:bCs/>
              </w:rPr>
              <w:t>环境</w:t>
            </w:r>
            <w:r>
              <w:rPr>
                <w:rFonts w:ascii="Times New Roman" w:hAnsi="Times New Roman" w:cs="Times New Roman"/>
                <w:bCs/>
              </w:rPr>
              <w:t>，车间废气经负压收集后，经一套</w:t>
            </w:r>
            <w:r>
              <w:rPr>
                <w:rFonts w:hint="eastAsia" w:ascii="Times New Roman" w:hAnsi="Times New Roman" w:cs="Times New Roman"/>
                <w:bCs/>
              </w:rPr>
              <w:t xml:space="preserve"> “二级</w:t>
            </w:r>
            <w:r>
              <w:rPr>
                <w:rFonts w:ascii="Times New Roman" w:hAnsi="Times New Roman" w:cs="Times New Roman"/>
                <w:bCs/>
              </w:rPr>
              <w:t>活性炭吸附装置+高效过滤器</w:t>
            </w:r>
            <w:r>
              <w:rPr>
                <w:rFonts w:hint="eastAsia" w:ascii="Times New Roman" w:hAnsi="Times New Roman" w:cs="Times New Roman"/>
                <w:bCs/>
              </w:rPr>
              <w:t>”</w:t>
            </w:r>
            <w:r>
              <w:rPr>
                <w:rFonts w:ascii="Times New Roman" w:hAnsi="Times New Roman" w:cs="Times New Roman"/>
                <w:bCs/>
              </w:rPr>
              <w:t>处理达标后由1根15m高的排气筒（DA002）排放</w:t>
            </w:r>
            <w:r>
              <w:rPr>
                <w:rFonts w:hint="eastAsia" w:ascii="Times New Roman" w:hAnsi="Times New Roman" w:cs="Times New Roman"/>
                <w:bCs/>
              </w:rPr>
              <w:t>。车间臭气</w:t>
            </w:r>
            <w:r>
              <w:rPr>
                <w:rFonts w:ascii="Times New Roman" w:hAnsi="Times New Roman" w:cs="Times New Roman"/>
                <w:bCs/>
              </w:rPr>
              <w:t>收集效率</w:t>
            </w:r>
            <w:r>
              <w:rPr>
                <w:rFonts w:hint="eastAsia" w:ascii="Times New Roman" w:hAnsi="Times New Roman" w:cs="Times New Roman"/>
                <w:bCs/>
              </w:rPr>
              <w:t>约</w:t>
            </w:r>
            <w:r>
              <w:rPr>
                <w:rFonts w:ascii="Times New Roman" w:hAnsi="Times New Roman" w:cs="Times New Roman"/>
                <w:bCs/>
              </w:rPr>
              <w:t>为90%，</w:t>
            </w:r>
            <w:r>
              <w:rPr>
                <w:rFonts w:hint="eastAsia" w:ascii="Times New Roman" w:hAnsi="Times New Roman" w:cs="Times New Roman"/>
                <w:bCs/>
              </w:rPr>
              <w:t>二级</w:t>
            </w:r>
            <w:r>
              <w:rPr>
                <w:rFonts w:ascii="Times New Roman" w:hAnsi="Times New Roman" w:cs="Times New Roman"/>
                <w:bCs/>
              </w:rPr>
              <w:t>活性炭吸附装置对臭气的</w:t>
            </w:r>
            <w:r>
              <w:rPr>
                <w:rFonts w:hint="eastAsia" w:ascii="Times New Roman" w:hAnsi="Times New Roman" w:cs="Times New Roman"/>
                <w:bCs/>
              </w:rPr>
              <w:t>吸附</w:t>
            </w:r>
            <w:r>
              <w:rPr>
                <w:rFonts w:ascii="Times New Roman" w:hAnsi="Times New Roman" w:cs="Times New Roman"/>
                <w:bCs/>
              </w:rPr>
              <w:t>处理效率</w:t>
            </w:r>
            <w:r>
              <w:rPr>
                <w:rFonts w:hint="eastAsia" w:ascii="Times New Roman" w:hAnsi="Times New Roman" w:cs="Times New Roman"/>
                <w:bCs/>
              </w:rPr>
              <w:t>约</w:t>
            </w:r>
            <w:r>
              <w:rPr>
                <w:rFonts w:ascii="Times New Roman" w:hAnsi="Times New Roman" w:cs="Times New Roman"/>
                <w:bCs/>
              </w:rPr>
              <w:t>为80%；高效过滤器主要是去除废气中的病原微生物；风机风量为5000m</w:t>
            </w:r>
            <w:r>
              <w:rPr>
                <w:rFonts w:ascii="Times New Roman" w:hAnsi="Times New Roman" w:cs="Times New Roman"/>
                <w:bCs/>
                <w:vertAlign w:val="superscript"/>
              </w:rPr>
              <w:t>3</w:t>
            </w:r>
            <w:r>
              <w:rPr>
                <w:rFonts w:ascii="Times New Roman" w:hAnsi="Times New Roman" w:cs="Times New Roman"/>
                <w:bCs/>
              </w:rPr>
              <w:t>/h。则车间废气</w:t>
            </w:r>
            <w:r>
              <w:rPr>
                <w:rFonts w:hint="eastAsia" w:ascii="Times New Roman" w:hAnsi="Times New Roman" w:cs="Times New Roman"/>
                <w:bCs/>
              </w:rPr>
              <w:t>有组织</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排放量为0.0072kg/h、0.0172t/a，H</w:t>
            </w:r>
            <w:r>
              <w:rPr>
                <w:rFonts w:ascii="Times New Roman" w:hAnsi="Times New Roman" w:cs="Times New Roman"/>
                <w:bCs/>
                <w:vertAlign w:val="subscript"/>
              </w:rPr>
              <w:t>2</w:t>
            </w:r>
            <w:r>
              <w:rPr>
                <w:rFonts w:ascii="Times New Roman" w:hAnsi="Times New Roman" w:cs="Times New Roman"/>
                <w:bCs/>
              </w:rPr>
              <w:t>S 排放量为 0.18×10</w:t>
            </w:r>
            <w:r>
              <w:rPr>
                <w:rFonts w:ascii="Times New Roman" w:hAnsi="Times New Roman" w:cs="Times New Roman"/>
                <w:bCs/>
                <w:vertAlign w:val="superscript"/>
              </w:rPr>
              <w:t>-4</w:t>
            </w:r>
            <w:r>
              <w:rPr>
                <w:rFonts w:ascii="Times New Roman" w:hAnsi="Times New Roman" w:cs="Times New Roman"/>
                <w:bCs/>
              </w:rPr>
              <w:t>kg/h，0.54×10</w:t>
            </w:r>
            <w:r>
              <w:rPr>
                <w:rFonts w:ascii="Times New Roman" w:hAnsi="Times New Roman" w:cs="Times New Roman"/>
                <w:bCs/>
                <w:vertAlign w:val="superscript"/>
              </w:rPr>
              <w:t>-4</w:t>
            </w:r>
            <w:r>
              <w:rPr>
                <w:rFonts w:ascii="Times New Roman" w:hAnsi="Times New Roman" w:cs="Times New Roman"/>
                <w:bCs/>
              </w:rPr>
              <w:t>t/a。</w:t>
            </w:r>
          </w:p>
          <w:p w14:paraId="002814D5">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b.</w:t>
            </w:r>
            <w:r>
              <w:rPr>
                <w:rFonts w:ascii="Times New Roman" w:hAnsi="Times New Roman" w:cs="Times New Roman"/>
                <w:bCs/>
              </w:rPr>
              <w:t>无组织</w:t>
            </w:r>
          </w:p>
          <w:p w14:paraId="6519F19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无害化车间内</w:t>
            </w:r>
            <w:r>
              <w:rPr>
                <w:rFonts w:hint="eastAsia" w:ascii="Times New Roman" w:hAnsi="Times New Roman" w:cs="Times New Roman"/>
                <w:bCs/>
              </w:rPr>
              <w:t>产生</w:t>
            </w:r>
            <w:r>
              <w:rPr>
                <w:rFonts w:ascii="Times New Roman" w:hAnsi="Times New Roman" w:cs="Times New Roman"/>
                <w:bCs/>
              </w:rPr>
              <w:t>的恶臭，大部分由车间负压系统收集处理，车间负压收集效率可达90%，剩余10%以无组织形式排放，无组织NH</w:t>
            </w:r>
            <w:r>
              <w:rPr>
                <w:rFonts w:ascii="Times New Roman" w:hAnsi="Times New Roman" w:cs="Times New Roman"/>
                <w:bCs/>
                <w:vertAlign w:val="subscript"/>
              </w:rPr>
              <w:t>3</w:t>
            </w:r>
            <w:r>
              <w:rPr>
                <w:rFonts w:ascii="Times New Roman" w:hAnsi="Times New Roman" w:cs="Times New Roman"/>
                <w:bCs/>
              </w:rPr>
              <w:t>排放量为0.0040kg/h</w:t>
            </w:r>
            <w:r>
              <w:rPr>
                <w:rFonts w:hint="eastAsia" w:ascii="Times New Roman" w:hAnsi="Times New Roman" w:cs="Times New Roman"/>
                <w:bCs/>
              </w:rPr>
              <w:t>、</w:t>
            </w:r>
            <w:r>
              <w:rPr>
                <w:rFonts w:ascii="Times New Roman" w:hAnsi="Times New Roman" w:cs="Times New Roman"/>
                <w:bCs/>
              </w:rPr>
              <w:t>0.0096t/a，无组织 H</w:t>
            </w:r>
            <w:r>
              <w:rPr>
                <w:rFonts w:ascii="Times New Roman" w:hAnsi="Times New Roman" w:cs="Times New Roman"/>
                <w:bCs/>
                <w:vertAlign w:val="subscript"/>
              </w:rPr>
              <w:t>2</w:t>
            </w:r>
            <w:r>
              <w:rPr>
                <w:rFonts w:ascii="Times New Roman" w:hAnsi="Times New Roman" w:cs="Times New Roman"/>
                <w:bCs/>
              </w:rPr>
              <w:t>S 排放量为0.10×10</w:t>
            </w:r>
            <w:r>
              <w:rPr>
                <w:rFonts w:ascii="Times New Roman" w:hAnsi="Times New Roman" w:cs="Times New Roman"/>
                <w:bCs/>
                <w:vertAlign w:val="superscript"/>
              </w:rPr>
              <w:t>-4</w:t>
            </w:r>
            <w:r>
              <w:rPr>
                <w:rFonts w:ascii="Times New Roman" w:hAnsi="Times New Roman" w:cs="Times New Roman"/>
                <w:bCs/>
              </w:rPr>
              <w:t>kg/h，0.30×10</w:t>
            </w:r>
            <w:r>
              <w:rPr>
                <w:rFonts w:ascii="Times New Roman" w:hAnsi="Times New Roman" w:cs="Times New Roman"/>
                <w:bCs/>
                <w:vertAlign w:val="superscript"/>
              </w:rPr>
              <w:t>-4</w:t>
            </w:r>
            <w:r>
              <w:rPr>
                <w:rFonts w:ascii="Times New Roman" w:hAnsi="Times New Roman" w:cs="Times New Roman"/>
                <w:bCs/>
              </w:rPr>
              <w:t>t/a。</w:t>
            </w:r>
          </w:p>
          <w:p w14:paraId="1D310BC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污水处理站恶臭</w:t>
            </w:r>
            <w:r>
              <w:rPr>
                <w:rFonts w:hint="eastAsia" w:ascii="Times New Roman" w:hAnsi="Times New Roman" w:cs="Times New Roman"/>
                <w:szCs w:val="21"/>
              </w:rPr>
              <w:t>（G</w:t>
            </w:r>
            <w:r>
              <w:rPr>
                <w:rFonts w:ascii="Times New Roman" w:hAnsi="Times New Roman" w:cs="Times New Roman"/>
                <w:szCs w:val="21"/>
              </w:rPr>
              <w:t>4</w:t>
            </w:r>
            <w:r>
              <w:rPr>
                <w:rFonts w:hint="eastAsia" w:ascii="Times New Roman" w:hAnsi="Times New Roman" w:cs="Times New Roman"/>
                <w:szCs w:val="21"/>
              </w:rPr>
              <w:t>）</w:t>
            </w:r>
          </w:p>
          <w:p w14:paraId="029763B2">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污水处理站运行过程中，由于伴随微生物、原生动物、菌胶团等生物的新陈代谢而产生恶臭污染物，主要成分为</w:t>
            </w:r>
            <w:r>
              <w:rPr>
                <w:rFonts w:hint="eastAsia" w:ascii="Times New Roman" w:hAnsi="Times New Roman" w:cs="Times New Roman"/>
                <w:bCs/>
              </w:rPr>
              <w:t>氨和硫化氢</w:t>
            </w:r>
            <w:r>
              <w:rPr>
                <w:rFonts w:ascii="Times New Roman" w:hAnsi="Times New Roman" w:cs="Times New Roman"/>
                <w:bCs/>
              </w:rPr>
              <w:t>，</w:t>
            </w:r>
            <w:r>
              <w:rPr>
                <w:rFonts w:hint="eastAsia" w:ascii="Times New Roman" w:hAnsi="Times New Roman" w:cs="Times New Roman"/>
                <w:bCs/>
              </w:rPr>
              <w:t>此外</w:t>
            </w:r>
            <w:r>
              <w:rPr>
                <w:rFonts w:ascii="Times New Roman" w:hAnsi="Times New Roman" w:cs="Times New Roman"/>
                <w:bCs/>
              </w:rPr>
              <w:t>还有甲硫醇、甲基硫、甲基化二硫、三甲胺、苯乙烯乙醛等物质</w:t>
            </w:r>
            <w:r>
              <w:rPr>
                <w:rFonts w:hint="eastAsia" w:ascii="Times New Roman" w:hAnsi="Times New Roman" w:cs="Times New Roman"/>
                <w:bCs/>
              </w:rPr>
              <w:t>。</w:t>
            </w:r>
            <w:r>
              <w:rPr>
                <w:rFonts w:ascii="Times New Roman" w:hAnsi="Times New Roman" w:cs="Times New Roman"/>
                <w:bCs/>
              </w:rPr>
              <w:t>臭味的主要发生部位有：格栅池、混凝反应池、混凝沉淀池、水解酸化池、接触氧化池等。污水处理站的恶臭逸出量大小， 受污水量、BOD</w:t>
            </w:r>
            <w:r>
              <w:rPr>
                <w:rFonts w:ascii="Times New Roman" w:hAnsi="Times New Roman" w:cs="Times New Roman"/>
                <w:bCs/>
                <w:vertAlign w:val="subscript"/>
              </w:rPr>
              <w:t>5</w:t>
            </w:r>
            <w:r>
              <w:rPr>
                <w:rFonts w:ascii="Times New Roman" w:hAnsi="Times New Roman" w:cs="Times New Roman"/>
                <w:bCs/>
              </w:rPr>
              <w:t>负荷、污水中DO</w:t>
            </w:r>
            <w:r>
              <w:rPr>
                <w:rFonts w:hint="eastAsia" w:ascii="Times New Roman" w:hAnsi="Times New Roman" w:cs="Times New Roman"/>
                <w:bCs/>
              </w:rPr>
              <w:t>浓度</w:t>
            </w:r>
            <w:r>
              <w:rPr>
                <w:rFonts w:ascii="Times New Roman" w:hAnsi="Times New Roman" w:cs="Times New Roman"/>
                <w:bCs/>
              </w:rPr>
              <w:t>、污染气象特征等多种因素影响。</w:t>
            </w:r>
          </w:p>
          <w:p w14:paraId="3B6FE8C6">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参考</w:t>
            </w:r>
            <w:r>
              <w:rPr>
                <w:rFonts w:ascii="Times New Roman" w:hAnsi="Times New Roman" w:cs="Times New Roman"/>
                <w:bCs/>
              </w:rPr>
              <w:t>美国EPA对污水处理厂恶臭污染物产生情况的研究，每处理1g的 BOD</w:t>
            </w:r>
            <w:r>
              <w:rPr>
                <w:rFonts w:ascii="Times New Roman" w:hAnsi="Times New Roman" w:cs="Times New Roman"/>
                <w:bCs/>
                <w:vertAlign w:val="subscript"/>
              </w:rPr>
              <w:t>5</w:t>
            </w:r>
            <w:r>
              <w:rPr>
                <w:rFonts w:ascii="Times New Roman" w:hAnsi="Times New Roman" w:cs="Times New Roman"/>
                <w:bCs/>
              </w:rPr>
              <w:t>，可产生0.0031g的NH</w:t>
            </w:r>
            <w:r>
              <w:rPr>
                <w:rFonts w:ascii="Times New Roman" w:hAnsi="Times New Roman" w:cs="Times New Roman"/>
                <w:bCs/>
                <w:vertAlign w:val="subscript"/>
              </w:rPr>
              <w:t>3</w:t>
            </w:r>
            <w:r>
              <w:rPr>
                <w:rFonts w:ascii="Times New Roman" w:hAnsi="Times New Roman" w:cs="Times New Roman"/>
                <w:bCs/>
              </w:rPr>
              <w:t>和0.00012g的H</w:t>
            </w:r>
            <w:r>
              <w:rPr>
                <w:rFonts w:ascii="Times New Roman" w:hAnsi="Times New Roman" w:cs="Times New Roman"/>
                <w:bCs/>
                <w:vertAlign w:val="subscript"/>
              </w:rPr>
              <w:t>2</w:t>
            </w:r>
            <w:r>
              <w:rPr>
                <w:rFonts w:ascii="Times New Roman" w:hAnsi="Times New Roman" w:cs="Times New Roman"/>
                <w:bCs/>
              </w:rPr>
              <w:t>S。根据</w:t>
            </w:r>
            <w:r>
              <w:rPr>
                <w:rFonts w:hint="eastAsia" w:ascii="Times New Roman" w:hAnsi="Times New Roman" w:cs="Times New Roman"/>
                <w:bCs/>
              </w:rPr>
              <w:t>前文</w:t>
            </w:r>
            <w:r>
              <w:rPr>
                <w:rFonts w:ascii="Times New Roman" w:hAnsi="Times New Roman" w:cs="Times New Roman"/>
                <w:bCs/>
              </w:rPr>
              <w:t>“水污染物产生及排放情况表”可知，项目污水处理站BOD</w:t>
            </w:r>
            <w:r>
              <w:rPr>
                <w:rFonts w:ascii="Times New Roman" w:hAnsi="Times New Roman" w:cs="Times New Roman"/>
                <w:bCs/>
                <w:vertAlign w:val="subscript"/>
              </w:rPr>
              <w:t>5</w:t>
            </w:r>
            <w:r>
              <w:rPr>
                <w:rFonts w:ascii="Times New Roman" w:hAnsi="Times New Roman" w:cs="Times New Roman"/>
                <w:bCs/>
              </w:rPr>
              <w:t>的处理量约为3.83t/a，则NH</w:t>
            </w:r>
            <w:r>
              <w:rPr>
                <w:rFonts w:ascii="Times New Roman" w:hAnsi="Times New Roman" w:cs="Times New Roman"/>
                <w:bCs/>
                <w:vertAlign w:val="subscript"/>
              </w:rPr>
              <w:t>3</w:t>
            </w:r>
            <w:r>
              <w:rPr>
                <w:rFonts w:ascii="Times New Roman" w:hAnsi="Times New Roman" w:cs="Times New Roman"/>
                <w:bCs/>
              </w:rPr>
              <w:t>的产生量约为0.0119t/a（0.0049kg/h）；H</w:t>
            </w:r>
            <w:r>
              <w:rPr>
                <w:rFonts w:ascii="Times New Roman" w:hAnsi="Times New Roman" w:cs="Times New Roman"/>
                <w:bCs/>
                <w:vertAlign w:val="subscript"/>
              </w:rPr>
              <w:t>2</w:t>
            </w:r>
            <w:r>
              <w:rPr>
                <w:rFonts w:ascii="Times New Roman" w:hAnsi="Times New Roman" w:cs="Times New Roman"/>
                <w:bCs/>
              </w:rPr>
              <w:t>S的产生量约为0.0005t/a（0.0005kg/h）。</w:t>
            </w:r>
          </w:p>
          <w:p w14:paraId="5259AE0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项目污水处理站各池体均为地埋式</w:t>
            </w:r>
            <w:r>
              <w:rPr>
                <w:rFonts w:hint="eastAsia" w:ascii="Times New Roman" w:hAnsi="Times New Roman" w:cs="Times New Roman"/>
                <w:bCs/>
              </w:rPr>
              <w:t>，</w:t>
            </w:r>
            <w:r>
              <w:rPr>
                <w:rFonts w:ascii="Times New Roman" w:hAnsi="Times New Roman" w:cs="Times New Roman"/>
                <w:bCs/>
              </w:rPr>
              <w:t>并加盖，</w:t>
            </w:r>
            <w:r>
              <w:rPr>
                <w:rFonts w:hint="eastAsia" w:ascii="Times New Roman" w:hAnsi="Times New Roman" w:cs="Times New Roman"/>
                <w:bCs/>
              </w:rPr>
              <w:t>采取</w:t>
            </w:r>
            <w:r>
              <w:rPr>
                <w:rFonts w:ascii="Times New Roman" w:hAnsi="Times New Roman" w:cs="Times New Roman"/>
                <w:bCs/>
              </w:rPr>
              <w:t>喷洒除臭剂和周边种植绿化植物等</w:t>
            </w:r>
            <w:r>
              <w:rPr>
                <w:rFonts w:hint="eastAsia" w:ascii="Times New Roman" w:hAnsi="Times New Roman" w:cs="Times New Roman"/>
                <w:bCs/>
              </w:rPr>
              <w:t>措施</w:t>
            </w:r>
            <w:r>
              <w:rPr>
                <w:rFonts w:ascii="Times New Roman" w:hAnsi="Times New Roman" w:cs="Times New Roman"/>
                <w:bCs/>
              </w:rPr>
              <w:t>。根据查阅资料，目前市场上主要销售的生物除臭剂（大力克、万洁芬等）对NH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为92%和89%（根据《自然科学》现代化农业，2011年第6期(总第383期)“微生物除臭剂研究进展”（赵晓锋，隋文志）的资料，经国家环境分析测试中心和陕西环境监测中心测试生物除臭剂（大力克、万洁芬等）对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S的去除效率分别达92%和89%）</w:t>
            </w:r>
            <w:r>
              <w:rPr>
                <w:rFonts w:hint="eastAsia" w:ascii="Times New Roman" w:hAnsi="Times New Roman" w:cs="Times New Roman"/>
                <w:bCs/>
              </w:rPr>
              <w:t>。</w:t>
            </w:r>
            <w:r>
              <w:rPr>
                <w:rFonts w:ascii="Times New Roman" w:hAnsi="Times New Roman" w:cs="Times New Roman"/>
                <w:bCs/>
              </w:rPr>
              <w:t>本项目在采取以上措施后，NH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S的去除效率分别取92%和89%，则NH</w:t>
            </w:r>
            <w:r>
              <w:rPr>
                <w:rFonts w:ascii="Times New Roman" w:hAnsi="Times New Roman" w:cs="Times New Roman"/>
                <w:bCs/>
                <w:vertAlign w:val="subscript"/>
              </w:rPr>
              <w:t>3</w:t>
            </w:r>
            <w:r>
              <w:rPr>
                <w:rFonts w:ascii="Times New Roman" w:hAnsi="Times New Roman" w:cs="Times New Roman"/>
                <w:bCs/>
              </w:rPr>
              <w:t>的排放量约为0.0009t/a （0.0004kg/h）；H</w:t>
            </w:r>
            <w:r>
              <w:rPr>
                <w:rFonts w:ascii="Times New Roman" w:hAnsi="Times New Roman" w:cs="Times New Roman"/>
                <w:bCs/>
                <w:vertAlign w:val="subscript"/>
              </w:rPr>
              <w:t>2</w:t>
            </w:r>
            <w:r>
              <w:rPr>
                <w:rFonts w:ascii="Times New Roman" w:hAnsi="Times New Roman" w:cs="Times New Roman"/>
                <w:bCs/>
              </w:rPr>
              <w:t>S的排放量约为0.55×10</w:t>
            </w:r>
            <w:r>
              <w:rPr>
                <w:rFonts w:ascii="Times New Roman" w:hAnsi="Times New Roman" w:cs="Times New Roman"/>
                <w:bCs/>
                <w:vertAlign w:val="superscript"/>
              </w:rPr>
              <w:t>-4</w:t>
            </w:r>
            <w:r>
              <w:rPr>
                <w:rFonts w:ascii="Times New Roman" w:hAnsi="Times New Roman" w:cs="Times New Roman"/>
                <w:bCs/>
              </w:rPr>
              <w:t>t/a（0.55×10</w:t>
            </w:r>
            <w:r>
              <w:rPr>
                <w:rFonts w:ascii="Times New Roman" w:hAnsi="Times New Roman" w:cs="Times New Roman"/>
                <w:bCs/>
                <w:vertAlign w:val="superscript"/>
              </w:rPr>
              <w:t>-4</w:t>
            </w:r>
            <w:r>
              <w:rPr>
                <w:rFonts w:ascii="Times New Roman" w:hAnsi="Times New Roman" w:cs="Times New Roman"/>
                <w:bCs/>
              </w:rPr>
              <w:t>kg/h），以无组织形式排放</w:t>
            </w:r>
            <w:r>
              <w:rPr>
                <w:rFonts w:hint="eastAsia" w:ascii="Times New Roman" w:hAnsi="Times New Roman" w:cs="Times New Roman"/>
                <w:bCs/>
              </w:rPr>
              <w:t>。</w:t>
            </w:r>
          </w:p>
          <w:p w14:paraId="39D5B3D8">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ascii="Times New Roman" w:hAnsi="Times New Roman" w:cs="Times New Roman"/>
                <w:bCs/>
              </w:rPr>
              <w:t>食堂油烟</w:t>
            </w:r>
            <w:r>
              <w:rPr>
                <w:rFonts w:hint="eastAsia" w:ascii="Times New Roman" w:hAnsi="Times New Roman" w:cs="Times New Roman"/>
                <w:szCs w:val="21"/>
              </w:rPr>
              <w:t>（G</w:t>
            </w:r>
            <w:r>
              <w:rPr>
                <w:rFonts w:ascii="Times New Roman" w:hAnsi="Times New Roman" w:cs="Times New Roman"/>
                <w:szCs w:val="21"/>
              </w:rPr>
              <w:t>5</w:t>
            </w:r>
            <w:r>
              <w:rPr>
                <w:rFonts w:hint="eastAsia" w:ascii="Times New Roman" w:hAnsi="Times New Roman" w:cs="Times New Roman"/>
                <w:szCs w:val="21"/>
              </w:rPr>
              <w:t>）</w:t>
            </w:r>
          </w:p>
          <w:p w14:paraId="2896B137">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项目建成后，设有食堂，食堂设有2个灶头，每日就餐人数为27人。食堂采用电、天然气等清洁燃料，因此食堂仅产生少量</w:t>
            </w:r>
            <w:r>
              <w:rPr>
                <w:rFonts w:hint="eastAsia" w:ascii="Times New Roman" w:hAnsi="Times New Roman" w:cs="Times New Roman"/>
                <w:bCs/>
              </w:rPr>
              <w:t>炒菜</w:t>
            </w:r>
            <w:r>
              <w:rPr>
                <w:rFonts w:ascii="Times New Roman" w:hAnsi="Times New Roman" w:cs="Times New Roman"/>
                <w:bCs/>
              </w:rPr>
              <w:t>油烟。按平衡膳食推荐的以 每人每天食用30g食用油计，则用油量为0.81kg/d。根据类比调查，油的平均挥 发量为总耗油量的2.83%</w:t>
            </w:r>
            <w:r>
              <w:rPr>
                <w:rFonts w:hint="eastAsia" w:ascii="Times New Roman" w:hAnsi="Times New Roman" w:cs="Times New Roman"/>
                <w:bCs/>
              </w:rPr>
              <w:t>。</w:t>
            </w:r>
            <w:r>
              <w:rPr>
                <w:rFonts w:ascii="Times New Roman" w:hAnsi="Times New Roman" w:cs="Times New Roman"/>
                <w:bCs/>
              </w:rPr>
              <w:t>经估算，食堂产生油烟量为22.9g/d</w:t>
            </w:r>
            <w:r>
              <w:rPr>
                <w:rFonts w:hint="eastAsia" w:ascii="Times New Roman" w:hAnsi="Times New Roman" w:cs="Times New Roman"/>
                <w:bCs/>
              </w:rPr>
              <w:t>、</w:t>
            </w:r>
            <w:r>
              <w:rPr>
                <w:rFonts w:ascii="Times New Roman" w:hAnsi="Times New Roman" w:cs="Times New Roman"/>
                <w:bCs/>
              </w:rPr>
              <w:t>6.87kg/a，每天平均烹调作业4小时计，则油烟产生速率为5.73g/h。项目食堂安装油烟净化器</w:t>
            </w:r>
            <w:r>
              <w:rPr>
                <w:rFonts w:hint="eastAsia" w:ascii="Times New Roman" w:hAnsi="Times New Roman" w:cs="Times New Roman"/>
                <w:bCs/>
              </w:rPr>
              <w:t>，</w:t>
            </w:r>
            <w:r>
              <w:rPr>
                <w:rFonts w:ascii="Times New Roman" w:hAnsi="Times New Roman" w:cs="Times New Roman"/>
                <w:bCs/>
              </w:rPr>
              <w:t>风机风量为4000m</w:t>
            </w:r>
            <w:r>
              <w:rPr>
                <w:rFonts w:ascii="Times New Roman" w:hAnsi="Times New Roman" w:cs="Times New Roman"/>
                <w:bCs/>
                <w:vertAlign w:val="superscript"/>
              </w:rPr>
              <w:t>3</w:t>
            </w:r>
            <w:r>
              <w:rPr>
                <w:rFonts w:ascii="Times New Roman" w:hAnsi="Times New Roman" w:cs="Times New Roman"/>
                <w:bCs/>
              </w:rPr>
              <w:t>/h，油烟去除效率为60%，则食堂油烟的排放浓度为0.573mg/m</w:t>
            </w:r>
            <w:r>
              <w:rPr>
                <w:rFonts w:ascii="Times New Roman" w:hAnsi="Times New Roman" w:cs="Times New Roman"/>
                <w:bCs/>
                <w:vertAlign w:val="superscript"/>
              </w:rPr>
              <w:t>3</w:t>
            </w:r>
            <w:r>
              <w:rPr>
                <w:rFonts w:ascii="Times New Roman" w:hAnsi="Times New Roman" w:cs="Times New Roman"/>
                <w:bCs/>
              </w:rPr>
              <w:t>。食堂油烟经油烟净化器处理后油烟排放浓度达《饮食业油烟排放标准》（GB18483-2001）最高允许排放浓度，即油烟≤2.0mg/m</w:t>
            </w:r>
            <w:r>
              <w:rPr>
                <w:rFonts w:ascii="Times New Roman" w:hAnsi="Times New Roman" w:cs="Times New Roman"/>
                <w:bCs/>
                <w:vertAlign w:val="superscript"/>
              </w:rPr>
              <w:t>3</w:t>
            </w:r>
            <w:r>
              <w:rPr>
                <w:rFonts w:ascii="Times New Roman" w:hAnsi="Times New Roman" w:cs="Times New Roman"/>
                <w:bCs/>
              </w:rPr>
              <w:t>。</w:t>
            </w:r>
          </w:p>
          <w:p w14:paraId="357702CE">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车辆的尾气</w:t>
            </w:r>
          </w:p>
          <w:p w14:paraId="69A8F961">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bCs/>
              </w:rPr>
              <w:t>项目配套有8辆专用运输车</w:t>
            </w:r>
            <w:r>
              <w:rPr>
                <w:rFonts w:ascii="Times New Roman" w:hAnsi="Times New Roman" w:cs="Times New Roman"/>
                <w:bCs/>
              </w:rPr>
              <w:t>，汽车尾气中主要成份为CO、NOx和总碳氢化合物（THC）</w:t>
            </w:r>
            <w:r>
              <w:rPr>
                <w:rFonts w:hint="eastAsia" w:ascii="Times New Roman" w:hAnsi="Times New Roman" w:cs="Times New Roman"/>
                <w:bCs/>
              </w:rPr>
              <w:t>等</w:t>
            </w:r>
            <w:r>
              <w:rPr>
                <w:rFonts w:ascii="Times New Roman" w:hAnsi="Times New Roman" w:cs="Times New Roman"/>
                <w:bCs/>
              </w:rPr>
              <w:t>。</w:t>
            </w:r>
            <w:r>
              <w:rPr>
                <w:rFonts w:hint="eastAsia" w:ascii="Times New Roman" w:hAnsi="Times New Roman" w:cs="Times New Roman"/>
                <w:bCs/>
              </w:rPr>
              <w:t>项目</w:t>
            </w:r>
            <w:r>
              <w:rPr>
                <w:rFonts w:ascii="Times New Roman" w:hAnsi="Times New Roman" w:cs="Times New Roman"/>
                <w:bCs/>
              </w:rPr>
              <w:t>运输</w:t>
            </w:r>
            <w:r>
              <w:rPr>
                <w:rFonts w:hint="eastAsia" w:ascii="Times New Roman" w:hAnsi="Times New Roman" w:cs="Times New Roman"/>
                <w:bCs/>
              </w:rPr>
              <w:t>车次不多</w:t>
            </w:r>
            <w:r>
              <w:rPr>
                <w:rFonts w:ascii="Times New Roman" w:hAnsi="Times New Roman" w:cs="Times New Roman"/>
                <w:bCs/>
              </w:rPr>
              <w:t>，污染物排放量小，</w:t>
            </w:r>
            <w:r>
              <w:rPr>
                <w:rFonts w:hint="eastAsia" w:ascii="Times New Roman" w:hAnsi="Times New Roman" w:cs="Times New Roman"/>
                <w:bCs/>
              </w:rPr>
              <w:t>排放强度不大。</w:t>
            </w:r>
            <w:r>
              <w:rPr>
                <w:rFonts w:hint="eastAsia" w:ascii="Times New Roman" w:hAnsi="Times New Roman" w:cs="Times New Roman"/>
              </w:rPr>
              <w:t>这种污染源较分散且为流动性，表现为间歇性特征。</w:t>
            </w:r>
          </w:p>
          <w:bookmarkEnd w:id="39"/>
          <w:bookmarkEnd w:id="44"/>
          <w:p w14:paraId="04B1CBEA">
            <w:pPr>
              <w:jc w:val="center"/>
              <w:rPr>
                <w:rFonts w:ascii="Times New Roman" w:hAnsi="Times New Roman" w:eastAsia="宋体" w:cs="Times New Roman"/>
                <w:b/>
                <w:szCs w:val="21"/>
              </w:rPr>
            </w:pPr>
            <w:bookmarkStart w:id="52" w:name="_Hlk91628772"/>
            <w:bookmarkStart w:id="53" w:name="_Hlk92218903"/>
            <w:r>
              <w:rPr>
                <w:rFonts w:ascii="Times New Roman" w:hAnsi="Times New Roman" w:eastAsia="宋体" w:cs="Times New Roman"/>
                <w:b/>
                <w:szCs w:val="21"/>
              </w:rPr>
              <w:t xml:space="preserve">表2-17    </w:t>
            </w:r>
            <w:r>
              <w:rPr>
                <w:rFonts w:hint="eastAsia" w:ascii="Times New Roman" w:hAnsi="Times New Roman" w:eastAsia="宋体" w:cs="Times New Roman"/>
                <w:b/>
                <w:szCs w:val="21"/>
              </w:rPr>
              <w:t>废气污染物排放情况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641"/>
              <w:gridCol w:w="1056"/>
              <w:gridCol w:w="1017"/>
              <w:gridCol w:w="836"/>
              <w:gridCol w:w="831"/>
              <w:gridCol w:w="1161"/>
              <w:gridCol w:w="1105"/>
              <w:gridCol w:w="1015"/>
            </w:tblGrid>
            <w:tr w14:paraId="1F19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58C81C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锅炉</w:t>
                  </w:r>
                </w:p>
              </w:tc>
              <w:tc>
                <w:tcPr>
                  <w:tcW w:w="683" w:type="dxa"/>
                  <w:vAlign w:val="center"/>
                </w:tcPr>
                <w:p w14:paraId="21696D5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污染物</w:t>
                  </w:r>
                </w:p>
              </w:tc>
              <w:tc>
                <w:tcPr>
                  <w:tcW w:w="1057" w:type="dxa"/>
                  <w:vAlign w:val="center"/>
                </w:tcPr>
                <w:p w14:paraId="3186552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18" w:type="dxa"/>
                  <w:vAlign w:val="center"/>
                </w:tcPr>
                <w:p w14:paraId="40CCF3A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产生强度（kg/h）</w:t>
                  </w:r>
                </w:p>
              </w:tc>
              <w:tc>
                <w:tcPr>
                  <w:tcW w:w="849" w:type="dxa"/>
                  <w:vAlign w:val="center"/>
                </w:tcPr>
                <w:p w14:paraId="440B6382">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产生量（t/a）</w:t>
                  </w:r>
                </w:p>
              </w:tc>
              <w:tc>
                <w:tcPr>
                  <w:tcW w:w="831" w:type="dxa"/>
                  <w:vAlign w:val="center"/>
                </w:tcPr>
                <w:p w14:paraId="7036D1C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处理措施</w:t>
                  </w:r>
                </w:p>
              </w:tc>
              <w:tc>
                <w:tcPr>
                  <w:tcW w:w="1162" w:type="dxa"/>
                  <w:vAlign w:val="center"/>
                </w:tcPr>
                <w:p w14:paraId="125900F1">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48" w:type="dxa"/>
                  <w:vAlign w:val="center"/>
                </w:tcPr>
                <w:p w14:paraId="730AD8B3">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排放强度（kg/h）</w:t>
                  </w:r>
                </w:p>
              </w:tc>
              <w:tc>
                <w:tcPr>
                  <w:tcW w:w="958" w:type="dxa"/>
                  <w:vAlign w:val="center"/>
                </w:tcPr>
                <w:p w14:paraId="28C7BACF">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排放量（t/a）</w:t>
                  </w:r>
                </w:p>
              </w:tc>
            </w:tr>
            <w:tr w14:paraId="133A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6" w:type="dxa"/>
                  <w:vMerge w:val="restart"/>
                  <w:vAlign w:val="center"/>
                </w:tcPr>
                <w:p w14:paraId="58E66A2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A001</w:t>
                  </w:r>
                </w:p>
              </w:tc>
              <w:tc>
                <w:tcPr>
                  <w:tcW w:w="683" w:type="dxa"/>
                  <w:vAlign w:val="center"/>
                </w:tcPr>
                <w:p w14:paraId="26D8C653">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924" w:type="dxa"/>
                  <w:gridSpan w:val="3"/>
                  <w:vAlign w:val="center"/>
                </w:tcPr>
                <w:p w14:paraId="798E5FD0">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831" w:type="dxa"/>
                  <w:vMerge w:val="restart"/>
                  <w:vAlign w:val="center"/>
                </w:tcPr>
                <w:p w14:paraId="3318C68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87</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80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20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90</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p>
              </w:tc>
              <w:tc>
                <w:tcPr>
                  <w:tcW w:w="3168" w:type="dxa"/>
                  <w:gridSpan w:val="3"/>
                  <w:vAlign w:val="center"/>
                </w:tcPr>
                <w:p w14:paraId="43CB2F34">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2285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6" w:type="dxa"/>
                  <w:vMerge w:val="continue"/>
                  <w:vAlign w:val="center"/>
                </w:tcPr>
                <w:p w14:paraId="55397AE1">
                  <w:pPr>
                    <w:pStyle w:val="10"/>
                    <w:snapToGrid w:val="0"/>
                    <w:ind w:left="0"/>
                    <w:jc w:val="center"/>
                    <w:rPr>
                      <w:rFonts w:ascii="Times New Roman" w:hAnsi="Times New Roman" w:cs="Times New Roman"/>
                      <w:sz w:val="18"/>
                      <w:szCs w:val="18"/>
                      <w:lang w:val="en-US"/>
                    </w:rPr>
                  </w:pPr>
                </w:p>
              </w:tc>
              <w:tc>
                <w:tcPr>
                  <w:tcW w:w="683" w:type="dxa"/>
                  <w:vAlign w:val="center"/>
                </w:tcPr>
                <w:p w14:paraId="3624BD3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烟尘</w:t>
                  </w:r>
                </w:p>
              </w:tc>
              <w:tc>
                <w:tcPr>
                  <w:tcW w:w="1057" w:type="dxa"/>
                  <w:vAlign w:val="center"/>
                </w:tcPr>
                <w:p w14:paraId="62577C2D">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63.7732</w:t>
                  </w:r>
                </w:p>
              </w:tc>
              <w:tc>
                <w:tcPr>
                  <w:tcW w:w="1018" w:type="dxa"/>
                  <w:vAlign w:val="center"/>
                </w:tcPr>
                <w:p w14:paraId="6ABACB6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.3750</w:t>
                  </w:r>
                </w:p>
              </w:tc>
              <w:tc>
                <w:tcPr>
                  <w:tcW w:w="849" w:type="dxa"/>
                  <w:vAlign w:val="center"/>
                </w:tcPr>
                <w:p w14:paraId="67945047">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0.9000</w:t>
                  </w:r>
                </w:p>
              </w:tc>
              <w:tc>
                <w:tcPr>
                  <w:tcW w:w="831" w:type="dxa"/>
                  <w:vMerge w:val="continue"/>
                  <w:vAlign w:val="center"/>
                </w:tcPr>
                <w:p w14:paraId="0751035C">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6C846E5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.2905</w:t>
                  </w:r>
                </w:p>
              </w:tc>
              <w:tc>
                <w:tcPr>
                  <w:tcW w:w="1048" w:type="dxa"/>
                  <w:vAlign w:val="center"/>
                </w:tcPr>
                <w:p w14:paraId="6B36EB9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.0488</w:t>
                  </w:r>
                </w:p>
              </w:tc>
              <w:tc>
                <w:tcPr>
                  <w:tcW w:w="958" w:type="dxa"/>
                  <w:vAlign w:val="center"/>
                </w:tcPr>
                <w:p w14:paraId="6AF2FC2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.1170</w:t>
                  </w:r>
                </w:p>
              </w:tc>
            </w:tr>
            <w:tr w14:paraId="6144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vMerge w:val="continue"/>
                  <w:vAlign w:val="center"/>
                </w:tcPr>
                <w:p w14:paraId="39639A3D">
                  <w:pPr>
                    <w:pStyle w:val="10"/>
                    <w:snapToGrid w:val="0"/>
                    <w:ind w:left="0"/>
                    <w:jc w:val="center"/>
                    <w:rPr>
                      <w:rFonts w:ascii="Times New Roman" w:hAnsi="Times New Roman" w:cs="Times New Roman"/>
                      <w:sz w:val="18"/>
                      <w:szCs w:val="18"/>
                      <w:lang w:val="en-US"/>
                    </w:rPr>
                  </w:pPr>
                </w:p>
              </w:tc>
              <w:tc>
                <w:tcPr>
                  <w:tcW w:w="683" w:type="dxa"/>
                  <w:vAlign w:val="center"/>
                </w:tcPr>
                <w:p w14:paraId="3C1A7E1A">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SO</w:t>
                  </w:r>
                  <w:r>
                    <w:rPr>
                      <w:rFonts w:ascii="Times New Roman" w:hAnsi="Times New Roman" w:cs="Times New Roman"/>
                      <w:sz w:val="18"/>
                      <w:szCs w:val="18"/>
                      <w:vertAlign w:val="subscript"/>
                      <w:lang w:val="en-US"/>
                    </w:rPr>
                    <w:t>2</w:t>
                  </w:r>
                </w:p>
              </w:tc>
              <w:tc>
                <w:tcPr>
                  <w:tcW w:w="1057" w:type="dxa"/>
                  <w:vAlign w:val="center"/>
                </w:tcPr>
                <w:p w14:paraId="0E49CD1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65.2017</w:t>
                  </w:r>
                </w:p>
              </w:tc>
              <w:tc>
                <w:tcPr>
                  <w:tcW w:w="1018" w:type="dxa"/>
                  <w:vAlign w:val="center"/>
                </w:tcPr>
                <w:p w14:paraId="24289398">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0.3834</w:t>
                  </w:r>
                </w:p>
              </w:tc>
              <w:tc>
                <w:tcPr>
                  <w:tcW w:w="849" w:type="dxa"/>
                  <w:vAlign w:val="center"/>
                </w:tcPr>
                <w:p w14:paraId="1A041171">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0.9201</w:t>
                  </w:r>
                </w:p>
              </w:tc>
              <w:tc>
                <w:tcPr>
                  <w:tcW w:w="831" w:type="dxa"/>
                  <w:vMerge w:val="continue"/>
                  <w:vAlign w:val="center"/>
                </w:tcPr>
                <w:p w14:paraId="54D3764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6976D9C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3.0403</w:t>
                  </w:r>
                </w:p>
              </w:tc>
              <w:tc>
                <w:tcPr>
                  <w:tcW w:w="1048" w:type="dxa"/>
                  <w:vAlign w:val="center"/>
                </w:tcPr>
                <w:p w14:paraId="0FC4F33C">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.0767</w:t>
                  </w:r>
                </w:p>
              </w:tc>
              <w:tc>
                <w:tcPr>
                  <w:tcW w:w="958" w:type="dxa"/>
                  <w:vAlign w:val="center"/>
                </w:tcPr>
                <w:p w14:paraId="66519CF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.1840</w:t>
                  </w:r>
                </w:p>
              </w:tc>
            </w:tr>
            <w:tr w14:paraId="0814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6" w:type="dxa"/>
                  <w:vMerge w:val="continue"/>
                  <w:vAlign w:val="center"/>
                </w:tcPr>
                <w:p w14:paraId="41C91B92">
                  <w:pPr>
                    <w:pStyle w:val="10"/>
                    <w:snapToGrid w:val="0"/>
                    <w:ind w:left="0"/>
                    <w:jc w:val="center"/>
                    <w:rPr>
                      <w:rFonts w:ascii="Times New Roman" w:hAnsi="Times New Roman" w:cs="Times New Roman"/>
                      <w:sz w:val="18"/>
                      <w:szCs w:val="18"/>
                      <w:lang w:val="en-US"/>
                    </w:rPr>
                  </w:pPr>
                </w:p>
              </w:tc>
              <w:tc>
                <w:tcPr>
                  <w:tcW w:w="683" w:type="dxa"/>
                  <w:vAlign w:val="center"/>
                </w:tcPr>
                <w:p w14:paraId="59D4CB3E">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NOx</w:t>
                  </w:r>
                </w:p>
              </w:tc>
              <w:tc>
                <w:tcPr>
                  <w:tcW w:w="1057" w:type="dxa"/>
                  <w:vAlign w:val="center"/>
                </w:tcPr>
                <w:p w14:paraId="6BC850A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96.0304</w:t>
                  </w:r>
                </w:p>
              </w:tc>
              <w:tc>
                <w:tcPr>
                  <w:tcW w:w="1018" w:type="dxa"/>
                  <w:vAlign w:val="center"/>
                </w:tcPr>
                <w:p w14:paraId="39BA6BF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1.1527</w:t>
                  </w:r>
                </w:p>
              </w:tc>
              <w:tc>
                <w:tcPr>
                  <w:tcW w:w="849" w:type="dxa"/>
                  <w:vAlign w:val="center"/>
                </w:tcPr>
                <w:p w14:paraId="40AE55C5">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2.7661</w:t>
                  </w:r>
                </w:p>
              </w:tc>
              <w:tc>
                <w:tcPr>
                  <w:tcW w:w="831" w:type="dxa"/>
                  <w:vMerge w:val="continue"/>
                  <w:vAlign w:val="center"/>
                </w:tcPr>
                <w:p w14:paraId="72CCF42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F1A32B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56.8243</w:t>
                  </w:r>
                </w:p>
              </w:tc>
              <w:tc>
                <w:tcPr>
                  <w:tcW w:w="1048" w:type="dxa"/>
                  <w:vAlign w:val="center"/>
                </w:tcPr>
                <w:p w14:paraId="3CFEC92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.9222</w:t>
                  </w:r>
                </w:p>
              </w:tc>
              <w:tc>
                <w:tcPr>
                  <w:tcW w:w="958" w:type="dxa"/>
                  <w:vAlign w:val="center"/>
                </w:tcPr>
                <w:p w14:paraId="67A0D54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.2129</w:t>
                  </w:r>
                </w:p>
              </w:tc>
            </w:tr>
            <w:tr w14:paraId="2B0A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7FD22239">
                  <w:pPr>
                    <w:pStyle w:val="10"/>
                    <w:snapToGrid w:val="0"/>
                    <w:ind w:left="0"/>
                    <w:jc w:val="center"/>
                    <w:rPr>
                      <w:rFonts w:ascii="Times New Roman" w:hAnsi="Times New Roman" w:cs="Times New Roman"/>
                      <w:sz w:val="18"/>
                      <w:szCs w:val="18"/>
                      <w:lang w:val="en-US"/>
                    </w:rPr>
                  </w:pPr>
                </w:p>
              </w:tc>
              <w:tc>
                <w:tcPr>
                  <w:tcW w:w="683" w:type="dxa"/>
                  <w:vAlign w:val="center"/>
                </w:tcPr>
                <w:p w14:paraId="218C90C6">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1E086F51">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2.7000</w:t>
                  </w:r>
                </w:p>
              </w:tc>
              <w:tc>
                <w:tcPr>
                  <w:tcW w:w="1018" w:type="dxa"/>
                  <w:vAlign w:val="center"/>
                </w:tcPr>
                <w:p w14:paraId="2ADB52B4">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0.0159</w:t>
                  </w:r>
                </w:p>
              </w:tc>
              <w:tc>
                <w:tcPr>
                  <w:tcW w:w="849" w:type="dxa"/>
                  <w:vAlign w:val="center"/>
                </w:tcPr>
                <w:p w14:paraId="2658A40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.0383</w:t>
                  </w:r>
                </w:p>
              </w:tc>
              <w:tc>
                <w:tcPr>
                  <w:tcW w:w="831" w:type="dxa"/>
                  <w:vMerge w:val="continue"/>
                  <w:vAlign w:val="center"/>
                </w:tcPr>
                <w:p w14:paraId="2C863743">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77C9F87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.2700</w:t>
                  </w:r>
                </w:p>
              </w:tc>
              <w:tc>
                <w:tcPr>
                  <w:tcW w:w="1048" w:type="dxa"/>
                  <w:vAlign w:val="center"/>
                </w:tcPr>
                <w:p w14:paraId="40B5D54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.0016</w:t>
                  </w:r>
                </w:p>
              </w:tc>
              <w:tc>
                <w:tcPr>
                  <w:tcW w:w="958" w:type="dxa"/>
                  <w:vAlign w:val="center"/>
                </w:tcPr>
                <w:p w14:paraId="5681E42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.0038</w:t>
                  </w:r>
                </w:p>
              </w:tc>
            </w:tr>
            <w:tr w14:paraId="414D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70A454C6">
                  <w:pPr>
                    <w:pStyle w:val="10"/>
                    <w:snapToGrid w:val="0"/>
                    <w:ind w:left="0"/>
                    <w:jc w:val="center"/>
                    <w:rPr>
                      <w:rFonts w:ascii="Times New Roman" w:hAnsi="Times New Roman" w:cs="Times New Roman"/>
                      <w:sz w:val="18"/>
                      <w:szCs w:val="18"/>
                      <w:lang w:val="en-US"/>
                    </w:rPr>
                  </w:pPr>
                </w:p>
              </w:tc>
              <w:tc>
                <w:tcPr>
                  <w:tcW w:w="683" w:type="dxa"/>
                  <w:vAlign w:val="center"/>
                </w:tcPr>
                <w:p w14:paraId="6684F183">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080C80D3">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.0071</w:t>
                  </w:r>
                </w:p>
              </w:tc>
              <w:tc>
                <w:tcPr>
                  <w:tcW w:w="1018" w:type="dxa"/>
                  <w:vAlign w:val="center"/>
                </w:tcPr>
                <w:p w14:paraId="128E280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.42×10</w:t>
                  </w:r>
                  <w:r>
                    <w:rPr>
                      <w:rFonts w:ascii="Times New Roman" w:hAnsi="Times New Roman" w:cs="Times New Roman"/>
                      <w:sz w:val="18"/>
                      <w:szCs w:val="18"/>
                      <w:vertAlign w:val="superscript"/>
                    </w:rPr>
                    <w:t>-4</w:t>
                  </w:r>
                </w:p>
              </w:tc>
              <w:tc>
                <w:tcPr>
                  <w:tcW w:w="849" w:type="dxa"/>
                  <w:vAlign w:val="center"/>
                </w:tcPr>
                <w:p w14:paraId="11E623E0">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.0001</w:t>
                  </w:r>
                </w:p>
              </w:tc>
              <w:tc>
                <w:tcPr>
                  <w:tcW w:w="831" w:type="dxa"/>
                  <w:vMerge w:val="continue"/>
                  <w:vAlign w:val="center"/>
                </w:tcPr>
                <w:p w14:paraId="13D9CADF">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66BE301D">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.0007</w:t>
                  </w:r>
                </w:p>
              </w:tc>
              <w:tc>
                <w:tcPr>
                  <w:tcW w:w="1048" w:type="dxa"/>
                  <w:vAlign w:val="center"/>
                </w:tcPr>
                <w:p w14:paraId="17007F5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.042×10</w:t>
                  </w:r>
                  <w:r>
                    <w:rPr>
                      <w:rFonts w:ascii="Times New Roman" w:hAnsi="Times New Roman" w:cs="Times New Roman"/>
                      <w:sz w:val="18"/>
                      <w:szCs w:val="18"/>
                      <w:vertAlign w:val="superscript"/>
                    </w:rPr>
                    <w:t>-4</w:t>
                  </w:r>
                </w:p>
              </w:tc>
              <w:tc>
                <w:tcPr>
                  <w:tcW w:w="958" w:type="dxa"/>
                  <w:vAlign w:val="center"/>
                </w:tcPr>
                <w:p w14:paraId="778C4D7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.10×10</w:t>
                  </w:r>
                  <w:r>
                    <w:rPr>
                      <w:rFonts w:ascii="Times New Roman" w:hAnsi="Times New Roman" w:cs="Times New Roman"/>
                      <w:sz w:val="18"/>
                      <w:szCs w:val="18"/>
                      <w:vertAlign w:val="superscript"/>
                    </w:rPr>
                    <w:t>-4</w:t>
                  </w:r>
                </w:p>
              </w:tc>
            </w:tr>
            <w:tr w14:paraId="449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restart"/>
                  <w:vAlign w:val="center"/>
                </w:tcPr>
                <w:p w14:paraId="05895551">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A002</w:t>
                  </w:r>
                </w:p>
              </w:tc>
              <w:tc>
                <w:tcPr>
                  <w:tcW w:w="683" w:type="dxa"/>
                  <w:vAlign w:val="center"/>
                </w:tcPr>
                <w:p w14:paraId="250240C0">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924" w:type="dxa"/>
                  <w:gridSpan w:val="3"/>
                  <w:vAlign w:val="center"/>
                </w:tcPr>
                <w:p w14:paraId="261D0458">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5000N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831" w:type="dxa"/>
                  <w:vMerge w:val="restart"/>
                  <w:vAlign w:val="center"/>
                </w:tcPr>
                <w:p w14:paraId="0866F094">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设1套二级活性炭+过滤处理系统，处理效率8</w:t>
                  </w:r>
                  <w:r>
                    <w:rPr>
                      <w:rFonts w:ascii="Times New Roman" w:hAnsi="Times New Roman" w:cs="Times New Roman"/>
                      <w:sz w:val="18"/>
                      <w:szCs w:val="18"/>
                      <w:lang w:val="en-US"/>
                    </w:rPr>
                    <w:t>0</w:t>
                  </w:r>
                  <w:r>
                    <w:rPr>
                      <w:rFonts w:hint="eastAsia" w:ascii="Times New Roman" w:hAnsi="Times New Roman" w:cs="Times New Roman"/>
                      <w:sz w:val="18"/>
                      <w:szCs w:val="18"/>
                      <w:lang w:val="en-US"/>
                    </w:rPr>
                    <w:t>%</w:t>
                  </w:r>
                </w:p>
              </w:tc>
              <w:tc>
                <w:tcPr>
                  <w:tcW w:w="3168" w:type="dxa"/>
                  <w:gridSpan w:val="3"/>
                  <w:vAlign w:val="center"/>
                </w:tcPr>
                <w:p w14:paraId="610E8AAD">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5000N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2A2B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8D7DF93">
                  <w:pPr>
                    <w:pStyle w:val="10"/>
                    <w:snapToGrid w:val="0"/>
                    <w:ind w:left="0"/>
                    <w:jc w:val="center"/>
                    <w:rPr>
                      <w:rFonts w:ascii="Times New Roman" w:hAnsi="Times New Roman" w:cs="Times New Roman"/>
                      <w:sz w:val="18"/>
                      <w:szCs w:val="18"/>
                      <w:lang w:val="en-US"/>
                    </w:rPr>
                  </w:pPr>
                </w:p>
              </w:tc>
              <w:tc>
                <w:tcPr>
                  <w:tcW w:w="683" w:type="dxa"/>
                  <w:vAlign w:val="center"/>
                </w:tcPr>
                <w:p w14:paraId="6159203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11045D8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.1800</w:t>
                  </w:r>
                </w:p>
              </w:tc>
              <w:tc>
                <w:tcPr>
                  <w:tcW w:w="1018" w:type="dxa"/>
                  <w:vAlign w:val="center"/>
                </w:tcPr>
                <w:p w14:paraId="1B384F0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0.0359</w:t>
                  </w:r>
                </w:p>
              </w:tc>
              <w:tc>
                <w:tcPr>
                  <w:tcW w:w="849" w:type="dxa"/>
                  <w:vAlign w:val="center"/>
                </w:tcPr>
                <w:p w14:paraId="4FFBB0A3">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0.0861</w:t>
                  </w:r>
                </w:p>
              </w:tc>
              <w:tc>
                <w:tcPr>
                  <w:tcW w:w="831" w:type="dxa"/>
                  <w:vMerge w:val="continue"/>
                  <w:vAlign w:val="center"/>
                </w:tcPr>
                <w:p w14:paraId="340A166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022D9BF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.4400</w:t>
                  </w:r>
                </w:p>
              </w:tc>
              <w:tc>
                <w:tcPr>
                  <w:tcW w:w="1048" w:type="dxa"/>
                  <w:vAlign w:val="center"/>
                </w:tcPr>
                <w:p w14:paraId="470DC8C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.0072</w:t>
                  </w:r>
                </w:p>
              </w:tc>
              <w:tc>
                <w:tcPr>
                  <w:tcW w:w="958" w:type="dxa"/>
                  <w:vAlign w:val="center"/>
                </w:tcPr>
                <w:p w14:paraId="5B80430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.0172</w:t>
                  </w:r>
                </w:p>
              </w:tc>
            </w:tr>
            <w:tr w14:paraId="2B4F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5B5A97F4">
                  <w:pPr>
                    <w:pStyle w:val="10"/>
                    <w:snapToGrid w:val="0"/>
                    <w:ind w:left="0"/>
                    <w:jc w:val="center"/>
                    <w:rPr>
                      <w:rFonts w:ascii="Times New Roman" w:hAnsi="Times New Roman" w:cs="Times New Roman"/>
                      <w:sz w:val="18"/>
                      <w:szCs w:val="18"/>
                      <w:lang w:val="en-US"/>
                    </w:rPr>
                  </w:pPr>
                </w:p>
              </w:tc>
              <w:tc>
                <w:tcPr>
                  <w:tcW w:w="683" w:type="dxa"/>
                  <w:vAlign w:val="center"/>
                </w:tcPr>
                <w:p w14:paraId="14DE580C">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69A5B15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.0200</w:t>
                  </w:r>
                </w:p>
              </w:tc>
              <w:tc>
                <w:tcPr>
                  <w:tcW w:w="1018" w:type="dxa"/>
                  <w:vAlign w:val="center"/>
                </w:tcPr>
                <w:p w14:paraId="69BB88D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1</w:t>
                  </w:r>
                </w:p>
              </w:tc>
              <w:tc>
                <w:tcPr>
                  <w:tcW w:w="849" w:type="dxa"/>
                  <w:vAlign w:val="center"/>
                </w:tcPr>
                <w:p w14:paraId="34A3351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3</w:t>
                  </w:r>
                </w:p>
              </w:tc>
              <w:tc>
                <w:tcPr>
                  <w:tcW w:w="831" w:type="dxa"/>
                  <w:vMerge w:val="continue"/>
                  <w:vAlign w:val="center"/>
                </w:tcPr>
                <w:p w14:paraId="2B1E42EF">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54DF43B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.0036</w:t>
                  </w:r>
                </w:p>
              </w:tc>
              <w:tc>
                <w:tcPr>
                  <w:tcW w:w="1048" w:type="dxa"/>
                  <w:vAlign w:val="center"/>
                </w:tcPr>
                <w:p w14:paraId="183135A7">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0.18×10</w:t>
                  </w:r>
                  <w:r>
                    <w:rPr>
                      <w:rFonts w:ascii="Times New Roman" w:hAnsi="Times New Roman" w:cs="Times New Roman"/>
                      <w:bCs/>
                      <w:sz w:val="18"/>
                      <w:szCs w:val="18"/>
                      <w:vertAlign w:val="superscript"/>
                    </w:rPr>
                    <w:t>-4</w:t>
                  </w:r>
                </w:p>
              </w:tc>
              <w:tc>
                <w:tcPr>
                  <w:tcW w:w="958" w:type="dxa"/>
                  <w:vAlign w:val="center"/>
                </w:tcPr>
                <w:p w14:paraId="64BDEFF1">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0.54×</w:t>
                  </w:r>
                </w:p>
                <w:p w14:paraId="6865E1B8">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r>
            <w:tr w14:paraId="04A9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restart"/>
                  <w:vAlign w:val="center"/>
                </w:tcPr>
                <w:p w14:paraId="02DDE7DB">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车间无组织</w:t>
                  </w:r>
                </w:p>
              </w:tc>
              <w:tc>
                <w:tcPr>
                  <w:tcW w:w="683" w:type="dxa"/>
                  <w:vAlign w:val="center"/>
                </w:tcPr>
                <w:p w14:paraId="3B421DD3">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0B48C48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18" w:type="dxa"/>
                  <w:vAlign w:val="center"/>
                </w:tcPr>
                <w:p w14:paraId="4A1FA3E6">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0.0040</w:t>
                  </w:r>
                </w:p>
              </w:tc>
              <w:tc>
                <w:tcPr>
                  <w:tcW w:w="849" w:type="dxa"/>
                  <w:vAlign w:val="center"/>
                </w:tcPr>
                <w:p w14:paraId="7714BD9E">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0.0096</w:t>
                  </w:r>
                </w:p>
              </w:tc>
              <w:tc>
                <w:tcPr>
                  <w:tcW w:w="831" w:type="dxa"/>
                  <w:vMerge w:val="restart"/>
                  <w:vAlign w:val="center"/>
                </w:tcPr>
                <w:p w14:paraId="03C70DA2">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162" w:type="dxa"/>
                  <w:vAlign w:val="center"/>
                </w:tcPr>
                <w:p w14:paraId="2253301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48" w:type="dxa"/>
                  <w:vAlign w:val="center"/>
                </w:tcPr>
                <w:p w14:paraId="1E144360">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0.0040</w:t>
                  </w:r>
                </w:p>
              </w:tc>
              <w:tc>
                <w:tcPr>
                  <w:tcW w:w="958" w:type="dxa"/>
                  <w:vAlign w:val="center"/>
                </w:tcPr>
                <w:p w14:paraId="00AFCA1A">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0.0096</w:t>
                  </w:r>
                </w:p>
              </w:tc>
            </w:tr>
            <w:tr w14:paraId="41FA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3044617">
                  <w:pPr>
                    <w:pStyle w:val="10"/>
                    <w:snapToGrid w:val="0"/>
                    <w:ind w:left="0"/>
                    <w:jc w:val="center"/>
                    <w:rPr>
                      <w:rFonts w:ascii="Times New Roman" w:hAnsi="Times New Roman" w:cs="Times New Roman"/>
                      <w:sz w:val="18"/>
                      <w:szCs w:val="18"/>
                      <w:lang w:val="en-US"/>
                    </w:rPr>
                  </w:pPr>
                </w:p>
              </w:tc>
              <w:tc>
                <w:tcPr>
                  <w:tcW w:w="683" w:type="dxa"/>
                  <w:vAlign w:val="center"/>
                </w:tcPr>
                <w:p w14:paraId="535C260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4D0A580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18" w:type="dxa"/>
                  <w:vAlign w:val="center"/>
                </w:tcPr>
                <w:p w14:paraId="5AED0294">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0.10×</w:t>
                  </w:r>
                </w:p>
                <w:p w14:paraId="13EB4DBC">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849" w:type="dxa"/>
                  <w:vAlign w:val="center"/>
                </w:tcPr>
                <w:p w14:paraId="1808351E">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w:t>
                  </w:r>
                </w:p>
                <w:p w14:paraId="090BE3E0">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831" w:type="dxa"/>
                  <w:vMerge w:val="continue"/>
                  <w:vAlign w:val="center"/>
                </w:tcPr>
                <w:p w14:paraId="143DF744">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676D436A">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48" w:type="dxa"/>
                  <w:vAlign w:val="center"/>
                </w:tcPr>
                <w:p w14:paraId="2BB91398">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0.10×</w:t>
                  </w:r>
                </w:p>
                <w:p w14:paraId="235512B7">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958" w:type="dxa"/>
                  <w:vAlign w:val="center"/>
                </w:tcPr>
                <w:p w14:paraId="3EEA86E5">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w:t>
                  </w:r>
                </w:p>
                <w:p w14:paraId="5F04CEF8">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r>
            <w:tr w14:paraId="5B0E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46" w:type="dxa"/>
                  <w:vMerge w:val="restart"/>
                  <w:vAlign w:val="center"/>
                </w:tcPr>
                <w:p w14:paraId="6DE9D4D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污水处理站无组织</w:t>
                  </w:r>
                </w:p>
              </w:tc>
              <w:tc>
                <w:tcPr>
                  <w:tcW w:w="683" w:type="dxa"/>
                  <w:vAlign w:val="center"/>
                </w:tcPr>
                <w:p w14:paraId="03A9990E">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57" w:type="dxa"/>
                  <w:vAlign w:val="center"/>
                </w:tcPr>
                <w:p w14:paraId="20275536">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18" w:type="dxa"/>
                  <w:vAlign w:val="center"/>
                </w:tcPr>
                <w:p w14:paraId="2EC5BB00">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0.0049</w:t>
                  </w:r>
                </w:p>
              </w:tc>
              <w:tc>
                <w:tcPr>
                  <w:tcW w:w="849" w:type="dxa"/>
                  <w:vAlign w:val="center"/>
                </w:tcPr>
                <w:p w14:paraId="0CB9B7D1">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bCs/>
                      <w:sz w:val="18"/>
                      <w:szCs w:val="18"/>
                    </w:rPr>
                    <w:t>0.0119</w:t>
                  </w:r>
                </w:p>
              </w:tc>
              <w:tc>
                <w:tcPr>
                  <w:tcW w:w="831" w:type="dxa"/>
                  <w:vMerge w:val="restart"/>
                  <w:vAlign w:val="center"/>
                </w:tcPr>
                <w:p w14:paraId="78C480AE">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喷洒除臭剂，</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处理效率</w:t>
                  </w:r>
                  <w:r>
                    <w:rPr>
                      <w:rFonts w:ascii="Times New Roman" w:hAnsi="Times New Roman" w:cs="Times New Roman"/>
                      <w:sz w:val="18"/>
                      <w:szCs w:val="18"/>
                    </w:rPr>
                    <w:t>92</w:t>
                  </w:r>
                  <w:r>
                    <w:rPr>
                      <w:rFonts w:hint="eastAsia" w:ascii="Times New Roman" w:hAnsi="Times New Roman" w:cs="Times New Roman"/>
                      <w:sz w:val="18"/>
                      <w:szCs w:val="18"/>
                    </w:rPr>
                    <w:t>%，</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89</w:t>
                  </w:r>
                  <w:r>
                    <w:rPr>
                      <w:rFonts w:hint="eastAsia" w:ascii="Times New Roman" w:hAnsi="Times New Roman" w:cs="Times New Roman"/>
                      <w:sz w:val="18"/>
                      <w:szCs w:val="18"/>
                    </w:rPr>
                    <w:t>%</w:t>
                  </w:r>
                </w:p>
              </w:tc>
              <w:tc>
                <w:tcPr>
                  <w:tcW w:w="1162" w:type="dxa"/>
                  <w:vAlign w:val="center"/>
                </w:tcPr>
                <w:p w14:paraId="25F30644">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Align w:val="center"/>
                </w:tcPr>
                <w:p w14:paraId="1189A692">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0.0004</w:t>
                  </w:r>
                </w:p>
              </w:tc>
              <w:tc>
                <w:tcPr>
                  <w:tcW w:w="958" w:type="dxa"/>
                  <w:vAlign w:val="center"/>
                </w:tcPr>
                <w:p w14:paraId="6A251DA3">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0.0009</w:t>
                  </w:r>
                </w:p>
              </w:tc>
            </w:tr>
            <w:tr w14:paraId="135A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24F18990">
                  <w:pPr>
                    <w:pStyle w:val="10"/>
                    <w:snapToGrid w:val="0"/>
                    <w:ind w:left="0"/>
                    <w:jc w:val="center"/>
                    <w:rPr>
                      <w:rFonts w:ascii="Times New Roman" w:hAnsi="Times New Roman" w:cs="Times New Roman"/>
                      <w:sz w:val="18"/>
                      <w:szCs w:val="18"/>
                      <w:lang w:val="en-US"/>
                    </w:rPr>
                  </w:pPr>
                </w:p>
              </w:tc>
              <w:tc>
                <w:tcPr>
                  <w:tcW w:w="683" w:type="dxa"/>
                  <w:vAlign w:val="center"/>
                </w:tcPr>
                <w:p w14:paraId="1CBCBE0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57" w:type="dxa"/>
                  <w:vAlign w:val="center"/>
                </w:tcPr>
                <w:p w14:paraId="244A7F75">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Align w:val="center"/>
                </w:tcPr>
                <w:p w14:paraId="19AEA7E7">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0.0005</w:t>
                  </w:r>
                </w:p>
              </w:tc>
              <w:tc>
                <w:tcPr>
                  <w:tcW w:w="849" w:type="dxa"/>
                  <w:vAlign w:val="center"/>
                </w:tcPr>
                <w:p w14:paraId="70DEC39E">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0.0005</w:t>
                  </w:r>
                </w:p>
              </w:tc>
              <w:tc>
                <w:tcPr>
                  <w:tcW w:w="831" w:type="dxa"/>
                  <w:vMerge w:val="continue"/>
                  <w:vAlign w:val="center"/>
                </w:tcPr>
                <w:p w14:paraId="3915952F">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8630810">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Align w:val="center"/>
                </w:tcPr>
                <w:p w14:paraId="6B295BB2">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0.55×10</w:t>
                  </w:r>
                  <w:r>
                    <w:rPr>
                      <w:rFonts w:ascii="Times New Roman" w:hAnsi="Times New Roman" w:cs="Times New Roman"/>
                      <w:bCs/>
                      <w:sz w:val="18"/>
                      <w:szCs w:val="18"/>
                      <w:vertAlign w:val="superscript"/>
                      <w:lang w:val="en-US"/>
                    </w:rPr>
                    <w:t>-4</w:t>
                  </w:r>
                </w:p>
              </w:tc>
              <w:tc>
                <w:tcPr>
                  <w:tcW w:w="958" w:type="dxa"/>
                  <w:vAlign w:val="center"/>
                </w:tcPr>
                <w:p w14:paraId="630EED76">
                  <w:pPr>
                    <w:pStyle w:val="10"/>
                    <w:snapToGrid w:val="0"/>
                    <w:ind w:left="0" w:right="105" w:rightChars="50"/>
                    <w:jc w:val="center"/>
                    <w:rPr>
                      <w:rFonts w:ascii="Times New Roman" w:hAnsi="Times New Roman" w:cs="Times New Roman"/>
                      <w:bCs/>
                      <w:sz w:val="18"/>
                      <w:szCs w:val="18"/>
                      <w:lang w:val="en-US"/>
                    </w:rPr>
                  </w:pPr>
                  <w:r>
                    <w:rPr>
                      <w:rFonts w:ascii="Times New Roman" w:hAnsi="Times New Roman" w:cs="Times New Roman"/>
                      <w:bCs/>
                      <w:sz w:val="18"/>
                      <w:szCs w:val="18"/>
                      <w:lang w:val="en-US"/>
                    </w:rPr>
                    <w:t>0.55×</w:t>
                  </w:r>
                </w:p>
                <w:p w14:paraId="7F4E1CAA">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bCs/>
                      <w:sz w:val="18"/>
                      <w:szCs w:val="18"/>
                      <w:lang w:val="en-US"/>
                    </w:rPr>
                    <w:t>10</w:t>
                  </w:r>
                  <w:r>
                    <w:rPr>
                      <w:rFonts w:ascii="Times New Roman" w:hAnsi="Times New Roman" w:cs="Times New Roman"/>
                      <w:bCs/>
                      <w:sz w:val="18"/>
                      <w:szCs w:val="18"/>
                      <w:vertAlign w:val="superscript"/>
                      <w:lang w:val="en-US"/>
                    </w:rPr>
                    <w:t>-4</w:t>
                  </w:r>
                </w:p>
              </w:tc>
            </w:tr>
            <w:tr w14:paraId="0265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Align w:val="center"/>
                </w:tcPr>
                <w:p w14:paraId="53F84BF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食堂无组织</w:t>
                  </w:r>
                </w:p>
              </w:tc>
              <w:tc>
                <w:tcPr>
                  <w:tcW w:w="683" w:type="dxa"/>
                  <w:vAlign w:val="center"/>
                </w:tcPr>
                <w:p w14:paraId="74F5A5E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油烟</w:t>
                  </w:r>
                </w:p>
              </w:tc>
              <w:tc>
                <w:tcPr>
                  <w:tcW w:w="1057" w:type="dxa"/>
                  <w:vAlign w:val="center"/>
                </w:tcPr>
                <w:p w14:paraId="5C04473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Align w:val="center"/>
                </w:tcPr>
                <w:p w14:paraId="7D300762">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.0057</w:t>
                  </w:r>
                </w:p>
              </w:tc>
              <w:tc>
                <w:tcPr>
                  <w:tcW w:w="849" w:type="dxa"/>
                  <w:vAlign w:val="center"/>
                </w:tcPr>
                <w:p w14:paraId="5DE89B1C">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.0069</w:t>
                  </w:r>
                </w:p>
              </w:tc>
              <w:tc>
                <w:tcPr>
                  <w:tcW w:w="831" w:type="dxa"/>
                  <w:vAlign w:val="center"/>
                </w:tcPr>
                <w:p w14:paraId="285FA913">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162" w:type="dxa"/>
                  <w:vAlign w:val="center"/>
                </w:tcPr>
                <w:p w14:paraId="3A44EA84">
                  <w:pPr>
                    <w:pStyle w:val="10"/>
                    <w:snapToGrid w:val="0"/>
                    <w:ind w:left="0" w:right="105" w:rightChars="50"/>
                    <w:jc w:val="center"/>
                    <w:rPr>
                      <w:rFonts w:ascii="Times New Roman" w:hAnsi="Times New Roman" w:cs="Times New Roman"/>
                      <w:sz w:val="18"/>
                      <w:szCs w:val="18"/>
                      <w:lang w:val="en-US"/>
                    </w:rPr>
                  </w:pPr>
                </w:p>
              </w:tc>
              <w:tc>
                <w:tcPr>
                  <w:tcW w:w="1048" w:type="dxa"/>
                  <w:vAlign w:val="center"/>
                </w:tcPr>
                <w:p w14:paraId="0E4E5DA6">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.0023</w:t>
                  </w:r>
                </w:p>
              </w:tc>
              <w:tc>
                <w:tcPr>
                  <w:tcW w:w="958" w:type="dxa"/>
                  <w:vAlign w:val="center"/>
                </w:tcPr>
                <w:p w14:paraId="0C00CA9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r>
                    <w:rPr>
                      <w:rFonts w:ascii="Times New Roman" w:hAnsi="Times New Roman" w:cs="Times New Roman"/>
                      <w:sz w:val="18"/>
                      <w:szCs w:val="18"/>
                      <w:lang w:val="en-US"/>
                    </w:rPr>
                    <w:t>.0028</w:t>
                  </w:r>
                </w:p>
              </w:tc>
            </w:tr>
            <w:tr w14:paraId="542B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restart"/>
                  <w:vAlign w:val="center"/>
                </w:tcPr>
                <w:p w14:paraId="22363F0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车辆无组织</w:t>
                  </w:r>
                </w:p>
              </w:tc>
              <w:tc>
                <w:tcPr>
                  <w:tcW w:w="683" w:type="dxa"/>
                  <w:vAlign w:val="center"/>
                </w:tcPr>
                <w:p w14:paraId="02CE5986">
                  <w:pPr>
                    <w:pStyle w:val="10"/>
                    <w:snapToGrid w:val="0"/>
                    <w:ind w:left="0"/>
                    <w:jc w:val="center"/>
                    <w:rPr>
                      <w:rFonts w:ascii="Times New Roman" w:hAnsi="Times New Roman" w:cs="Times New Roman"/>
                      <w:sz w:val="18"/>
                      <w:szCs w:val="18"/>
                      <w:lang w:val="en-US"/>
                    </w:rPr>
                  </w:pPr>
                  <w:r>
                    <w:rPr>
                      <w:rFonts w:ascii="Times New Roman" w:hAnsi="Times New Roman" w:cs="Times New Roman"/>
                      <w:bCs/>
                      <w:sz w:val="18"/>
                      <w:szCs w:val="18"/>
                      <w:lang w:val="en-US"/>
                    </w:rPr>
                    <w:t>CO</w:t>
                  </w:r>
                </w:p>
              </w:tc>
              <w:tc>
                <w:tcPr>
                  <w:tcW w:w="1057" w:type="dxa"/>
                  <w:vAlign w:val="center"/>
                </w:tcPr>
                <w:p w14:paraId="04916BCE">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Merge w:val="restart"/>
                  <w:vAlign w:val="center"/>
                </w:tcPr>
                <w:p w14:paraId="3B3F409C">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c>
                <w:tcPr>
                  <w:tcW w:w="849" w:type="dxa"/>
                  <w:vMerge w:val="restart"/>
                  <w:vAlign w:val="center"/>
                </w:tcPr>
                <w:p w14:paraId="7B24D3B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c>
                <w:tcPr>
                  <w:tcW w:w="831" w:type="dxa"/>
                  <w:vMerge w:val="restart"/>
                  <w:vAlign w:val="center"/>
                </w:tcPr>
                <w:p w14:paraId="570A9077">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162" w:type="dxa"/>
                  <w:vAlign w:val="center"/>
                </w:tcPr>
                <w:p w14:paraId="714E76F6">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Merge w:val="restart"/>
                  <w:vAlign w:val="center"/>
                </w:tcPr>
                <w:p w14:paraId="3DFE513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c>
                <w:tcPr>
                  <w:tcW w:w="958" w:type="dxa"/>
                  <w:vMerge w:val="restart"/>
                  <w:vAlign w:val="center"/>
                </w:tcPr>
                <w:p w14:paraId="6DA3670A">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微量</w:t>
                  </w:r>
                </w:p>
              </w:tc>
            </w:tr>
            <w:tr w14:paraId="7CDF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1E37F082">
                  <w:pPr>
                    <w:pStyle w:val="10"/>
                    <w:snapToGrid w:val="0"/>
                    <w:ind w:left="0"/>
                    <w:jc w:val="center"/>
                    <w:rPr>
                      <w:rFonts w:ascii="Times New Roman" w:hAnsi="Times New Roman" w:cs="Times New Roman"/>
                      <w:sz w:val="18"/>
                      <w:szCs w:val="18"/>
                      <w:lang w:val="en-US"/>
                    </w:rPr>
                  </w:pPr>
                </w:p>
              </w:tc>
              <w:tc>
                <w:tcPr>
                  <w:tcW w:w="683" w:type="dxa"/>
                  <w:vAlign w:val="center"/>
                </w:tcPr>
                <w:p w14:paraId="1A6384DD">
                  <w:pPr>
                    <w:pStyle w:val="10"/>
                    <w:snapToGrid w:val="0"/>
                    <w:ind w:left="0"/>
                    <w:jc w:val="center"/>
                    <w:rPr>
                      <w:rFonts w:ascii="Times New Roman" w:hAnsi="Times New Roman" w:cs="Times New Roman"/>
                      <w:sz w:val="18"/>
                      <w:szCs w:val="18"/>
                      <w:lang w:val="en-US"/>
                    </w:rPr>
                  </w:pPr>
                  <w:r>
                    <w:rPr>
                      <w:rFonts w:ascii="Times New Roman" w:hAnsi="Times New Roman" w:cs="Times New Roman"/>
                      <w:bCs/>
                      <w:sz w:val="18"/>
                      <w:szCs w:val="18"/>
                      <w:lang w:val="en-US"/>
                    </w:rPr>
                    <w:t>NOx</w:t>
                  </w:r>
                </w:p>
              </w:tc>
              <w:tc>
                <w:tcPr>
                  <w:tcW w:w="1057" w:type="dxa"/>
                  <w:vAlign w:val="center"/>
                </w:tcPr>
                <w:p w14:paraId="42B3CF6C">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Merge w:val="continue"/>
                  <w:vAlign w:val="center"/>
                </w:tcPr>
                <w:p w14:paraId="556D027A">
                  <w:pPr>
                    <w:pStyle w:val="10"/>
                    <w:snapToGrid w:val="0"/>
                    <w:ind w:left="0" w:right="105" w:rightChars="50"/>
                    <w:jc w:val="center"/>
                    <w:rPr>
                      <w:rFonts w:ascii="Times New Roman" w:hAnsi="Times New Roman" w:cs="Times New Roman"/>
                      <w:sz w:val="18"/>
                      <w:szCs w:val="18"/>
                      <w:lang w:val="en-US"/>
                    </w:rPr>
                  </w:pPr>
                </w:p>
              </w:tc>
              <w:tc>
                <w:tcPr>
                  <w:tcW w:w="849" w:type="dxa"/>
                  <w:vMerge w:val="continue"/>
                  <w:vAlign w:val="center"/>
                </w:tcPr>
                <w:p w14:paraId="286402CE">
                  <w:pPr>
                    <w:pStyle w:val="10"/>
                    <w:snapToGrid w:val="0"/>
                    <w:ind w:left="0" w:right="105" w:rightChars="50"/>
                    <w:jc w:val="center"/>
                    <w:rPr>
                      <w:rFonts w:ascii="Times New Roman" w:hAnsi="Times New Roman" w:cs="Times New Roman"/>
                      <w:sz w:val="18"/>
                      <w:szCs w:val="18"/>
                      <w:lang w:val="en-US"/>
                    </w:rPr>
                  </w:pPr>
                </w:p>
              </w:tc>
              <w:tc>
                <w:tcPr>
                  <w:tcW w:w="831" w:type="dxa"/>
                  <w:vMerge w:val="continue"/>
                  <w:vAlign w:val="center"/>
                </w:tcPr>
                <w:p w14:paraId="1056E72A">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5C3D32FB">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Merge w:val="continue"/>
                  <w:vAlign w:val="center"/>
                </w:tcPr>
                <w:p w14:paraId="30C5816E">
                  <w:pPr>
                    <w:pStyle w:val="10"/>
                    <w:snapToGrid w:val="0"/>
                    <w:ind w:left="0" w:right="105" w:rightChars="50"/>
                    <w:jc w:val="center"/>
                    <w:rPr>
                      <w:rFonts w:ascii="Times New Roman" w:hAnsi="Times New Roman" w:cs="Times New Roman"/>
                      <w:sz w:val="18"/>
                      <w:szCs w:val="18"/>
                      <w:lang w:val="en-US"/>
                    </w:rPr>
                  </w:pPr>
                </w:p>
              </w:tc>
              <w:tc>
                <w:tcPr>
                  <w:tcW w:w="958" w:type="dxa"/>
                  <w:vMerge w:val="continue"/>
                  <w:vAlign w:val="center"/>
                </w:tcPr>
                <w:p w14:paraId="2D4FE290">
                  <w:pPr>
                    <w:pStyle w:val="10"/>
                    <w:snapToGrid w:val="0"/>
                    <w:ind w:left="0" w:right="105" w:rightChars="50"/>
                    <w:jc w:val="center"/>
                    <w:rPr>
                      <w:rFonts w:ascii="Times New Roman" w:hAnsi="Times New Roman" w:cs="Times New Roman"/>
                      <w:sz w:val="18"/>
                      <w:szCs w:val="18"/>
                      <w:lang w:val="en-US"/>
                    </w:rPr>
                  </w:pPr>
                </w:p>
              </w:tc>
            </w:tr>
            <w:tr w14:paraId="2ED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12B50B46">
                  <w:pPr>
                    <w:pStyle w:val="10"/>
                    <w:snapToGrid w:val="0"/>
                    <w:ind w:left="0"/>
                    <w:jc w:val="center"/>
                    <w:rPr>
                      <w:rFonts w:ascii="Times New Roman" w:hAnsi="Times New Roman" w:cs="Times New Roman"/>
                      <w:sz w:val="18"/>
                      <w:szCs w:val="18"/>
                      <w:lang w:val="en-US"/>
                    </w:rPr>
                  </w:pPr>
                </w:p>
              </w:tc>
              <w:tc>
                <w:tcPr>
                  <w:tcW w:w="683" w:type="dxa"/>
                  <w:vAlign w:val="center"/>
                </w:tcPr>
                <w:p w14:paraId="0BDA9FBE">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T</w:t>
                  </w:r>
                  <w:r>
                    <w:rPr>
                      <w:rFonts w:ascii="Times New Roman" w:hAnsi="Times New Roman" w:cs="Times New Roman"/>
                      <w:sz w:val="18"/>
                      <w:szCs w:val="18"/>
                      <w:lang w:val="en-US"/>
                    </w:rPr>
                    <w:t>HC</w:t>
                  </w:r>
                </w:p>
              </w:tc>
              <w:tc>
                <w:tcPr>
                  <w:tcW w:w="1057" w:type="dxa"/>
                  <w:vAlign w:val="center"/>
                </w:tcPr>
                <w:p w14:paraId="627C80C1">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18" w:type="dxa"/>
                  <w:vMerge w:val="continue"/>
                  <w:vAlign w:val="center"/>
                </w:tcPr>
                <w:p w14:paraId="221D6E42">
                  <w:pPr>
                    <w:pStyle w:val="10"/>
                    <w:snapToGrid w:val="0"/>
                    <w:ind w:left="0" w:right="105" w:rightChars="50"/>
                    <w:jc w:val="center"/>
                    <w:rPr>
                      <w:rFonts w:ascii="Times New Roman" w:hAnsi="Times New Roman" w:cs="Times New Roman"/>
                      <w:sz w:val="18"/>
                      <w:szCs w:val="18"/>
                      <w:lang w:val="en-US"/>
                    </w:rPr>
                  </w:pPr>
                </w:p>
              </w:tc>
              <w:tc>
                <w:tcPr>
                  <w:tcW w:w="849" w:type="dxa"/>
                  <w:vMerge w:val="continue"/>
                  <w:vAlign w:val="center"/>
                </w:tcPr>
                <w:p w14:paraId="1CAE5625">
                  <w:pPr>
                    <w:pStyle w:val="10"/>
                    <w:snapToGrid w:val="0"/>
                    <w:ind w:left="0" w:right="105" w:rightChars="50"/>
                    <w:jc w:val="center"/>
                    <w:rPr>
                      <w:rFonts w:ascii="Times New Roman" w:hAnsi="Times New Roman" w:cs="Times New Roman"/>
                      <w:sz w:val="18"/>
                      <w:szCs w:val="18"/>
                      <w:lang w:val="en-US"/>
                    </w:rPr>
                  </w:pPr>
                </w:p>
              </w:tc>
              <w:tc>
                <w:tcPr>
                  <w:tcW w:w="831" w:type="dxa"/>
                  <w:vMerge w:val="continue"/>
                  <w:vAlign w:val="center"/>
                </w:tcPr>
                <w:p w14:paraId="6433AF0E">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3582B7E5">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048" w:type="dxa"/>
                  <w:vMerge w:val="continue"/>
                  <w:vAlign w:val="center"/>
                </w:tcPr>
                <w:p w14:paraId="59DEBA1E">
                  <w:pPr>
                    <w:pStyle w:val="10"/>
                    <w:snapToGrid w:val="0"/>
                    <w:ind w:left="0" w:right="105" w:rightChars="50"/>
                    <w:jc w:val="center"/>
                    <w:rPr>
                      <w:rFonts w:ascii="Times New Roman" w:hAnsi="Times New Roman" w:cs="Times New Roman"/>
                      <w:sz w:val="18"/>
                      <w:szCs w:val="18"/>
                      <w:lang w:val="en-US"/>
                    </w:rPr>
                  </w:pPr>
                </w:p>
              </w:tc>
              <w:tc>
                <w:tcPr>
                  <w:tcW w:w="958" w:type="dxa"/>
                  <w:vMerge w:val="continue"/>
                  <w:vAlign w:val="center"/>
                </w:tcPr>
                <w:p w14:paraId="5EDAC7E0">
                  <w:pPr>
                    <w:pStyle w:val="10"/>
                    <w:snapToGrid w:val="0"/>
                    <w:ind w:left="0" w:right="105" w:rightChars="50"/>
                    <w:jc w:val="center"/>
                    <w:rPr>
                      <w:rFonts w:ascii="Times New Roman" w:hAnsi="Times New Roman" w:cs="Times New Roman"/>
                      <w:sz w:val="18"/>
                      <w:szCs w:val="18"/>
                      <w:lang w:val="en-US"/>
                    </w:rPr>
                  </w:pPr>
                </w:p>
              </w:tc>
            </w:tr>
          </w:tbl>
          <w:p w14:paraId="35586417">
            <w:pPr>
              <w:pStyle w:val="10"/>
              <w:ind w:left="0" w:right="105" w:rightChars="50"/>
              <w:jc w:val="center"/>
              <w:rPr>
                <w:rFonts w:ascii="Times New Roman" w:hAnsi="Times New Roman" w:cs="Times New Roman"/>
                <w:sz w:val="21"/>
                <w:szCs w:val="21"/>
                <w:lang w:val="en-US"/>
              </w:rPr>
            </w:pPr>
          </w:p>
          <w:bookmarkEnd w:id="52"/>
          <w:p w14:paraId="4380C756">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rPr>
              <w:fldChar w:fldCharType="begin"/>
            </w:r>
            <w:r>
              <w:rPr>
                <w:rFonts w:ascii="Times New Roman" w:hAnsi="Times New Roman" w:cs="Times New Roman"/>
                <w:lang w:val="en-US"/>
              </w:rPr>
              <w:instrText xml:space="preserve"> </w:instrText>
            </w:r>
            <w:r>
              <w:rPr>
                <w:rFonts w:hint="eastAsia" w:ascii="Times New Roman" w:hAnsi="Times New Roman" w:cs="Times New Roman"/>
                <w:lang w:val="en-US"/>
              </w:rPr>
              <w:instrText xml:space="preserve">= 7 \* GB3</w:instrText>
            </w:r>
            <w:r>
              <w:rPr>
                <w:rFonts w:ascii="Times New Roman" w:hAnsi="Times New Roman" w:cs="Times New Roman"/>
                <w:lang w:val="en-US"/>
              </w:rPr>
              <w:instrText xml:space="preserve"> </w:instrText>
            </w:r>
            <w:r>
              <w:rPr>
                <w:rFonts w:ascii="Times New Roman" w:hAnsi="Times New Roman" w:cs="Times New Roman"/>
              </w:rPr>
              <w:fldChar w:fldCharType="separate"/>
            </w:r>
            <w:r>
              <w:rPr>
                <w:rFonts w:hint="eastAsia" w:ascii="Times New Roman" w:hAnsi="Times New Roman" w:cs="Times New Roman"/>
                <w:lang w:val="en-US"/>
              </w:rPr>
              <w:t>⑦</w:t>
            </w:r>
            <w:r>
              <w:rPr>
                <w:rFonts w:ascii="Times New Roman" w:hAnsi="Times New Roman" w:cs="Times New Roman"/>
              </w:rPr>
              <w:fldChar w:fldCharType="end"/>
            </w:r>
            <w:r>
              <w:rPr>
                <w:rFonts w:hint="eastAsia" w:ascii="Times New Roman" w:hAnsi="Times New Roman" w:cs="Times New Roman"/>
              </w:rPr>
              <w:t>非正常排放</w:t>
            </w:r>
          </w:p>
          <w:p w14:paraId="32A902B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本项目典型污染源来自无害化处理过程和锅炉烟气，</w:t>
            </w:r>
            <w:r>
              <w:rPr>
                <w:rFonts w:hint="eastAsia" w:ascii="Times New Roman" w:hAnsi="Times New Roman" w:cs="Times New Roman"/>
                <w:bCs/>
              </w:rPr>
              <w:t>在其废气处理系统的</w:t>
            </w:r>
            <w:r>
              <w:rPr>
                <w:rFonts w:ascii="Times New Roman" w:hAnsi="Times New Roman" w:cs="Times New Roman"/>
                <w:bCs/>
              </w:rPr>
              <w:t>开停车、检修</w:t>
            </w:r>
            <w:r>
              <w:rPr>
                <w:rFonts w:hint="eastAsia" w:ascii="Times New Roman" w:hAnsi="Times New Roman" w:cs="Times New Roman"/>
                <w:bCs/>
              </w:rPr>
              <w:t>阶段，或</w:t>
            </w:r>
            <w:r>
              <w:rPr>
                <w:rFonts w:ascii="Times New Roman" w:hAnsi="Times New Roman" w:cs="Times New Roman"/>
                <w:bCs/>
              </w:rPr>
              <w:t>操作不</w:t>
            </w:r>
            <w:r>
              <w:rPr>
                <w:rFonts w:hint="eastAsia" w:ascii="Times New Roman" w:hAnsi="Times New Roman" w:cs="Times New Roman"/>
                <w:bCs/>
              </w:rPr>
              <w:t>当、</w:t>
            </w:r>
            <w:r>
              <w:rPr>
                <w:rFonts w:ascii="Times New Roman" w:hAnsi="Times New Roman" w:cs="Times New Roman"/>
                <w:bCs/>
              </w:rPr>
              <w:t>设备故障</w:t>
            </w:r>
            <w:r>
              <w:rPr>
                <w:rFonts w:hint="eastAsia" w:ascii="Times New Roman" w:hAnsi="Times New Roman" w:cs="Times New Roman"/>
                <w:bCs/>
              </w:rPr>
              <w:t>等情况下会出现非正常排放情况。</w:t>
            </w:r>
            <w:r>
              <w:rPr>
                <w:rFonts w:hint="eastAsia" w:ascii="Times New Roman" w:hAnsi="Times New Roman" w:cs="Times New Roman"/>
              </w:rPr>
              <w:t>本次评价非正常排放按无害化处理过程中 “冷凝+酸碱洗”系统和锅炉烟气末端“双碱法水膜脱硫除尘”系统处理效率均降低为原处理效率的5</w:t>
            </w:r>
            <w:r>
              <w:rPr>
                <w:rFonts w:ascii="Times New Roman" w:hAnsi="Times New Roman" w:cs="Times New Roman"/>
              </w:rPr>
              <w:t>0</w:t>
            </w:r>
            <w:r>
              <w:rPr>
                <w:rFonts w:hint="eastAsia" w:ascii="Times New Roman" w:hAnsi="Times New Roman" w:cs="Times New Roman"/>
              </w:rPr>
              <w:t>%考虑，则非正常情况下无害化处理过程废气产排情况如下：</w:t>
            </w:r>
          </w:p>
          <w:p w14:paraId="205FBDBB">
            <w:pPr>
              <w:jc w:val="center"/>
              <w:rPr>
                <w:rFonts w:ascii="Times New Roman" w:hAnsi="Times New Roman" w:eastAsia="宋体" w:cs="Times New Roman"/>
                <w:b/>
                <w:szCs w:val="21"/>
              </w:rPr>
            </w:pPr>
          </w:p>
          <w:p w14:paraId="705E2D30">
            <w:pPr>
              <w:jc w:val="center"/>
              <w:rPr>
                <w:rFonts w:ascii="Times New Roman" w:hAnsi="Times New Roman" w:eastAsia="宋体" w:cs="Times New Roman"/>
                <w:b/>
                <w:szCs w:val="21"/>
              </w:rPr>
            </w:pPr>
            <w:r>
              <w:rPr>
                <w:rFonts w:ascii="Times New Roman" w:hAnsi="Times New Roman" w:eastAsia="宋体" w:cs="Times New Roman"/>
                <w:b/>
                <w:szCs w:val="21"/>
              </w:rPr>
              <w:t xml:space="preserve">表2-18    </w:t>
            </w:r>
            <w:r>
              <w:rPr>
                <w:rFonts w:hint="eastAsia" w:ascii="Times New Roman" w:hAnsi="Times New Roman" w:eastAsia="宋体" w:cs="Times New Roman"/>
                <w:b/>
                <w:szCs w:val="21"/>
              </w:rPr>
              <w:t>无害化处理工程废气污染物非正常排放情况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84"/>
              <w:gridCol w:w="1064"/>
              <w:gridCol w:w="1018"/>
              <w:gridCol w:w="816"/>
              <w:gridCol w:w="982"/>
              <w:gridCol w:w="1162"/>
              <w:gridCol w:w="1108"/>
              <w:gridCol w:w="928"/>
            </w:tblGrid>
            <w:tr w14:paraId="6B2C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626621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锅炉</w:t>
                  </w:r>
                </w:p>
              </w:tc>
              <w:tc>
                <w:tcPr>
                  <w:tcW w:w="584" w:type="dxa"/>
                  <w:vAlign w:val="center"/>
                </w:tcPr>
                <w:p w14:paraId="01BDA537">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污染物</w:t>
                  </w:r>
                </w:p>
              </w:tc>
              <w:tc>
                <w:tcPr>
                  <w:tcW w:w="1064" w:type="dxa"/>
                  <w:vAlign w:val="center"/>
                </w:tcPr>
                <w:p w14:paraId="18923545">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018" w:type="dxa"/>
                  <w:vAlign w:val="center"/>
                </w:tcPr>
                <w:p w14:paraId="41C5909F">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产生强度（kg/h）</w:t>
                  </w:r>
                </w:p>
              </w:tc>
              <w:tc>
                <w:tcPr>
                  <w:tcW w:w="816" w:type="dxa"/>
                  <w:vAlign w:val="center"/>
                </w:tcPr>
                <w:p w14:paraId="49779713">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产生量（t/a）</w:t>
                  </w:r>
                </w:p>
              </w:tc>
              <w:tc>
                <w:tcPr>
                  <w:tcW w:w="982" w:type="dxa"/>
                  <w:vAlign w:val="center"/>
                </w:tcPr>
                <w:p w14:paraId="12188E6D">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处理措施</w:t>
                  </w:r>
                </w:p>
              </w:tc>
              <w:tc>
                <w:tcPr>
                  <w:tcW w:w="1162" w:type="dxa"/>
                  <w:vAlign w:val="center"/>
                </w:tcPr>
                <w:p w14:paraId="78656588">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排放浓度（mg/m</w:t>
                  </w:r>
                  <w:r>
                    <w:rPr>
                      <w:rFonts w:hint="eastAsia" w:ascii="Times New Roman" w:hAnsi="Times New Roman" w:cs="Times New Roman"/>
                      <w:sz w:val="18"/>
                      <w:szCs w:val="18"/>
                      <w:vertAlign w:val="superscript"/>
                      <w:lang w:val="en-US"/>
                    </w:rPr>
                    <w:t>3</w:t>
                  </w:r>
                  <w:r>
                    <w:rPr>
                      <w:rFonts w:hint="eastAsia" w:ascii="Times New Roman" w:hAnsi="Times New Roman" w:cs="Times New Roman"/>
                      <w:sz w:val="18"/>
                      <w:szCs w:val="18"/>
                      <w:lang w:val="en-US"/>
                    </w:rPr>
                    <w:t>）</w:t>
                  </w:r>
                </w:p>
              </w:tc>
              <w:tc>
                <w:tcPr>
                  <w:tcW w:w="1108" w:type="dxa"/>
                  <w:vAlign w:val="center"/>
                </w:tcPr>
                <w:p w14:paraId="1AD309F9">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排放强度（kg/h）</w:t>
                  </w:r>
                </w:p>
              </w:tc>
              <w:tc>
                <w:tcPr>
                  <w:tcW w:w="928" w:type="dxa"/>
                  <w:vAlign w:val="center"/>
                </w:tcPr>
                <w:p w14:paraId="5BFC4AFB">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排放量（t/a）</w:t>
                  </w:r>
                </w:p>
              </w:tc>
            </w:tr>
            <w:tr w14:paraId="0FE2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6" w:type="dxa"/>
                  <w:vMerge w:val="restart"/>
                  <w:vAlign w:val="center"/>
                </w:tcPr>
                <w:p w14:paraId="42B437AA">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D</w:t>
                  </w:r>
                  <w:r>
                    <w:rPr>
                      <w:rFonts w:ascii="Times New Roman" w:hAnsi="Times New Roman" w:cs="Times New Roman"/>
                      <w:sz w:val="18"/>
                      <w:szCs w:val="18"/>
                      <w:lang w:val="en-US"/>
                    </w:rPr>
                    <w:t>A001</w:t>
                  </w:r>
                </w:p>
              </w:tc>
              <w:tc>
                <w:tcPr>
                  <w:tcW w:w="584" w:type="dxa"/>
                  <w:vAlign w:val="center"/>
                </w:tcPr>
                <w:p w14:paraId="1D4414B9">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气量</w:t>
                  </w:r>
                </w:p>
              </w:tc>
              <w:tc>
                <w:tcPr>
                  <w:tcW w:w="2898" w:type="dxa"/>
                  <w:gridSpan w:val="3"/>
                  <w:vAlign w:val="center"/>
                </w:tcPr>
                <w:p w14:paraId="6FE78D8C">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982" w:type="dxa"/>
                  <w:vMerge w:val="restart"/>
                  <w:vAlign w:val="center"/>
                </w:tcPr>
                <w:p w14:paraId="220D82D2">
                  <w:pPr>
                    <w:pStyle w:val="10"/>
                    <w:snapToGrid w:val="0"/>
                    <w:ind w:left="0" w:right="105" w:rightChars="50"/>
                    <w:jc w:val="center"/>
                    <w:rPr>
                      <w:rFonts w:ascii="Times New Roman" w:hAnsi="Times New Roman" w:cs="Times New Roman"/>
                      <w:sz w:val="18"/>
                      <w:szCs w:val="18"/>
                      <w:lang w:val="en-US"/>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43.5</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40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10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45</w:t>
                  </w:r>
                  <w:r>
                    <w:rPr>
                      <w:rFonts w:hint="eastAsia" w:ascii="Times New Roman" w:hAnsi="Times New Roman" w:cs="Times New Roman"/>
                      <w:sz w:val="18"/>
                      <w:szCs w:val="18"/>
                    </w:rPr>
                    <w:t>%</w:t>
                  </w:r>
                  <w:r>
                    <w:rPr>
                      <w:rFonts w:hint="eastAsia" w:ascii="Times New Roman" w:hAnsi="Times New Roman" w:cs="Times New Roman"/>
                      <w:sz w:val="18"/>
                      <w:szCs w:val="18"/>
                      <w:lang w:val="en-US"/>
                    </w:rPr>
                    <w:t>。</w:t>
                  </w:r>
                </w:p>
              </w:tc>
              <w:tc>
                <w:tcPr>
                  <w:tcW w:w="3198" w:type="dxa"/>
                  <w:gridSpan w:val="3"/>
                  <w:vAlign w:val="center"/>
                </w:tcPr>
                <w:p w14:paraId="5E4B03A6">
                  <w:pPr>
                    <w:pStyle w:val="10"/>
                    <w:snapToGrid w:val="0"/>
                    <w:ind w:left="0" w:right="105" w:rightChars="50"/>
                    <w:jc w:val="center"/>
                    <w:rPr>
                      <w:rFonts w:ascii="Times New Roman" w:hAnsi="Times New Roman" w:cs="Times New Roman"/>
                      <w:sz w:val="18"/>
                      <w:szCs w:val="18"/>
                      <w:lang w:val="en-US"/>
                    </w:rPr>
                  </w:pPr>
                  <w:r>
                    <w:rPr>
                      <w:rFonts w:ascii="Times New Roman" w:hAnsi="Times New Roman" w:cs="Times New Roman"/>
                      <w:sz w:val="18"/>
                      <w:szCs w:val="18"/>
                    </w:rPr>
                    <w:t>5880.21N</w:t>
                  </w:r>
                  <w:r>
                    <w:rPr>
                      <w:rFonts w:hint="eastAsia" w:ascii="Times New Roman" w:hAnsi="Times New Roman" w:cs="Times New Roman"/>
                      <w:sz w:val="18"/>
                      <w:szCs w:val="18"/>
                    </w:rPr>
                    <w:t>m</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r>
            <w:tr w14:paraId="2A80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6" w:type="dxa"/>
                  <w:vMerge w:val="continue"/>
                  <w:vAlign w:val="center"/>
                </w:tcPr>
                <w:p w14:paraId="5400F673">
                  <w:pPr>
                    <w:pStyle w:val="10"/>
                    <w:snapToGrid w:val="0"/>
                    <w:ind w:left="0"/>
                    <w:jc w:val="center"/>
                    <w:rPr>
                      <w:rFonts w:ascii="Times New Roman" w:hAnsi="Times New Roman" w:cs="Times New Roman"/>
                      <w:sz w:val="18"/>
                      <w:szCs w:val="18"/>
                      <w:lang w:val="en-US"/>
                    </w:rPr>
                  </w:pPr>
                </w:p>
              </w:tc>
              <w:tc>
                <w:tcPr>
                  <w:tcW w:w="584" w:type="dxa"/>
                  <w:vAlign w:val="center"/>
                </w:tcPr>
                <w:p w14:paraId="10FD4EC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烟尘</w:t>
                  </w:r>
                </w:p>
              </w:tc>
              <w:tc>
                <w:tcPr>
                  <w:tcW w:w="1064" w:type="dxa"/>
                  <w:vAlign w:val="center"/>
                </w:tcPr>
                <w:p w14:paraId="148AF66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63.7732</w:t>
                  </w:r>
                </w:p>
              </w:tc>
              <w:tc>
                <w:tcPr>
                  <w:tcW w:w="1018" w:type="dxa"/>
                  <w:vAlign w:val="center"/>
                </w:tcPr>
                <w:p w14:paraId="702421E3">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.3750</w:t>
                  </w:r>
                </w:p>
              </w:tc>
              <w:tc>
                <w:tcPr>
                  <w:tcW w:w="816" w:type="dxa"/>
                  <w:vAlign w:val="center"/>
                </w:tcPr>
                <w:p w14:paraId="7156482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.9000</w:t>
                  </w:r>
                </w:p>
              </w:tc>
              <w:tc>
                <w:tcPr>
                  <w:tcW w:w="982" w:type="dxa"/>
                  <w:vMerge w:val="continue"/>
                  <w:vAlign w:val="center"/>
                </w:tcPr>
                <w:p w14:paraId="2E408BEE">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2419975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36.031</w:t>
                  </w:r>
                  <w:r>
                    <w:rPr>
                      <w:rFonts w:ascii="Times New Roman" w:hAnsi="Times New Roman" w:cs="Times New Roman"/>
                      <w:sz w:val="18"/>
                      <w:szCs w:val="18"/>
                    </w:rPr>
                    <w:t>9</w:t>
                  </w:r>
                </w:p>
              </w:tc>
              <w:tc>
                <w:tcPr>
                  <w:tcW w:w="1108" w:type="dxa"/>
                  <w:vAlign w:val="center"/>
                </w:tcPr>
                <w:p w14:paraId="6C1CF0C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0.211</w:t>
                  </w:r>
                  <w:r>
                    <w:rPr>
                      <w:rFonts w:ascii="Times New Roman" w:hAnsi="Times New Roman" w:cs="Times New Roman"/>
                      <w:sz w:val="18"/>
                      <w:szCs w:val="18"/>
                    </w:rPr>
                    <w:t>9</w:t>
                  </w:r>
                </w:p>
              </w:tc>
              <w:tc>
                <w:tcPr>
                  <w:tcW w:w="928" w:type="dxa"/>
                  <w:vAlign w:val="center"/>
                </w:tcPr>
                <w:p w14:paraId="776145A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0.5085</w:t>
                  </w:r>
                </w:p>
              </w:tc>
            </w:tr>
            <w:tr w14:paraId="06E3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vMerge w:val="continue"/>
                  <w:vAlign w:val="center"/>
                </w:tcPr>
                <w:p w14:paraId="327026F5">
                  <w:pPr>
                    <w:pStyle w:val="10"/>
                    <w:snapToGrid w:val="0"/>
                    <w:ind w:left="0"/>
                    <w:jc w:val="center"/>
                    <w:rPr>
                      <w:rFonts w:ascii="Times New Roman" w:hAnsi="Times New Roman" w:cs="Times New Roman"/>
                      <w:sz w:val="18"/>
                      <w:szCs w:val="18"/>
                      <w:lang w:val="en-US"/>
                    </w:rPr>
                  </w:pPr>
                </w:p>
              </w:tc>
              <w:tc>
                <w:tcPr>
                  <w:tcW w:w="584" w:type="dxa"/>
                  <w:vAlign w:val="center"/>
                </w:tcPr>
                <w:p w14:paraId="5ACB0D6E">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SO</w:t>
                  </w:r>
                  <w:r>
                    <w:rPr>
                      <w:rFonts w:ascii="Times New Roman" w:hAnsi="Times New Roman" w:cs="Times New Roman"/>
                      <w:sz w:val="18"/>
                      <w:szCs w:val="18"/>
                      <w:vertAlign w:val="subscript"/>
                      <w:lang w:val="en-US"/>
                    </w:rPr>
                    <w:t>2</w:t>
                  </w:r>
                </w:p>
              </w:tc>
              <w:tc>
                <w:tcPr>
                  <w:tcW w:w="1064" w:type="dxa"/>
                  <w:vAlign w:val="center"/>
                </w:tcPr>
                <w:p w14:paraId="45B1000B">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65.4738</w:t>
                  </w:r>
                </w:p>
              </w:tc>
              <w:tc>
                <w:tcPr>
                  <w:tcW w:w="1018" w:type="dxa"/>
                  <w:vAlign w:val="center"/>
                </w:tcPr>
                <w:p w14:paraId="6C05022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0.3850</w:t>
                  </w:r>
                </w:p>
              </w:tc>
              <w:tc>
                <w:tcPr>
                  <w:tcW w:w="816" w:type="dxa"/>
                  <w:vAlign w:val="center"/>
                </w:tcPr>
                <w:p w14:paraId="37E7DFA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0.924</w:t>
                  </w:r>
                  <w:r>
                    <w:rPr>
                      <w:rFonts w:ascii="Times New Roman" w:hAnsi="Times New Roman" w:cs="Times New Roman"/>
                      <w:sz w:val="18"/>
                      <w:szCs w:val="18"/>
                    </w:rPr>
                    <w:t>3</w:t>
                  </w:r>
                </w:p>
              </w:tc>
              <w:tc>
                <w:tcPr>
                  <w:tcW w:w="982" w:type="dxa"/>
                  <w:vMerge w:val="continue"/>
                  <w:vAlign w:val="center"/>
                </w:tcPr>
                <w:p w14:paraId="64A35E42">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3E0B62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39.284</w:t>
                  </w:r>
                  <w:r>
                    <w:rPr>
                      <w:rFonts w:ascii="Times New Roman" w:hAnsi="Times New Roman" w:cs="Times New Roman"/>
                      <w:sz w:val="18"/>
                      <w:szCs w:val="18"/>
                    </w:rPr>
                    <w:t>3</w:t>
                  </w:r>
                </w:p>
              </w:tc>
              <w:tc>
                <w:tcPr>
                  <w:tcW w:w="1108" w:type="dxa"/>
                  <w:vAlign w:val="center"/>
                </w:tcPr>
                <w:p w14:paraId="34843D21">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0.231</w:t>
                  </w:r>
                  <w:r>
                    <w:rPr>
                      <w:rFonts w:ascii="Times New Roman" w:hAnsi="Times New Roman" w:cs="Times New Roman"/>
                      <w:sz w:val="18"/>
                      <w:szCs w:val="18"/>
                    </w:rPr>
                    <w:t>0</w:t>
                  </w:r>
                </w:p>
              </w:tc>
              <w:tc>
                <w:tcPr>
                  <w:tcW w:w="928" w:type="dxa"/>
                  <w:vAlign w:val="center"/>
                </w:tcPr>
                <w:p w14:paraId="68AE222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0.554</w:t>
                  </w:r>
                  <w:r>
                    <w:rPr>
                      <w:rFonts w:ascii="Times New Roman" w:hAnsi="Times New Roman" w:cs="Times New Roman"/>
                      <w:sz w:val="18"/>
                      <w:szCs w:val="18"/>
                    </w:rPr>
                    <w:t>6</w:t>
                  </w:r>
                </w:p>
              </w:tc>
            </w:tr>
            <w:tr w14:paraId="6FC3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6" w:type="dxa"/>
                  <w:vMerge w:val="continue"/>
                  <w:vAlign w:val="center"/>
                </w:tcPr>
                <w:p w14:paraId="19ED277D">
                  <w:pPr>
                    <w:pStyle w:val="10"/>
                    <w:snapToGrid w:val="0"/>
                    <w:ind w:left="0"/>
                    <w:jc w:val="center"/>
                    <w:rPr>
                      <w:rFonts w:ascii="Times New Roman" w:hAnsi="Times New Roman" w:cs="Times New Roman"/>
                      <w:sz w:val="18"/>
                      <w:szCs w:val="18"/>
                      <w:lang w:val="en-US"/>
                    </w:rPr>
                  </w:pPr>
                </w:p>
              </w:tc>
              <w:tc>
                <w:tcPr>
                  <w:tcW w:w="584" w:type="dxa"/>
                  <w:vAlign w:val="center"/>
                </w:tcPr>
                <w:p w14:paraId="46C7A32A">
                  <w:pPr>
                    <w:pStyle w:val="10"/>
                    <w:snapToGrid w:val="0"/>
                    <w:ind w:left="0"/>
                    <w:jc w:val="center"/>
                    <w:rPr>
                      <w:rFonts w:ascii="Times New Roman" w:hAnsi="Times New Roman" w:cs="Times New Roman"/>
                      <w:sz w:val="18"/>
                      <w:szCs w:val="18"/>
                      <w:lang w:val="en-US"/>
                    </w:rPr>
                  </w:pPr>
                  <w:r>
                    <w:rPr>
                      <w:rFonts w:ascii="Times New Roman" w:hAnsi="Times New Roman" w:cs="Times New Roman"/>
                      <w:sz w:val="18"/>
                      <w:szCs w:val="18"/>
                      <w:lang w:val="en-US"/>
                    </w:rPr>
                    <w:t>NOx</w:t>
                  </w:r>
                </w:p>
              </w:tc>
              <w:tc>
                <w:tcPr>
                  <w:tcW w:w="1064" w:type="dxa"/>
                  <w:vAlign w:val="center"/>
                </w:tcPr>
                <w:p w14:paraId="2D4CBF8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327.8284</w:t>
                  </w:r>
                </w:p>
              </w:tc>
              <w:tc>
                <w:tcPr>
                  <w:tcW w:w="1018" w:type="dxa"/>
                  <w:vAlign w:val="center"/>
                </w:tcPr>
                <w:p w14:paraId="482ABB3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1.9277</w:t>
                  </w:r>
                </w:p>
              </w:tc>
              <w:tc>
                <w:tcPr>
                  <w:tcW w:w="816" w:type="dxa"/>
                  <w:vAlign w:val="center"/>
                </w:tcPr>
                <w:p w14:paraId="1957B76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4.6266</w:t>
                  </w:r>
                </w:p>
              </w:tc>
              <w:tc>
                <w:tcPr>
                  <w:tcW w:w="982" w:type="dxa"/>
                  <w:vMerge w:val="continue"/>
                  <w:vAlign w:val="center"/>
                </w:tcPr>
                <w:p w14:paraId="06385796">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7E62D71F">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295.0456</w:t>
                  </w:r>
                </w:p>
              </w:tc>
              <w:tc>
                <w:tcPr>
                  <w:tcW w:w="1108" w:type="dxa"/>
                  <w:vAlign w:val="center"/>
                </w:tcPr>
                <w:p w14:paraId="2920498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1.7349</w:t>
                  </w:r>
                </w:p>
              </w:tc>
              <w:tc>
                <w:tcPr>
                  <w:tcW w:w="928" w:type="dxa"/>
                  <w:vAlign w:val="center"/>
                </w:tcPr>
                <w:p w14:paraId="71B3132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4.1639</w:t>
                  </w:r>
                </w:p>
              </w:tc>
            </w:tr>
            <w:tr w14:paraId="1AAE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07A41010">
                  <w:pPr>
                    <w:pStyle w:val="10"/>
                    <w:snapToGrid w:val="0"/>
                    <w:ind w:left="0"/>
                    <w:jc w:val="center"/>
                    <w:rPr>
                      <w:rFonts w:ascii="Times New Roman" w:hAnsi="Times New Roman" w:cs="Times New Roman"/>
                      <w:sz w:val="18"/>
                      <w:szCs w:val="18"/>
                      <w:lang w:val="en-US"/>
                    </w:rPr>
                  </w:pPr>
                </w:p>
              </w:tc>
              <w:tc>
                <w:tcPr>
                  <w:tcW w:w="584" w:type="dxa"/>
                  <w:vAlign w:val="center"/>
                </w:tcPr>
                <w:p w14:paraId="5F394DF4">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N</w:t>
                  </w:r>
                  <w:r>
                    <w:rPr>
                      <w:rFonts w:ascii="Times New Roman" w:hAnsi="Times New Roman" w:cs="Times New Roman"/>
                      <w:sz w:val="18"/>
                      <w:szCs w:val="18"/>
                      <w:lang w:val="en-US"/>
                    </w:rPr>
                    <w:t>H</w:t>
                  </w:r>
                  <w:r>
                    <w:rPr>
                      <w:rFonts w:ascii="Times New Roman" w:hAnsi="Times New Roman" w:cs="Times New Roman"/>
                      <w:sz w:val="18"/>
                      <w:szCs w:val="18"/>
                      <w:vertAlign w:val="subscript"/>
                      <w:lang w:val="en-US"/>
                    </w:rPr>
                    <w:t>3</w:t>
                  </w:r>
                </w:p>
              </w:tc>
              <w:tc>
                <w:tcPr>
                  <w:tcW w:w="1064" w:type="dxa"/>
                  <w:vAlign w:val="center"/>
                </w:tcPr>
                <w:p w14:paraId="46F693AE">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8.12</w:t>
                  </w:r>
                  <w:r>
                    <w:rPr>
                      <w:rFonts w:ascii="Times New Roman" w:hAnsi="Times New Roman" w:cs="Times New Roman"/>
                      <w:sz w:val="18"/>
                      <w:szCs w:val="18"/>
                    </w:rPr>
                    <w:t>90</w:t>
                  </w:r>
                </w:p>
              </w:tc>
              <w:tc>
                <w:tcPr>
                  <w:tcW w:w="1018" w:type="dxa"/>
                  <w:vAlign w:val="center"/>
                </w:tcPr>
                <w:p w14:paraId="5FA081C2">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0.0478</w:t>
                  </w:r>
                </w:p>
              </w:tc>
              <w:tc>
                <w:tcPr>
                  <w:tcW w:w="816" w:type="dxa"/>
                  <w:vAlign w:val="center"/>
                </w:tcPr>
                <w:p w14:paraId="0792D29B">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0.1148</w:t>
                  </w:r>
                </w:p>
              </w:tc>
              <w:tc>
                <w:tcPr>
                  <w:tcW w:w="982" w:type="dxa"/>
                  <w:vMerge w:val="continue"/>
                  <w:vAlign w:val="center"/>
                </w:tcPr>
                <w:p w14:paraId="07748DC8">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466F727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4709</w:t>
                  </w:r>
                </w:p>
              </w:tc>
              <w:tc>
                <w:tcPr>
                  <w:tcW w:w="1108" w:type="dxa"/>
                  <w:vAlign w:val="center"/>
                </w:tcPr>
                <w:p w14:paraId="5F6ECD34">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0.02</w:t>
                  </w:r>
                  <w:r>
                    <w:rPr>
                      <w:rFonts w:ascii="Times New Roman" w:hAnsi="Times New Roman" w:cs="Times New Roman"/>
                      <w:sz w:val="18"/>
                      <w:szCs w:val="18"/>
                    </w:rPr>
                    <w:t>63</w:t>
                  </w:r>
                </w:p>
              </w:tc>
              <w:tc>
                <w:tcPr>
                  <w:tcW w:w="928" w:type="dxa"/>
                  <w:vAlign w:val="center"/>
                </w:tcPr>
                <w:p w14:paraId="243CA779">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0.06</w:t>
                  </w:r>
                  <w:r>
                    <w:rPr>
                      <w:rFonts w:ascii="Times New Roman" w:hAnsi="Times New Roman" w:cs="Times New Roman"/>
                      <w:sz w:val="18"/>
                      <w:szCs w:val="18"/>
                    </w:rPr>
                    <w:t>31</w:t>
                  </w:r>
                </w:p>
              </w:tc>
            </w:tr>
            <w:tr w14:paraId="58D1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6" w:type="dxa"/>
                  <w:vMerge w:val="continue"/>
                  <w:vAlign w:val="center"/>
                </w:tcPr>
                <w:p w14:paraId="7BCF4725">
                  <w:pPr>
                    <w:pStyle w:val="10"/>
                    <w:snapToGrid w:val="0"/>
                    <w:ind w:left="0"/>
                    <w:jc w:val="center"/>
                    <w:rPr>
                      <w:rFonts w:ascii="Times New Roman" w:hAnsi="Times New Roman" w:cs="Times New Roman"/>
                      <w:sz w:val="18"/>
                      <w:szCs w:val="18"/>
                      <w:lang w:val="en-US"/>
                    </w:rPr>
                  </w:pPr>
                </w:p>
              </w:tc>
              <w:tc>
                <w:tcPr>
                  <w:tcW w:w="584" w:type="dxa"/>
                  <w:vAlign w:val="center"/>
                </w:tcPr>
                <w:p w14:paraId="51E554D3">
                  <w:pPr>
                    <w:pStyle w:val="10"/>
                    <w:snapToGrid w:val="0"/>
                    <w:ind w:left="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S</w:t>
                  </w:r>
                </w:p>
              </w:tc>
              <w:tc>
                <w:tcPr>
                  <w:tcW w:w="1064" w:type="dxa"/>
                  <w:vAlign w:val="center"/>
                </w:tcPr>
                <w:p w14:paraId="62559D7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0.0340</w:t>
                  </w:r>
                </w:p>
              </w:tc>
              <w:tc>
                <w:tcPr>
                  <w:tcW w:w="1018" w:type="dxa"/>
                  <w:vAlign w:val="center"/>
                </w:tcPr>
                <w:p w14:paraId="57EF8B18">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2</w:t>
                  </w:r>
                </w:p>
              </w:tc>
              <w:tc>
                <w:tcPr>
                  <w:tcW w:w="816" w:type="dxa"/>
                  <w:vAlign w:val="center"/>
                </w:tcPr>
                <w:p w14:paraId="26FE696C">
                  <w:pPr>
                    <w:pStyle w:val="10"/>
                    <w:snapToGrid w:val="0"/>
                    <w:ind w:left="0" w:right="105" w:rightChars="50"/>
                    <w:jc w:val="center"/>
                    <w:rPr>
                      <w:rFonts w:ascii="Times New Roman" w:hAnsi="Times New Roman" w:cs="Times New Roman"/>
                      <w:sz w:val="18"/>
                      <w:szCs w:val="18"/>
                    </w:rPr>
                  </w:pPr>
                  <w:r>
                    <w:rPr>
                      <w:rFonts w:ascii="Times New Roman" w:hAnsi="Times New Roman" w:cs="Times New Roman"/>
                      <w:sz w:val="18"/>
                      <w:szCs w:val="18"/>
                    </w:rPr>
                    <w:t>0.0004</w:t>
                  </w:r>
                </w:p>
              </w:tc>
              <w:tc>
                <w:tcPr>
                  <w:tcW w:w="982" w:type="dxa"/>
                  <w:vMerge w:val="continue"/>
                  <w:vAlign w:val="center"/>
                </w:tcPr>
                <w:p w14:paraId="36D3A63C">
                  <w:pPr>
                    <w:pStyle w:val="10"/>
                    <w:snapToGrid w:val="0"/>
                    <w:ind w:left="0" w:right="105" w:rightChars="50"/>
                    <w:jc w:val="center"/>
                    <w:rPr>
                      <w:rFonts w:ascii="Times New Roman" w:hAnsi="Times New Roman" w:cs="Times New Roman"/>
                      <w:sz w:val="18"/>
                      <w:szCs w:val="18"/>
                      <w:lang w:val="en-US"/>
                    </w:rPr>
                  </w:pPr>
                </w:p>
              </w:tc>
              <w:tc>
                <w:tcPr>
                  <w:tcW w:w="1162" w:type="dxa"/>
                  <w:vAlign w:val="center"/>
                </w:tcPr>
                <w:p w14:paraId="14C968E5">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w:t>
                  </w:r>
                  <w:r>
                    <w:rPr>
                      <w:rFonts w:ascii="Times New Roman" w:hAnsi="Times New Roman" w:cs="Times New Roman"/>
                      <w:sz w:val="18"/>
                      <w:szCs w:val="18"/>
                    </w:rPr>
                    <w:t>187</w:t>
                  </w:r>
                </w:p>
              </w:tc>
              <w:tc>
                <w:tcPr>
                  <w:tcW w:w="1108" w:type="dxa"/>
                  <w:vAlign w:val="center"/>
                </w:tcPr>
                <w:p w14:paraId="6ACAA5EC">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0.0001</w:t>
                  </w:r>
                </w:p>
              </w:tc>
              <w:tc>
                <w:tcPr>
                  <w:tcW w:w="928" w:type="dxa"/>
                  <w:vAlign w:val="center"/>
                </w:tcPr>
                <w:p w14:paraId="75B0F2E7">
                  <w:pPr>
                    <w:pStyle w:val="10"/>
                    <w:snapToGrid w:val="0"/>
                    <w:ind w:left="0" w:right="105" w:rightChars="50"/>
                    <w:jc w:val="center"/>
                    <w:rPr>
                      <w:rFonts w:ascii="Times New Roman" w:hAnsi="Times New Roman" w:cs="Times New Roman"/>
                      <w:sz w:val="18"/>
                      <w:szCs w:val="18"/>
                    </w:rPr>
                  </w:pPr>
                  <w:r>
                    <w:rPr>
                      <w:rFonts w:hint="eastAsia" w:ascii="Times New Roman" w:hAnsi="Times New Roman" w:cs="Times New Roman"/>
                      <w:sz w:val="18"/>
                      <w:szCs w:val="18"/>
                    </w:rPr>
                    <w:t>0.0002</w:t>
                  </w:r>
                </w:p>
              </w:tc>
            </w:tr>
          </w:tbl>
          <w:p w14:paraId="52E37BDC">
            <w:pPr>
              <w:pStyle w:val="10"/>
              <w:ind w:left="0" w:right="105" w:rightChars="50"/>
              <w:jc w:val="center"/>
              <w:rPr>
                <w:rFonts w:ascii="Times New Roman" w:hAnsi="Times New Roman" w:cs="Times New Roman"/>
                <w:sz w:val="21"/>
                <w:szCs w:val="21"/>
                <w:lang w:val="en-US"/>
              </w:rPr>
            </w:pPr>
          </w:p>
          <w:p w14:paraId="3A3942D9">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三、</w:t>
            </w:r>
            <w:r>
              <w:rPr>
                <w:rFonts w:ascii="Times New Roman" w:hAnsi="Times New Roman" w:cs="Times New Roman"/>
              </w:rPr>
              <w:t>噪声</w:t>
            </w:r>
          </w:p>
          <w:p w14:paraId="4E741CD2">
            <w:pPr>
              <w:spacing w:line="360" w:lineRule="auto"/>
              <w:ind w:firstLine="240" w:firstLineChars="100"/>
              <w:rPr>
                <w:rFonts w:ascii="Times New Roman" w:hAnsi="Times New Roman" w:cs="Times New Roman"/>
                <w:sz w:val="24"/>
              </w:rPr>
            </w:pPr>
            <w:r>
              <w:rPr>
                <w:rFonts w:ascii="Times New Roman" w:hAnsi="Times New Roman" w:cs="Times New Roman"/>
                <w:sz w:val="24"/>
              </w:rPr>
              <w:t>本项目噪声主要来源于</w:t>
            </w:r>
            <w:r>
              <w:rPr>
                <w:rFonts w:hint="eastAsia" w:ascii="Times New Roman" w:hAnsi="Times New Roman" w:cs="Times New Roman"/>
                <w:sz w:val="24"/>
              </w:rPr>
              <w:t>破碎机</w:t>
            </w:r>
            <w:r>
              <w:rPr>
                <w:rFonts w:ascii="Times New Roman" w:hAnsi="Times New Roman" w:cs="Times New Roman"/>
                <w:sz w:val="24"/>
              </w:rPr>
              <w:t>、化制机、榨油机、</w:t>
            </w:r>
            <w:r>
              <w:rPr>
                <w:rFonts w:hint="eastAsia" w:ascii="Times New Roman" w:hAnsi="Times New Roman" w:cs="Times New Roman"/>
                <w:sz w:val="24"/>
              </w:rPr>
              <w:t>空压机、泵类</w:t>
            </w:r>
            <w:r>
              <w:rPr>
                <w:rFonts w:ascii="Times New Roman" w:hAnsi="Times New Roman" w:cs="Times New Roman"/>
                <w:sz w:val="24"/>
              </w:rPr>
              <w:t>、冷却塔、</w:t>
            </w:r>
            <w:r>
              <w:rPr>
                <w:rFonts w:hint="eastAsia" w:ascii="Times New Roman" w:hAnsi="Times New Roman" w:cs="Times New Roman"/>
                <w:sz w:val="24"/>
              </w:rPr>
              <w:t>喷淋塔、</w:t>
            </w:r>
            <w:r>
              <w:rPr>
                <w:rFonts w:ascii="Times New Roman" w:hAnsi="Times New Roman" w:cs="Times New Roman"/>
                <w:sz w:val="24"/>
              </w:rPr>
              <w:t>风机等设备噪 声，噪声值77~90dB。</w:t>
            </w:r>
          </w:p>
          <w:p w14:paraId="3062EA1A">
            <w:pPr>
              <w:jc w:val="center"/>
              <w:rPr>
                <w:rFonts w:ascii="Times New Roman" w:hAnsi="Times New Roman" w:eastAsia="宋体" w:cs="Times New Roman"/>
                <w:b/>
                <w:szCs w:val="21"/>
              </w:rPr>
            </w:pPr>
            <w:bookmarkStart w:id="54" w:name="_Hlk109061371"/>
            <w:r>
              <w:rPr>
                <w:rFonts w:ascii="Times New Roman" w:hAnsi="Times New Roman" w:eastAsia="宋体" w:cs="Times New Roman"/>
                <w:b/>
                <w:szCs w:val="21"/>
              </w:rPr>
              <w:t>表2-19    主要噪声声源一览表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126"/>
              <w:gridCol w:w="709"/>
              <w:gridCol w:w="1275"/>
              <w:gridCol w:w="1276"/>
              <w:gridCol w:w="2454"/>
            </w:tblGrid>
            <w:tr w14:paraId="6D58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16674753">
                  <w:pPr>
                    <w:pStyle w:val="10"/>
                    <w:ind w:left="0" w:right="105" w:rightChars="50"/>
                    <w:jc w:val="center"/>
                    <w:rPr>
                      <w:rFonts w:ascii="Times New Roman" w:hAnsi="Times New Roman" w:cs="Times New Roman"/>
                      <w:sz w:val="21"/>
                      <w:szCs w:val="21"/>
                      <w:lang w:val="en-US"/>
                    </w:rPr>
                  </w:pPr>
                  <w:bookmarkStart w:id="55" w:name="_Hlk99570584"/>
                  <w:r>
                    <w:rPr>
                      <w:rFonts w:hint="eastAsia" w:ascii="Times New Roman" w:hAnsi="Times New Roman" w:cs="Times New Roman"/>
                      <w:sz w:val="21"/>
                      <w:szCs w:val="21"/>
                      <w:lang w:val="en-US"/>
                    </w:rPr>
                    <w:t>序号</w:t>
                  </w:r>
                </w:p>
              </w:tc>
              <w:tc>
                <w:tcPr>
                  <w:tcW w:w="2126" w:type="dxa"/>
                  <w:vAlign w:val="center"/>
                </w:tcPr>
                <w:p w14:paraId="41293FD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噪声源</w:t>
                  </w:r>
                </w:p>
              </w:tc>
              <w:tc>
                <w:tcPr>
                  <w:tcW w:w="709" w:type="dxa"/>
                  <w:vAlign w:val="center"/>
                </w:tcPr>
                <w:p w14:paraId="53D64C3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数量</w:t>
                  </w:r>
                </w:p>
              </w:tc>
              <w:tc>
                <w:tcPr>
                  <w:tcW w:w="1275" w:type="dxa"/>
                  <w:vAlign w:val="center"/>
                </w:tcPr>
                <w:p w14:paraId="32E9A06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单台源强</w:t>
                  </w:r>
                </w:p>
                <w:p w14:paraId="30F6A37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B</w:t>
                  </w:r>
                  <w:r>
                    <w:rPr>
                      <w:rFonts w:hint="eastAsia" w:ascii="Times New Roman" w:hAnsi="Times New Roman" w:cs="Times New Roman"/>
                      <w:sz w:val="21"/>
                      <w:szCs w:val="21"/>
                      <w:lang w:val="en-US"/>
                    </w:rPr>
                    <w:t>（A）</w:t>
                  </w:r>
                  <w:r>
                    <w:rPr>
                      <w:rFonts w:ascii="Times New Roman" w:hAnsi="Times New Roman" w:cs="Times New Roman"/>
                      <w:sz w:val="21"/>
                      <w:szCs w:val="21"/>
                      <w:lang w:val="en-US"/>
                    </w:rPr>
                    <w:t>]</w:t>
                  </w:r>
                </w:p>
              </w:tc>
              <w:tc>
                <w:tcPr>
                  <w:tcW w:w="1276" w:type="dxa"/>
                  <w:vAlign w:val="center"/>
                </w:tcPr>
                <w:p w14:paraId="6B5BB32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所处位置</w:t>
                  </w:r>
                </w:p>
              </w:tc>
              <w:tc>
                <w:tcPr>
                  <w:tcW w:w="2454" w:type="dxa"/>
                  <w:tcBorders>
                    <w:top w:val="single" w:color="auto" w:sz="4" w:space="0"/>
                    <w:left w:val="single" w:color="auto" w:sz="4" w:space="0"/>
                    <w:bottom w:val="single" w:color="auto" w:sz="4" w:space="0"/>
                    <w:right w:val="single" w:color="auto" w:sz="4" w:space="0"/>
                  </w:tcBorders>
                  <w:vAlign w:val="center"/>
                </w:tcPr>
                <w:p w14:paraId="1728191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降噪措施</w:t>
                  </w:r>
                </w:p>
              </w:tc>
            </w:tr>
            <w:tr w14:paraId="0706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72FF5E1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p>
              </w:tc>
              <w:tc>
                <w:tcPr>
                  <w:tcW w:w="2126" w:type="dxa"/>
                  <w:vAlign w:val="center"/>
                </w:tcPr>
                <w:p w14:paraId="350C9F64">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破碎机</w:t>
                  </w:r>
                  <w:r>
                    <w:rPr>
                      <w:rFonts w:hint="eastAsia" w:ascii="Times New Roman" w:hAnsi="Times New Roman" w:cs="Times New Roman"/>
                      <w:sz w:val="21"/>
                      <w:szCs w:val="21"/>
                      <w:lang w:val="en-US"/>
                    </w:rPr>
                    <w:t>（N</w:t>
                  </w:r>
                  <w:r>
                    <w:rPr>
                      <w:rFonts w:ascii="Times New Roman" w:hAnsi="Times New Roman" w:cs="Times New Roman"/>
                      <w:sz w:val="21"/>
                      <w:szCs w:val="21"/>
                      <w:lang w:val="en-US"/>
                    </w:rPr>
                    <w:t>1</w:t>
                  </w:r>
                  <w:r>
                    <w:rPr>
                      <w:rFonts w:hint="eastAsia" w:ascii="Times New Roman" w:hAnsi="Times New Roman" w:cs="Times New Roman"/>
                      <w:sz w:val="21"/>
                      <w:szCs w:val="21"/>
                      <w:lang w:val="en-US"/>
                    </w:rPr>
                    <w:t>）</w:t>
                  </w:r>
                </w:p>
              </w:tc>
              <w:tc>
                <w:tcPr>
                  <w:tcW w:w="709" w:type="dxa"/>
                  <w:vAlign w:val="center"/>
                </w:tcPr>
                <w:p w14:paraId="0332651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2D7B3E9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7F97CC9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42EE105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2CCA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785AA8F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w:t>
                  </w:r>
                </w:p>
              </w:tc>
              <w:tc>
                <w:tcPr>
                  <w:tcW w:w="2126" w:type="dxa"/>
                  <w:vAlign w:val="center"/>
                </w:tcPr>
                <w:p w14:paraId="339AE2EB">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化制罐</w:t>
                  </w:r>
                  <w:r>
                    <w:rPr>
                      <w:rFonts w:hint="eastAsia" w:ascii="Times New Roman" w:hAnsi="Times New Roman" w:cs="Times New Roman"/>
                      <w:sz w:val="21"/>
                      <w:szCs w:val="21"/>
                      <w:lang w:val="en-US"/>
                    </w:rPr>
                    <w:t>（N</w:t>
                  </w:r>
                  <w:r>
                    <w:rPr>
                      <w:rFonts w:ascii="Times New Roman" w:hAnsi="Times New Roman" w:cs="Times New Roman"/>
                      <w:sz w:val="21"/>
                      <w:szCs w:val="21"/>
                      <w:lang w:val="en-US"/>
                    </w:rPr>
                    <w:t>2</w:t>
                  </w:r>
                  <w:r>
                    <w:rPr>
                      <w:rFonts w:hint="eastAsia" w:ascii="Times New Roman" w:hAnsi="Times New Roman" w:cs="Times New Roman"/>
                      <w:sz w:val="21"/>
                      <w:szCs w:val="21"/>
                      <w:lang w:val="en-US"/>
                    </w:rPr>
                    <w:t>）</w:t>
                  </w:r>
                </w:p>
              </w:tc>
              <w:tc>
                <w:tcPr>
                  <w:tcW w:w="709" w:type="dxa"/>
                  <w:vAlign w:val="center"/>
                </w:tcPr>
                <w:p w14:paraId="7BE7DBC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5E214DE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r>
                    <w:rPr>
                      <w:rFonts w:ascii="Times New Roman" w:hAnsi="Times New Roman" w:cs="Times New Roman"/>
                      <w:sz w:val="21"/>
                      <w:szCs w:val="21"/>
                      <w:lang w:val="en-US"/>
                    </w:rPr>
                    <w:t>7</w:t>
                  </w:r>
                </w:p>
              </w:tc>
              <w:tc>
                <w:tcPr>
                  <w:tcW w:w="1276" w:type="dxa"/>
                  <w:vAlign w:val="center"/>
                </w:tcPr>
                <w:p w14:paraId="4212FDF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2B5C6EB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48E3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28862EB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3</w:t>
                  </w:r>
                </w:p>
              </w:tc>
              <w:tc>
                <w:tcPr>
                  <w:tcW w:w="2126" w:type="dxa"/>
                  <w:vAlign w:val="center"/>
                </w:tcPr>
                <w:p w14:paraId="2EC651BA">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榨油机</w:t>
                  </w:r>
                  <w:r>
                    <w:rPr>
                      <w:rFonts w:hint="eastAsia" w:ascii="Times New Roman" w:hAnsi="Times New Roman" w:cs="Times New Roman"/>
                      <w:sz w:val="21"/>
                      <w:szCs w:val="21"/>
                      <w:lang w:val="en-US"/>
                    </w:rPr>
                    <w:t>（N</w:t>
                  </w:r>
                  <w:r>
                    <w:rPr>
                      <w:rFonts w:ascii="Times New Roman" w:hAnsi="Times New Roman" w:cs="Times New Roman"/>
                      <w:sz w:val="21"/>
                      <w:szCs w:val="21"/>
                      <w:lang w:val="en-US"/>
                    </w:rPr>
                    <w:t>3</w:t>
                  </w:r>
                  <w:r>
                    <w:rPr>
                      <w:rFonts w:hint="eastAsia" w:ascii="Times New Roman" w:hAnsi="Times New Roman" w:cs="Times New Roman"/>
                      <w:sz w:val="21"/>
                      <w:szCs w:val="21"/>
                      <w:lang w:val="en-US"/>
                    </w:rPr>
                    <w:t>）</w:t>
                  </w:r>
                </w:p>
              </w:tc>
              <w:tc>
                <w:tcPr>
                  <w:tcW w:w="709" w:type="dxa"/>
                  <w:vAlign w:val="center"/>
                </w:tcPr>
                <w:p w14:paraId="2E28175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3128C9F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r>
                    <w:rPr>
                      <w:rFonts w:ascii="Times New Roman" w:hAnsi="Times New Roman" w:cs="Times New Roman"/>
                      <w:sz w:val="21"/>
                      <w:szCs w:val="21"/>
                      <w:lang w:val="en-US"/>
                    </w:rPr>
                    <w:t>7</w:t>
                  </w:r>
                </w:p>
              </w:tc>
              <w:tc>
                <w:tcPr>
                  <w:tcW w:w="1276" w:type="dxa"/>
                  <w:vAlign w:val="center"/>
                </w:tcPr>
                <w:p w14:paraId="283C97C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344AA8E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31FA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79521CE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4</w:t>
                  </w:r>
                </w:p>
              </w:tc>
              <w:tc>
                <w:tcPr>
                  <w:tcW w:w="2126" w:type="dxa"/>
                  <w:vAlign w:val="center"/>
                </w:tcPr>
                <w:p w14:paraId="0724467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搅拌机（N</w:t>
                  </w:r>
                  <w:r>
                    <w:rPr>
                      <w:rFonts w:ascii="Times New Roman" w:hAnsi="Times New Roman" w:cs="Times New Roman"/>
                      <w:sz w:val="21"/>
                      <w:szCs w:val="21"/>
                      <w:lang w:val="en-US"/>
                    </w:rPr>
                    <w:t>4</w:t>
                  </w:r>
                  <w:r>
                    <w:rPr>
                      <w:rFonts w:hint="eastAsia" w:ascii="Times New Roman" w:hAnsi="Times New Roman" w:cs="Times New Roman"/>
                      <w:sz w:val="21"/>
                      <w:szCs w:val="21"/>
                      <w:lang w:val="en-US"/>
                    </w:rPr>
                    <w:t>）</w:t>
                  </w:r>
                </w:p>
              </w:tc>
              <w:tc>
                <w:tcPr>
                  <w:tcW w:w="709" w:type="dxa"/>
                  <w:vAlign w:val="center"/>
                </w:tcPr>
                <w:p w14:paraId="6B5DF10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6B3B86B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r>
                    <w:rPr>
                      <w:rFonts w:ascii="Times New Roman" w:hAnsi="Times New Roman" w:cs="Times New Roman"/>
                      <w:sz w:val="21"/>
                      <w:szCs w:val="21"/>
                      <w:lang w:val="en-US"/>
                    </w:rPr>
                    <w:t>0</w:t>
                  </w:r>
                </w:p>
              </w:tc>
              <w:tc>
                <w:tcPr>
                  <w:tcW w:w="1276" w:type="dxa"/>
                  <w:vAlign w:val="center"/>
                </w:tcPr>
                <w:p w14:paraId="12DBCB0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0B799D5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0E0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0B5693D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5</w:t>
                  </w:r>
                </w:p>
              </w:tc>
              <w:tc>
                <w:tcPr>
                  <w:tcW w:w="2126" w:type="dxa"/>
                  <w:vAlign w:val="center"/>
                </w:tcPr>
                <w:p w14:paraId="7FBC37CB">
                  <w:pPr>
                    <w:pStyle w:val="10"/>
                    <w:ind w:left="0" w:right="105" w:rightChars="50"/>
                    <w:jc w:val="center"/>
                    <w:rPr>
                      <w:rFonts w:ascii="Times New Roman" w:hAnsi="Times New Roman" w:cs="Times New Roman"/>
                      <w:sz w:val="21"/>
                      <w:szCs w:val="21"/>
                      <w:lang w:val="en-US"/>
                    </w:rPr>
                  </w:pPr>
                  <w:r>
                    <w:rPr>
                      <w:rFonts w:ascii="Times New Roman" w:hAnsi="Times New Roman" w:cs="Times New Roman"/>
                      <w:sz w:val="21"/>
                      <w:szCs w:val="21"/>
                      <w:lang w:val="en-US"/>
                    </w:rPr>
                    <w:t>离心机</w:t>
                  </w:r>
                  <w:r>
                    <w:rPr>
                      <w:rFonts w:hint="eastAsia" w:ascii="Times New Roman" w:hAnsi="Times New Roman" w:cs="Times New Roman"/>
                      <w:sz w:val="21"/>
                      <w:szCs w:val="21"/>
                      <w:lang w:val="en-US"/>
                    </w:rPr>
                    <w:t>（N</w:t>
                  </w:r>
                  <w:r>
                    <w:rPr>
                      <w:rFonts w:ascii="Times New Roman" w:hAnsi="Times New Roman" w:cs="Times New Roman"/>
                      <w:sz w:val="21"/>
                      <w:szCs w:val="21"/>
                      <w:lang w:val="en-US"/>
                    </w:rPr>
                    <w:t>5</w:t>
                  </w:r>
                  <w:r>
                    <w:rPr>
                      <w:rFonts w:hint="eastAsia" w:ascii="Times New Roman" w:hAnsi="Times New Roman" w:cs="Times New Roman"/>
                      <w:sz w:val="21"/>
                      <w:szCs w:val="21"/>
                      <w:lang w:val="en-US"/>
                    </w:rPr>
                    <w:t>）</w:t>
                  </w:r>
                </w:p>
              </w:tc>
              <w:tc>
                <w:tcPr>
                  <w:tcW w:w="709" w:type="dxa"/>
                  <w:vAlign w:val="center"/>
                </w:tcPr>
                <w:p w14:paraId="48521A0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14FCA20B">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375B0CD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456AE9D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减振，厂房隔声</w:t>
                  </w:r>
                </w:p>
              </w:tc>
            </w:tr>
            <w:tr w14:paraId="0562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C86F8F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p>
              </w:tc>
              <w:tc>
                <w:tcPr>
                  <w:tcW w:w="2126" w:type="dxa"/>
                  <w:vAlign w:val="center"/>
                </w:tcPr>
                <w:p w14:paraId="19CF9CB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冷却塔水泵（N</w:t>
                  </w:r>
                  <w:r>
                    <w:rPr>
                      <w:rFonts w:ascii="Times New Roman" w:hAnsi="Times New Roman" w:cs="Times New Roman"/>
                      <w:sz w:val="21"/>
                      <w:szCs w:val="21"/>
                      <w:lang w:val="en-US"/>
                    </w:rPr>
                    <w:t>6</w:t>
                  </w:r>
                  <w:r>
                    <w:rPr>
                      <w:rFonts w:hint="eastAsia" w:ascii="Times New Roman" w:hAnsi="Times New Roman" w:cs="Times New Roman"/>
                      <w:sz w:val="21"/>
                      <w:szCs w:val="21"/>
                      <w:lang w:val="en-US"/>
                    </w:rPr>
                    <w:t>）</w:t>
                  </w:r>
                </w:p>
              </w:tc>
              <w:tc>
                <w:tcPr>
                  <w:tcW w:w="709" w:type="dxa"/>
                  <w:vAlign w:val="center"/>
                </w:tcPr>
                <w:p w14:paraId="07F80E1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444E74E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5</w:t>
                  </w:r>
                </w:p>
              </w:tc>
              <w:tc>
                <w:tcPr>
                  <w:tcW w:w="1276" w:type="dxa"/>
                  <w:vAlign w:val="center"/>
                </w:tcPr>
                <w:p w14:paraId="588AEC9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冷却塔</w:t>
                  </w:r>
                </w:p>
              </w:tc>
              <w:tc>
                <w:tcPr>
                  <w:tcW w:w="2454" w:type="dxa"/>
                  <w:tcBorders>
                    <w:top w:val="single" w:color="auto" w:sz="4" w:space="0"/>
                    <w:left w:val="single" w:color="auto" w:sz="4" w:space="0"/>
                    <w:bottom w:val="single" w:color="auto" w:sz="4" w:space="0"/>
                    <w:right w:val="single" w:color="auto" w:sz="4" w:space="0"/>
                  </w:tcBorders>
                  <w:vAlign w:val="center"/>
                </w:tcPr>
                <w:p w14:paraId="1FA6F50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tr w14:paraId="2918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F8CB1F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7</w:t>
                  </w:r>
                </w:p>
              </w:tc>
              <w:tc>
                <w:tcPr>
                  <w:tcW w:w="2126" w:type="dxa"/>
                  <w:vAlign w:val="center"/>
                </w:tcPr>
                <w:p w14:paraId="50C1052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酸碱喷淋塔水泵（N</w:t>
                  </w:r>
                  <w:r>
                    <w:rPr>
                      <w:rFonts w:ascii="Times New Roman" w:hAnsi="Times New Roman" w:cs="Times New Roman"/>
                      <w:sz w:val="21"/>
                      <w:szCs w:val="21"/>
                      <w:lang w:val="en-US"/>
                    </w:rPr>
                    <w:t>7</w:t>
                  </w:r>
                  <w:r>
                    <w:rPr>
                      <w:rFonts w:hint="eastAsia" w:ascii="Times New Roman" w:hAnsi="Times New Roman" w:cs="Times New Roman"/>
                      <w:sz w:val="21"/>
                      <w:szCs w:val="21"/>
                      <w:lang w:val="en-US"/>
                    </w:rPr>
                    <w:t>）</w:t>
                  </w:r>
                </w:p>
              </w:tc>
              <w:tc>
                <w:tcPr>
                  <w:tcW w:w="709" w:type="dxa"/>
                  <w:vAlign w:val="center"/>
                </w:tcPr>
                <w:p w14:paraId="0725AC1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2台</w:t>
                  </w:r>
                </w:p>
              </w:tc>
              <w:tc>
                <w:tcPr>
                  <w:tcW w:w="1275" w:type="dxa"/>
                  <w:vAlign w:val="center"/>
                </w:tcPr>
                <w:p w14:paraId="39914D4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5</w:t>
                  </w:r>
                </w:p>
              </w:tc>
              <w:tc>
                <w:tcPr>
                  <w:tcW w:w="1276" w:type="dxa"/>
                  <w:vAlign w:val="center"/>
                </w:tcPr>
                <w:p w14:paraId="08FF7AD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喷淋塔</w:t>
                  </w:r>
                </w:p>
              </w:tc>
              <w:tc>
                <w:tcPr>
                  <w:tcW w:w="2454" w:type="dxa"/>
                  <w:tcBorders>
                    <w:top w:val="single" w:color="auto" w:sz="4" w:space="0"/>
                    <w:left w:val="single" w:color="auto" w:sz="4" w:space="0"/>
                    <w:bottom w:val="single" w:color="auto" w:sz="4" w:space="0"/>
                    <w:right w:val="single" w:color="auto" w:sz="4" w:space="0"/>
                  </w:tcBorders>
                  <w:vAlign w:val="center"/>
                </w:tcPr>
                <w:p w14:paraId="1B0973B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tr w14:paraId="1C93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Merge w:val="restart"/>
                  <w:vAlign w:val="center"/>
                </w:tcPr>
                <w:p w14:paraId="0FDAAF3C">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p>
              </w:tc>
              <w:tc>
                <w:tcPr>
                  <w:tcW w:w="2126" w:type="dxa"/>
                  <w:vAlign w:val="center"/>
                </w:tcPr>
                <w:p w14:paraId="0A289F7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污水泵（N</w:t>
                  </w:r>
                  <w:r>
                    <w:rPr>
                      <w:rFonts w:ascii="Times New Roman" w:hAnsi="Times New Roman" w:cs="Times New Roman"/>
                      <w:sz w:val="21"/>
                      <w:szCs w:val="21"/>
                      <w:lang w:val="en-US"/>
                    </w:rPr>
                    <w:t>8</w:t>
                  </w:r>
                  <w:r>
                    <w:rPr>
                      <w:rFonts w:hint="eastAsia" w:ascii="Times New Roman" w:hAnsi="Times New Roman" w:cs="Times New Roman"/>
                      <w:sz w:val="21"/>
                      <w:szCs w:val="21"/>
                      <w:lang w:val="en-US"/>
                    </w:rPr>
                    <w:t>）</w:t>
                  </w:r>
                </w:p>
              </w:tc>
              <w:tc>
                <w:tcPr>
                  <w:tcW w:w="709" w:type="dxa"/>
                  <w:vAlign w:val="center"/>
                </w:tcPr>
                <w:p w14:paraId="5844564E">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5AA5055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w:t>
                  </w:r>
                  <w:r>
                    <w:rPr>
                      <w:rFonts w:ascii="Times New Roman" w:hAnsi="Times New Roman" w:cs="Times New Roman"/>
                      <w:sz w:val="21"/>
                      <w:szCs w:val="21"/>
                      <w:lang w:val="en-US"/>
                    </w:rPr>
                    <w:t>5</w:t>
                  </w:r>
                </w:p>
              </w:tc>
              <w:tc>
                <w:tcPr>
                  <w:tcW w:w="1276" w:type="dxa"/>
                  <w:vAlign w:val="center"/>
                </w:tcPr>
                <w:p w14:paraId="67C1A7E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污水站</w:t>
                  </w:r>
                </w:p>
              </w:tc>
              <w:tc>
                <w:tcPr>
                  <w:tcW w:w="2454" w:type="dxa"/>
                  <w:tcBorders>
                    <w:top w:val="single" w:color="auto" w:sz="4" w:space="0"/>
                    <w:left w:val="single" w:color="auto" w:sz="4" w:space="0"/>
                    <w:bottom w:val="single" w:color="auto" w:sz="4" w:space="0"/>
                    <w:right w:val="single" w:color="auto" w:sz="4" w:space="0"/>
                  </w:tcBorders>
                  <w:vAlign w:val="center"/>
                </w:tcPr>
                <w:p w14:paraId="6C0BE7C3">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tr w14:paraId="4208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Merge w:val="continue"/>
                  <w:vAlign w:val="center"/>
                </w:tcPr>
                <w:p w14:paraId="7732E5C6">
                  <w:pPr>
                    <w:pStyle w:val="10"/>
                    <w:ind w:left="0" w:right="105" w:rightChars="50"/>
                    <w:jc w:val="center"/>
                    <w:rPr>
                      <w:rFonts w:ascii="Times New Roman" w:hAnsi="Times New Roman" w:cs="Times New Roman"/>
                      <w:sz w:val="21"/>
                      <w:szCs w:val="21"/>
                      <w:lang w:val="en-US"/>
                    </w:rPr>
                  </w:pPr>
                </w:p>
              </w:tc>
              <w:tc>
                <w:tcPr>
                  <w:tcW w:w="2126" w:type="dxa"/>
                  <w:vAlign w:val="center"/>
                </w:tcPr>
                <w:p w14:paraId="6B283BA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污水站风机（N</w:t>
                  </w:r>
                  <w:r>
                    <w:rPr>
                      <w:rFonts w:ascii="Times New Roman" w:hAnsi="Times New Roman" w:cs="Times New Roman"/>
                      <w:sz w:val="21"/>
                      <w:szCs w:val="21"/>
                      <w:lang w:val="en-US"/>
                    </w:rPr>
                    <w:t>9</w:t>
                  </w:r>
                  <w:r>
                    <w:rPr>
                      <w:rFonts w:hint="eastAsia" w:ascii="Times New Roman" w:hAnsi="Times New Roman" w:cs="Times New Roman"/>
                      <w:sz w:val="21"/>
                      <w:szCs w:val="21"/>
                      <w:lang w:val="en-US"/>
                    </w:rPr>
                    <w:t>）</w:t>
                  </w:r>
                </w:p>
              </w:tc>
              <w:tc>
                <w:tcPr>
                  <w:tcW w:w="709" w:type="dxa"/>
                  <w:vAlign w:val="center"/>
                </w:tcPr>
                <w:p w14:paraId="7FD10ED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3EB1A042">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7E2CED85">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污水站</w:t>
                  </w:r>
                </w:p>
              </w:tc>
              <w:tc>
                <w:tcPr>
                  <w:tcW w:w="2454" w:type="dxa"/>
                  <w:tcBorders>
                    <w:top w:val="single" w:color="auto" w:sz="4" w:space="0"/>
                    <w:left w:val="single" w:color="auto" w:sz="4" w:space="0"/>
                    <w:bottom w:val="single" w:color="auto" w:sz="4" w:space="0"/>
                    <w:right w:val="single" w:color="auto" w:sz="4" w:space="0"/>
                  </w:tcBorders>
                  <w:vAlign w:val="center"/>
                </w:tcPr>
                <w:p w14:paraId="6A9C445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减振，消声器，车间隔声</w:t>
                  </w:r>
                </w:p>
              </w:tc>
            </w:tr>
            <w:tr w14:paraId="7DC8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0396451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9</w:t>
                  </w:r>
                </w:p>
              </w:tc>
              <w:tc>
                <w:tcPr>
                  <w:tcW w:w="2126" w:type="dxa"/>
                  <w:vAlign w:val="center"/>
                </w:tcPr>
                <w:p w14:paraId="492D4BA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无害化处理负压站（N</w:t>
                  </w:r>
                  <w:r>
                    <w:rPr>
                      <w:rFonts w:ascii="Times New Roman" w:hAnsi="Times New Roman" w:cs="Times New Roman"/>
                      <w:sz w:val="21"/>
                      <w:szCs w:val="21"/>
                      <w:lang w:val="en-US"/>
                    </w:rPr>
                    <w:t>10</w:t>
                  </w:r>
                  <w:r>
                    <w:rPr>
                      <w:rFonts w:hint="eastAsia" w:ascii="Times New Roman" w:hAnsi="Times New Roman" w:cs="Times New Roman"/>
                      <w:sz w:val="21"/>
                      <w:szCs w:val="21"/>
                      <w:lang w:val="en-US"/>
                    </w:rPr>
                    <w:t>）</w:t>
                  </w:r>
                </w:p>
              </w:tc>
              <w:tc>
                <w:tcPr>
                  <w:tcW w:w="709" w:type="dxa"/>
                  <w:vAlign w:val="center"/>
                </w:tcPr>
                <w:p w14:paraId="347BD77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78C73A3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6B1B8A94">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w:t>
                  </w:r>
                </w:p>
              </w:tc>
              <w:tc>
                <w:tcPr>
                  <w:tcW w:w="2454" w:type="dxa"/>
                  <w:tcBorders>
                    <w:top w:val="single" w:color="auto" w:sz="4" w:space="0"/>
                    <w:left w:val="single" w:color="auto" w:sz="4" w:space="0"/>
                    <w:bottom w:val="single" w:color="auto" w:sz="4" w:space="0"/>
                    <w:right w:val="single" w:color="auto" w:sz="4" w:space="0"/>
                  </w:tcBorders>
                  <w:vAlign w:val="center"/>
                </w:tcPr>
                <w:p w14:paraId="4364C6A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减振，消声器，车间隔声</w:t>
                  </w:r>
                </w:p>
              </w:tc>
            </w:tr>
            <w:tr w14:paraId="24C3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5BBBCA2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0</w:t>
                  </w:r>
                </w:p>
              </w:tc>
              <w:tc>
                <w:tcPr>
                  <w:tcW w:w="2126" w:type="dxa"/>
                  <w:vAlign w:val="center"/>
                </w:tcPr>
                <w:p w14:paraId="47428A76">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车间负压系统风机（N</w:t>
                  </w:r>
                  <w:r>
                    <w:rPr>
                      <w:rFonts w:ascii="Times New Roman" w:hAnsi="Times New Roman" w:cs="Times New Roman"/>
                      <w:sz w:val="21"/>
                      <w:szCs w:val="21"/>
                      <w:lang w:val="en-US"/>
                    </w:rPr>
                    <w:t>11</w:t>
                  </w:r>
                  <w:r>
                    <w:rPr>
                      <w:rFonts w:hint="eastAsia" w:ascii="Times New Roman" w:hAnsi="Times New Roman" w:cs="Times New Roman"/>
                      <w:sz w:val="21"/>
                      <w:szCs w:val="21"/>
                      <w:lang w:val="en-US"/>
                    </w:rPr>
                    <w:t>）</w:t>
                  </w:r>
                </w:p>
              </w:tc>
              <w:tc>
                <w:tcPr>
                  <w:tcW w:w="709" w:type="dxa"/>
                  <w:vAlign w:val="center"/>
                </w:tcPr>
                <w:p w14:paraId="33F01E5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70E7389A">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8</w:t>
                  </w:r>
                  <w:r>
                    <w:rPr>
                      <w:rFonts w:ascii="Times New Roman" w:hAnsi="Times New Roman" w:cs="Times New Roman"/>
                      <w:sz w:val="21"/>
                      <w:szCs w:val="21"/>
                      <w:lang w:val="en-US"/>
                    </w:rPr>
                    <w:t>0</w:t>
                  </w:r>
                </w:p>
              </w:tc>
              <w:tc>
                <w:tcPr>
                  <w:tcW w:w="1276" w:type="dxa"/>
                  <w:vAlign w:val="center"/>
                </w:tcPr>
                <w:p w14:paraId="47D4DEC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处理厂房外</w:t>
                  </w:r>
                </w:p>
              </w:tc>
              <w:tc>
                <w:tcPr>
                  <w:tcW w:w="2454" w:type="dxa"/>
                  <w:tcBorders>
                    <w:top w:val="single" w:color="auto" w:sz="4" w:space="0"/>
                    <w:left w:val="single" w:color="auto" w:sz="4" w:space="0"/>
                    <w:bottom w:val="single" w:color="auto" w:sz="4" w:space="0"/>
                    <w:right w:val="single" w:color="auto" w:sz="4" w:space="0"/>
                  </w:tcBorders>
                  <w:vAlign w:val="center"/>
                </w:tcPr>
                <w:p w14:paraId="7C4BDAB8">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减振，消声器，车间隔声</w:t>
                  </w:r>
                </w:p>
              </w:tc>
            </w:tr>
            <w:tr w14:paraId="084D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2058D4A9">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1</w:t>
                  </w:r>
                </w:p>
              </w:tc>
              <w:tc>
                <w:tcPr>
                  <w:tcW w:w="2126" w:type="dxa"/>
                  <w:vAlign w:val="center"/>
                </w:tcPr>
                <w:p w14:paraId="3D7A460F">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空压机（N</w:t>
                  </w:r>
                  <w:r>
                    <w:rPr>
                      <w:rFonts w:ascii="Times New Roman" w:hAnsi="Times New Roman" w:cs="Times New Roman"/>
                      <w:sz w:val="21"/>
                      <w:szCs w:val="21"/>
                      <w:lang w:val="en-US"/>
                    </w:rPr>
                    <w:t>12</w:t>
                  </w:r>
                  <w:r>
                    <w:rPr>
                      <w:rFonts w:hint="eastAsia" w:ascii="Times New Roman" w:hAnsi="Times New Roman" w:cs="Times New Roman"/>
                      <w:sz w:val="21"/>
                      <w:szCs w:val="21"/>
                      <w:lang w:val="en-US"/>
                    </w:rPr>
                    <w:t>）</w:t>
                  </w:r>
                </w:p>
              </w:tc>
              <w:tc>
                <w:tcPr>
                  <w:tcW w:w="709" w:type="dxa"/>
                  <w:vAlign w:val="center"/>
                </w:tcPr>
                <w:p w14:paraId="64356AD7">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1台</w:t>
                  </w:r>
                </w:p>
              </w:tc>
              <w:tc>
                <w:tcPr>
                  <w:tcW w:w="1275" w:type="dxa"/>
                  <w:vAlign w:val="center"/>
                </w:tcPr>
                <w:p w14:paraId="45723670">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9</w:t>
                  </w:r>
                  <w:r>
                    <w:rPr>
                      <w:rFonts w:ascii="Times New Roman" w:hAnsi="Times New Roman" w:cs="Times New Roman"/>
                      <w:sz w:val="21"/>
                      <w:szCs w:val="21"/>
                      <w:lang w:val="en-US"/>
                    </w:rPr>
                    <w:t>0</w:t>
                  </w:r>
                </w:p>
              </w:tc>
              <w:tc>
                <w:tcPr>
                  <w:tcW w:w="1276" w:type="dxa"/>
                  <w:vAlign w:val="center"/>
                </w:tcPr>
                <w:p w14:paraId="27F3DB7D">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冷库</w:t>
                  </w:r>
                </w:p>
              </w:tc>
              <w:tc>
                <w:tcPr>
                  <w:tcW w:w="2454" w:type="dxa"/>
                  <w:tcBorders>
                    <w:top w:val="single" w:color="auto" w:sz="4" w:space="0"/>
                    <w:left w:val="single" w:color="auto" w:sz="4" w:space="0"/>
                    <w:bottom w:val="single" w:color="auto" w:sz="4" w:space="0"/>
                    <w:right w:val="single" w:color="auto" w:sz="4" w:space="0"/>
                  </w:tcBorders>
                  <w:vAlign w:val="center"/>
                </w:tcPr>
                <w:p w14:paraId="6E111501">
                  <w:pPr>
                    <w:pStyle w:val="10"/>
                    <w:ind w:left="0" w:right="105" w:rightChars="50"/>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减振，车间隔声</w:t>
                  </w:r>
                </w:p>
              </w:tc>
            </w:tr>
            <w:bookmarkEnd w:id="55"/>
          </w:tbl>
          <w:p w14:paraId="3341D000">
            <w:pPr>
              <w:pStyle w:val="10"/>
              <w:ind w:left="0" w:right="105" w:rightChars="50"/>
              <w:jc w:val="center"/>
              <w:rPr>
                <w:rFonts w:ascii="Times New Roman" w:hAnsi="Times New Roman" w:cs="Times New Roman"/>
                <w:sz w:val="21"/>
                <w:szCs w:val="21"/>
                <w:lang w:val="en-US"/>
              </w:rPr>
            </w:pPr>
          </w:p>
          <w:bookmarkEnd w:id="54"/>
          <w:p w14:paraId="22CDD8AD">
            <w:pPr>
              <w:pStyle w:val="10"/>
              <w:spacing w:line="360" w:lineRule="auto"/>
              <w:ind w:left="0" w:right="105" w:rightChars="50" w:firstLine="240" w:firstLineChars="100"/>
              <w:rPr>
                <w:rFonts w:ascii="Times New Roman" w:hAnsi="Times New Roman" w:cs="Times New Roman"/>
              </w:rPr>
            </w:pPr>
            <w:bookmarkStart w:id="56" w:name="_Hlk96975385"/>
            <w:bookmarkStart w:id="57" w:name="_Hlk99992927"/>
            <w:r>
              <w:rPr>
                <w:rFonts w:hint="eastAsia" w:ascii="Times New Roman" w:hAnsi="Times New Roman" w:cs="Times New Roman"/>
              </w:rPr>
              <w:t>四、</w:t>
            </w:r>
            <w:r>
              <w:rPr>
                <w:rFonts w:ascii="Times New Roman" w:hAnsi="Times New Roman" w:cs="Times New Roman"/>
              </w:rPr>
              <w:t>固体废物</w:t>
            </w:r>
          </w:p>
          <w:p w14:paraId="7477C55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本项目固体废物主要包括职工生活垃圾、污水处理站污泥、废胴体包装袋、浮油</w:t>
            </w:r>
            <w:r>
              <w:rPr>
                <w:rFonts w:hint="eastAsia" w:ascii="Times New Roman" w:hAnsi="Times New Roman" w:cs="Times New Roman"/>
              </w:rPr>
              <w:t>油脂</w:t>
            </w:r>
            <w:r>
              <w:rPr>
                <w:rFonts w:ascii="Times New Roman" w:hAnsi="Times New Roman" w:cs="Times New Roman"/>
              </w:rPr>
              <w:t>、废活性炭、废矿物油（含桶）</w:t>
            </w:r>
            <w:r>
              <w:rPr>
                <w:rFonts w:hint="eastAsia" w:ascii="Times New Roman" w:hAnsi="Times New Roman" w:cs="Times New Roman"/>
              </w:rPr>
              <w:t>等</w:t>
            </w:r>
            <w:r>
              <w:rPr>
                <w:rFonts w:ascii="Times New Roman" w:hAnsi="Times New Roman" w:cs="Times New Roman"/>
              </w:rPr>
              <w:t>。</w:t>
            </w:r>
          </w:p>
          <w:p w14:paraId="5861236F">
            <w:pPr>
              <w:pStyle w:val="10"/>
              <w:spacing w:line="360" w:lineRule="auto"/>
              <w:ind w:left="0" w:right="105" w:rightChars="50" w:firstLine="240" w:firstLineChars="100"/>
              <w:rPr>
                <w:rFonts w:ascii="Times New Roman" w:hAnsi="Times New Roman" w:cs="Times New Roman"/>
              </w:rPr>
            </w:pPr>
            <w:bookmarkStart w:id="58" w:name="_Hlk99629021"/>
            <w:r>
              <w:rPr>
                <w:rFonts w:hint="eastAsia" w:ascii="Times New Roman" w:hAnsi="Times New Roman" w:cs="Times New Roman"/>
              </w:rPr>
              <w:t>1、一般固废</w:t>
            </w:r>
          </w:p>
          <w:p w14:paraId="1E30681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ascii="Times New Roman" w:hAnsi="Times New Roman" w:cs="Times New Roman"/>
              </w:rPr>
              <w:t>隔油池废油脂</w:t>
            </w:r>
          </w:p>
          <w:p w14:paraId="4A43C58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项目污水处理站配套有隔油构筑物，根据污水处理站进出水水质计算可知， 项目污水处理站动植物油去除量为0.03t/a；食堂油水分离器油污主要为食堂废水 经油水分离器处理后剩下的废油</w:t>
            </w:r>
            <w:r>
              <w:rPr>
                <w:rFonts w:hint="eastAsia" w:ascii="Times New Roman" w:hAnsi="Times New Roman" w:cs="Times New Roman"/>
              </w:rPr>
              <w:t>，</w:t>
            </w:r>
            <w:r>
              <w:rPr>
                <w:rFonts w:ascii="Times New Roman" w:hAnsi="Times New Roman" w:cs="Times New Roman"/>
              </w:rPr>
              <w:t>一般食用油耗油系数为30g/人</w:t>
            </w:r>
            <w:r>
              <w:rPr>
                <w:rFonts w:hint="eastAsia" w:cs="Times New Roman"/>
              </w:rPr>
              <w:t>·</w:t>
            </w:r>
            <w:r>
              <w:rPr>
                <w:rFonts w:ascii="Times New Roman" w:hAnsi="Times New Roman" w:cs="Times New Roman"/>
              </w:rPr>
              <w:t>d，用餐人数共27人，则食用油用量为0.81kg/d</w:t>
            </w:r>
            <w:r>
              <w:rPr>
                <w:rFonts w:hint="eastAsia" w:ascii="Times New Roman" w:hAnsi="Times New Roman" w:cs="Times New Roman"/>
              </w:rPr>
              <w:t>，</w:t>
            </w:r>
            <w:r>
              <w:rPr>
                <w:rFonts w:ascii="Times New Roman" w:hAnsi="Times New Roman" w:cs="Times New Roman"/>
              </w:rPr>
              <w:t>流失量以10%计，则油污产生量为0.08kg/d，食堂年运行300天，则油污年产生量</w:t>
            </w:r>
            <w:r>
              <w:rPr>
                <w:rFonts w:hint="eastAsia" w:ascii="Times New Roman" w:hAnsi="Times New Roman" w:cs="Times New Roman"/>
              </w:rPr>
              <w:t>约</w:t>
            </w:r>
            <w:r>
              <w:rPr>
                <w:rFonts w:ascii="Times New Roman" w:hAnsi="Times New Roman" w:cs="Times New Roman"/>
              </w:rPr>
              <w:t>为0.02t/a；因此，隔油池废油脂产生总量为0.05t/a。</w:t>
            </w:r>
            <w:r>
              <w:rPr>
                <w:rFonts w:hint="eastAsia" w:ascii="Times New Roman" w:hAnsi="Times New Roman" w:cs="Times New Roman"/>
              </w:rPr>
              <w:t>采用</w:t>
            </w:r>
            <w:r>
              <w:rPr>
                <w:rFonts w:ascii="Times New Roman" w:hAnsi="Times New Roman" w:cs="Times New Roman"/>
              </w:rPr>
              <w:t>收集桶收集后全部进入化制罐内化制后</w:t>
            </w:r>
            <w:r>
              <w:rPr>
                <w:rFonts w:hint="eastAsia" w:ascii="Times New Roman" w:hAnsi="Times New Roman" w:cs="Times New Roman"/>
              </w:rPr>
              <w:t>，</w:t>
            </w:r>
            <w:r>
              <w:rPr>
                <w:rFonts w:ascii="Times New Roman" w:hAnsi="Times New Roman" w:cs="Times New Roman"/>
              </w:rPr>
              <w:t>作为生物柴油原料外售。</w:t>
            </w:r>
          </w:p>
          <w:p w14:paraId="63D2EC1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食堂泔水</w:t>
            </w:r>
          </w:p>
          <w:p w14:paraId="2B48009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食堂泔水产生量按0.2kg/（人</w:t>
            </w:r>
            <w:r>
              <w:rPr>
                <w:rFonts w:hint="eastAsia" w:cs="Times New Roman"/>
              </w:rPr>
              <w:t>·</w:t>
            </w:r>
            <w:r>
              <w:rPr>
                <w:rFonts w:ascii="Times New Roman" w:hAnsi="Times New Roman" w:cs="Times New Roman"/>
              </w:rPr>
              <w:t>d）计，食堂就餐人数以27人/d 计，则泔水产生量为5.4kg/d，1.62t/a</w:t>
            </w:r>
            <w:r>
              <w:rPr>
                <w:rFonts w:hint="eastAsia" w:ascii="Times New Roman" w:hAnsi="Times New Roman" w:cs="Times New Roman"/>
              </w:rPr>
              <w:t>。</w:t>
            </w:r>
            <w:r>
              <w:rPr>
                <w:rFonts w:ascii="Times New Roman" w:hAnsi="Times New Roman" w:cs="Times New Roman"/>
              </w:rPr>
              <w:t>在食堂内设泔水桶</w:t>
            </w:r>
            <w:r>
              <w:rPr>
                <w:rFonts w:hint="eastAsia" w:ascii="Times New Roman" w:hAnsi="Times New Roman" w:cs="Times New Roman"/>
              </w:rPr>
              <w:t>收集</w:t>
            </w:r>
            <w:r>
              <w:rPr>
                <w:rFonts w:ascii="Times New Roman" w:hAnsi="Times New Roman" w:cs="Times New Roman"/>
              </w:rPr>
              <w:t>，将食堂泔水统一收集后</w:t>
            </w:r>
            <w:r>
              <w:rPr>
                <w:rFonts w:hint="eastAsia" w:ascii="Times New Roman" w:hAnsi="Times New Roman" w:cs="Times New Roman"/>
              </w:rPr>
              <w:t>按三台山乡管理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ascii="Times New Roman" w:hAnsi="Times New Roman" w:cs="Times New Roman"/>
              </w:rPr>
              <w:t>。</w:t>
            </w:r>
          </w:p>
          <w:p w14:paraId="351EBB9A">
            <w:pPr>
              <w:pStyle w:val="10"/>
              <w:spacing w:line="360" w:lineRule="auto"/>
              <w:ind w:left="0" w:right="105" w:rightChars="50" w:firstLine="240" w:firstLineChars="100"/>
              <w:rPr>
                <w:rFonts w:ascii="Times New Roman" w:hAnsi="Times New Roman" w:cs="Times New Roman"/>
              </w:rPr>
            </w:pPr>
            <w:bookmarkStart w:id="59" w:name="_Hlk92182543"/>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生活垃圾</w:t>
            </w:r>
          </w:p>
          <w:p w14:paraId="5D5EB485">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项目</w:t>
            </w:r>
            <w:r>
              <w:rPr>
                <w:rFonts w:ascii="Times New Roman" w:hAnsi="Times New Roman" w:cs="Times New Roman"/>
              </w:rPr>
              <w:t>劳动定员27人，</w:t>
            </w:r>
            <w:r>
              <w:rPr>
                <w:rFonts w:hint="eastAsia" w:ascii="Times New Roman" w:hAnsi="Times New Roman" w:cs="Times New Roman"/>
              </w:rPr>
              <w:t>生活垃圾产生强度为</w:t>
            </w:r>
            <w:r>
              <w:rPr>
                <w:rFonts w:ascii="Times New Roman" w:hAnsi="Times New Roman" w:cs="Times New Roman"/>
              </w:rPr>
              <w:t>0.5kg/</w:t>
            </w:r>
            <w:r>
              <w:rPr>
                <w:rFonts w:hint="eastAsia" w:ascii="Times New Roman" w:hAnsi="Times New Roman" w:cs="Times New Roman"/>
              </w:rPr>
              <w:t>（d</w:t>
            </w:r>
            <w:r>
              <w:rPr>
                <w:rFonts w:hint="eastAsia" w:cs="Times New Roman"/>
              </w:rPr>
              <w:t>•</w:t>
            </w:r>
            <w:r>
              <w:rPr>
                <w:rFonts w:hint="eastAsia" w:ascii="Times New Roman" w:hAnsi="Times New Roman" w:cs="Times New Roman"/>
              </w:rPr>
              <w:t>人）</w:t>
            </w:r>
            <w:r>
              <w:rPr>
                <w:rFonts w:ascii="Times New Roman" w:hAnsi="Times New Roman" w:cs="Times New Roman"/>
              </w:rPr>
              <w:t>，</w:t>
            </w:r>
            <w:r>
              <w:rPr>
                <w:rFonts w:hint="eastAsia" w:ascii="Times New Roman" w:hAnsi="Times New Roman" w:cs="Times New Roman"/>
              </w:rPr>
              <w:t>产生量为</w:t>
            </w:r>
            <w:r>
              <w:rPr>
                <w:rFonts w:ascii="Times New Roman" w:hAnsi="Times New Roman" w:cs="Times New Roman"/>
              </w:rPr>
              <w:t>13.5</w:t>
            </w:r>
            <w:r>
              <w:rPr>
                <w:rFonts w:hint="eastAsia" w:ascii="Times New Roman" w:hAnsi="Times New Roman" w:cs="Times New Roman"/>
              </w:rPr>
              <w:t>kg/d、</w:t>
            </w:r>
            <w:r>
              <w:rPr>
                <w:rFonts w:ascii="Times New Roman" w:hAnsi="Times New Roman" w:cs="Times New Roman"/>
              </w:rPr>
              <w:t>4.05</w:t>
            </w:r>
            <w:r>
              <w:rPr>
                <w:rFonts w:hint="eastAsia" w:ascii="Times New Roman" w:hAnsi="Times New Roman" w:cs="Times New Roman"/>
              </w:rPr>
              <w:t>t/a，</w:t>
            </w:r>
            <w:r>
              <w:rPr>
                <w:rFonts w:ascii="Times New Roman" w:hAnsi="Times New Roman" w:cs="Times New Roman"/>
              </w:rPr>
              <w:t>统一收集后委托</w:t>
            </w:r>
            <w:r>
              <w:rPr>
                <w:rFonts w:hint="eastAsia" w:ascii="Times New Roman" w:hAnsi="Times New Roman" w:cs="Times New Roman"/>
              </w:rPr>
              <w:t>三台山乡</w:t>
            </w:r>
            <w:r>
              <w:rPr>
                <w:rFonts w:ascii="Times New Roman" w:hAnsi="Times New Roman" w:cs="Times New Roman"/>
              </w:rPr>
              <w:t>环卫部门定期</w:t>
            </w:r>
            <w:r>
              <w:rPr>
                <w:rFonts w:hint="eastAsia" w:ascii="Times New Roman" w:hAnsi="Times New Roman" w:cs="Times New Roman"/>
              </w:rPr>
              <w:t>清运处置</w:t>
            </w:r>
            <w:r>
              <w:rPr>
                <w:rFonts w:ascii="Times New Roman" w:hAnsi="Times New Roman" w:cs="Times New Roman"/>
              </w:rPr>
              <w:t>。</w:t>
            </w:r>
          </w:p>
          <w:p w14:paraId="0BE7E03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脱硫除尘塔</w:t>
            </w:r>
            <w:r>
              <w:rPr>
                <w:rFonts w:ascii="Times New Roman" w:hAnsi="Times New Roman" w:cs="Times New Roman"/>
              </w:rPr>
              <w:t>沉渣</w:t>
            </w:r>
          </w:p>
          <w:p w14:paraId="26CAB8F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本项目锅炉烟气脱硫量约为0</w:t>
            </w:r>
            <w:r>
              <w:rPr>
                <w:rFonts w:ascii="Times New Roman" w:hAnsi="Times New Roman" w:cs="Times New Roman"/>
              </w:rPr>
              <w:t>.7361</w:t>
            </w:r>
            <w:r>
              <w:rPr>
                <w:rFonts w:hint="eastAsia" w:ascii="Times New Roman" w:hAnsi="Times New Roman" w:cs="Times New Roman"/>
              </w:rPr>
              <w:t>t/a，形成的脱硫渣约为3</w:t>
            </w:r>
            <w:r>
              <w:rPr>
                <w:rFonts w:ascii="Times New Roman" w:hAnsi="Times New Roman" w:cs="Times New Roman"/>
              </w:rPr>
              <w:t>.13</w:t>
            </w:r>
            <w:r>
              <w:rPr>
                <w:rFonts w:hint="eastAsia" w:ascii="Times New Roman" w:hAnsi="Times New Roman" w:cs="Times New Roman"/>
              </w:rPr>
              <w:t>t/a（干重），</w:t>
            </w:r>
            <w:r>
              <w:rPr>
                <w:rFonts w:ascii="Times New Roman" w:hAnsi="Times New Roman" w:cs="Times New Roman"/>
              </w:rPr>
              <w:t>定期清掏，</w:t>
            </w:r>
            <w:r>
              <w:rPr>
                <w:rFonts w:hint="eastAsia" w:ascii="Times New Roman" w:hAnsi="Times New Roman" w:cs="Times New Roman"/>
              </w:rPr>
              <w:t>作为其它企业化工原料外售</w:t>
            </w:r>
            <w:r>
              <w:rPr>
                <w:rFonts w:ascii="Times New Roman" w:hAnsi="Times New Roman" w:cs="Times New Roman"/>
              </w:rPr>
              <w:t>。</w:t>
            </w:r>
          </w:p>
          <w:p w14:paraId="629EDB6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hint="eastAsia" w:ascii="Times New Roman" w:hAnsi="Times New Roman" w:cs="Times New Roman"/>
              </w:rPr>
              <w:t>废活性炭</w:t>
            </w:r>
          </w:p>
          <w:p w14:paraId="00BB41B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车间废气处理活性炭吸附装置的活性炭为柱状，填装</w:t>
            </w:r>
            <w:r>
              <w:rPr>
                <w:rFonts w:hint="eastAsia" w:ascii="Times New Roman" w:hAnsi="Times New Roman" w:cs="Times New Roman"/>
              </w:rPr>
              <w:t>1</w:t>
            </w:r>
            <w:r>
              <w:rPr>
                <w:rFonts w:ascii="Times New Roman" w:hAnsi="Times New Roman" w:cs="Times New Roman"/>
              </w:rPr>
              <w:t>00kg每次，一个月更换 一次，故每年产生废活性炭约 1.20t/a</w:t>
            </w:r>
            <w:r>
              <w:rPr>
                <w:rFonts w:hint="eastAsia" w:ascii="Times New Roman" w:hAnsi="Times New Roman" w:cs="Times New Roman"/>
              </w:rPr>
              <w:t>，由厂家回收。</w:t>
            </w:r>
          </w:p>
          <w:p w14:paraId="17655EA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废胴体包装袋</w:t>
            </w:r>
          </w:p>
          <w:p w14:paraId="4B91F2A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项目除收集部分病死畜禽之外，还有部分非病死动物宰杀之后的胴体及内脏等废弃物，该部分非病死动物宰杀之后的胴体及内脏等废弃物经包装袋包装后</w:t>
            </w:r>
            <w:r>
              <w:rPr>
                <w:rFonts w:hint="eastAsia" w:ascii="Times New Roman" w:hAnsi="Times New Roman" w:cs="Times New Roman"/>
              </w:rPr>
              <w:t>采用</w:t>
            </w:r>
            <w:r>
              <w:rPr>
                <w:rFonts w:ascii="Times New Roman" w:hAnsi="Times New Roman" w:cs="Times New Roman"/>
              </w:rPr>
              <w:t>无害化专用运输车运输至</w:t>
            </w:r>
            <w:r>
              <w:rPr>
                <w:rFonts w:hint="eastAsia" w:ascii="Times New Roman" w:hAnsi="Times New Roman" w:cs="Times New Roman"/>
              </w:rPr>
              <w:t>本项目</w:t>
            </w:r>
            <w:r>
              <w:rPr>
                <w:rFonts w:ascii="Times New Roman" w:hAnsi="Times New Roman" w:cs="Times New Roman"/>
              </w:rPr>
              <w:t>厂区进行无害化处理。该过程中产生废胴体包装袋，产生量为0.10t/a，废胴体包装袋经收集后消毒回用。</w:t>
            </w:r>
          </w:p>
          <w:p w14:paraId="466E3AE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7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⑦</w:t>
            </w:r>
            <w:r>
              <w:rPr>
                <w:rFonts w:ascii="Times New Roman" w:hAnsi="Times New Roman" w:cs="Times New Roman"/>
              </w:rPr>
              <w:fldChar w:fldCharType="end"/>
            </w:r>
            <w:r>
              <w:rPr>
                <w:rFonts w:hint="eastAsia" w:ascii="Times New Roman" w:hAnsi="Times New Roman" w:cs="Times New Roman"/>
              </w:rPr>
              <w:t>炉渣</w:t>
            </w:r>
          </w:p>
          <w:p w14:paraId="28CD272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生物质成型燃料灰分约为1.69%，</w:t>
            </w:r>
            <w:r>
              <w:rPr>
                <w:rFonts w:hint="eastAsia" w:ascii="Times New Roman" w:hAnsi="Times New Roman" w:cs="Times New Roman"/>
              </w:rPr>
              <w:t>项目</w:t>
            </w:r>
            <w:r>
              <w:rPr>
                <w:rFonts w:ascii="Times New Roman" w:hAnsi="Times New Roman" w:cs="Times New Roman"/>
              </w:rPr>
              <w:t>年使用生物质成型燃料1800t，燃烧过程中</w:t>
            </w:r>
            <w:r>
              <w:rPr>
                <w:rFonts w:hint="eastAsia" w:ascii="Times New Roman" w:hAnsi="Times New Roman" w:cs="Times New Roman"/>
              </w:rPr>
              <w:t>少量灰分生成</w:t>
            </w:r>
            <w:r>
              <w:rPr>
                <w:rFonts w:ascii="Times New Roman" w:hAnsi="Times New Roman" w:cs="Times New Roman"/>
              </w:rPr>
              <w:t>烟尘</w:t>
            </w:r>
            <w:r>
              <w:rPr>
                <w:rFonts w:hint="eastAsia" w:ascii="Times New Roman" w:hAnsi="Times New Roman" w:cs="Times New Roman"/>
              </w:rPr>
              <w:t>（</w:t>
            </w:r>
            <w:r>
              <w:rPr>
                <w:rFonts w:ascii="Times New Roman" w:hAnsi="Times New Roman" w:cs="Times New Roman"/>
              </w:rPr>
              <w:t>0.90t/a</w:t>
            </w:r>
            <w:r>
              <w:rPr>
                <w:rFonts w:hint="eastAsia" w:ascii="Times New Roman" w:hAnsi="Times New Roman" w:cs="Times New Roman"/>
              </w:rPr>
              <w:t>）</w:t>
            </w:r>
            <w:r>
              <w:rPr>
                <w:rFonts w:ascii="Times New Roman" w:hAnsi="Times New Roman" w:cs="Times New Roman"/>
              </w:rPr>
              <w:t>，剩余灰分则为锅炉灰渣，则锅炉灰渣产生量约为29.52t/a。灰渣统一收集，</w:t>
            </w:r>
            <w:r>
              <w:rPr>
                <w:rFonts w:hint="eastAsia" w:ascii="Times New Roman" w:hAnsi="Times New Roman" w:cs="Times New Roman"/>
              </w:rPr>
              <w:t>作为有机肥原料</w:t>
            </w:r>
            <w:r>
              <w:rPr>
                <w:rFonts w:ascii="Times New Roman" w:hAnsi="Times New Roman" w:cs="Times New Roman"/>
              </w:rPr>
              <w:t>定期</w:t>
            </w:r>
            <w:r>
              <w:rPr>
                <w:rFonts w:hint="eastAsia" w:ascii="Times New Roman" w:hAnsi="Times New Roman" w:cs="Times New Roman"/>
              </w:rPr>
              <w:t>外售</w:t>
            </w:r>
            <w:r>
              <w:rPr>
                <w:rFonts w:ascii="Times New Roman" w:hAnsi="Times New Roman" w:cs="Times New Roman"/>
              </w:rPr>
              <w:t>。</w:t>
            </w:r>
          </w:p>
          <w:p w14:paraId="1C54A7E8">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2、危险废物</w:t>
            </w:r>
          </w:p>
          <w:p w14:paraId="63867DD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8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⑧</w:t>
            </w:r>
            <w:r>
              <w:rPr>
                <w:rFonts w:ascii="Times New Roman" w:hAnsi="Times New Roman" w:cs="Times New Roman"/>
              </w:rPr>
              <w:fldChar w:fldCharType="end"/>
            </w:r>
            <w:r>
              <w:rPr>
                <w:rFonts w:hint="eastAsia" w:ascii="Times New Roman" w:hAnsi="Times New Roman" w:cs="Times New Roman"/>
              </w:rPr>
              <w:t>污泥</w:t>
            </w:r>
          </w:p>
          <w:p w14:paraId="6510EAE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项目区建有化粪池</w:t>
            </w:r>
            <w:r>
              <w:rPr>
                <w:rFonts w:hint="eastAsia" w:ascii="Times New Roman" w:hAnsi="Times New Roman" w:cs="Times New Roman"/>
              </w:rPr>
              <w:t>和污水处理站</w:t>
            </w:r>
            <w:r>
              <w:rPr>
                <w:rFonts w:ascii="Times New Roman" w:hAnsi="Times New Roman" w:cs="Times New Roman"/>
              </w:rPr>
              <w:t>，</w:t>
            </w:r>
            <w:r>
              <w:rPr>
                <w:rFonts w:hint="eastAsia" w:ascii="Times New Roman" w:hAnsi="Times New Roman" w:cs="Times New Roman"/>
              </w:rPr>
              <w:t>污泥</w:t>
            </w:r>
            <w:r>
              <w:rPr>
                <w:rFonts w:ascii="Times New Roman" w:hAnsi="Times New Roman" w:cs="Times New Roman"/>
              </w:rPr>
              <w:t>产生量按SS的去除率进行</w:t>
            </w:r>
            <w:r>
              <w:rPr>
                <w:rFonts w:hint="eastAsia" w:ascii="Times New Roman" w:hAnsi="Times New Roman" w:cs="Times New Roman"/>
              </w:rPr>
              <w:t>估算</w:t>
            </w:r>
            <w:r>
              <w:rPr>
                <w:rFonts w:ascii="Times New Roman" w:hAnsi="Times New Roman" w:cs="Times New Roman"/>
              </w:rPr>
              <w:t>，SS产生浓度为182mg/L，出水浓度为18.2mg/L</w:t>
            </w:r>
            <w:r>
              <w:rPr>
                <w:rFonts w:hint="eastAsia" w:ascii="Times New Roman" w:hAnsi="Times New Roman" w:cs="Times New Roman"/>
              </w:rPr>
              <w:t>，</w:t>
            </w:r>
            <w:r>
              <w:rPr>
                <w:rFonts w:ascii="Times New Roman" w:hAnsi="Times New Roman" w:cs="Times New Roman"/>
              </w:rPr>
              <w:t>废水处理量为3594m</w:t>
            </w:r>
            <w:r>
              <w:rPr>
                <w:rFonts w:ascii="Times New Roman" w:hAnsi="Times New Roman" w:cs="Times New Roman"/>
                <w:vertAlign w:val="superscript"/>
              </w:rPr>
              <w:t>3</w:t>
            </w:r>
            <w:r>
              <w:rPr>
                <w:rFonts w:ascii="Times New Roman" w:hAnsi="Times New Roman" w:cs="Times New Roman"/>
              </w:rPr>
              <w:t>/a，则污泥产生量约为0.59t/a（干重）。</w:t>
            </w:r>
          </w:p>
          <w:p w14:paraId="18037CCC">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本项目处理病死畜禽无害化处理过程中产生的</w:t>
            </w:r>
            <w:r>
              <w:rPr>
                <w:rFonts w:ascii="Times New Roman" w:hAnsi="Times New Roman" w:cs="Times New Roman"/>
              </w:rPr>
              <w:t>污</w:t>
            </w:r>
            <w:r>
              <w:rPr>
                <w:rFonts w:hint="eastAsia" w:ascii="Times New Roman" w:hAnsi="Times New Roman" w:cs="Times New Roman"/>
              </w:rPr>
              <w:t>废</w:t>
            </w:r>
            <w:r>
              <w:rPr>
                <w:rFonts w:ascii="Times New Roman" w:hAnsi="Times New Roman" w:cs="Times New Roman"/>
              </w:rPr>
              <w:t>水</w:t>
            </w:r>
            <w:r>
              <w:rPr>
                <w:rFonts w:hint="eastAsia" w:ascii="Times New Roman" w:hAnsi="Times New Roman" w:cs="Times New Roman"/>
              </w:rPr>
              <w:t>产生的污泥</w:t>
            </w:r>
            <w:r>
              <w:rPr>
                <w:rFonts w:ascii="Times New Roman" w:hAnsi="Times New Roman" w:cs="Times New Roman"/>
              </w:rPr>
              <w:t>属于危险废物，经查《国家危险废物名录》（2021年版），</w:t>
            </w:r>
            <w:r>
              <w:rPr>
                <w:rFonts w:hint="eastAsia" w:ascii="Times New Roman" w:hAnsi="Times New Roman" w:cs="Times New Roman"/>
              </w:rPr>
              <w:t>类别为：H</w:t>
            </w:r>
            <w:r>
              <w:rPr>
                <w:rFonts w:ascii="Times New Roman" w:hAnsi="Times New Roman" w:cs="Times New Roman"/>
              </w:rPr>
              <w:t>W49</w:t>
            </w:r>
            <w:r>
              <w:rPr>
                <w:rFonts w:hint="eastAsia" w:ascii="Times New Roman" w:hAnsi="Times New Roman" w:cs="Times New Roman"/>
              </w:rPr>
              <w:t>，</w:t>
            </w:r>
            <w:r>
              <w:rPr>
                <w:rFonts w:ascii="Times New Roman" w:hAnsi="Times New Roman" w:cs="Times New Roman"/>
              </w:rPr>
              <w:t>危险废物代码为：772-006-49，拟设置1个收集桶专门收集滤饼，同时加入次氯酸钠消毒处理后，暂存于危险废物暂存间，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0C9C834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9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⑨</w:t>
            </w:r>
            <w:r>
              <w:rPr>
                <w:rFonts w:ascii="Times New Roman" w:hAnsi="Times New Roman" w:cs="Times New Roman"/>
              </w:rPr>
              <w:fldChar w:fldCharType="end"/>
            </w:r>
            <w:r>
              <w:rPr>
                <w:rFonts w:ascii="Times New Roman" w:hAnsi="Times New Roman" w:cs="Times New Roman"/>
              </w:rPr>
              <w:t>废机油</w:t>
            </w:r>
          </w:p>
          <w:p w14:paraId="32F29DE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该项目在场地内进行设备维修，危废主要为在设备维修过程中产生的废机油等</w:t>
            </w:r>
            <w:r>
              <w:rPr>
                <w:rFonts w:hint="eastAsia" w:ascii="Times New Roman" w:hAnsi="Times New Roman" w:cs="Times New Roman"/>
              </w:rPr>
              <w:t>，主要来自空气压缩机、运输车辆的维修、维护。根据建设单位提供的资料，本项目配套设有</w:t>
            </w:r>
            <w:r>
              <w:rPr>
                <w:rFonts w:ascii="Times New Roman" w:hAnsi="Times New Roman" w:cs="Times New Roman"/>
              </w:rPr>
              <w:t>1</w:t>
            </w:r>
            <w:r>
              <w:rPr>
                <w:rFonts w:hint="eastAsia" w:ascii="Times New Roman" w:hAnsi="Times New Roman" w:cs="Times New Roman"/>
              </w:rPr>
              <w:t>台空压机、</w:t>
            </w:r>
            <w:r>
              <w:rPr>
                <w:rFonts w:ascii="Times New Roman" w:hAnsi="Times New Roman" w:cs="Times New Roman"/>
              </w:rPr>
              <w:t>8</w:t>
            </w:r>
            <w:r>
              <w:rPr>
                <w:rFonts w:hint="eastAsia" w:ascii="Times New Roman" w:hAnsi="Times New Roman" w:cs="Times New Roman"/>
              </w:rPr>
              <w:t>台运输车。压缩机每运行2</w:t>
            </w:r>
            <w:r>
              <w:rPr>
                <w:rFonts w:ascii="Times New Roman" w:hAnsi="Times New Roman" w:cs="Times New Roman"/>
              </w:rPr>
              <w:t>000</w:t>
            </w:r>
            <w:r>
              <w:rPr>
                <w:rFonts w:hint="eastAsia" w:ascii="Times New Roman" w:hAnsi="Times New Roman" w:cs="Times New Roman"/>
              </w:rPr>
              <w:t>h更换一次机油，则每年约更换3次，压缩机机油量约为</w:t>
            </w:r>
            <w:r>
              <w:rPr>
                <w:rFonts w:ascii="Times New Roman" w:hAnsi="Times New Roman" w:cs="Times New Roman"/>
              </w:rPr>
              <w:t>50</w:t>
            </w:r>
            <w:r>
              <w:rPr>
                <w:rFonts w:hint="eastAsia" w:ascii="Times New Roman" w:hAnsi="Times New Roman" w:cs="Times New Roman"/>
              </w:rPr>
              <w:t>kg，则废机油产生量约为0</w:t>
            </w:r>
            <w:r>
              <w:rPr>
                <w:rFonts w:ascii="Times New Roman" w:hAnsi="Times New Roman" w:cs="Times New Roman"/>
              </w:rPr>
              <w:t>.15</w:t>
            </w:r>
            <w:r>
              <w:rPr>
                <w:rFonts w:hint="eastAsia" w:ascii="Times New Roman" w:hAnsi="Times New Roman" w:cs="Times New Roman"/>
              </w:rPr>
              <w:t>t/a。运输车每半年更换一次机油，单台废机油产生量约为</w:t>
            </w:r>
            <w:r>
              <w:rPr>
                <w:rFonts w:ascii="Times New Roman" w:hAnsi="Times New Roman" w:cs="Times New Roman"/>
              </w:rPr>
              <w:t>10</w:t>
            </w:r>
            <w:r>
              <w:rPr>
                <w:rFonts w:hint="eastAsia" w:ascii="Times New Roman" w:hAnsi="Times New Roman" w:cs="Times New Roman"/>
              </w:rPr>
              <w:t>kg，则废机油产生量约为0</w:t>
            </w:r>
            <w:r>
              <w:rPr>
                <w:rFonts w:ascii="Times New Roman" w:hAnsi="Times New Roman" w:cs="Times New Roman"/>
              </w:rPr>
              <w:t>.16</w:t>
            </w:r>
            <w:r>
              <w:rPr>
                <w:rFonts w:hint="eastAsia" w:ascii="Times New Roman" w:hAnsi="Times New Roman" w:cs="Times New Roman"/>
              </w:rPr>
              <w:t>t/a。则废机油产生总量约为0</w:t>
            </w:r>
            <w:r>
              <w:rPr>
                <w:rFonts w:ascii="Times New Roman" w:hAnsi="Times New Roman" w:cs="Times New Roman"/>
              </w:rPr>
              <w:t>.31</w:t>
            </w:r>
            <w:r>
              <w:rPr>
                <w:rFonts w:hint="eastAsia" w:ascii="Times New Roman" w:hAnsi="Times New Roman" w:cs="Times New Roman"/>
              </w:rPr>
              <w:t>t/a。</w:t>
            </w:r>
          </w:p>
          <w:bookmarkEnd w:id="58"/>
          <w:p w14:paraId="69646C7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经查《国家危险废物名录》（2021年版），</w:t>
            </w:r>
            <w:r>
              <w:rPr>
                <w:rFonts w:hint="eastAsia" w:ascii="Times New Roman" w:hAnsi="Times New Roman" w:cs="Times New Roman"/>
              </w:rPr>
              <w:t>废机油属于危险废物，</w:t>
            </w:r>
            <w:r>
              <w:rPr>
                <w:rFonts w:ascii="Times New Roman" w:hAnsi="Times New Roman" w:cs="Times New Roman"/>
              </w:rPr>
              <w:t>编号：HW08（900-214-08）</w:t>
            </w:r>
            <w:r>
              <w:rPr>
                <w:rFonts w:hint="eastAsia" w:ascii="Times New Roman" w:hAnsi="Times New Roman" w:cs="Times New Roman"/>
              </w:rPr>
              <w:t>，</w:t>
            </w:r>
            <w:r>
              <w:rPr>
                <w:rFonts w:ascii="Times New Roman" w:hAnsi="Times New Roman" w:cs="Times New Roman"/>
              </w:rPr>
              <w:t>收集后暂存于危险废物暂存间，</w:t>
            </w:r>
            <w:r>
              <w:rPr>
                <w:rFonts w:hint="eastAsia" w:ascii="Times New Roman" w:hAnsi="Times New Roman" w:cs="Times New Roman"/>
              </w:rPr>
              <w:t>最终</w:t>
            </w:r>
            <w:r>
              <w:rPr>
                <w:rFonts w:ascii="Times New Roman" w:hAnsi="Times New Roman" w:cs="Times New Roman"/>
              </w:rPr>
              <w:t>委托有危险废物处置资质的单位进行处理。</w:t>
            </w:r>
          </w:p>
          <w:p w14:paraId="085697D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为防止项目产生的危废流失对环境造成影响</w:t>
            </w:r>
            <w:r>
              <w:rPr>
                <w:rFonts w:hint="eastAsia" w:ascii="Times New Roman" w:hAnsi="Times New Roman" w:cs="Times New Roman"/>
              </w:rPr>
              <w:t>，</w:t>
            </w:r>
            <w:r>
              <w:rPr>
                <w:rFonts w:ascii="Times New Roman" w:hAnsi="Times New Roman" w:cs="Times New Roman"/>
              </w:rPr>
              <w:t>根据《危险废物贮存污染控制标准》（GB18597-2001），评价要求建设单位将项目运行产生的危废分别采用专用的危废收集桶收集，危废收集桶桶体需加盖、密封，桶壁上需粘贴危险废物标签，保证不散失、不泄露。危废在危废暂存间内分类存放，定期交由有危险废物处理资质的单位处置。</w:t>
            </w:r>
          </w:p>
          <w:bookmarkEnd w:id="56"/>
          <w:bookmarkEnd w:id="59"/>
          <w:p w14:paraId="35743EE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项目固体废弃物产排情况见表2-20。</w:t>
            </w:r>
          </w:p>
          <w:p w14:paraId="13B091F4">
            <w:pPr>
              <w:pStyle w:val="53"/>
              <w:spacing w:before="156" w:beforeLines="50" w:line="240" w:lineRule="auto"/>
              <w:ind w:firstLine="420" w:firstLineChars="199"/>
              <w:jc w:val="center"/>
              <w:rPr>
                <w:rFonts w:cs="Times New Roman"/>
                <w:b/>
                <w:kern w:val="0"/>
                <w:sz w:val="21"/>
                <w:szCs w:val="21"/>
                <w:lang w:val="zh-CN"/>
              </w:rPr>
            </w:pPr>
            <w:bookmarkStart w:id="60" w:name="_Hlk77011190"/>
            <w:r>
              <w:rPr>
                <w:rFonts w:cs="Times New Roman"/>
                <w:b/>
                <w:kern w:val="0"/>
                <w:sz w:val="21"/>
                <w:szCs w:val="21"/>
                <w:lang w:val="zh-CN"/>
              </w:rPr>
              <w:t>表</w:t>
            </w:r>
            <w:r>
              <w:rPr>
                <w:rFonts w:cs="Times New Roman"/>
                <w:b/>
                <w:kern w:val="0"/>
                <w:sz w:val="21"/>
                <w:szCs w:val="21"/>
              </w:rPr>
              <w:t xml:space="preserve">2-20    </w:t>
            </w:r>
            <w:r>
              <w:rPr>
                <w:rFonts w:cs="Times New Roman"/>
                <w:b/>
                <w:kern w:val="0"/>
                <w:sz w:val="21"/>
                <w:szCs w:val="21"/>
                <w:lang w:val="zh-CN"/>
              </w:rPr>
              <w:t>固体废物分析结果汇总</w:t>
            </w:r>
          </w:p>
          <w:tbl>
            <w:tblPr>
              <w:tblStyle w:val="18"/>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63"/>
              <w:gridCol w:w="1702"/>
              <w:gridCol w:w="844"/>
              <w:gridCol w:w="1475"/>
              <w:gridCol w:w="1952"/>
            </w:tblGrid>
            <w:tr w14:paraId="76AE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vAlign w:val="center"/>
                </w:tcPr>
                <w:p w14:paraId="61297F49">
                  <w:pPr>
                    <w:spacing w:line="288" w:lineRule="auto"/>
                    <w:jc w:val="center"/>
                    <w:rPr>
                      <w:rFonts w:ascii="Times New Roman" w:hAnsi="Times New Roman" w:cs="Times New Roman"/>
                      <w:b/>
                      <w:szCs w:val="21"/>
                    </w:rPr>
                  </w:pPr>
                  <w:r>
                    <w:rPr>
                      <w:rFonts w:ascii="Times New Roman" w:hAnsi="Times New Roman" w:cs="Times New Roman"/>
                      <w:b/>
                      <w:szCs w:val="21"/>
                    </w:rPr>
                    <w:t>序号</w:t>
                  </w:r>
                </w:p>
              </w:tc>
              <w:tc>
                <w:tcPr>
                  <w:tcW w:w="1463" w:type="dxa"/>
                  <w:vAlign w:val="center"/>
                </w:tcPr>
                <w:p w14:paraId="30278E4F">
                  <w:pPr>
                    <w:spacing w:line="288" w:lineRule="auto"/>
                    <w:jc w:val="center"/>
                    <w:rPr>
                      <w:rFonts w:ascii="Times New Roman" w:hAnsi="Times New Roman" w:cs="Times New Roman"/>
                      <w:b/>
                      <w:szCs w:val="21"/>
                    </w:rPr>
                  </w:pPr>
                  <w:r>
                    <w:rPr>
                      <w:rFonts w:ascii="Times New Roman" w:hAnsi="Times New Roman" w:cs="Times New Roman"/>
                      <w:b/>
                      <w:szCs w:val="21"/>
                    </w:rPr>
                    <w:t>名称</w:t>
                  </w:r>
                </w:p>
              </w:tc>
              <w:tc>
                <w:tcPr>
                  <w:tcW w:w="1702" w:type="dxa"/>
                  <w:vAlign w:val="center"/>
                </w:tcPr>
                <w:p w14:paraId="1B7B0E9A">
                  <w:pPr>
                    <w:spacing w:line="288" w:lineRule="auto"/>
                    <w:jc w:val="center"/>
                    <w:rPr>
                      <w:rFonts w:ascii="Times New Roman" w:hAnsi="Times New Roman" w:cs="Times New Roman"/>
                      <w:b/>
                      <w:szCs w:val="21"/>
                    </w:rPr>
                  </w:pPr>
                  <w:r>
                    <w:rPr>
                      <w:rFonts w:ascii="Times New Roman" w:hAnsi="Times New Roman" w:cs="Times New Roman"/>
                      <w:b/>
                      <w:szCs w:val="21"/>
                    </w:rPr>
                    <w:t>产生工序</w:t>
                  </w:r>
                </w:p>
              </w:tc>
              <w:tc>
                <w:tcPr>
                  <w:tcW w:w="844" w:type="dxa"/>
                  <w:vAlign w:val="center"/>
                </w:tcPr>
                <w:p w14:paraId="6B6655DF">
                  <w:pPr>
                    <w:spacing w:line="288" w:lineRule="auto"/>
                    <w:jc w:val="center"/>
                    <w:rPr>
                      <w:rFonts w:ascii="Times New Roman" w:hAnsi="Times New Roman" w:cs="Times New Roman"/>
                      <w:b/>
                      <w:szCs w:val="21"/>
                    </w:rPr>
                  </w:pPr>
                  <w:r>
                    <w:rPr>
                      <w:rFonts w:ascii="Times New Roman" w:hAnsi="Times New Roman" w:cs="Times New Roman"/>
                      <w:b/>
                      <w:szCs w:val="21"/>
                    </w:rPr>
                    <w:t>形态</w:t>
                  </w:r>
                </w:p>
              </w:tc>
              <w:tc>
                <w:tcPr>
                  <w:tcW w:w="1475" w:type="dxa"/>
                  <w:vAlign w:val="center"/>
                </w:tcPr>
                <w:p w14:paraId="070A051B">
                  <w:pPr>
                    <w:spacing w:line="288" w:lineRule="auto"/>
                    <w:jc w:val="center"/>
                    <w:rPr>
                      <w:rFonts w:ascii="Times New Roman" w:hAnsi="Times New Roman" w:cs="Times New Roman"/>
                      <w:b/>
                      <w:szCs w:val="21"/>
                    </w:rPr>
                  </w:pPr>
                  <w:r>
                    <w:rPr>
                      <w:rFonts w:ascii="Times New Roman" w:hAnsi="Times New Roman" w:cs="Times New Roman"/>
                      <w:b/>
                      <w:szCs w:val="21"/>
                    </w:rPr>
                    <w:t>属性</w:t>
                  </w:r>
                </w:p>
              </w:tc>
              <w:tc>
                <w:tcPr>
                  <w:tcW w:w="1952" w:type="dxa"/>
                  <w:vAlign w:val="center"/>
                </w:tcPr>
                <w:p w14:paraId="6AAF1EE8">
                  <w:pPr>
                    <w:spacing w:line="288" w:lineRule="auto"/>
                    <w:jc w:val="center"/>
                    <w:rPr>
                      <w:rFonts w:ascii="Times New Roman" w:hAnsi="Times New Roman" w:cs="Times New Roman"/>
                      <w:b/>
                      <w:szCs w:val="21"/>
                    </w:rPr>
                  </w:pPr>
                  <w:r>
                    <w:rPr>
                      <w:rFonts w:ascii="Times New Roman" w:hAnsi="Times New Roman" w:cs="Times New Roman"/>
                      <w:b/>
                      <w:szCs w:val="21"/>
                    </w:rPr>
                    <w:t>预测产生量（t/a）</w:t>
                  </w:r>
                </w:p>
              </w:tc>
            </w:tr>
            <w:tr w14:paraId="3D7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35DA5162">
                  <w:pPr>
                    <w:spacing w:line="288" w:lineRule="auto"/>
                    <w:jc w:val="center"/>
                    <w:rPr>
                      <w:rFonts w:ascii="Times New Roman" w:hAnsi="Times New Roman" w:cs="Times New Roman"/>
                      <w:bCs/>
                      <w:szCs w:val="21"/>
                    </w:rPr>
                  </w:pPr>
                  <w:r>
                    <w:rPr>
                      <w:rFonts w:hint="eastAsia" w:ascii="Times New Roman" w:hAnsi="Times New Roman" w:cs="Times New Roman"/>
                      <w:bCs/>
                      <w:szCs w:val="21"/>
                    </w:rPr>
                    <w:t>1</w:t>
                  </w:r>
                </w:p>
              </w:tc>
              <w:tc>
                <w:tcPr>
                  <w:tcW w:w="1463" w:type="dxa"/>
                  <w:vAlign w:val="center"/>
                </w:tcPr>
                <w:p w14:paraId="4AA9D634">
                  <w:pPr>
                    <w:spacing w:line="288" w:lineRule="auto"/>
                    <w:jc w:val="center"/>
                    <w:rPr>
                      <w:rFonts w:ascii="Times New Roman" w:hAnsi="Times New Roman" w:cs="Times New Roman"/>
                      <w:bCs/>
                      <w:szCs w:val="21"/>
                    </w:rPr>
                  </w:pPr>
                  <w:r>
                    <w:rPr>
                      <w:rFonts w:ascii="Times New Roman" w:hAnsi="Times New Roman" w:cs="Times New Roman"/>
                    </w:rPr>
                    <w:t>废油脂</w:t>
                  </w:r>
                </w:p>
              </w:tc>
              <w:tc>
                <w:tcPr>
                  <w:tcW w:w="1702" w:type="dxa"/>
                  <w:vAlign w:val="center"/>
                </w:tcPr>
                <w:p w14:paraId="71DF8E6E">
                  <w:pPr>
                    <w:spacing w:line="288" w:lineRule="auto"/>
                    <w:jc w:val="center"/>
                    <w:rPr>
                      <w:rFonts w:ascii="Times New Roman" w:hAnsi="Times New Roman" w:cs="Times New Roman"/>
                      <w:bCs/>
                      <w:szCs w:val="21"/>
                    </w:rPr>
                  </w:pPr>
                  <w:r>
                    <w:rPr>
                      <w:rFonts w:hint="eastAsia" w:ascii="Times New Roman" w:hAnsi="Times New Roman" w:cs="Times New Roman"/>
                      <w:bCs/>
                      <w:szCs w:val="21"/>
                    </w:rPr>
                    <w:t>隔油池</w:t>
                  </w:r>
                </w:p>
              </w:tc>
              <w:tc>
                <w:tcPr>
                  <w:tcW w:w="844" w:type="dxa"/>
                  <w:vAlign w:val="center"/>
                </w:tcPr>
                <w:p w14:paraId="4C710C35">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72700AE1">
                  <w:pPr>
                    <w:spacing w:line="288" w:lineRule="auto"/>
                    <w:jc w:val="center"/>
                    <w:rPr>
                      <w:rFonts w:ascii="Times New Roman" w:hAnsi="Times New Roman" w:cs="Times New Roman"/>
                      <w:bCs/>
                      <w:szCs w:val="21"/>
                    </w:rPr>
                  </w:pPr>
                  <w:r>
                    <w:rPr>
                      <w:szCs w:val="21"/>
                    </w:rPr>
                    <w:t>一般固废</w:t>
                  </w:r>
                </w:p>
              </w:tc>
              <w:tc>
                <w:tcPr>
                  <w:tcW w:w="1952" w:type="dxa"/>
                  <w:vAlign w:val="center"/>
                </w:tcPr>
                <w:p w14:paraId="033668CD">
                  <w:pPr>
                    <w:spacing w:line="288" w:lineRule="auto"/>
                    <w:jc w:val="center"/>
                    <w:rPr>
                      <w:rFonts w:ascii="Times New Roman" w:hAnsi="Times New Roman" w:cs="Times New Roman"/>
                      <w:bCs/>
                      <w:szCs w:val="21"/>
                    </w:rPr>
                  </w:pPr>
                  <w:r>
                    <w:rPr>
                      <w:rFonts w:hint="eastAsia" w:ascii="Times New Roman" w:hAnsi="Times New Roman" w:cs="Times New Roman"/>
                      <w:bCs/>
                      <w:szCs w:val="21"/>
                    </w:rPr>
                    <w:t>0</w:t>
                  </w:r>
                  <w:r>
                    <w:rPr>
                      <w:rFonts w:ascii="Times New Roman" w:hAnsi="Times New Roman" w:cs="Times New Roman"/>
                      <w:bCs/>
                      <w:szCs w:val="21"/>
                    </w:rPr>
                    <w:t>.05</w:t>
                  </w:r>
                </w:p>
              </w:tc>
            </w:tr>
            <w:tr w14:paraId="3D3B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525DCAF2">
                  <w:pPr>
                    <w:spacing w:line="288" w:lineRule="auto"/>
                    <w:jc w:val="center"/>
                    <w:rPr>
                      <w:rFonts w:ascii="Times New Roman" w:hAnsi="Times New Roman" w:cs="Times New Roman"/>
                      <w:bCs/>
                      <w:szCs w:val="21"/>
                    </w:rPr>
                  </w:pPr>
                  <w:r>
                    <w:rPr>
                      <w:rFonts w:hint="eastAsia" w:ascii="Times New Roman" w:hAnsi="Times New Roman" w:cs="Times New Roman"/>
                      <w:bCs/>
                      <w:szCs w:val="21"/>
                    </w:rPr>
                    <w:t>2</w:t>
                  </w:r>
                </w:p>
              </w:tc>
              <w:tc>
                <w:tcPr>
                  <w:tcW w:w="1463" w:type="dxa"/>
                  <w:vAlign w:val="center"/>
                </w:tcPr>
                <w:p w14:paraId="09279E5C">
                  <w:pPr>
                    <w:spacing w:line="288" w:lineRule="auto"/>
                    <w:jc w:val="center"/>
                    <w:rPr>
                      <w:rFonts w:ascii="Times New Roman" w:hAnsi="Times New Roman" w:cs="Times New Roman"/>
                      <w:bCs/>
                      <w:szCs w:val="21"/>
                    </w:rPr>
                  </w:pPr>
                  <w:r>
                    <w:rPr>
                      <w:rFonts w:ascii="Times New Roman" w:hAnsi="Times New Roman" w:cs="Times New Roman"/>
                    </w:rPr>
                    <w:t>泔水</w:t>
                  </w:r>
                </w:p>
              </w:tc>
              <w:tc>
                <w:tcPr>
                  <w:tcW w:w="1702" w:type="dxa"/>
                  <w:vAlign w:val="center"/>
                </w:tcPr>
                <w:p w14:paraId="367C2A1A">
                  <w:pPr>
                    <w:spacing w:line="288" w:lineRule="auto"/>
                    <w:jc w:val="center"/>
                    <w:rPr>
                      <w:rFonts w:ascii="Times New Roman" w:hAnsi="Times New Roman" w:cs="Times New Roman"/>
                      <w:bCs/>
                      <w:szCs w:val="21"/>
                    </w:rPr>
                  </w:pPr>
                  <w:r>
                    <w:rPr>
                      <w:rFonts w:ascii="Times New Roman" w:hAnsi="Times New Roman" w:cs="Times New Roman"/>
                    </w:rPr>
                    <w:t>食堂</w:t>
                  </w:r>
                </w:p>
              </w:tc>
              <w:tc>
                <w:tcPr>
                  <w:tcW w:w="844" w:type="dxa"/>
                  <w:vAlign w:val="center"/>
                </w:tcPr>
                <w:p w14:paraId="6E07C6BB">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2E9160FC">
                  <w:pPr>
                    <w:spacing w:line="288" w:lineRule="auto"/>
                    <w:jc w:val="center"/>
                    <w:rPr>
                      <w:rFonts w:ascii="Times New Roman" w:hAnsi="Times New Roman" w:cs="Times New Roman"/>
                      <w:bCs/>
                      <w:szCs w:val="21"/>
                    </w:rPr>
                  </w:pPr>
                  <w:r>
                    <w:rPr>
                      <w:szCs w:val="21"/>
                    </w:rPr>
                    <w:t>一般固废</w:t>
                  </w:r>
                </w:p>
              </w:tc>
              <w:tc>
                <w:tcPr>
                  <w:tcW w:w="1952" w:type="dxa"/>
                  <w:vAlign w:val="center"/>
                </w:tcPr>
                <w:p w14:paraId="06B79B8C">
                  <w:pPr>
                    <w:spacing w:line="288" w:lineRule="auto"/>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.62</w:t>
                  </w:r>
                </w:p>
              </w:tc>
            </w:tr>
            <w:tr w14:paraId="0BC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0E2ECE66">
                  <w:pPr>
                    <w:spacing w:line="288" w:lineRule="auto"/>
                    <w:jc w:val="center"/>
                    <w:rPr>
                      <w:rFonts w:ascii="Times New Roman" w:hAnsi="Times New Roman" w:cs="Times New Roman"/>
                      <w:bCs/>
                      <w:szCs w:val="21"/>
                    </w:rPr>
                  </w:pPr>
                  <w:r>
                    <w:rPr>
                      <w:rFonts w:hint="eastAsia" w:ascii="Times New Roman" w:hAnsi="Times New Roman" w:cs="Times New Roman"/>
                      <w:bCs/>
                      <w:szCs w:val="21"/>
                    </w:rPr>
                    <w:t>3</w:t>
                  </w:r>
                </w:p>
              </w:tc>
              <w:tc>
                <w:tcPr>
                  <w:tcW w:w="1463" w:type="dxa"/>
                  <w:vAlign w:val="center"/>
                </w:tcPr>
                <w:p w14:paraId="1B30C2D1">
                  <w:pPr>
                    <w:spacing w:line="288" w:lineRule="auto"/>
                    <w:jc w:val="center"/>
                    <w:rPr>
                      <w:rFonts w:ascii="Times New Roman" w:hAnsi="Times New Roman" w:cs="Times New Roman"/>
                      <w:bCs/>
                      <w:szCs w:val="21"/>
                    </w:rPr>
                  </w:pPr>
                  <w:r>
                    <w:rPr>
                      <w:rFonts w:ascii="Times New Roman" w:hAnsi="Times New Roman" w:cs="Times New Roman"/>
                    </w:rPr>
                    <w:t>生活垃圾</w:t>
                  </w:r>
                </w:p>
              </w:tc>
              <w:tc>
                <w:tcPr>
                  <w:tcW w:w="1702" w:type="dxa"/>
                  <w:vAlign w:val="center"/>
                </w:tcPr>
                <w:p w14:paraId="4761D50A">
                  <w:pPr>
                    <w:spacing w:line="288" w:lineRule="auto"/>
                    <w:jc w:val="center"/>
                    <w:rPr>
                      <w:rFonts w:ascii="Times New Roman" w:hAnsi="Times New Roman" w:cs="Times New Roman"/>
                      <w:bCs/>
                      <w:szCs w:val="21"/>
                    </w:rPr>
                  </w:pPr>
                  <w:r>
                    <w:rPr>
                      <w:rFonts w:hint="eastAsia" w:ascii="Times New Roman" w:hAnsi="Times New Roman" w:cs="Times New Roman"/>
                      <w:bCs/>
                      <w:szCs w:val="21"/>
                    </w:rPr>
                    <w:t>职工生活</w:t>
                  </w:r>
                </w:p>
              </w:tc>
              <w:tc>
                <w:tcPr>
                  <w:tcW w:w="844" w:type="dxa"/>
                  <w:vAlign w:val="center"/>
                </w:tcPr>
                <w:p w14:paraId="20928485">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10B95D50">
                  <w:pPr>
                    <w:spacing w:line="288" w:lineRule="auto"/>
                    <w:jc w:val="center"/>
                    <w:rPr>
                      <w:rFonts w:ascii="Times New Roman" w:hAnsi="Times New Roman" w:cs="Times New Roman"/>
                      <w:bCs/>
                      <w:szCs w:val="21"/>
                    </w:rPr>
                  </w:pPr>
                  <w:r>
                    <w:rPr>
                      <w:szCs w:val="21"/>
                    </w:rPr>
                    <w:t>一般固废</w:t>
                  </w:r>
                </w:p>
              </w:tc>
              <w:tc>
                <w:tcPr>
                  <w:tcW w:w="1952" w:type="dxa"/>
                  <w:vAlign w:val="center"/>
                </w:tcPr>
                <w:p w14:paraId="16E475AC">
                  <w:pPr>
                    <w:spacing w:line="288" w:lineRule="auto"/>
                    <w:jc w:val="cente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.05</w:t>
                  </w:r>
                </w:p>
              </w:tc>
            </w:tr>
            <w:tr w14:paraId="08E2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42B30AD1">
                  <w:pPr>
                    <w:spacing w:line="288" w:lineRule="auto"/>
                    <w:jc w:val="center"/>
                    <w:rPr>
                      <w:rFonts w:ascii="Times New Roman" w:hAnsi="Times New Roman" w:cs="Times New Roman"/>
                      <w:bCs/>
                      <w:szCs w:val="21"/>
                    </w:rPr>
                  </w:pPr>
                  <w:r>
                    <w:rPr>
                      <w:rFonts w:hint="eastAsia" w:ascii="Times New Roman" w:hAnsi="Times New Roman" w:cs="Times New Roman"/>
                      <w:bCs/>
                      <w:szCs w:val="21"/>
                    </w:rPr>
                    <w:t>4</w:t>
                  </w:r>
                </w:p>
              </w:tc>
              <w:tc>
                <w:tcPr>
                  <w:tcW w:w="1463" w:type="dxa"/>
                  <w:vAlign w:val="center"/>
                </w:tcPr>
                <w:p w14:paraId="24C849E4">
                  <w:pPr>
                    <w:spacing w:line="288" w:lineRule="auto"/>
                    <w:jc w:val="center"/>
                    <w:rPr>
                      <w:rFonts w:ascii="Times New Roman" w:hAnsi="Times New Roman" w:cs="Times New Roman"/>
                      <w:bCs/>
                      <w:szCs w:val="21"/>
                    </w:rPr>
                  </w:pPr>
                  <w:r>
                    <w:rPr>
                      <w:rFonts w:hint="eastAsia" w:ascii="Times New Roman" w:hAnsi="Times New Roman" w:cs="Times New Roman"/>
                      <w:bCs/>
                      <w:szCs w:val="21"/>
                    </w:rPr>
                    <w:t>沉渣</w:t>
                  </w:r>
                </w:p>
              </w:tc>
              <w:tc>
                <w:tcPr>
                  <w:tcW w:w="1702" w:type="dxa"/>
                  <w:vAlign w:val="center"/>
                </w:tcPr>
                <w:p w14:paraId="023D42F4">
                  <w:pPr>
                    <w:spacing w:line="288" w:lineRule="auto"/>
                    <w:jc w:val="center"/>
                    <w:rPr>
                      <w:rFonts w:ascii="Times New Roman" w:hAnsi="Times New Roman" w:cs="Times New Roman"/>
                      <w:bCs/>
                      <w:szCs w:val="21"/>
                    </w:rPr>
                  </w:pPr>
                  <w:r>
                    <w:rPr>
                      <w:rFonts w:hint="eastAsia" w:ascii="Times New Roman" w:hAnsi="Times New Roman" w:cs="Times New Roman"/>
                      <w:bCs/>
                      <w:szCs w:val="21"/>
                    </w:rPr>
                    <w:t>脱硫除尘塔</w:t>
                  </w:r>
                </w:p>
              </w:tc>
              <w:tc>
                <w:tcPr>
                  <w:tcW w:w="844" w:type="dxa"/>
                  <w:vAlign w:val="center"/>
                </w:tcPr>
                <w:p w14:paraId="16F74C00">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356B7E14">
                  <w:pPr>
                    <w:spacing w:line="288" w:lineRule="auto"/>
                    <w:jc w:val="center"/>
                    <w:rPr>
                      <w:rFonts w:ascii="Times New Roman" w:hAnsi="Times New Roman" w:cs="Times New Roman"/>
                      <w:bCs/>
                      <w:szCs w:val="21"/>
                    </w:rPr>
                  </w:pPr>
                  <w:r>
                    <w:rPr>
                      <w:szCs w:val="21"/>
                    </w:rPr>
                    <w:t>一般固废</w:t>
                  </w:r>
                </w:p>
              </w:tc>
              <w:tc>
                <w:tcPr>
                  <w:tcW w:w="1952" w:type="dxa"/>
                  <w:vAlign w:val="center"/>
                </w:tcPr>
                <w:p w14:paraId="6125A977">
                  <w:pPr>
                    <w:spacing w:line="288" w:lineRule="auto"/>
                    <w:jc w:val="center"/>
                    <w:rPr>
                      <w:rFonts w:ascii="Times New Roman" w:hAnsi="Times New Roman" w:cs="Times New Roman"/>
                    </w:rPr>
                  </w:pPr>
                  <w:r>
                    <w:rPr>
                      <w:rFonts w:ascii="Times New Roman" w:hAnsi="Times New Roman" w:cs="Times New Roman"/>
                    </w:rPr>
                    <w:t>3.13</w:t>
                  </w:r>
                </w:p>
              </w:tc>
            </w:tr>
            <w:tr w14:paraId="6F6F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267A4D36">
                  <w:pPr>
                    <w:spacing w:line="288" w:lineRule="auto"/>
                    <w:jc w:val="center"/>
                    <w:rPr>
                      <w:rFonts w:ascii="Times New Roman" w:hAnsi="Times New Roman" w:cs="Times New Roman"/>
                      <w:bCs/>
                      <w:szCs w:val="21"/>
                    </w:rPr>
                  </w:pPr>
                  <w:r>
                    <w:rPr>
                      <w:rFonts w:hint="eastAsia" w:ascii="Times New Roman" w:hAnsi="Times New Roman" w:cs="Times New Roman"/>
                      <w:bCs/>
                      <w:szCs w:val="21"/>
                    </w:rPr>
                    <w:t>5</w:t>
                  </w:r>
                </w:p>
              </w:tc>
              <w:tc>
                <w:tcPr>
                  <w:tcW w:w="1463" w:type="dxa"/>
                  <w:vAlign w:val="center"/>
                </w:tcPr>
                <w:p w14:paraId="3025D37E">
                  <w:pPr>
                    <w:spacing w:line="288" w:lineRule="auto"/>
                    <w:jc w:val="center"/>
                    <w:rPr>
                      <w:rFonts w:ascii="Times New Roman" w:hAnsi="Times New Roman" w:cs="Times New Roman"/>
                      <w:bCs/>
                      <w:szCs w:val="21"/>
                    </w:rPr>
                  </w:pPr>
                  <w:r>
                    <w:rPr>
                      <w:rFonts w:hint="eastAsia" w:ascii="Times New Roman" w:hAnsi="Times New Roman" w:cs="Times New Roman"/>
                    </w:rPr>
                    <w:t>废活性炭</w:t>
                  </w:r>
                </w:p>
              </w:tc>
              <w:tc>
                <w:tcPr>
                  <w:tcW w:w="1702" w:type="dxa"/>
                  <w:vAlign w:val="center"/>
                </w:tcPr>
                <w:p w14:paraId="426A3C61">
                  <w:pPr>
                    <w:spacing w:line="288" w:lineRule="auto"/>
                    <w:jc w:val="center"/>
                    <w:rPr>
                      <w:rFonts w:ascii="Times New Roman" w:hAnsi="Times New Roman" w:cs="Times New Roman"/>
                      <w:bCs/>
                      <w:szCs w:val="21"/>
                    </w:rPr>
                  </w:pPr>
                  <w:r>
                    <w:rPr>
                      <w:rFonts w:hint="eastAsia" w:ascii="Times New Roman" w:hAnsi="Times New Roman" w:cs="Times New Roman"/>
                      <w:bCs/>
                      <w:szCs w:val="21"/>
                    </w:rPr>
                    <w:t>臭气处理</w:t>
                  </w:r>
                </w:p>
              </w:tc>
              <w:tc>
                <w:tcPr>
                  <w:tcW w:w="844" w:type="dxa"/>
                  <w:vAlign w:val="center"/>
                </w:tcPr>
                <w:p w14:paraId="06DF0D85">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7A9909AD">
                  <w:pPr>
                    <w:spacing w:line="288" w:lineRule="auto"/>
                    <w:jc w:val="center"/>
                    <w:rPr>
                      <w:szCs w:val="21"/>
                    </w:rPr>
                  </w:pPr>
                  <w:r>
                    <w:rPr>
                      <w:szCs w:val="21"/>
                    </w:rPr>
                    <w:t>一般固废</w:t>
                  </w:r>
                </w:p>
              </w:tc>
              <w:tc>
                <w:tcPr>
                  <w:tcW w:w="1952" w:type="dxa"/>
                  <w:vAlign w:val="center"/>
                </w:tcPr>
                <w:p w14:paraId="4A883D2B">
                  <w:pPr>
                    <w:spacing w:line="288" w:lineRule="auto"/>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.20</w:t>
                  </w:r>
                </w:p>
              </w:tc>
            </w:tr>
            <w:tr w14:paraId="73FA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4BDA0112">
                  <w:pPr>
                    <w:spacing w:line="288" w:lineRule="auto"/>
                    <w:jc w:val="center"/>
                    <w:rPr>
                      <w:rFonts w:ascii="Times New Roman" w:hAnsi="Times New Roman" w:cs="Times New Roman"/>
                      <w:bCs/>
                      <w:szCs w:val="21"/>
                    </w:rPr>
                  </w:pPr>
                  <w:r>
                    <w:rPr>
                      <w:rFonts w:hint="eastAsia" w:ascii="Times New Roman" w:hAnsi="Times New Roman" w:cs="Times New Roman"/>
                      <w:bCs/>
                      <w:szCs w:val="21"/>
                    </w:rPr>
                    <w:t>6</w:t>
                  </w:r>
                </w:p>
              </w:tc>
              <w:tc>
                <w:tcPr>
                  <w:tcW w:w="1463" w:type="dxa"/>
                  <w:vAlign w:val="center"/>
                </w:tcPr>
                <w:p w14:paraId="774FDB07">
                  <w:pPr>
                    <w:spacing w:line="288" w:lineRule="auto"/>
                    <w:jc w:val="center"/>
                    <w:rPr>
                      <w:rFonts w:ascii="Times New Roman" w:hAnsi="Times New Roman" w:cs="Times New Roman"/>
                      <w:bCs/>
                      <w:szCs w:val="21"/>
                    </w:rPr>
                  </w:pPr>
                  <w:r>
                    <w:rPr>
                      <w:rFonts w:hint="eastAsia" w:ascii="Times New Roman" w:hAnsi="Times New Roman" w:cs="Times New Roman"/>
                      <w:bCs/>
                      <w:szCs w:val="21"/>
                    </w:rPr>
                    <w:t>废包装袋</w:t>
                  </w:r>
                </w:p>
              </w:tc>
              <w:tc>
                <w:tcPr>
                  <w:tcW w:w="1702" w:type="dxa"/>
                  <w:vAlign w:val="center"/>
                </w:tcPr>
                <w:p w14:paraId="757A33C7">
                  <w:pPr>
                    <w:spacing w:line="288" w:lineRule="auto"/>
                    <w:jc w:val="center"/>
                    <w:rPr>
                      <w:rFonts w:ascii="Times New Roman" w:hAnsi="Times New Roman" w:cs="Times New Roman"/>
                      <w:bCs/>
                      <w:szCs w:val="21"/>
                    </w:rPr>
                  </w:pPr>
                  <w:r>
                    <w:rPr>
                      <w:rFonts w:hint="eastAsia" w:ascii="Times New Roman" w:hAnsi="Times New Roman" w:cs="Times New Roman"/>
                      <w:bCs/>
                      <w:szCs w:val="21"/>
                    </w:rPr>
                    <w:t>畜禽收集</w:t>
                  </w:r>
                </w:p>
              </w:tc>
              <w:tc>
                <w:tcPr>
                  <w:tcW w:w="844" w:type="dxa"/>
                  <w:vAlign w:val="center"/>
                </w:tcPr>
                <w:p w14:paraId="2BB91780">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66D7A5CF">
                  <w:pPr>
                    <w:spacing w:line="288" w:lineRule="auto"/>
                    <w:jc w:val="center"/>
                    <w:rPr>
                      <w:rFonts w:ascii="Times New Roman" w:hAnsi="Times New Roman" w:cs="Times New Roman"/>
                      <w:bCs/>
                      <w:szCs w:val="21"/>
                    </w:rPr>
                  </w:pPr>
                  <w:r>
                    <w:rPr>
                      <w:szCs w:val="21"/>
                    </w:rPr>
                    <w:t>一般固废</w:t>
                  </w:r>
                </w:p>
              </w:tc>
              <w:tc>
                <w:tcPr>
                  <w:tcW w:w="1952" w:type="dxa"/>
                  <w:vAlign w:val="center"/>
                </w:tcPr>
                <w:p w14:paraId="4ECD6C58">
                  <w:pPr>
                    <w:spacing w:line="288" w:lineRule="auto"/>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.10</w:t>
                  </w:r>
                </w:p>
              </w:tc>
            </w:tr>
            <w:tr w14:paraId="58CA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167FB9EE">
                  <w:pPr>
                    <w:spacing w:line="288" w:lineRule="auto"/>
                    <w:jc w:val="center"/>
                    <w:rPr>
                      <w:rFonts w:ascii="Times New Roman" w:hAnsi="Times New Roman" w:cs="Times New Roman"/>
                      <w:bCs/>
                      <w:szCs w:val="21"/>
                    </w:rPr>
                  </w:pPr>
                  <w:r>
                    <w:rPr>
                      <w:rFonts w:hint="eastAsia" w:ascii="Times New Roman" w:hAnsi="Times New Roman" w:cs="Times New Roman"/>
                      <w:bCs/>
                      <w:szCs w:val="21"/>
                    </w:rPr>
                    <w:t>7</w:t>
                  </w:r>
                </w:p>
              </w:tc>
              <w:tc>
                <w:tcPr>
                  <w:tcW w:w="1463" w:type="dxa"/>
                  <w:vAlign w:val="center"/>
                </w:tcPr>
                <w:p w14:paraId="2C09C1FE">
                  <w:pPr>
                    <w:spacing w:line="288" w:lineRule="auto"/>
                    <w:jc w:val="center"/>
                    <w:rPr>
                      <w:rFonts w:ascii="Times New Roman" w:hAnsi="Times New Roman" w:cs="Times New Roman"/>
                      <w:bCs/>
                      <w:szCs w:val="21"/>
                    </w:rPr>
                  </w:pPr>
                  <w:r>
                    <w:rPr>
                      <w:rFonts w:hint="eastAsia" w:ascii="Times New Roman" w:hAnsi="Times New Roman" w:cs="Times New Roman"/>
                      <w:bCs/>
                      <w:szCs w:val="21"/>
                    </w:rPr>
                    <w:t>炉渣</w:t>
                  </w:r>
                </w:p>
              </w:tc>
              <w:tc>
                <w:tcPr>
                  <w:tcW w:w="1702" w:type="dxa"/>
                  <w:vAlign w:val="center"/>
                </w:tcPr>
                <w:p w14:paraId="2AF7E980">
                  <w:pPr>
                    <w:spacing w:line="288" w:lineRule="auto"/>
                    <w:jc w:val="center"/>
                    <w:rPr>
                      <w:rFonts w:ascii="Times New Roman" w:hAnsi="Times New Roman" w:cs="Times New Roman"/>
                      <w:bCs/>
                      <w:szCs w:val="21"/>
                    </w:rPr>
                  </w:pPr>
                  <w:r>
                    <w:rPr>
                      <w:rFonts w:hint="eastAsia" w:ascii="Times New Roman" w:hAnsi="Times New Roman" w:cs="Times New Roman"/>
                      <w:bCs/>
                      <w:szCs w:val="21"/>
                    </w:rPr>
                    <w:t>锅炉</w:t>
                  </w:r>
                </w:p>
              </w:tc>
              <w:tc>
                <w:tcPr>
                  <w:tcW w:w="844" w:type="dxa"/>
                  <w:vAlign w:val="center"/>
                </w:tcPr>
                <w:p w14:paraId="3D3891D5">
                  <w:pPr>
                    <w:spacing w:line="288" w:lineRule="auto"/>
                    <w:jc w:val="center"/>
                    <w:rPr>
                      <w:rFonts w:ascii="Times New Roman" w:hAnsi="Times New Roman" w:cs="Times New Roman"/>
                      <w:bCs/>
                      <w:szCs w:val="21"/>
                    </w:rPr>
                  </w:pPr>
                  <w:r>
                    <w:rPr>
                      <w:rFonts w:hint="eastAsia" w:ascii="Times New Roman" w:hAnsi="Times New Roman" w:cs="Times New Roman"/>
                      <w:bCs/>
                      <w:szCs w:val="21"/>
                    </w:rPr>
                    <w:t>S</w:t>
                  </w:r>
                </w:p>
              </w:tc>
              <w:tc>
                <w:tcPr>
                  <w:tcW w:w="1475" w:type="dxa"/>
                  <w:vAlign w:val="center"/>
                </w:tcPr>
                <w:p w14:paraId="5A593268">
                  <w:pPr>
                    <w:spacing w:line="288" w:lineRule="auto"/>
                    <w:jc w:val="center"/>
                    <w:rPr>
                      <w:szCs w:val="21"/>
                    </w:rPr>
                  </w:pPr>
                  <w:r>
                    <w:rPr>
                      <w:szCs w:val="21"/>
                    </w:rPr>
                    <w:t>一般固废</w:t>
                  </w:r>
                </w:p>
              </w:tc>
              <w:tc>
                <w:tcPr>
                  <w:tcW w:w="1952" w:type="dxa"/>
                  <w:vAlign w:val="center"/>
                </w:tcPr>
                <w:p w14:paraId="00C209C5">
                  <w:pPr>
                    <w:spacing w:line="288" w:lineRule="auto"/>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9.52</w:t>
                  </w:r>
                </w:p>
              </w:tc>
            </w:tr>
            <w:tr w14:paraId="3684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72FAD748">
                  <w:pPr>
                    <w:spacing w:line="288" w:lineRule="auto"/>
                    <w:jc w:val="center"/>
                    <w:rPr>
                      <w:rFonts w:ascii="Times New Roman" w:hAnsi="Times New Roman" w:cs="Times New Roman"/>
                      <w:bCs/>
                      <w:szCs w:val="21"/>
                    </w:rPr>
                  </w:pPr>
                  <w:r>
                    <w:rPr>
                      <w:rFonts w:hint="eastAsia" w:ascii="Times New Roman" w:hAnsi="Times New Roman" w:cs="Times New Roman"/>
                      <w:bCs/>
                      <w:szCs w:val="21"/>
                    </w:rPr>
                    <w:t>8</w:t>
                  </w:r>
                </w:p>
              </w:tc>
              <w:tc>
                <w:tcPr>
                  <w:tcW w:w="1463" w:type="dxa"/>
                  <w:vAlign w:val="center"/>
                </w:tcPr>
                <w:p w14:paraId="533C5345">
                  <w:pPr>
                    <w:spacing w:line="288" w:lineRule="auto"/>
                    <w:jc w:val="center"/>
                    <w:rPr>
                      <w:rFonts w:ascii="Times New Roman" w:hAnsi="Times New Roman" w:cs="Times New Roman"/>
                      <w:bCs/>
                      <w:szCs w:val="21"/>
                    </w:rPr>
                  </w:pPr>
                  <w:r>
                    <w:rPr>
                      <w:rFonts w:hint="eastAsia" w:ascii="Times New Roman" w:hAnsi="Times New Roman" w:cs="Times New Roman"/>
                      <w:bCs/>
                      <w:szCs w:val="21"/>
                    </w:rPr>
                    <w:t>污泥</w:t>
                  </w:r>
                </w:p>
              </w:tc>
              <w:tc>
                <w:tcPr>
                  <w:tcW w:w="1702" w:type="dxa"/>
                  <w:vAlign w:val="center"/>
                </w:tcPr>
                <w:p w14:paraId="6E94132F">
                  <w:pPr>
                    <w:spacing w:line="288" w:lineRule="auto"/>
                    <w:jc w:val="center"/>
                    <w:rPr>
                      <w:rFonts w:ascii="Times New Roman" w:hAnsi="Times New Roman" w:cs="Times New Roman"/>
                      <w:bCs/>
                      <w:szCs w:val="21"/>
                    </w:rPr>
                  </w:pPr>
                  <w:r>
                    <w:rPr>
                      <w:rFonts w:hint="eastAsia" w:ascii="Times New Roman" w:hAnsi="Times New Roman" w:cs="Times New Roman"/>
                      <w:bCs/>
                      <w:szCs w:val="21"/>
                    </w:rPr>
                    <w:t>生活污水处理</w:t>
                  </w:r>
                </w:p>
              </w:tc>
              <w:tc>
                <w:tcPr>
                  <w:tcW w:w="844" w:type="dxa"/>
                  <w:vAlign w:val="center"/>
                </w:tcPr>
                <w:p w14:paraId="3B36983E">
                  <w:pPr>
                    <w:spacing w:line="288" w:lineRule="auto"/>
                    <w:jc w:val="center"/>
                    <w:rPr>
                      <w:rFonts w:ascii="Times New Roman" w:hAnsi="Times New Roman" w:cs="Times New Roman"/>
                      <w:bCs/>
                      <w:szCs w:val="21"/>
                    </w:rPr>
                  </w:pPr>
                  <w:r>
                    <w:rPr>
                      <w:rFonts w:ascii="Times New Roman" w:hAnsi="Times New Roman" w:cs="Times New Roman"/>
                      <w:bCs/>
                      <w:szCs w:val="21"/>
                    </w:rPr>
                    <w:t>S</w:t>
                  </w:r>
                </w:p>
              </w:tc>
              <w:tc>
                <w:tcPr>
                  <w:tcW w:w="1475" w:type="dxa"/>
                  <w:vAlign w:val="center"/>
                </w:tcPr>
                <w:p w14:paraId="563F35B8">
                  <w:pPr>
                    <w:spacing w:line="288" w:lineRule="auto"/>
                    <w:jc w:val="center"/>
                    <w:rPr>
                      <w:szCs w:val="21"/>
                    </w:rPr>
                  </w:pPr>
                  <w:r>
                    <w:rPr>
                      <w:rFonts w:hint="eastAsia" w:ascii="Times New Roman" w:hAnsi="Times New Roman" w:cs="Times New Roman"/>
                      <w:bCs/>
                      <w:szCs w:val="21"/>
                    </w:rPr>
                    <w:t>危险废物</w:t>
                  </w:r>
                </w:p>
              </w:tc>
              <w:tc>
                <w:tcPr>
                  <w:tcW w:w="1952" w:type="dxa"/>
                  <w:vAlign w:val="center"/>
                </w:tcPr>
                <w:p w14:paraId="38AC8832">
                  <w:pPr>
                    <w:spacing w:line="288" w:lineRule="auto"/>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.59</w:t>
                  </w:r>
                </w:p>
              </w:tc>
            </w:tr>
            <w:tr w14:paraId="7F83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14:paraId="01B35EDF">
                  <w:pPr>
                    <w:spacing w:line="288" w:lineRule="auto"/>
                    <w:jc w:val="center"/>
                    <w:rPr>
                      <w:rFonts w:ascii="Times New Roman" w:hAnsi="Times New Roman" w:cs="Times New Roman"/>
                      <w:bCs/>
                      <w:szCs w:val="21"/>
                    </w:rPr>
                  </w:pPr>
                  <w:r>
                    <w:rPr>
                      <w:rFonts w:hint="eastAsia" w:ascii="Times New Roman" w:hAnsi="Times New Roman" w:cs="Times New Roman"/>
                      <w:bCs/>
                      <w:szCs w:val="21"/>
                    </w:rPr>
                    <w:t>9</w:t>
                  </w:r>
                </w:p>
              </w:tc>
              <w:tc>
                <w:tcPr>
                  <w:tcW w:w="1463" w:type="dxa"/>
                  <w:vAlign w:val="center"/>
                </w:tcPr>
                <w:p w14:paraId="2770DA9F">
                  <w:pPr>
                    <w:spacing w:line="288" w:lineRule="auto"/>
                    <w:jc w:val="center"/>
                    <w:rPr>
                      <w:rFonts w:ascii="Times New Roman" w:hAnsi="Times New Roman" w:cs="Times New Roman"/>
                      <w:bCs/>
                      <w:szCs w:val="21"/>
                    </w:rPr>
                  </w:pPr>
                  <w:r>
                    <w:rPr>
                      <w:rFonts w:hint="eastAsia" w:ascii="Times New Roman" w:hAnsi="Times New Roman" w:cs="Times New Roman"/>
                      <w:bCs/>
                      <w:szCs w:val="21"/>
                    </w:rPr>
                    <w:t>废机油</w:t>
                  </w:r>
                </w:p>
              </w:tc>
              <w:tc>
                <w:tcPr>
                  <w:tcW w:w="1702" w:type="dxa"/>
                  <w:vAlign w:val="center"/>
                </w:tcPr>
                <w:p w14:paraId="1D8F258F">
                  <w:pPr>
                    <w:spacing w:line="288" w:lineRule="auto"/>
                    <w:jc w:val="center"/>
                    <w:rPr>
                      <w:rFonts w:ascii="Times New Roman" w:hAnsi="Times New Roman" w:cs="Times New Roman"/>
                      <w:bCs/>
                      <w:szCs w:val="21"/>
                    </w:rPr>
                  </w:pPr>
                  <w:r>
                    <w:rPr>
                      <w:rFonts w:hint="eastAsia" w:ascii="Times New Roman" w:hAnsi="Times New Roman" w:cs="Times New Roman"/>
                      <w:bCs/>
                      <w:szCs w:val="21"/>
                    </w:rPr>
                    <w:t>设备维修维护</w:t>
                  </w:r>
                </w:p>
              </w:tc>
              <w:tc>
                <w:tcPr>
                  <w:tcW w:w="844" w:type="dxa"/>
                  <w:vAlign w:val="center"/>
                </w:tcPr>
                <w:p w14:paraId="1C6AF80F">
                  <w:pPr>
                    <w:spacing w:line="288" w:lineRule="auto"/>
                    <w:jc w:val="center"/>
                    <w:rPr>
                      <w:rFonts w:ascii="Times New Roman" w:hAnsi="Times New Roman" w:cs="Times New Roman"/>
                      <w:bCs/>
                      <w:szCs w:val="21"/>
                    </w:rPr>
                  </w:pPr>
                  <w:r>
                    <w:rPr>
                      <w:rFonts w:hint="eastAsia" w:ascii="Times New Roman" w:hAnsi="Times New Roman" w:cs="Times New Roman"/>
                      <w:bCs/>
                      <w:szCs w:val="21"/>
                    </w:rPr>
                    <w:t>L</w:t>
                  </w:r>
                </w:p>
              </w:tc>
              <w:tc>
                <w:tcPr>
                  <w:tcW w:w="1475" w:type="dxa"/>
                  <w:vAlign w:val="center"/>
                </w:tcPr>
                <w:p w14:paraId="56EEE722">
                  <w:pPr>
                    <w:spacing w:line="288" w:lineRule="auto"/>
                    <w:jc w:val="center"/>
                    <w:rPr>
                      <w:szCs w:val="21"/>
                    </w:rPr>
                  </w:pPr>
                  <w:r>
                    <w:rPr>
                      <w:rFonts w:hint="eastAsia" w:ascii="Times New Roman" w:hAnsi="Times New Roman" w:cs="Times New Roman"/>
                      <w:bCs/>
                      <w:szCs w:val="21"/>
                    </w:rPr>
                    <w:t>危险废物</w:t>
                  </w:r>
                </w:p>
              </w:tc>
              <w:tc>
                <w:tcPr>
                  <w:tcW w:w="1952" w:type="dxa"/>
                  <w:vAlign w:val="center"/>
                </w:tcPr>
                <w:p w14:paraId="35E0E5FB">
                  <w:pPr>
                    <w:spacing w:line="288" w:lineRule="auto"/>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.31</w:t>
                  </w:r>
                </w:p>
              </w:tc>
            </w:tr>
          </w:tbl>
          <w:p w14:paraId="5DEC0132">
            <w:pPr>
              <w:pStyle w:val="53"/>
              <w:spacing w:line="240" w:lineRule="auto"/>
              <w:ind w:firstLine="420" w:firstLineChars="199"/>
              <w:jc w:val="center"/>
              <w:rPr>
                <w:rFonts w:cs="Times New Roman"/>
                <w:b/>
                <w:kern w:val="0"/>
                <w:sz w:val="21"/>
                <w:szCs w:val="21"/>
                <w:lang w:val="zh-CN"/>
              </w:rPr>
            </w:pPr>
          </w:p>
          <w:bookmarkEnd w:id="60"/>
          <w:p w14:paraId="052022B2">
            <w:pPr>
              <w:pStyle w:val="53"/>
              <w:spacing w:before="156" w:beforeLines="50" w:line="240" w:lineRule="auto"/>
              <w:ind w:firstLine="0" w:firstLineChars="0"/>
              <w:jc w:val="center"/>
              <w:rPr>
                <w:rFonts w:cs="Times New Roman"/>
                <w:b/>
                <w:kern w:val="0"/>
                <w:sz w:val="21"/>
                <w:szCs w:val="21"/>
                <w:lang w:val="zh-CN"/>
              </w:rPr>
            </w:pPr>
            <w:bookmarkStart w:id="61" w:name="_Hlk77011201"/>
            <w:r>
              <w:rPr>
                <w:rFonts w:cs="Times New Roman"/>
                <w:b/>
                <w:kern w:val="0"/>
                <w:sz w:val="21"/>
                <w:szCs w:val="21"/>
                <w:lang w:val="zh-CN"/>
              </w:rPr>
              <w:t>表</w:t>
            </w:r>
            <w:r>
              <w:rPr>
                <w:rFonts w:cs="Times New Roman"/>
                <w:b/>
                <w:kern w:val="0"/>
                <w:sz w:val="21"/>
                <w:szCs w:val="21"/>
              </w:rPr>
              <w:t xml:space="preserve">2-21    </w:t>
            </w:r>
            <w:r>
              <w:rPr>
                <w:rFonts w:cs="Times New Roman"/>
                <w:b/>
                <w:kern w:val="0"/>
                <w:sz w:val="21"/>
                <w:szCs w:val="21"/>
                <w:lang w:val="zh-CN"/>
              </w:rPr>
              <w:t>项目危险废物汇总表</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1" w:type="dxa"/>
                <w:bottom w:w="0" w:type="dxa"/>
                <w:right w:w="51" w:type="dxa"/>
              </w:tblCellMar>
            </w:tblPr>
            <w:tblGrid>
              <w:gridCol w:w="494"/>
              <w:gridCol w:w="586"/>
              <w:gridCol w:w="747"/>
              <w:gridCol w:w="1082"/>
              <w:gridCol w:w="470"/>
              <w:gridCol w:w="860"/>
              <w:gridCol w:w="578"/>
              <w:gridCol w:w="511"/>
              <w:gridCol w:w="484"/>
              <w:gridCol w:w="511"/>
              <w:gridCol w:w="524"/>
              <w:gridCol w:w="1252"/>
            </w:tblGrid>
            <w:tr w14:paraId="083AC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15" w:hRule="atLeast"/>
              </w:trPr>
              <w:tc>
                <w:tcPr>
                  <w:tcW w:w="494" w:type="dxa"/>
                  <w:vAlign w:val="center"/>
                </w:tcPr>
                <w:p w14:paraId="7F04811D">
                  <w:pPr>
                    <w:jc w:val="center"/>
                    <w:rPr>
                      <w:rFonts w:ascii="Times New Roman" w:hAnsi="Times New Roman" w:cs="Times New Roman"/>
                      <w:b/>
                      <w:bCs/>
                    </w:rPr>
                  </w:pPr>
                  <w:r>
                    <w:rPr>
                      <w:rFonts w:ascii="Times New Roman" w:hAnsi="Times New Roman" w:cs="Times New Roman"/>
                      <w:b/>
                      <w:bCs/>
                    </w:rPr>
                    <w:t>序号</w:t>
                  </w:r>
                </w:p>
              </w:tc>
              <w:tc>
                <w:tcPr>
                  <w:tcW w:w="586" w:type="dxa"/>
                  <w:vAlign w:val="center"/>
                </w:tcPr>
                <w:p w14:paraId="7831C5B4">
                  <w:pPr>
                    <w:jc w:val="center"/>
                    <w:rPr>
                      <w:rFonts w:ascii="Times New Roman" w:hAnsi="Times New Roman" w:cs="Times New Roman"/>
                      <w:b/>
                      <w:bCs/>
                    </w:rPr>
                  </w:pPr>
                  <w:r>
                    <w:rPr>
                      <w:rFonts w:ascii="Times New Roman" w:hAnsi="Times New Roman" w:cs="Times New Roman"/>
                      <w:b/>
                      <w:bCs/>
                    </w:rPr>
                    <w:t>危险废物名称</w:t>
                  </w:r>
                </w:p>
              </w:tc>
              <w:tc>
                <w:tcPr>
                  <w:tcW w:w="747" w:type="dxa"/>
                  <w:vAlign w:val="center"/>
                </w:tcPr>
                <w:p w14:paraId="27919C81">
                  <w:pPr>
                    <w:jc w:val="center"/>
                    <w:rPr>
                      <w:rFonts w:ascii="Times New Roman" w:hAnsi="Times New Roman" w:cs="Times New Roman"/>
                      <w:b/>
                      <w:bCs/>
                    </w:rPr>
                  </w:pPr>
                  <w:r>
                    <w:rPr>
                      <w:rFonts w:ascii="Times New Roman" w:hAnsi="Times New Roman" w:cs="Times New Roman"/>
                      <w:b/>
                      <w:bCs/>
                    </w:rPr>
                    <w:t>危险废物类别</w:t>
                  </w:r>
                </w:p>
              </w:tc>
              <w:tc>
                <w:tcPr>
                  <w:tcW w:w="1082" w:type="dxa"/>
                  <w:vAlign w:val="center"/>
                </w:tcPr>
                <w:p w14:paraId="4A05E8F9">
                  <w:pPr>
                    <w:jc w:val="center"/>
                    <w:rPr>
                      <w:rFonts w:ascii="Times New Roman" w:hAnsi="Times New Roman" w:cs="Times New Roman"/>
                      <w:b/>
                      <w:bCs/>
                    </w:rPr>
                  </w:pPr>
                  <w:r>
                    <w:rPr>
                      <w:rFonts w:ascii="Times New Roman" w:hAnsi="Times New Roman" w:cs="Times New Roman"/>
                      <w:b/>
                      <w:bCs/>
                    </w:rPr>
                    <w:t>危险废物代码</w:t>
                  </w:r>
                </w:p>
              </w:tc>
              <w:tc>
                <w:tcPr>
                  <w:tcW w:w="470" w:type="dxa"/>
                  <w:vAlign w:val="center"/>
                </w:tcPr>
                <w:p w14:paraId="0913CCDC">
                  <w:pPr>
                    <w:jc w:val="center"/>
                    <w:rPr>
                      <w:rFonts w:ascii="Times New Roman" w:hAnsi="Times New Roman" w:cs="Times New Roman"/>
                      <w:b/>
                      <w:bCs/>
                    </w:rPr>
                  </w:pPr>
                  <w:r>
                    <w:rPr>
                      <w:rFonts w:ascii="Times New Roman" w:hAnsi="Times New Roman" w:cs="Times New Roman"/>
                      <w:b/>
                      <w:bCs/>
                    </w:rPr>
                    <w:t>产生量</w:t>
                  </w:r>
                </w:p>
                <w:p w14:paraId="1DE3AB2C">
                  <w:pPr>
                    <w:jc w:val="center"/>
                    <w:rPr>
                      <w:rFonts w:ascii="Times New Roman" w:hAnsi="Times New Roman" w:cs="Times New Roman"/>
                      <w:b/>
                      <w:bCs/>
                    </w:rPr>
                  </w:pPr>
                  <w:r>
                    <w:rPr>
                      <w:rFonts w:ascii="Times New Roman" w:hAnsi="Times New Roman" w:cs="Times New Roman"/>
                      <w:b/>
                      <w:bCs/>
                    </w:rPr>
                    <w:t>t/a</w:t>
                  </w:r>
                </w:p>
              </w:tc>
              <w:tc>
                <w:tcPr>
                  <w:tcW w:w="860" w:type="dxa"/>
                  <w:vAlign w:val="center"/>
                </w:tcPr>
                <w:p w14:paraId="6848057F">
                  <w:pPr>
                    <w:jc w:val="center"/>
                    <w:rPr>
                      <w:rFonts w:ascii="Times New Roman" w:hAnsi="Times New Roman" w:cs="Times New Roman"/>
                      <w:b/>
                      <w:bCs/>
                    </w:rPr>
                  </w:pPr>
                  <w:r>
                    <w:rPr>
                      <w:rFonts w:ascii="Times New Roman" w:hAnsi="Times New Roman" w:cs="Times New Roman"/>
                      <w:b/>
                      <w:bCs/>
                    </w:rPr>
                    <w:t>产生工序及装置</w:t>
                  </w:r>
                </w:p>
              </w:tc>
              <w:tc>
                <w:tcPr>
                  <w:tcW w:w="578" w:type="dxa"/>
                  <w:vAlign w:val="center"/>
                </w:tcPr>
                <w:p w14:paraId="5A1E034C">
                  <w:pPr>
                    <w:jc w:val="center"/>
                    <w:rPr>
                      <w:rFonts w:ascii="Times New Roman" w:hAnsi="Times New Roman" w:cs="Times New Roman"/>
                      <w:b/>
                      <w:bCs/>
                    </w:rPr>
                  </w:pPr>
                  <w:r>
                    <w:rPr>
                      <w:rFonts w:ascii="Times New Roman" w:hAnsi="Times New Roman" w:cs="Times New Roman"/>
                      <w:b/>
                      <w:bCs/>
                    </w:rPr>
                    <w:t>形态</w:t>
                  </w:r>
                </w:p>
              </w:tc>
              <w:tc>
                <w:tcPr>
                  <w:tcW w:w="511" w:type="dxa"/>
                  <w:vAlign w:val="center"/>
                </w:tcPr>
                <w:p w14:paraId="3DD08543">
                  <w:pPr>
                    <w:jc w:val="center"/>
                    <w:rPr>
                      <w:rFonts w:ascii="Times New Roman" w:hAnsi="Times New Roman" w:cs="Times New Roman"/>
                      <w:b/>
                      <w:bCs/>
                    </w:rPr>
                  </w:pPr>
                  <w:r>
                    <w:rPr>
                      <w:rFonts w:ascii="Times New Roman" w:hAnsi="Times New Roman" w:cs="Times New Roman"/>
                      <w:b/>
                      <w:bCs/>
                    </w:rPr>
                    <w:t>主要成分</w:t>
                  </w:r>
                </w:p>
              </w:tc>
              <w:tc>
                <w:tcPr>
                  <w:tcW w:w="484" w:type="dxa"/>
                  <w:vAlign w:val="center"/>
                </w:tcPr>
                <w:p w14:paraId="3FF55CBB">
                  <w:pPr>
                    <w:jc w:val="center"/>
                    <w:rPr>
                      <w:rFonts w:ascii="Times New Roman" w:hAnsi="Times New Roman" w:cs="Times New Roman"/>
                      <w:b/>
                      <w:bCs/>
                    </w:rPr>
                  </w:pPr>
                  <w:r>
                    <w:rPr>
                      <w:rFonts w:ascii="Times New Roman" w:hAnsi="Times New Roman" w:cs="Times New Roman"/>
                      <w:b/>
                      <w:bCs/>
                    </w:rPr>
                    <w:t>有害成分</w:t>
                  </w:r>
                </w:p>
              </w:tc>
              <w:tc>
                <w:tcPr>
                  <w:tcW w:w="511" w:type="dxa"/>
                  <w:vAlign w:val="center"/>
                </w:tcPr>
                <w:p w14:paraId="2EBC494E">
                  <w:pPr>
                    <w:jc w:val="center"/>
                    <w:rPr>
                      <w:rFonts w:ascii="Times New Roman" w:hAnsi="Times New Roman" w:cs="Times New Roman"/>
                      <w:b/>
                      <w:bCs/>
                    </w:rPr>
                  </w:pPr>
                  <w:r>
                    <w:rPr>
                      <w:rFonts w:ascii="Times New Roman" w:hAnsi="Times New Roman" w:cs="Times New Roman"/>
                      <w:b/>
                      <w:bCs/>
                    </w:rPr>
                    <w:t>产废周期</w:t>
                  </w:r>
                </w:p>
              </w:tc>
              <w:tc>
                <w:tcPr>
                  <w:tcW w:w="524" w:type="dxa"/>
                  <w:vAlign w:val="center"/>
                </w:tcPr>
                <w:p w14:paraId="3D1119B9">
                  <w:pPr>
                    <w:jc w:val="center"/>
                    <w:rPr>
                      <w:rFonts w:ascii="Times New Roman" w:hAnsi="Times New Roman" w:cs="Times New Roman"/>
                      <w:b/>
                      <w:bCs/>
                    </w:rPr>
                  </w:pPr>
                  <w:r>
                    <w:rPr>
                      <w:rFonts w:ascii="Times New Roman" w:hAnsi="Times New Roman" w:cs="Times New Roman"/>
                      <w:b/>
                      <w:bCs/>
                    </w:rPr>
                    <w:t>危险</w:t>
                  </w:r>
                </w:p>
                <w:p w14:paraId="17EF6CE7">
                  <w:pPr>
                    <w:jc w:val="center"/>
                    <w:rPr>
                      <w:rFonts w:ascii="Times New Roman" w:hAnsi="Times New Roman" w:cs="Times New Roman"/>
                      <w:b/>
                      <w:bCs/>
                    </w:rPr>
                  </w:pPr>
                  <w:r>
                    <w:rPr>
                      <w:rFonts w:ascii="Times New Roman" w:hAnsi="Times New Roman" w:cs="Times New Roman"/>
                      <w:b/>
                      <w:bCs/>
                    </w:rPr>
                    <w:t>特性</w:t>
                  </w:r>
                </w:p>
              </w:tc>
              <w:tc>
                <w:tcPr>
                  <w:tcW w:w="1252" w:type="dxa"/>
                  <w:vAlign w:val="center"/>
                </w:tcPr>
                <w:p w14:paraId="41948BE1">
                  <w:pPr>
                    <w:jc w:val="center"/>
                    <w:rPr>
                      <w:rFonts w:ascii="Times New Roman" w:hAnsi="Times New Roman" w:cs="Times New Roman"/>
                      <w:b/>
                      <w:bCs/>
                    </w:rPr>
                  </w:pPr>
                  <w:r>
                    <w:rPr>
                      <w:rFonts w:ascii="Times New Roman" w:hAnsi="Times New Roman" w:cs="Times New Roman"/>
                      <w:b/>
                      <w:bCs/>
                    </w:rPr>
                    <w:t>污染防治措施</w:t>
                  </w:r>
                </w:p>
              </w:tc>
            </w:tr>
            <w:tr w14:paraId="3FCC1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616" w:hRule="atLeast"/>
              </w:trPr>
              <w:tc>
                <w:tcPr>
                  <w:tcW w:w="494" w:type="dxa"/>
                  <w:vAlign w:val="center"/>
                </w:tcPr>
                <w:p w14:paraId="642B207D">
                  <w:pPr>
                    <w:jc w:val="center"/>
                    <w:rPr>
                      <w:rFonts w:ascii="Times New Roman" w:hAnsi="Times New Roman" w:cs="Times New Roman"/>
                    </w:rPr>
                  </w:pPr>
                  <w:r>
                    <w:rPr>
                      <w:rFonts w:ascii="Times New Roman" w:hAnsi="Times New Roman" w:cs="Times New Roman"/>
                    </w:rPr>
                    <w:t>1</w:t>
                  </w:r>
                </w:p>
              </w:tc>
              <w:tc>
                <w:tcPr>
                  <w:tcW w:w="586" w:type="dxa"/>
                  <w:vAlign w:val="center"/>
                </w:tcPr>
                <w:p w14:paraId="1A002173">
                  <w:pPr>
                    <w:jc w:val="center"/>
                    <w:rPr>
                      <w:rFonts w:ascii="Times New Roman" w:hAnsi="Times New Roman" w:cs="Times New Roman"/>
                    </w:rPr>
                  </w:pPr>
                  <w:r>
                    <w:rPr>
                      <w:rFonts w:hint="eastAsia" w:ascii="Times New Roman" w:hAnsi="Times New Roman" w:cs="Times New Roman"/>
                    </w:rPr>
                    <w:t>污泥</w:t>
                  </w:r>
                </w:p>
              </w:tc>
              <w:tc>
                <w:tcPr>
                  <w:tcW w:w="747" w:type="dxa"/>
                  <w:vAlign w:val="center"/>
                </w:tcPr>
                <w:p w14:paraId="3B0FDF4D">
                  <w:pPr>
                    <w:jc w:val="center"/>
                    <w:rPr>
                      <w:rFonts w:ascii="Times New Roman" w:hAnsi="Times New Roman" w:cs="Times New Roman"/>
                    </w:rPr>
                  </w:pPr>
                  <w:r>
                    <w:rPr>
                      <w:rFonts w:hint="eastAsia" w:ascii="Times New Roman" w:hAnsi="Times New Roman" w:cs="Times New Roman"/>
                    </w:rPr>
                    <w:t>H</w:t>
                  </w:r>
                  <w:r>
                    <w:rPr>
                      <w:rFonts w:ascii="Times New Roman" w:hAnsi="Times New Roman" w:cs="Times New Roman"/>
                    </w:rPr>
                    <w:t>W49</w:t>
                  </w:r>
                </w:p>
              </w:tc>
              <w:tc>
                <w:tcPr>
                  <w:tcW w:w="1082" w:type="dxa"/>
                  <w:vAlign w:val="center"/>
                </w:tcPr>
                <w:p w14:paraId="7E253D6D">
                  <w:pPr>
                    <w:widowControl/>
                    <w:jc w:val="center"/>
                    <w:rPr>
                      <w:rFonts w:ascii="Times New Roman" w:hAnsi="Times New Roman" w:cs="Times New Roman"/>
                    </w:rPr>
                  </w:pPr>
                  <w:r>
                    <w:rPr>
                      <w:rFonts w:ascii="Times New Roman" w:hAnsi="Times New Roman" w:cs="Times New Roman"/>
                    </w:rPr>
                    <w:t>772-006-49</w:t>
                  </w:r>
                </w:p>
              </w:tc>
              <w:tc>
                <w:tcPr>
                  <w:tcW w:w="470" w:type="dxa"/>
                  <w:vAlign w:val="center"/>
                </w:tcPr>
                <w:p w14:paraId="6238DC21">
                  <w:pPr>
                    <w:pStyle w:val="32"/>
                    <w:widowControl/>
                    <w:adjustRightInd/>
                    <w:snapToGrid/>
                    <w:spacing w:before="31" w:after="24" w:line="240" w:lineRule="auto"/>
                    <w:rPr>
                      <w:rFonts w:ascii="Times New Roman" w:eastAsiaTheme="minorEastAsia"/>
                      <w:kern w:val="2"/>
                      <w:szCs w:val="24"/>
                    </w:rPr>
                  </w:pPr>
                  <w:r>
                    <w:rPr>
                      <w:rFonts w:hint="eastAsia" w:ascii="Times New Roman" w:eastAsiaTheme="minorEastAsia"/>
                      <w:kern w:val="2"/>
                      <w:szCs w:val="24"/>
                    </w:rPr>
                    <w:t>0</w:t>
                  </w:r>
                  <w:r>
                    <w:rPr>
                      <w:rFonts w:ascii="Times New Roman" w:eastAsiaTheme="minorEastAsia"/>
                      <w:kern w:val="2"/>
                      <w:szCs w:val="24"/>
                    </w:rPr>
                    <w:t>.59</w:t>
                  </w:r>
                </w:p>
              </w:tc>
              <w:tc>
                <w:tcPr>
                  <w:tcW w:w="860" w:type="dxa"/>
                  <w:vAlign w:val="center"/>
                </w:tcPr>
                <w:p w14:paraId="326C52E2">
                  <w:pPr>
                    <w:jc w:val="center"/>
                    <w:rPr>
                      <w:rFonts w:ascii="Times New Roman" w:hAnsi="Times New Roman" w:cs="Times New Roman"/>
                    </w:rPr>
                  </w:pPr>
                  <w:r>
                    <w:rPr>
                      <w:rFonts w:hint="eastAsia" w:ascii="Times New Roman" w:hAnsi="Times New Roman" w:cs="Times New Roman"/>
                    </w:rPr>
                    <w:t>污水处理</w:t>
                  </w:r>
                </w:p>
              </w:tc>
              <w:tc>
                <w:tcPr>
                  <w:tcW w:w="578" w:type="dxa"/>
                  <w:vAlign w:val="center"/>
                </w:tcPr>
                <w:p w14:paraId="651F2CB5">
                  <w:pPr>
                    <w:jc w:val="center"/>
                    <w:rPr>
                      <w:rFonts w:ascii="Times New Roman" w:hAnsi="Times New Roman" w:cs="Times New Roman"/>
                    </w:rPr>
                  </w:pPr>
                  <w:r>
                    <w:rPr>
                      <w:rFonts w:hint="eastAsia" w:ascii="Times New Roman" w:hAnsi="Times New Roman" w:cs="Times New Roman"/>
                    </w:rPr>
                    <w:t>S</w:t>
                  </w:r>
                </w:p>
              </w:tc>
              <w:tc>
                <w:tcPr>
                  <w:tcW w:w="511" w:type="dxa"/>
                  <w:vAlign w:val="center"/>
                </w:tcPr>
                <w:p w14:paraId="3F57D9C8">
                  <w:pPr>
                    <w:jc w:val="center"/>
                    <w:rPr>
                      <w:rFonts w:ascii="Times New Roman" w:hAnsi="Times New Roman" w:cs="Times New Roman"/>
                    </w:rPr>
                  </w:pPr>
                  <w:r>
                    <w:rPr>
                      <w:rFonts w:hint="eastAsia" w:ascii="Times New Roman" w:hAnsi="Times New Roman" w:cs="Times New Roman"/>
                    </w:rPr>
                    <w:t>污泥</w:t>
                  </w:r>
                </w:p>
              </w:tc>
              <w:tc>
                <w:tcPr>
                  <w:tcW w:w="484" w:type="dxa"/>
                  <w:vAlign w:val="center"/>
                </w:tcPr>
                <w:p w14:paraId="15600639">
                  <w:pPr>
                    <w:pStyle w:val="2"/>
                    <w:rPr>
                      <w:rFonts w:ascii="Times New Roman" w:hAnsi="Times New Roman" w:cs="Times New Roman"/>
                      <w:sz w:val="21"/>
                      <w:szCs w:val="24"/>
                    </w:rPr>
                  </w:pPr>
                  <w:r>
                    <w:rPr>
                      <w:rFonts w:hint="eastAsia" w:ascii="Times New Roman" w:hAnsi="Times New Roman" w:cs="Times New Roman"/>
                      <w:sz w:val="21"/>
                      <w:szCs w:val="24"/>
                    </w:rPr>
                    <w:t>污泥</w:t>
                  </w:r>
                </w:p>
              </w:tc>
              <w:tc>
                <w:tcPr>
                  <w:tcW w:w="511" w:type="dxa"/>
                  <w:vAlign w:val="center"/>
                </w:tcPr>
                <w:p w14:paraId="3234C810">
                  <w:pPr>
                    <w:jc w:val="center"/>
                    <w:rPr>
                      <w:rFonts w:ascii="Times New Roman" w:hAnsi="Times New Roman" w:cs="Times New Roman"/>
                    </w:rPr>
                  </w:pPr>
                  <w:r>
                    <w:rPr>
                      <w:rFonts w:hint="eastAsia" w:ascii="Times New Roman" w:hAnsi="Times New Roman" w:cs="Times New Roman"/>
                    </w:rPr>
                    <w:t>/</w:t>
                  </w:r>
                </w:p>
              </w:tc>
              <w:tc>
                <w:tcPr>
                  <w:tcW w:w="524" w:type="dxa"/>
                  <w:vAlign w:val="center"/>
                </w:tcPr>
                <w:p w14:paraId="13DEA96D">
                  <w:pPr>
                    <w:jc w:val="center"/>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/I</w:t>
                  </w:r>
                  <w:r>
                    <w:rPr>
                      <w:rFonts w:hint="eastAsia" w:ascii="Times New Roman" w:hAnsi="Times New Roman" w:cs="Times New Roman"/>
                    </w:rPr>
                    <w:t>n</w:t>
                  </w:r>
                </w:p>
              </w:tc>
              <w:tc>
                <w:tcPr>
                  <w:tcW w:w="1252" w:type="dxa"/>
                  <w:vMerge w:val="restart"/>
                  <w:vAlign w:val="center"/>
                </w:tcPr>
                <w:p w14:paraId="256A4F81">
                  <w:pPr>
                    <w:jc w:val="center"/>
                    <w:rPr>
                      <w:rFonts w:ascii="Times New Roman" w:hAnsi="Times New Roman" w:cs="Times New Roman"/>
                    </w:rPr>
                  </w:pPr>
                  <w:r>
                    <w:rPr>
                      <w:rFonts w:ascii="Times New Roman" w:hAnsi="Times New Roman" w:cs="Times New Roman"/>
                    </w:rPr>
                    <w:t>专用收集桶收集、暂存于危废暂存间，并委托有资质的单位进行处置</w:t>
                  </w:r>
                </w:p>
              </w:tc>
            </w:tr>
            <w:tr w14:paraId="69A17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616" w:hRule="atLeast"/>
              </w:trPr>
              <w:tc>
                <w:tcPr>
                  <w:tcW w:w="494" w:type="dxa"/>
                  <w:vAlign w:val="center"/>
                </w:tcPr>
                <w:p w14:paraId="55B4A466">
                  <w:pPr>
                    <w:jc w:val="center"/>
                    <w:rPr>
                      <w:rFonts w:ascii="Times New Roman" w:hAnsi="Times New Roman" w:cs="Times New Roman"/>
                    </w:rPr>
                  </w:pPr>
                  <w:r>
                    <w:rPr>
                      <w:rFonts w:hint="eastAsia" w:ascii="Times New Roman" w:hAnsi="Times New Roman" w:cs="Times New Roman"/>
                    </w:rPr>
                    <w:t>2</w:t>
                  </w:r>
                </w:p>
              </w:tc>
              <w:tc>
                <w:tcPr>
                  <w:tcW w:w="586" w:type="dxa"/>
                  <w:vAlign w:val="center"/>
                </w:tcPr>
                <w:p w14:paraId="3BC3A896">
                  <w:pPr>
                    <w:jc w:val="center"/>
                    <w:rPr>
                      <w:rFonts w:ascii="Times New Roman" w:hAnsi="Times New Roman" w:cs="Times New Roman"/>
                    </w:rPr>
                  </w:pPr>
                  <w:r>
                    <w:rPr>
                      <w:rFonts w:hint="eastAsia" w:ascii="Times New Roman" w:hAnsi="Times New Roman" w:cs="Times New Roman"/>
                    </w:rPr>
                    <w:t>废机油</w:t>
                  </w:r>
                </w:p>
              </w:tc>
              <w:tc>
                <w:tcPr>
                  <w:tcW w:w="747" w:type="dxa"/>
                  <w:vAlign w:val="center"/>
                </w:tcPr>
                <w:p w14:paraId="1B1FB044">
                  <w:pPr>
                    <w:jc w:val="center"/>
                    <w:rPr>
                      <w:rFonts w:ascii="Times New Roman" w:hAnsi="Times New Roman" w:cs="Times New Roman"/>
                    </w:rPr>
                  </w:pPr>
                  <w:r>
                    <w:rPr>
                      <w:rFonts w:hint="eastAsia" w:ascii="Times New Roman" w:hAnsi="Times New Roman" w:cs="Times New Roman"/>
                    </w:rPr>
                    <w:t>H</w:t>
                  </w:r>
                  <w:r>
                    <w:rPr>
                      <w:rFonts w:ascii="Times New Roman" w:hAnsi="Times New Roman" w:cs="Times New Roman"/>
                    </w:rPr>
                    <w:t>W08</w:t>
                  </w:r>
                </w:p>
              </w:tc>
              <w:tc>
                <w:tcPr>
                  <w:tcW w:w="1082" w:type="dxa"/>
                  <w:vAlign w:val="center"/>
                </w:tcPr>
                <w:p w14:paraId="3321BCBD">
                  <w:pPr>
                    <w:widowControl/>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00-214-08</w:t>
                  </w:r>
                </w:p>
              </w:tc>
              <w:tc>
                <w:tcPr>
                  <w:tcW w:w="470" w:type="dxa"/>
                  <w:vAlign w:val="center"/>
                </w:tcPr>
                <w:p w14:paraId="47054819">
                  <w:pPr>
                    <w:pStyle w:val="32"/>
                    <w:widowControl/>
                    <w:adjustRightInd/>
                    <w:snapToGrid/>
                    <w:spacing w:before="31" w:after="24" w:line="240" w:lineRule="auto"/>
                    <w:rPr>
                      <w:rFonts w:ascii="Times New Roman" w:eastAsiaTheme="minorEastAsia"/>
                      <w:kern w:val="2"/>
                      <w:szCs w:val="24"/>
                    </w:rPr>
                  </w:pPr>
                  <w:r>
                    <w:rPr>
                      <w:rFonts w:hint="eastAsia" w:ascii="Times New Roman" w:eastAsiaTheme="minorEastAsia"/>
                      <w:kern w:val="2"/>
                      <w:szCs w:val="24"/>
                    </w:rPr>
                    <w:t>0</w:t>
                  </w:r>
                  <w:r>
                    <w:rPr>
                      <w:rFonts w:ascii="Times New Roman" w:eastAsiaTheme="minorEastAsia"/>
                      <w:kern w:val="2"/>
                      <w:szCs w:val="24"/>
                    </w:rPr>
                    <w:t>.31</w:t>
                  </w:r>
                </w:p>
              </w:tc>
              <w:tc>
                <w:tcPr>
                  <w:tcW w:w="860" w:type="dxa"/>
                  <w:vAlign w:val="center"/>
                </w:tcPr>
                <w:p w14:paraId="74B90108">
                  <w:pPr>
                    <w:jc w:val="center"/>
                    <w:rPr>
                      <w:rFonts w:ascii="Times New Roman" w:hAnsi="Times New Roman" w:cs="Times New Roman"/>
                    </w:rPr>
                  </w:pPr>
                  <w:r>
                    <w:rPr>
                      <w:rFonts w:hint="eastAsia" w:ascii="Times New Roman" w:hAnsi="Times New Roman" w:cs="Times New Roman"/>
                    </w:rPr>
                    <w:t>机修</w:t>
                  </w:r>
                </w:p>
              </w:tc>
              <w:tc>
                <w:tcPr>
                  <w:tcW w:w="578" w:type="dxa"/>
                  <w:vAlign w:val="center"/>
                </w:tcPr>
                <w:p w14:paraId="6A02A952">
                  <w:pPr>
                    <w:jc w:val="center"/>
                    <w:rPr>
                      <w:rFonts w:ascii="Times New Roman" w:hAnsi="Times New Roman" w:cs="Times New Roman"/>
                    </w:rPr>
                  </w:pPr>
                  <w:r>
                    <w:rPr>
                      <w:rFonts w:hint="eastAsia" w:ascii="Times New Roman" w:hAnsi="Times New Roman" w:cs="Times New Roman"/>
                    </w:rPr>
                    <w:t>L</w:t>
                  </w:r>
                </w:p>
              </w:tc>
              <w:tc>
                <w:tcPr>
                  <w:tcW w:w="511" w:type="dxa"/>
                  <w:vAlign w:val="center"/>
                </w:tcPr>
                <w:p w14:paraId="54942F8B">
                  <w:pPr>
                    <w:jc w:val="center"/>
                    <w:rPr>
                      <w:rFonts w:ascii="Times New Roman" w:hAnsi="Times New Roman" w:cs="Times New Roman"/>
                    </w:rPr>
                  </w:pPr>
                  <w:r>
                    <w:rPr>
                      <w:rFonts w:hint="eastAsia" w:ascii="Times New Roman" w:hAnsi="Times New Roman" w:cs="Times New Roman"/>
                    </w:rPr>
                    <w:t>矿物油</w:t>
                  </w:r>
                </w:p>
              </w:tc>
              <w:tc>
                <w:tcPr>
                  <w:tcW w:w="484" w:type="dxa"/>
                  <w:vAlign w:val="center"/>
                </w:tcPr>
                <w:p w14:paraId="71D91A26">
                  <w:pPr>
                    <w:pStyle w:val="2"/>
                    <w:rPr>
                      <w:rFonts w:ascii="Times New Roman" w:hAnsi="Times New Roman" w:cs="Times New Roman"/>
                      <w:sz w:val="21"/>
                      <w:szCs w:val="24"/>
                    </w:rPr>
                  </w:pPr>
                  <w:r>
                    <w:rPr>
                      <w:rFonts w:hint="eastAsia" w:ascii="Times New Roman" w:hAnsi="Times New Roman" w:cs="Times New Roman"/>
                      <w:sz w:val="21"/>
                      <w:szCs w:val="24"/>
                    </w:rPr>
                    <w:t>油类</w:t>
                  </w:r>
                </w:p>
              </w:tc>
              <w:tc>
                <w:tcPr>
                  <w:tcW w:w="511" w:type="dxa"/>
                  <w:vAlign w:val="center"/>
                </w:tcPr>
                <w:p w14:paraId="569D5897">
                  <w:pPr>
                    <w:jc w:val="center"/>
                    <w:rPr>
                      <w:rFonts w:ascii="Times New Roman" w:hAnsi="Times New Roman" w:cs="Times New Roman"/>
                    </w:rPr>
                  </w:pPr>
                  <w:r>
                    <w:rPr>
                      <w:rFonts w:hint="eastAsia" w:ascii="Times New Roman" w:hAnsi="Times New Roman" w:cs="Times New Roman"/>
                    </w:rPr>
                    <w:t>/</w:t>
                  </w:r>
                </w:p>
              </w:tc>
              <w:tc>
                <w:tcPr>
                  <w:tcW w:w="524" w:type="dxa"/>
                  <w:vAlign w:val="center"/>
                </w:tcPr>
                <w:p w14:paraId="19E982C4">
                  <w:pPr>
                    <w:jc w:val="center"/>
                    <w:rPr>
                      <w:rFonts w:ascii="Times New Roman" w:hAnsi="Times New Roman" w:cs="Times New Roman"/>
                    </w:rPr>
                  </w:pPr>
                  <w:r>
                    <w:rPr>
                      <w:rFonts w:hint="eastAsia" w:ascii="Times New Roman" w:hAnsi="Times New Roman" w:cs="Times New Roman"/>
                    </w:rPr>
                    <w:t>T，I</w:t>
                  </w:r>
                </w:p>
              </w:tc>
              <w:tc>
                <w:tcPr>
                  <w:tcW w:w="1252" w:type="dxa"/>
                  <w:vMerge w:val="continue"/>
                  <w:vAlign w:val="center"/>
                </w:tcPr>
                <w:p w14:paraId="6FE0DDDA">
                  <w:pPr>
                    <w:jc w:val="center"/>
                    <w:rPr>
                      <w:rFonts w:ascii="Times New Roman" w:hAnsi="Times New Roman" w:cs="Times New Roman"/>
                    </w:rPr>
                  </w:pPr>
                </w:p>
              </w:tc>
            </w:tr>
            <w:bookmarkEnd w:id="40"/>
            <w:bookmarkEnd w:id="53"/>
            <w:bookmarkEnd w:id="57"/>
            <w:bookmarkEnd w:id="61"/>
          </w:tbl>
          <w:p w14:paraId="33DC9EEF">
            <w:pPr>
              <w:adjustRightInd w:val="0"/>
              <w:rPr>
                <w:rFonts w:ascii="Times New Roman" w:hAnsi="Times New Roman" w:eastAsia="宋体" w:cs="Times New Roman"/>
                <w:szCs w:val="21"/>
              </w:rPr>
            </w:pPr>
          </w:p>
        </w:tc>
      </w:tr>
      <w:tr w14:paraId="58D1E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418" w:type="dxa"/>
            <w:tcBorders>
              <w:top w:val="single" w:color="auto" w:sz="4" w:space="0"/>
              <w:left w:val="single" w:color="auto" w:sz="8" w:space="0"/>
              <w:bottom w:val="single" w:color="auto" w:sz="8" w:space="0"/>
              <w:right w:val="single" w:color="auto" w:sz="4" w:space="0"/>
            </w:tcBorders>
            <w:shd w:val="clear" w:color="auto" w:fill="auto"/>
            <w:vAlign w:val="center"/>
          </w:tcPr>
          <w:p w14:paraId="4A51BD87">
            <w:pPr>
              <w:pStyle w:val="16"/>
              <w:adjustRightInd w:val="0"/>
              <w:snapToGrid w:val="0"/>
              <w:spacing w:beforeAutospacing="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642" w:type="dxa"/>
            <w:tcBorders>
              <w:top w:val="single" w:color="auto" w:sz="4" w:space="0"/>
              <w:left w:val="single" w:color="auto" w:sz="4" w:space="0"/>
              <w:bottom w:val="single" w:color="auto" w:sz="8" w:space="0"/>
              <w:right w:val="single" w:color="auto" w:sz="8" w:space="0"/>
            </w:tcBorders>
            <w:shd w:val="clear" w:color="auto" w:fill="auto"/>
          </w:tcPr>
          <w:p w14:paraId="1DDEC72F">
            <w:pPr>
              <w:pStyle w:val="11"/>
              <w:spacing w:after="0" w:line="360" w:lineRule="auto"/>
              <w:ind w:left="0" w:leftChars="0" w:firstLine="241" w:firstLineChars="100"/>
              <w:jc w:val="left"/>
              <w:rPr>
                <w:rFonts w:ascii="Times New Roman" w:hAnsi="Times New Roman" w:cs="Times New Roman"/>
              </w:rPr>
            </w:pPr>
            <w:r>
              <w:rPr>
                <w:rFonts w:ascii="Times New Roman" w:hAnsi="Times New Roman" w:eastAsia="宋体" w:cs="Times New Roman"/>
                <w:b/>
                <w:bCs/>
                <w:kern w:val="0"/>
                <w:sz w:val="24"/>
              </w:rPr>
              <w:t>2.4 与项目有关的原有环境污染问题</w:t>
            </w:r>
          </w:p>
          <w:p w14:paraId="1D0B6D47">
            <w:pPr>
              <w:pStyle w:val="10"/>
              <w:spacing w:line="360" w:lineRule="auto"/>
              <w:ind w:left="0" w:right="105" w:rightChars="50" w:firstLine="240" w:firstLineChars="100"/>
              <w:rPr>
                <w:rFonts w:ascii="Times New Roman" w:hAnsi="Times New Roman" w:cs="Times New Roman"/>
                <w:bCs/>
                <w:szCs w:val="21"/>
              </w:rPr>
            </w:pPr>
            <w:r>
              <w:t>本项目位于</w:t>
            </w:r>
            <w:r>
              <w:rPr>
                <w:rFonts w:hint="eastAsia" w:ascii="Times New Roman" w:hAnsi="Times New Roman" w:cs="Times New Roman"/>
                <w:szCs w:val="21"/>
              </w:rPr>
              <w:t>芒市三台山乡邦外村委会帕当坝村小组</w:t>
            </w:r>
            <w:r>
              <w:t>，</w:t>
            </w:r>
            <w:r>
              <w:rPr>
                <w:rFonts w:hint="eastAsia"/>
              </w:rPr>
              <w:t>属于新建项目。厂区占地</w:t>
            </w:r>
            <w:r>
              <w:t>现状为</w:t>
            </w:r>
            <w:r>
              <w:rPr>
                <w:rFonts w:hint="eastAsia"/>
              </w:rPr>
              <w:t>一般耕地，种植菠萝和甘蔗</w:t>
            </w:r>
            <w:r>
              <w:t>，因此不存在原有污染情况。</w:t>
            </w:r>
          </w:p>
        </w:tc>
      </w:tr>
    </w:tbl>
    <w:p w14:paraId="401244F7">
      <w:pPr>
        <w:rPr>
          <w:rFonts w:ascii="黑体" w:hAnsi="宋体" w:eastAsia="黑体" w:cs="Times New Roman"/>
          <w:snapToGrid w:val="0"/>
          <w:sz w:val="36"/>
          <w:szCs w:val="36"/>
          <w:lang w:bidi="ar"/>
        </w:rPr>
        <w:sectPr>
          <w:pgSz w:w="11906" w:h="16838"/>
          <w:pgMar w:top="1702" w:right="1531" w:bottom="1702" w:left="1531" w:header="851" w:footer="851" w:gutter="0"/>
          <w:cols w:space="425" w:num="1"/>
          <w:docGrid w:type="lines" w:linePitch="312" w:charSpace="0"/>
        </w:sectPr>
      </w:pPr>
    </w:p>
    <w:p w14:paraId="0469065F">
      <w:pPr>
        <w:pStyle w:val="16"/>
        <w:spacing w:before="312" w:beforeLines="100" w:beforeAutospacing="0" w:after="312" w:afterLines="100" w:afterAutospacing="0"/>
        <w:jc w:val="center"/>
        <w:outlineLvl w:val="0"/>
        <w:rPr>
          <w:rFonts w:ascii="黑体" w:eastAsia="黑体" w:cs="黑体"/>
          <w:snapToGrid w:val="0"/>
          <w:sz w:val="30"/>
          <w:szCs w:val="30"/>
        </w:rPr>
      </w:pPr>
      <w:bookmarkStart w:id="62" w:name="_Toc28047"/>
      <w:r>
        <w:rPr>
          <w:rFonts w:ascii="黑体" w:eastAsia="黑体" w:cs="黑体"/>
          <w:snapToGrid w:val="0"/>
          <w:sz w:val="30"/>
          <w:szCs w:val="30"/>
        </w:rPr>
        <w:t>三、区域环境质量现状、环境保护目标及评价标准</w:t>
      </w:r>
      <w:bookmarkEnd w:id="62"/>
    </w:p>
    <w:tbl>
      <w:tblPr>
        <w:tblStyle w:val="18"/>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8425"/>
      </w:tblGrid>
      <w:tr w14:paraId="6D206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5" w:type="dxa"/>
            <w:tcBorders>
              <w:top w:val="single" w:color="auto" w:sz="8" w:space="0"/>
              <w:left w:val="single" w:color="auto" w:sz="8" w:space="0"/>
              <w:bottom w:val="single" w:color="auto" w:sz="4" w:space="0"/>
              <w:right w:val="single" w:color="auto" w:sz="4" w:space="0"/>
            </w:tcBorders>
            <w:shd w:val="clear" w:color="auto" w:fill="auto"/>
            <w:vAlign w:val="center"/>
          </w:tcPr>
          <w:p w14:paraId="4DACA38A">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区域</w:t>
            </w:r>
          </w:p>
          <w:p w14:paraId="48B1839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环境</w:t>
            </w:r>
          </w:p>
          <w:p w14:paraId="085D5C72">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质量</w:t>
            </w:r>
          </w:p>
          <w:p w14:paraId="476B272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现状</w:t>
            </w:r>
          </w:p>
        </w:tc>
        <w:tc>
          <w:tcPr>
            <w:tcW w:w="8415" w:type="dxa"/>
            <w:tcBorders>
              <w:top w:val="single" w:color="auto" w:sz="8" w:space="0"/>
              <w:left w:val="single" w:color="auto" w:sz="4" w:space="0"/>
              <w:bottom w:val="single" w:color="auto" w:sz="4" w:space="0"/>
              <w:right w:val="single" w:color="auto" w:sz="8" w:space="0"/>
            </w:tcBorders>
            <w:shd w:val="clear" w:color="auto" w:fill="auto"/>
            <w:vAlign w:val="center"/>
          </w:tcPr>
          <w:p w14:paraId="4459BF48">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3.1 环境空气质量现状</w:t>
            </w:r>
          </w:p>
          <w:p w14:paraId="51BA966B">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1、</w:t>
            </w:r>
            <w:r>
              <w:rPr>
                <w:rFonts w:ascii="Times New Roman" w:hAnsi="Times New Roman" w:cs="Times New Roman"/>
                <w:bCs/>
              </w:rPr>
              <w:t>区域环境空气质量现状</w:t>
            </w:r>
          </w:p>
          <w:p w14:paraId="4CA5F8E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本项目位于德宏州</w:t>
            </w:r>
            <w:r>
              <w:rPr>
                <w:rFonts w:hint="eastAsia" w:ascii="Times New Roman" w:hAnsi="Times New Roman" w:cs="Times New Roman"/>
                <w:szCs w:val="21"/>
              </w:rPr>
              <w:t>芒市三台山乡邦外村委会帕当坝村小组</w:t>
            </w:r>
            <w:r>
              <w:rPr>
                <w:rFonts w:ascii="Times New Roman" w:hAnsi="Times New Roman" w:cs="Times New Roman"/>
                <w:bCs/>
              </w:rPr>
              <w:t>。根据大气功能区划，项目所在地为二类功能区，环境空气质量标准执行《环境空气质量标准》（GB3095-2012）二级标准。</w:t>
            </w:r>
          </w:p>
          <w:p w14:paraId="06BC7DD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根据《德宏州2020年环境质量状况公报》，芒市有效监测天数359天，</w:t>
            </w:r>
            <w:r>
              <w:rPr>
                <w:rFonts w:hint="eastAsia" w:ascii="Times New Roman" w:hAnsi="Times New Roman" w:cs="Times New Roman"/>
                <w:bCs/>
              </w:rPr>
              <w:t>其中</w:t>
            </w:r>
            <w:r>
              <w:rPr>
                <w:rFonts w:ascii="Times New Roman" w:hAnsi="Times New Roman" w:cs="Times New Roman"/>
                <w:bCs/>
              </w:rPr>
              <w:t>优235天，良121天，轻度污染3天。按空气质量指数（AQI）评价，优良率为99.2%，与2019年相比下降0.8%。污染发生的时间为3~4月份。首要污染物为可吸入颗粒物、细颗粒物和臭氧。年度综合评价，芒市环境空气质量达到二级标准，环境空气质量综合指数为2.83。各指标监测数据如下表所示。</w:t>
            </w:r>
          </w:p>
          <w:p w14:paraId="773A627C">
            <w:pPr>
              <w:widowControl/>
              <w:spacing w:before="156" w:beforeLines="50"/>
              <w:ind w:firstLine="482"/>
              <w:jc w:val="center"/>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表3-1    2020年芒市</w:t>
            </w:r>
            <w:r>
              <w:rPr>
                <w:rFonts w:ascii="Times New Roman" w:hAnsi="Times New Roman" w:eastAsia="宋体" w:cs="Times New Roman"/>
                <w:b/>
                <w:bCs/>
                <w:szCs w:val="21"/>
              </w:rPr>
              <w:t>环境空气质量监测指标达标情况</w:t>
            </w:r>
          </w:p>
          <w:tbl>
            <w:tblPr>
              <w:tblStyle w:val="18"/>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2059"/>
              <w:gridCol w:w="2127"/>
              <w:gridCol w:w="1447"/>
            </w:tblGrid>
            <w:tr w14:paraId="2307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02D02E60">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监测指标</w:t>
                  </w:r>
                </w:p>
              </w:tc>
              <w:tc>
                <w:tcPr>
                  <w:tcW w:w="1295" w:type="pct"/>
                  <w:tcBorders>
                    <w:top w:val="single" w:color="auto" w:sz="4" w:space="0"/>
                    <w:left w:val="single" w:color="auto" w:sz="4" w:space="0"/>
                    <w:bottom w:val="single" w:color="auto" w:sz="4" w:space="0"/>
                    <w:right w:val="single" w:color="auto" w:sz="4" w:space="0"/>
                  </w:tcBorders>
                  <w:vAlign w:val="center"/>
                </w:tcPr>
                <w:p w14:paraId="2586CDD3">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年均浓度（μg/m</w:t>
                  </w:r>
                  <w:r>
                    <w:rPr>
                      <w:rFonts w:ascii="Times New Roman" w:hAnsi="Times New Roman" w:eastAsia="宋体" w:cs="Times New Roman"/>
                      <w:b/>
                      <w:bCs/>
                      <w:snapToGrid w:val="0"/>
                      <w:kern w:val="0"/>
                      <w:szCs w:val="21"/>
                      <w:vertAlign w:val="superscript"/>
                    </w:rPr>
                    <w:t>3</w:t>
                  </w:r>
                  <w:r>
                    <w:rPr>
                      <w:rFonts w:ascii="Times New Roman" w:hAnsi="Times New Roman" w:eastAsia="宋体" w:cs="Times New Roman"/>
                      <w:b/>
                      <w:bCs/>
                      <w:snapToGrid w:val="0"/>
                      <w:kern w:val="0"/>
                      <w:szCs w:val="21"/>
                    </w:rPr>
                    <w:t>）</w:t>
                  </w:r>
                </w:p>
              </w:tc>
              <w:tc>
                <w:tcPr>
                  <w:tcW w:w="1338" w:type="pct"/>
                  <w:tcBorders>
                    <w:top w:val="single" w:color="auto" w:sz="4" w:space="0"/>
                    <w:left w:val="single" w:color="auto" w:sz="4" w:space="0"/>
                    <w:bottom w:val="single" w:color="auto" w:sz="4" w:space="0"/>
                    <w:right w:val="single" w:color="auto" w:sz="4" w:space="0"/>
                  </w:tcBorders>
                  <w:vAlign w:val="center"/>
                </w:tcPr>
                <w:p w14:paraId="0B45D673">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二级标准（μg/m</w:t>
                  </w:r>
                  <w:r>
                    <w:rPr>
                      <w:rFonts w:ascii="Times New Roman" w:hAnsi="Times New Roman" w:eastAsia="宋体" w:cs="Times New Roman"/>
                      <w:b/>
                      <w:bCs/>
                      <w:snapToGrid w:val="0"/>
                      <w:kern w:val="0"/>
                      <w:szCs w:val="21"/>
                      <w:vertAlign w:val="superscript"/>
                    </w:rPr>
                    <w:t>3</w:t>
                  </w:r>
                  <w:r>
                    <w:rPr>
                      <w:rFonts w:ascii="Times New Roman" w:hAnsi="Times New Roman" w:eastAsia="宋体" w:cs="Times New Roman"/>
                      <w:b/>
                      <w:bCs/>
                      <w:snapToGrid w:val="0"/>
                      <w:kern w:val="0"/>
                      <w:szCs w:val="21"/>
                    </w:rPr>
                    <w:t>）</w:t>
                  </w:r>
                </w:p>
              </w:tc>
              <w:tc>
                <w:tcPr>
                  <w:tcW w:w="911" w:type="pct"/>
                  <w:tcBorders>
                    <w:top w:val="single" w:color="auto" w:sz="4" w:space="0"/>
                    <w:left w:val="single" w:color="auto" w:sz="4" w:space="0"/>
                    <w:bottom w:val="single" w:color="auto" w:sz="4" w:space="0"/>
                    <w:right w:val="single" w:color="auto" w:sz="4" w:space="0"/>
                  </w:tcBorders>
                  <w:vAlign w:val="center"/>
                </w:tcPr>
                <w:p w14:paraId="236C5D32">
                  <w:pPr>
                    <w:jc w:val="center"/>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达标情况</w:t>
                  </w:r>
                </w:p>
              </w:tc>
            </w:tr>
            <w:tr w14:paraId="15FA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63D1EB0E">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二氧化硫（</w:t>
                  </w: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574E6057">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w:t>
                  </w:r>
                </w:p>
              </w:tc>
              <w:tc>
                <w:tcPr>
                  <w:tcW w:w="1338" w:type="pct"/>
                  <w:tcBorders>
                    <w:top w:val="single" w:color="auto" w:sz="4" w:space="0"/>
                    <w:left w:val="single" w:color="auto" w:sz="4" w:space="0"/>
                    <w:bottom w:val="single" w:color="auto" w:sz="4" w:space="0"/>
                    <w:right w:val="single" w:color="auto" w:sz="4" w:space="0"/>
                  </w:tcBorders>
                  <w:vAlign w:val="center"/>
                </w:tcPr>
                <w:p w14:paraId="5947F03A">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60</w:t>
                  </w:r>
                </w:p>
              </w:tc>
              <w:tc>
                <w:tcPr>
                  <w:tcW w:w="911" w:type="pct"/>
                  <w:tcBorders>
                    <w:top w:val="single" w:color="auto" w:sz="4" w:space="0"/>
                    <w:left w:val="single" w:color="auto" w:sz="4" w:space="0"/>
                    <w:bottom w:val="single" w:color="auto" w:sz="4" w:space="0"/>
                    <w:right w:val="single" w:color="auto" w:sz="4" w:space="0"/>
                  </w:tcBorders>
                  <w:vAlign w:val="center"/>
                </w:tcPr>
                <w:p w14:paraId="4CF0D692">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5E5B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3EC170C1">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二氧化氮（</w:t>
                  </w:r>
                  <w:r>
                    <w:rPr>
                      <w:rFonts w:ascii="Times New Roman" w:hAnsi="Times New Roman" w:eastAsia="宋体" w:cs="Times New Roman"/>
                      <w:szCs w:val="21"/>
                    </w:rPr>
                    <w:t>NO</w:t>
                  </w:r>
                  <w:r>
                    <w:rPr>
                      <w:rFonts w:ascii="Times New Roman" w:hAnsi="Times New Roman" w:eastAsia="宋体" w:cs="Times New Roman"/>
                      <w:szCs w:val="21"/>
                      <w:vertAlign w:val="subscript"/>
                    </w:rPr>
                    <w:t>2</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1B353FFA">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w:t>
                  </w:r>
                </w:p>
              </w:tc>
              <w:tc>
                <w:tcPr>
                  <w:tcW w:w="1338" w:type="pct"/>
                  <w:tcBorders>
                    <w:top w:val="single" w:color="auto" w:sz="4" w:space="0"/>
                    <w:left w:val="single" w:color="auto" w:sz="4" w:space="0"/>
                    <w:bottom w:val="single" w:color="auto" w:sz="4" w:space="0"/>
                    <w:right w:val="single" w:color="auto" w:sz="4" w:space="0"/>
                  </w:tcBorders>
                  <w:vAlign w:val="center"/>
                </w:tcPr>
                <w:p w14:paraId="0CF11739">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40</w:t>
                  </w:r>
                </w:p>
              </w:tc>
              <w:tc>
                <w:tcPr>
                  <w:tcW w:w="911" w:type="pct"/>
                  <w:tcBorders>
                    <w:top w:val="single" w:color="auto" w:sz="4" w:space="0"/>
                    <w:left w:val="single" w:color="auto" w:sz="4" w:space="0"/>
                    <w:bottom w:val="single" w:color="auto" w:sz="4" w:space="0"/>
                    <w:right w:val="single" w:color="auto" w:sz="4" w:space="0"/>
                  </w:tcBorders>
                  <w:vAlign w:val="center"/>
                </w:tcPr>
                <w:p w14:paraId="6FCE4017">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1678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5F24F377">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可吸入颗粒物（PM</w:t>
                  </w:r>
                  <w:r>
                    <w:rPr>
                      <w:rFonts w:ascii="Times New Roman" w:hAnsi="Times New Roman" w:eastAsia="宋体" w:cs="Times New Roman"/>
                      <w:snapToGrid w:val="0"/>
                      <w:kern w:val="0"/>
                      <w:szCs w:val="21"/>
                      <w:vertAlign w:val="subscript"/>
                    </w:rPr>
                    <w:t>10</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723CF1A9">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42</w:t>
                  </w:r>
                </w:p>
              </w:tc>
              <w:tc>
                <w:tcPr>
                  <w:tcW w:w="1338" w:type="pct"/>
                  <w:tcBorders>
                    <w:top w:val="single" w:color="auto" w:sz="4" w:space="0"/>
                    <w:left w:val="single" w:color="auto" w:sz="4" w:space="0"/>
                    <w:bottom w:val="single" w:color="auto" w:sz="4" w:space="0"/>
                    <w:right w:val="single" w:color="auto" w:sz="4" w:space="0"/>
                  </w:tcBorders>
                  <w:vAlign w:val="center"/>
                </w:tcPr>
                <w:p w14:paraId="2FD6373C">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70</w:t>
                  </w:r>
                </w:p>
              </w:tc>
              <w:tc>
                <w:tcPr>
                  <w:tcW w:w="911" w:type="pct"/>
                  <w:tcBorders>
                    <w:top w:val="single" w:color="auto" w:sz="4" w:space="0"/>
                    <w:left w:val="single" w:color="auto" w:sz="4" w:space="0"/>
                    <w:bottom w:val="single" w:color="auto" w:sz="4" w:space="0"/>
                    <w:right w:val="single" w:color="auto" w:sz="4" w:space="0"/>
                  </w:tcBorders>
                  <w:vAlign w:val="center"/>
                </w:tcPr>
                <w:p w14:paraId="0A0F24FB">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1D03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6576ED6D">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细颗粒物（PM</w:t>
                  </w:r>
                  <w:r>
                    <w:rPr>
                      <w:rFonts w:ascii="Times New Roman" w:hAnsi="Times New Roman" w:eastAsia="宋体" w:cs="Times New Roman"/>
                      <w:snapToGrid w:val="0"/>
                      <w:kern w:val="0"/>
                      <w:szCs w:val="21"/>
                      <w:vertAlign w:val="subscript"/>
                    </w:rPr>
                    <w:t>2..5</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4522FE91">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w:t>
                  </w:r>
                </w:p>
              </w:tc>
              <w:tc>
                <w:tcPr>
                  <w:tcW w:w="1338" w:type="pct"/>
                  <w:tcBorders>
                    <w:top w:val="single" w:color="auto" w:sz="4" w:space="0"/>
                    <w:left w:val="single" w:color="auto" w:sz="4" w:space="0"/>
                    <w:bottom w:val="single" w:color="auto" w:sz="4" w:space="0"/>
                    <w:right w:val="single" w:color="auto" w:sz="4" w:space="0"/>
                  </w:tcBorders>
                  <w:vAlign w:val="center"/>
                </w:tcPr>
                <w:p w14:paraId="525ED162">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35</w:t>
                  </w:r>
                </w:p>
              </w:tc>
              <w:tc>
                <w:tcPr>
                  <w:tcW w:w="911" w:type="pct"/>
                  <w:tcBorders>
                    <w:top w:val="single" w:color="auto" w:sz="4" w:space="0"/>
                    <w:left w:val="single" w:color="auto" w:sz="4" w:space="0"/>
                    <w:bottom w:val="single" w:color="auto" w:sz="4" w:space="0"/>
                    <w:right w:val="single" w:color="auto" w:sz="4" w:space="0"/>
                  </w:tcBorders>
                  <w:vAlign w:val="center"/>
                </w:tcPr>
                <w:p w14:paraId="4FD46DE1">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74C1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77C6EB9A">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一氧化碳（CO）</w:t>
                  </w:r>
                </w:p>
              </w:tc>
              <w:tc>
                <w:tcPr>
                  <w:tcW w:w="1295" w:type="pct"/>
                  <w:tcBorders>
                    <w:top w:val="single" w:color="auto" w:sz="4" w:space="0"/>
                    <w:left w:val="single" w:color="auto" w:sz="4" w:space="0"/>
                    <w:bottom w:val="single" w:color="auto" w:sz="4" w:space="0"/>
                    <w:right w:val="single" w:color="auto" w:sz="4" w:space="0"/>
                  </w:tcBorders>
                  <w:vAlign w:val="center"/>
                </w:tcPr>
                <w:p w14:paraId="6443797C">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800</w:t>
                  </w:r>
                </w:p>
              </w:tc>
              <w:tc>
                <w:tcPr>
                  <w:tcW w:w="1338" w:type="pct"/>
                  <w:tcBorders>
                    <w:top w:val="single" w:color="auto" w:sz="4" w:space="0"/>
                    <w:left w:val="single" w:color="auto" w:sz="4" w:space="0"/>
                    <w:bottom w:val="single" w:color="auto" w:sz="4" w:space="0"/>
                    <w:right w:val="single" w:color="auto" w:sz="4" w:space="0"/>
                  </w:tcBorders>
                  <w:vAlign w:val="center"/>
                </w:tcPr>
                <w:p w14:paraId="2C1512E1">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4000</w:t>
                  </w:r>
                  <w:r>
                    <w:rPr>
                      <w:rFonts w:hint="eastAsia" w:ascii="Times New Roman" w:hAnsi="Times New Roman" w:eastAsia="宋体" w:cs="Times New Roman"/>
                      <w:snapToGrid w:val="0"/>
                      <w:kern w:val="0"/>
                      <w:szCs w:val="21"/>
                    </w:rPr>
                    <w:t>（参照2</w:t>
                  </w:r>
                  <w:r>
                    <w:rPr>
                      <w:rFonts w:ascii="Times New Roman" w:hAnsi="Times New Roman" w:eastAsia="宋体" w:cs="Times New Roman"/>
                      <w:snapToGrid w:val="0"/>
                      <w:kern w:val="0"/>
                      <w:szCs w:val="21"/>
                    </w:rPr>
                    <w:t>4</w:t>
                  </w:r>
                  <w:r>
                    <w:rPr>
                      <w:rFonts w:hint="eastAsia" w:ascii="Times New Roman" w:hAnsi="Times New Roman" w:eastAsia="宋体" w:cs="Times New Roman"/>
                      <w:snapToGrid w:val="0"/>
                      <w:kern w:val="0"/>
                      <w:szCs w:val="21"/>
                    </w:rPr>
                    <w:t>h平均）</w:t>
                  </w:r>
                </w:p>
              </w:tc>
              <w:tc>
                <w:tcPr>
                  <w:tcW w:w="911" w:type="pct"/>
                  <w:tcBorders>
                    <w:top w:val="single" w:color="auto" w:sz="4" w:space="0"/>
                    <w:left w:val="single" w:color="auto" w:sz="4" w:space="0"/>
                    <w:bottom w:val="single" w:color="auto" w:sz="4" w:space="0"/>
                    <w:right w:val="single" w:color="auto" w:sz="4" w:space="0"/>
                  </w:tcBorders>
                  <w:vAlign w:val="center"/>
                </w:tcPr>
                <w:p w14:paraId="172B3873">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r w14:paraId="482A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pct"/>
                  <w:tcBorders>
                    <w:top w:val="single" w:color="auto" w:sz="4" w:space="0"/>
                    <w:left w:val="single" w:color="auto" w:sz="4" w:space="0"/>
                    <w:bottom w:val="single" w:color="auto" w:sz="4" w:space="0"/>
                    <w:right w:val="single" w:color="auto" w:sz="4" w:space="0"/>
                  </w:tcBorders>
                  <w:vAlign w:val="center"/>
                </w:tcPr>
                <w:p w14:paraId="62F86F61">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臭氧（O</w:t>
                  </w:r>
                  <w:r>
                    <w:rPr>
                      <w:rFonts w:ascii="Times New Roman" w:hAnsi="Times New Roman" w:eastAsia="宋体" w:cs="Times New Roman"/>
                      <w:snapToGrid w:val="0"/>
                      <w:kern w:val="0"/>
                      <w:szCs w:val="21"/>
                      <w:vertAlign w:val="subscript"/>
                    </w:rPr>
                    <w:t>3</w:t>
                  </w:r>
                  <w:r>
                    <w:rPr>
                      <w:rFonts w:ascii="Times New Roman" w:hAnsi="Times New Roman" w:eastAsia="宋体" w:cs="Times New Roman"/>
                      <w:snapToGrid w:val="0"/>
                      <w:kern w:val="0"/>
                      <w:szCs w:val="21"/>
                    </w:rPr>
                    <w:t>）</w:t>
                  </w:r>
                </w:p>
              </w:tc>
              <w:tc>
                <w:tcPr>
                  <w:tcW w:w="1295" w:type="pct"/>
                  <w:tcBorders>
                    <w:top w:val="single" w:color="auto" w:sz="4" w:space="0"/>
                    <w:left w:val="single" w:color="auto" w:sz="4" w:space="0"/>
                    <w:bottom w:val="single" w:color="auto" w:sz="4" w:space="0"/>
                    <w:right w:val="single" w:color="auto" w:sz="4" w:space="0"/>
                  </w:tcBorders>
                  <w:vAlign w:val="center"/>
                </w:tcPr>
                <w:p w14:paraId="45A8AA57">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71</w:t>
                  </w:r>
                </w:p>
              </w:tc>
              <w:tc>
                <w:tcPr>
                  <w:tcW w:w="1338" w:type="pct"/>
                  <w:tcBorders>
                    <w:top w:val="single" w:color="auto" w:sz="4" w:space="0"/>
                    <w:left w:val="single" w:color="auto" w:sz="4" w:space="0"/>
                    <w:bottom w:val="single" w:color="auto" w:sz="4" w:space="0"/>
                    <w:right w:val="single" w:color="auto" w:sz="4" w:space="0"/>
                  </w:tcBorders>
                  <w:vAlign w:val="center"/>
                </w:tcPr>
                <w:p w14:paraId="2391229B">
                  <w:pPr>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160</w:t>
                  </w:r>
                  <w:r>
                    <w:rPr>
                      <w:rFonts w:hint="eastAsia" w:ascii="Times New Roman" w:hAnsi="Times New Roman" w:eastAsia="宋体" w:cs="Times New Roman"/>
                      <w:snapToGrid w:val="0"/>
                      <w:kern w:val="0"/>
                      <w:szCs w:val="21"/>
                    </w:rPr>
                    <w:t>（参照</w:t>
                  </w:r>
                  <w:r>
                    <w:rPr>
                      <w:rFonts w:ascii="Times New Roman" w:hAnsi="Times New Roman" w:eastAsia="宋体" w:cs="Times New Roman"/>
                      <w:snapToGrid w:val="0"/>
                      <w:kern w:val="0"/>
                      <w:szCs w:val="21"/>
                    </w:rPr>
                    <w:t>8</w:t>
                  </w:r>
                  <w:r>
                    <w:rPr>
                      <w:rFonts w:hint="eastAsia" w:ascii="Times New Roman" w:hAnsi="Times New Roman" w:eastAsia="宋体" w:cs="Times New Roman"/>
                      <w:snapToGrid w:val="0"/>
                      <w:kern w:val="0"/>
                      <w:szCs w:val="21"/>
                    </w:rPr>
                    <w:t>h平均）</w:t>
                  </w:r>
                </w:p>
              </w:tc>
              <w:tc>
                <w:tcPr>
                  <w:tcW w:w="911" w:type="pct"/>
                  <w:tcBorders>
                    <w:top w:val="single" w:color="auto" w:sz="4" w:space="0"/>
                    <w:left w:val="single" w:color="auto" w:sz="4" w:space="0"/>
                    <w:bottom w:val="single" w:color="auto" w:sz="4" w:space="0"/>
                    <w:right w:val="single" w:color="auto" w:sz="4" w:space="0"/>
                  </w:tcBorders>
                  <w:vAlign w:val="center"/>
                </w:tcPr>
                <w:p w14:paraId="2CCF20EE">
                  <w:pPr>
                    <w:widowControl/>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达标</w:t>
                  </w:r>
                </w:p>
              </w:tc>
            </w:tr>
          </w:tbl>
          <w:p w14:paraId="6E2B2A6D">
            <w:pPr>
              <w:adjustRightInd w:val="0"/>
              <w:snapToGrid w:val="0"/>
              <w:ind w:firstLine="420" w:firstLineChars="200"/>
              <w:rPr>
                <w:rFonts w:ascii="Times New Roman" w:hAnsi="Times New Roman" w:eastAsia="宋体" w:cs="Times New Roman"/>
                <w:bCs/>
                <w:kern w:val="0"/>
                <w:szCs w:val="21"/>
                <w:lang w:bidi="ar"/>
              </w:rPr>
            </w:pPr>
          </w:p>
          <w:p w14:paraId="04E43426">
            <w:pPr>
              <w:adjustRightInd w:val="0"/>
              <w:snapToGrid w:val="0"/>
              <w:spacing w:line="360" w:lineRule="auto"/>
              <w:ind w:firstLine="480" w:firstLineChars="200"/>
              <w:rPr>
                <w:rFonts w:ascii="Times New Roman" w:hAnsi="Times New Roman" w:eastAsia="宋体" w:cs="Times New Roman"/>
                <w:bCs/>
                <w:kern w:val="0"/>
                <w:sz w:val="24"/>
              </w:rPr>
            </w:pPr>
            <w:r>
              <w:rPr>
                <w:rFonts w:ascii="Times New Roman" w:hAnsi="Times New Roman" w:eastAsia="宋体" w:cs="Times New Roman"/>
                <w:bCs/>
                <w:kern w:val="0"/>
                <w:sz w:val="24"/>
                <w:lang w:bidi="ar"/>
              </w:rPr>
              <w:t>由上表可知</w:t>
            </w:r>
            <w:r>
              <w:rPr>
                <w:rFonts w:hint="eastAsia" w:ascii="Times New Roman" w:hAnsi="Times New Roman" w:eastAsia="宋体" w:cs="Times New Roman"/>
                <w:bCs/>
                <w:kern w:val="0"/>
                <w:sz w:val="24"/>
                <w:lang w:bidi="ar"/>
              </w:rPr>
              <w:t>，</w:t>
            </w:r>
            <w:r>
              <w:rPr>
                <w:rFonts w:ascii="Times New Roman" w:hAnsi="Times New Roman" w:eastAsia="宋体" w:cs="Times New Roman"/>
                <w:bCs/>
                <w:kern w:val="0"/>
                <w:sz w:val="24"/>
                <w:lang w:bidi="ar"/>
              </w:rPr>
              <w:t>各指标浓度满足</w:t>
            </w:r>
            <w:r>
              <w:rPr>
                <w:rFonts w:ascii="Times New Roman" w:hAnsi="Times New Roman" w:eastAsia="宋体" w:cs="Times New Roman"/>
                <w:bCs/>
                <w:sz w:val="24"/>
              </w:rPr>
              <w:t>《环境空气质量标准》（GB3095-2012）中</w:t>
            </w:r>
            <w:r>
              <w:rPr>
                <w:rFonts w:ascii="Times New Roman" w:hAnsi="Times New Roman" w:eastAsia="宋体" w:cs="Times New Roman"/>
                <w:bCs/>
                <w:kern w:val="0"/>
                <w:sz w:val="24"/>
                <w:lang w:bidi="ar"/>
              </w:rPr>
              <w:t>二级标准的要求，</w:t>
            </w:r>
            <w:r>
              <w:rPr>
                <w:rFonts w:ascii="Times New Roman" w:hAnsi="Times New Roman" w:eastAsia="宋体" w:cs="Times New Roman"/>
                <w:bCs/>
                <w:kern w:val="0"/>
                <w:sz w:val="24"/>
              </w:rPr>
              <w:t>属于达标区。</w:t>
            </w:r>
          </w:p>
          <w:p w14:paraId="2D58F6D0">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（2）特征污染物补充监测</w:t>
            </w:r>
          </w:p>
          <w:p w14:paraId="043B5507">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为掌握厂区附近</w:t>
            </w:r>
            <w:r>
              <w:rPr>
                <w:rFonts w:ascii="Times New Roman" w:hAnsi="Times New Roman" w:cs="Times New Roman"/>
                <w:bCs/>
              </w:rPr>
              <w:t>建设项目特征污染物</w:t>
            </w:r>
            <w:r>
              <w:rPr>
                <w:rFonts w:hint="eastAsia" w:ascii="Times New Roman" w:hAnsi="Times New Roman" w:cs="Times New Roman"/>
                <w:bCs/>
              </w:rPr>
              <w:t>（S</w:t>
            </w:r>
            <w:r>
              <w:rPr>
                <w:rFonts w:ascii="Times New Roman" w:hAnsi="Times New Roman" w:cs="Times New Roman"/>
                <w:bCs/>
              </w:rPr>
              <w:t>O</w:t>
            </w:r>
            <w:r>
              <w:rPr>
                <w:rFonts w:ascii="Times New Roman" w:hAnsi="Times New Roman" w:cs="Times New Roman"/>
                <w:bCs/>
                <w:vertAlign w:val="subscript"/>
              </w:rPr>
              <w:t>2</w:t>
            </w:r>
            <w:r>
              <w:rPr>
                <w:rFonts w:hint="eastAsia" w:ascii="Times New Roman" w:hAnsi="Times New Roman" w:cs="Times New Roman"/>
                <w:bCs/>
              </w:rPr>
              <w:t>、</w:t>
            </w:r>
            <w:r>
              <w:rPr>
                <w:rFonts w:ascii="Times New Roman" w:hAnsi="Times New Roman" w:cs="Times New Roman"/>
                <w:bCs/>
              </w:rPr>
              <w:t>NO</w:t>
            </w:r>
            <w:r>
              <w:rPr>
                <w:rFonts w:ascii="Times New Roman" w:hAnsi="Times New Roman" w:cs="Times New Roman"/>
                <w:bCs/>
                <w:vertAlign w:val="subscript"/>
              </w:rPr>
              <w:t>2</w:t>
            </w:r>
            <w:r>
              <w:rPr>
                <w:rFonts w:hint="eastAsia" w:ascii="Times New Roman" w:hAnsi="Times New Roman" w:cs="Times New Roman"/>
                <w:bCs/>
              </w:rPr>
              <w:t>、</w:t>
            </w:r>
            <w:r>
              <w:rPr>
                <w:rFonts w:ascii="Times New Roman" w:hAnsi="Times New Roman"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cs="Times New Roman"/>
                <w:bCs/>
              </w:rPr>
              <w:t>）的情况，建设单位于2</w:t>
            </w:r>
            <w:r>
              <w:rPr>
                <w:rFonts w:ascii="Times New Roman" w:hAnsi="Times New Roman" w:cs="Times New Roman"/>
                <w:bCs/>
              </w:rPr>
              <w:t>022</w:t>
            </w:r>
            <w:r>
              <w:rPr>
                <w:rFonts w:hint="eastAsia" w:ascii="Times New Roman" w:hAnsi="Times New Roman" w:cs="Times New Roman"/>
                <w:bCs/>
              </w:rPr>
              <w:t>年</w:t>
            </w:r>
            <w:r>
              <w:rPr>
                <w:rFonts w:ascii="Times New Roman" w:hAnsi="Times New Roman" w:cs="Times New Roman"/>
                <w:bCs/>
              </w:rPr>
              <w:t>3</w:t>
            </w:r>
            <w:r>
              <w:rPr>
                <w:rFonts w:hint="eastAsia" w:ascii="Times New Roman" w:hAnsi="Times New Roman" w:cs="Times New Roman"/>
                <w:bCs/>
              </w:rPr>
              <w:t>月1</w:t>
            </w:r>
            <w:r>
              <w:rPr>
                <w:rFonts w:ascii="Times New Roman" w:hAnsi="Times New Roman" w:cs="Times New Roman"/>
                <w:bCs/>
              </w:rPr>
              <w:t>8</w:t>
            </w:r>
            <w:r>
              <w:rPr>
                <w:rFonts w:hint="eastAsia" w:ascii="Times New Roman" w:hAnsi="Times New Roman" w:cs="Times New Roman"/>
                <w:bCs/>
              </w:rPr>
              <w:t>日至</w:t>
            </w:r>
            <w:r>
              <w:rPr>
                <w:rFonts w:ascii="Times New Roman" w:hAnsi="Times New Roman" w:cs="Times New Roman"/>
                <w:bCs/>
              </w:rPr>
              <w:t>20</w:t>
            </w:r>
            <w:r>
              <w:rPr>
                <w:rFonts w:hint="eastAsia" w:ascii="Times New Roman" w:hAnsi="Times New Roman" w:cs="Times New Roman"/>
                <w:bCs/>
              </w:rPr>
              <w:t>日委托</w:t>
            </w:r>
            <w:r>
              <w:rPr>
                <w:rFonts w:ascii="Times New Roman" w:hAnsi="Times New Roman" w:cs="Times New Roman"/>
                <w:bCs/>
              </w:rPr>
              <w:t>云南</w:t>
            </w:r>
            <w:r>
              <w:rPr>
                <w:rFonts w:hint="eastAsia" w:ascii="Times New Roman" w:hAnsi="Times New Roman" w:cs="Times New Roman"/>
                <w:bCs/>
              </w:rPr>
              <w:t>天倪</w:t>
            </w:r>
            <w:r>
              <w:rPr>
                <w:rFonts w:ascii="Times New Roman" w:hAnsi="Times New Roman" w:cs="Times New Roman"/>
                <w:bCs/>
              </w:rPr>
              <w:t>检测有限公司</w:t>
            </w:r>
            <w:r>
              <w:rPr>
                <w:rFonts w:hint="eastAsia" w:ascii="Times New Roman" w:hAnsi="Times New Roman" w:cs="Times New Roman"/>
                <w:bCs/>
              </w:rPr>
              <w:t>对厂区下风向</w:t>
            </w:r>
            <w:r>
              <w:rPr>
                <w:rFonts w:ascii="Times New Roman" w:hAnsi="Times New Roman" w:cs="Times New Roman"/>
                <w:bCs/>
              </w:rPr>
              <w:t>特征污染物</w:t>
            </w:r>
            <w:r>
              <w:rPr>
                <w:rFonts w:hint="eastAsia" w:ascii="Times New Roman" w:hAnsi="Times New Roman" w:cs="Times New Roman"/>
                <w:bCs/>
              </w:rPr>
              <w:t>进行了补充监测。</w:t>
            </w:r>
          </w:p>
          <w:p w14:paraId="4CF56633">
            <w:pPr>
              <w:pStyle w:val="10"/>
              <w:spacing w:line="360" w:lineRule="auto"/>
              <w:ind w:left="105" w:leftChars="50" w:right="105" w:rightChars="50" w:firstLine="240" w:firstLineChars="100"/>
              <w:rPr>
                <w:rFonts w:ascii="Times New Roman" w:hAnsi="Times New Roman" w:cs="Times New Roman"/>
                <w:bCs/>
              </w:rPr>
            </w:pPr>
            <w:r>
              <w:rPr>
                <w:rFonts w:hint="eastAsia"/>
                <w:bCs/>
              </w:rPr>
              <w:t>①</w:t>
            </w:r>
            <w:r>
              <w:rPr>
                <w:rFonts w:ascii="Times New Roman" w:hAnsi="Times New Roman" w:cs="Times New Roman"/>
                <w:bCs/>
              </w:rPr>
              <w:t>监测点位</w:t>
            </w:r>
          </w:p>
          <w:p w14:paraId="48460B34">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监测点位布设详情见表3-2。</w:t>
            </w:r>
          </w:p>
          <w:p w14:paraId="4F27B485">
            <w:pPr>
              <w:pStyle w:val="10"/>
              <w:snapToGrid w:val="0"/>
              <w:ind w:left="105" w:leftChars="50" w:right="105" w:rightChars="50" w:firstLine="240" w:firstLineChars="100"/>
              <w:rPr>
                <w:rFonts w:ascii="Times New Roman" w:hAnsi="Times New Roman" w:cs="Times New Roman"/>
                <w:bCs/>
              </w:rPr>
            </w:pPr>
          </w:p>
          <w:p w14:paraId="0D48E3ED">
            <w:pPr>
              <w:pStyle w:val="10"/>
              <w:snapToGrid w:val="0"/>
              <w:ind w:left="105" w:leftChars="50" w:right="105" w:rightChars="50" w:firstLine="240" w:firstLineChars="100"/>
              <w:rPr>
                <w:rFonts w:ascii="Times New Roman" w:hAnsi="Times New Roman" w:cs="Times New Roman"/>
                <w:bCs/>
              </w:rPr>
            </w:pPr>
          </w:p>
          <w:p w14:paraId="627A1243">
            <w:pPr>
              <w:pStyle w:val="53"/>
              <w:spacing w:before="156" w:beforeLines="50" w:line="240" w:lineRule="auto"/>
              <w:ind w:firstLine="420" w:firstLineChars="199"/>
              <w:jc w:val="center"/>
              <w:rPr>
                <w:rFonts w:cs="Times New Roman"/>
                <w:b/>
                <w:kern w:val="0"/>
                <w:sz w:val="21"/>
                <w:szCs w:val="21"/>
                <w:lang w:val="zh-CN"/>
              </w:rPr>
            </w:pPr>
            <w:r>
              <w:rPr>
                <w:rFonts w:cs="Times New Roman"/>
                <w:b/>
                <w:kern w:val="0"/>
                <w:sz w:val="21"/>
                <w:szCs w:val="21"/>
                <w:lang w:val="zh-CN"/>
              </w:rPr>
              <w:t>表3-2    监测布点一览表</w:t>
            </w:r>
          </w:p>
          <w:tbl>
            <w:tblPr>
              <w:tblStyle w:val="19"/>
              <w:tblW w:w="7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194"/>
              <w:gridCol w:w="2126"/>
              <w:gridCol w:w="2058"/>
            </w:tblGrid>
            <w:tr w14:paraId="2178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74" w:type="dxa"/>
                  <w:vAlign w:val="center"/>
                </w:tcPr>
                <w:p w14:paraId="2E02187C">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监测点位</w:t>
                  </w:r>
                </w:p>
              </w:tc>
              <w:tc>
                <w:tcPr>
                  <w:tcW w:w="2194" w:type="dxa"/>
                  <w:vAlign w:val="center"/>
                </w:tcPr>
                <w:p w14:paraId="097D4679">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监测项目</w:t>
                  </w:r>
                </w:p>
              </w:tc>
              <w:tc>
                <w:tcPr>
                  <w:tcW w:w="2126" w:type="dxa"/>
                  <w:vAlign w:val="center"/>
                </w:tcPr>
                <w:p w14:paraId="095CDEEF">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监测时间</w:t>
                  </w:r>
                </w:p>
              </w:tc>
              <w:tc>
                <w:tcPr>
                  <w:tcW w:w="2058" w:type="dxa"/>
                  <w:vAlign w:val="center"/>
                </w:tcPr>
                <w:p w14:paraId="6C368EFE">
                  <w:pPr>
                    <w:adjustRightInd w:val="0"/>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坐标</w:t>
                  </w:r>
                </w:p>
              </w:tc>
            </w:tr>
            <w:tr w14:paraId="5070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74" w:type="dxa"/>
                  <w:vAlign w:val="center"/>
                </w:tcPr>
                <w:p w14:paraId="692A15AC">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厂区下风向</w:t>
                  </w:r>
                </w:p>
              </w:tc>
              <w:tc>
                <w:tcPr>
                  <w:tcW w:w="2194" w:type="dxa"/>
                  <w:vAlign w:val="center"/>
                </w:tcPr>
                <w:p w14:paraId="502DC04D">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bCs/>
                    </w:rPr>
                    <w:t>S</w:t>
                  </w:r>
                  <w:r>
                    <w:rPr>
                      <w:rFonts w:ascii="Times New Roman" w:hAnsi="Times New Roman" w:eastAsia="宋体" w:cs="Times New Roman"/>
                      <w:bCs/>
                    </w:rPr>
                    <w:t>O</w:t>
                  </w:r>
                  <w:r>
                    <w:rPr>
                      <w:rFonts w:ascii="Times New Roman" w:hAnsi="Times New Roman" w:eastAsia="宋体" w:cs="Times New Roman"/>
                      <w:bCs/>
                      <w:vertAlign w:val="subscript"/>
                    </w:rPr>
                    <w:t>2</w:t>
                  </w:r>
                  <w:r>
                    <w:rPr>
                      <w:rFonts w:hint="eastAsia" w:ascii="Times New Roman" w:hAnsi="Times New Roman" w:eastAsia="宋体" w:cs="Times New Roman"/>
                      <w:bCs/>
                    </w:rPr>
                    <w:t>、</w:t>
                  </w:r>
                  <w:r>
                    <w:rPr>
                      <w:rFonts w:ascii="Times New Roman" w:hAnsi="Times New Roman" w:eastAsia="宋体" w:cs="Times New Roman"/>
                      <w:bCs/>
                    </w:rPr>
                    <w:t>NO</w:t>
                  </w:r>
                  <w:r>
                    <w:rPr>
                      <w:rFonts w:ascii="Times New Roman" w:hAnsi="Times New Roman" w:eastAsia="宋体" w:cs="Times New Roman"/>
                      <w:bCs/>
                      <w:vertAlign w:val="subscript"/>
                    </w:rPr>
                    <w:t>2</w:t>
                  </w:r>
                  <w:r>
                    <w:rPr>
                      <w:rFonts w:hint="eastAsia" w:ascii="Times New Roman" w:hAnsi="Times New Roman" w:eastAsia="宋体" w:cs="Times New Roman"/>
                      <w:bCs/>
                    </w:rPr>
                    <w:t>、</w:t>
                  </w:r>
                  <w:r>
                    <w:rPr>
                      <w:rFonts w:ascii="Times New Roman" w:hAnsi="Times New Roman" w:eastAsia="宋体"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p>
              </w:tc>
              <w:tc>
                <w:tcPr>
                  <w:tcW w:w="2126" w:type="dxa"/>
                  <w:vAlign w:val="center"/>
                </w:tcPr>
                <w:p w14:paraId="77E8B135">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2022.3.18～2022.3.20</w:t>
                  </w:r>
                </w:p>
              </w:tc>
              <w:tc>
                <w:tcPr>
                  <w:tcW w:w="2058" w:type="dxa"/>
                  <w:vAlign w:val="center"/>
                </w:tcPr>
                <w:p w14:paraId="663AED65">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E </w:t>
                  </w:r>
                  <w:r>
                    <w:rPr>
                      <w:rFonts w:hint="eastAsia" w:ascii="Times New Roman" w:hAnsi="Times New Roman" w:eastAsia="宋体" w:cs="Times New Roman"/>
                      <w:kern w:val="0"/>
                      <w:szCs w:val="21"/>
                    </w:rPr>
                    <w:t>98°23′58.48″</w:t>
                  </w:r>
                </w:p>
                <w:p w14:paraId="1ACDA3FB">
                  <w:pPr>
                    <w:adjustRightInd w:val="0"/>
                    <w:jc w:val="center"/>
                  </w:pPr>
                  <w:r>
                    <w:rPr>
                      <w:rFonts w:ascii="Times New Roman" w:hAnsi="Times New Roman" w:eastAsia="宋体" w:cs="Times New Roman"/>
                      <w:kern w:val="0"/>
                      <w:szCs w:val="21"/>
                    </w:rPr>
                    <w:t xml:space="preserve">N </w:t>
                  </w:r>
                  <w:r>
                    <w:rPr>
                      <w:rFonts w:hint="eastAsia" w:ascii="Times New Roman" w:hAnsi="Times New Roman" w:eastAsia="宋体" w:cs="Times New Roman"/>
                      <w:kern w:val="0"/>
                      <w:szCs w:val="21"/>
                    </w:rPr>
                    <w:t>24°22′34.72″</w:t>
                  </w:r>
                </w:p>
              </w:tc>
            </w:tr>
          </w:tbl>
          <w:p w14:paraId="3891E213">
            <w:pPr>
              <w:adjustRightInd w:val="0"/>
              <w:ind w:firstLine="420" w:firstLineChars="200"/>
              <w:rPr>
                <w:rFonts w:ascii="Times New Roman" w:hAnsi="Times New Roman" w:eastAsia="宋体" w:cs="Times New Roman"/>
                <w:kern w:val="0"/>
                <w:szCs w:val="21"/>
              </w:rPr>
            </w:pPr>
          </w:p>
          <w:p w14:paraId="77FF6D89">
            <w:pPr>
              <w:pStyle w:val="10"/>
              <w:spacing w:line="360" w:lineRule="auto"/>
              <w:ind w:left="105" w:leftChars="50" w:right="105" w:rightChars="50" w:firstLine="240" w:firstLineChars="100"/>
              <w:rPr>
                <w:rFonts w:ascii="Times New Roman" w:hAnsi="Times New Roman" w:cs="Times New Roman"/>
                <w:bCs/>
              </w:rPr>
            </w:pPr>
            <w:r>
              <w:rPr>
                <w:rFonts w:hint="eastAsia"/>
                <w:bCs/>
              </w:rPr>
              <w:t>②</w:t>
            </w:r>
            <w:r>
              <w:rPr>
                <w:rFonts w:ascii="Times New Roman" w:hAnsi="Times New Roman" w:cs="Times New Roman"/>
                <w:bCs/>
              </w:rPr>
              <w:t>监测时间及频率</w:t>
            </w:r>
          </w:p>
          <w:p w14:paraId="71CE3323">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根据《环境影响评价技术导则 大气环境》（HJ2.2-2018）相关规定，其监测时间、频率及要求见表3-3。</w:t>
            </w:r>
          </w:p>
          <w:p w14:paraId="6E6646E7">
            <w:pPr>
              <w:pStyle w:val="53"/>
              <w:spacing w:before="156" w:beforeLines="50" w:line="240" w:lineRule="auto"/>
              <w:ind w:firstLine="420" w:firstLineChars="199"/>
              <w:jc w:val="center"/>
              <w:rPr>
                <w:rFonts w:cs="Times New Roman"/>
                <w:b/>
                <w:kern w:val="0"/>
                <w:sz w:val="21"/>
                <w:szCs w:val="21"/>
                <w:lang w:val="zh-CN"/>
              </w:rPr>
            </w:pPr>
            <w:r>
              <w:rPr>
                <w:rFonts w:cs="Times New Roman"/>
                <w:b/>
                <w:kern w:val="0"/>
                <w:sz w:val="21"/>
                <w:szCs w:val="21"/>
                <w:lang w:val="zh-CN"/>
              </w:rPr>
              <w:t>表3-3    监测详情一览表</w:t>
            </w:r>
          </w:p>
          <w:tbl>
            <w:tblPr>
              <w:tblStyle w:val="1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276"/>
              <w:gridCol w:w="1275"/>
              <w:gridCol w:w="3638"/>
            </w:tblGrid>
            <w:tr w14:paraId="41A5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7" w:type="dxa"/>
                  <w:vAlign w:val="center"/>
                </w:tcPr>
                <w:p w14:paraId="2F7A8BC9">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监测项目</w:t>
                  </w:r>
                </w:p>
              </w:tc>
              <w:tc>
                <w:tcPr>
                  <w:tcW w:w="1276" w:type="dxa"/>
                  <w:vAlign w:val="center"/>
                </w:tcPr>
                <w:p w14:paraId="358A6021">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监测时间</w:t>
                  </w:r>
                </w:p>
              </w:tc>
              <w:tc>
                <w:tcPr>
                  <w:tcW w:w="1275" w:type="dxa"/>
                  <w:vAlign w:val="center"/>
                </w:tcPr>
                <w:p w14:paraId="7436D37E">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监测频率</w:t>
                  </w:r>
                </w:p>
              </w:tc>
              <w:tc>
                <w:tcPr>
                  <w:tcW w:w="3638" w:type="dxa"/>
                  <w:vAlign w:val="center"/>
                </w:tcPr>
                <w:p w14:paraId="49C17E57">
                  <w:pPr>
                    <w:adjustRightIn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数据有效性规定</w:t>
                  </w:r>
                </w:p>
              </w:tc>
            </w:tr>
            <w:tr w14:paraId="23C6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7" w:type="dxa"/>
                  <w:vAlign w:val="center"/>
                </w:tcPr>
                <w:p w14:paraId="6E72FAF7">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S</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p>
              </w:tc>
              <w:tc>
                <w:tcPr>
                  <w:tcW w:w="1276" w:type="dxa"/>
                  <w:vAlign w:val="center"/>
                </w:tcPr>
                <w:p w14:paraId="7465386E">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24h平均</w:t>
                  </w:r>
                </w:p>
              </w:tc>
              <w:tc>
                <w:tcPr>
                  <w:tcW w:w="1275" w:type="dxa"/>
                  <w:vAlign w:val="center"/>
                </w:tcPr>
                <w:p w14:paraId="66B75878">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4次/d</w:t>
                  </w:r>
                </w:p>
              </w:tc>
              <w:tc>
                <w:tcPr>
                  <w:tcW w:w="3638" w:type="dxa"/>
                  <w:vAlign w:val="center"/>
                </w:tcPr>
                <w:p w14:paraId="610F0E2F">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连续监测3d</w:t>
                  </w:r>
                  <w:r>
                    <w:rPr>
                      <w:rFonts w:hint="eastAsia" w:ascii="Times New Roman" w:hAnsi="Times New Roman" w:eastAsia="宋体" w:cs="Times New Roman"/>
                      <w:kern w:val="0"/>
                      <w:szCs w:val="21"/>
                    </w:rPr>
                    <w:t>，S</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2</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r>
                    <w:rPr>
                      <w:rFonts w:hint="eastAsia" w:ascii="Times New Roman" w:hAnsi="Times New Roman" w:eastAsia="宋体" w:cs="Times New Roman"/>
                      <w:kern w:val="0"/>
                      <w:szCs w:val="21"/>
                    </w:rPr>
                    <w:t>每天监测4个时段，</w:t>
                  </w:r>
                  <w:r>
                    <w:rPr>
                      <w:rFonts w:ascii="Times New Roman" w:hAnsi="Times New Roman" w:eastAsia="宋体" w:cs="Times New Roman"/>
                      <w:bCs/>
                    </w:rPr>
                    <w:t>TSP</w:t>
                  </w:r>
                  <w:r>
                    <w:rPr>
                      <w:rFonts w:hint="eastAsia" w:ascii="Times New Roman" w:hAnsi="Times New Roman" w:cs="Times New Roman"/>
                      <w:bCs/>
                    </w:rPr>
                    <w:t>、P</w:t>
                  </w:r>
                  <w:r>
                    <w:rPr>
                      <w:rFonts w:ascii="Times New Roman" w:hAnsi="Times New Roman" w:cs="Times New Roman"/>
                      <w:bCs/>
                    </w:rPr>
                    <w:t>M</w:t>
                  </w:r>
                  <w:r>
                    <w:rPr>
                      <w:rFonts w:ascii="Times New Roman" w:hAnsi="Times New Roman" w:cs="Times New Roman"/>
                      <w:bCs/>
                      <w:vertAlign w:val="subscript"/>
                    </w:rPr>
                    <w:t>10</w:t>
                  </w:r>
                  <w:r>
                    <w:rPr>
                      <w:rFonts w:ascii="Times New Roman" w:hAnsi="Times New Roman" w:eastAsia="宋体" w:cs="Times New Roman"/>
                      <w:kern w:val="0"/>
                      <w:szCs w:val="21"/>
                    </w:rPr>
                    <w:t>每天连续采样24h</w:t>
                  </w:r>
                </w:p>
              </w:tc>
            </w:tr>
            <w:tr w14:paraId="718B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7" w:type="dxa"/>
                  <w:vAlign w:val="center"/>
                </w:tcPr>
                <w:p w14:paraId="18531A24">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S</w:t>
                  </w:r>
                  <w:r>
                    <w:rPr>
                      <w:rFonts w:ascii="Times New Roman" w:hAnsi="Times New Roman" w:eastAsia="宋体" w:cs="Times New Roman"/>
                      <w:kern w:val="0"/>
                      <w:szCs w:val="21"/>
                    </w:rPr>
                    <w:t>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NO</w:t>
                  </w:r>
                  <w:r>
                    <w:rPr>
                      <w:rFonts w:ascii="Times New Roman" w:hAnsi="Times New Roman" w:eastAsia="宋体" w:cs="Times New Roman"/>
                      <w:kern w:val="0"/>
                      <w:szCs w:val="21"/>
                      <w:vertAlign w:val="subscript"/>
                    </w:rPr>
                    <w:t>2</w:t>
                  </w:r>
                  <w:r>
                    <w:rPr>
                      <w:rFonts w:hint="eastAsia" w:ascii="Times New Roman" w:hAnsi="Times New Roman" w:eastAsia="宋体" w:cs="Times New Roman"/>
                      <w:kern w:val="0"/>
                      <w:szCs w:val="21"/>
                    </w:rPr>
                    <w:t>、</w:t>
                  </w:r>
                  <w:r>
                    <w:rPr>
                      <w:rFonts w:hint="eastAsia"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NH</w:t>
                  </w:r>
                  <w:r>
                    <w:rPr>
                      <w:rFonts w:ascii="Times New Roman" w:hAnsi="Times New Roman" w:cs="Times New Roman"/>
                      <w:bCs/>
                      <w:vertAlign w:val="subscript"/>
                    </w:rPr>
                    <w:t>3</w:t>
                  </w:r>
                </w:p>
              </w:tc>
              <w:tc>
                <w:tcPr>
                  <w:tcW w:w="1276" w:type="dxa"/>
                  <w:vAlign w:val="center"/>
                </w:tcPr>
                <w:p w14:paraId="1BE8FDA1">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1h平均</w:t>
                  </w:r>
                </w:p>
              </w:tc>
              <w:tc>
                <w:tcPr>
                  <w:tcW w:w="1275" w:type="dxa"/>
                  <w:vAlign w:val="center"/>
                </w:tcPr>
                <w:p w14:paraId="7F65E09B">
                  <w:pPr>
                    <w:adjustRightIn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r>
                    <w:rPr>
                      <w:rFonts w:ascii="Times New Roman" w:hAnsi="Times New Roman" w:eastAsia="宋体" w:cs="Times New Roman"/>
                      <w:kern w:val="0"/>
                      <w:szCs w:val="21"/>
                    </w:rPr>
                    <w:t>次/d</w:t>
                  </w:r>
                </w:p>
              </w:tc>
              <w:tc>
                <w:tcPr>
                  <w:tcW w:w="3638" w:type="dxa"/>
                  <w:vAlign w:val="center"/>
                </w:tcPr>
                <w:p w14:paraId="3FFE7357">
                  <w:pPr>
                    <w:adjustRightInd w:val="0"/>
                    <w:jc w:val="center"/>
                    <w:rPr>
                      <w:rFonts w:ascii="Times New Roman" w:hAnsi="Times New Roman" w:eastAsia="宋体" w:cs="Times New Roman"/>
                      <w:kern w:val="0"/>
                      <w:szCs w:val="21"/>
                    </w:rPr>
                  </w:pPr>
                  <w:r>
                    <w:rPr>
                      <w:rFonts w:ascii="Times New Roman" w:hAnsi="Times New Roman" w:eastAsia="宋体" w:cs="Times New Roman"/>
                      <w:kern w:val="0"/>
                      <w:szCs w:val="21"/>
                    </w:rPr>
                    <w:t>连续监测3d</w:t>
                  </w:r>
                  <w:r>
                    <w:rPr>
                      <w:rFonts w:hint="eastAsia" w:ascii="Times New Roman" w:hAnsi="Times New Roman" w:eastAsia="宋体" w:cs="Times New Roman"/>
                      <w:kern w:val="0"/>
                      <w:szCs w:val="21"/>
                    </w:rPr>
                    <w:t>，每次连续采样1h</w:t>
                  </w:r>
                </w:p>
              </w:tc>
            </w:tr>
          </w:tbl>
          <w:p w14:paraId="29D9A5CE">
            <w:pPr>
              <w:adjustRightInd w:val="0"/>
              <w:ind w:firstLine="420" w:firstLineChars="200"/>
              <w:rPr>
                <w:rFonts w:ascii="Times New Roman" w:hAnsi="Times New Roman" w:eastAsia="宋体" w:cs="Times New Roman"/>
                <w:kern w:val="0"/>
                <w:szCs w:val="21"/>
              </w:rPr>
            </w:pPr>
          </w:p>
          <w:p w14:paraId="7BA0AB07">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③</w:t>
            </w:r>
            <w:r>
              <w:rPr>
                <w:rFonts w:ascii="Times New Roman" w:hAnsi="Times New Roman" w:cs="Times New Roman"/>
                <w:bCs/>
              </w:rPr>
              <w:t>监测结果</w:t>
            </w:r>
          </w:p>
          <w:p w14:paraId="1F928C5E">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特征污染物监测结果见表3-4。</w:t>
            </w:r>
          </w:p>
          <w:p w14:paraId="37A7E85E">
            <w:pPr>
              <w:pStyle w:val="53"/>
              <w:spacing w:before="156" w:beforeLines="50" w:line="240" w:lineRule="auto"/>
              <w:ind w:firstLine="420" w:firstLineChars="199"/>
              <w:jc w:val="center"/>
              <w:rPr>
                <w:rFonts w:cs="Times New Roman"/>
                <w:b/>
                <w:kern w:val="0"/>
                <w:sz w:val="21"/>
                <w:szCs w:val="21"/>
                <w:lang w:val="zh-CN"/>
              </w:rPr>
            </w:pPr>
            <w:r>
              <w:rPr>
                <w:rFonts w:cs="Times New Roman"/>
                <w:b/>
                <w:kern w:val="0"/>
                <w:sz w:val="21"/>
                <w:szCs w:val="21"/>
                <w:lang w:val="zh-CN"/>
              </w:rPr>
              <w:t>表3-4    特征污染物质量监测结果一览表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4"/>
              <w:gridCol w:w="1110"/>
              <w:gridCol w:w="815"/>
              <w:gridCol w:w="815"/>
              <w:gridCol w:w="1327"/>
              <w:gridCol w:w="1059"/>
              <w:gridCol w:w="1069"/>
              <w:gridCol w:w="930"/>
            </w:tblGrid>
            <w:tr w14:paraId="15910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restart"/>
                  <w:vAlign w:val="center"/>
                </w:tcPr>
                <w:p w14:paraId="4EF2C4DA">
                  <w:pPr>
                    <w:pStyle w:val="37"/>
                    <w:adjustRightInd w:val="0"/>
                    <w:jc w:val="center"/>
                    <w:rPr>
                      <w:rFonts w:ascii="Times New Roman" w:hAnsi="Times New Roman" w:cs="Times New Roman"/>
                      <w:b/>
                      <w:szCs w:val="21"/>
                    </w:rPr>
                  </w:pPr>
                  <w:r>
                    <w:rPr>
                      <w:rFonts w:ascii="Times New Roman" w:hAnsi="Times New Roman" w:cs="Times New Roman"/>
                      <w:b/>
                      <w:szCs w:val="21"/>
                    </w:rPr>
                    <w:t>监测点位</w:t>
                  </w:r>
                </w:p>
              </w:tc>
              <w:tc>
                <w:tcPr>
                  <w:tcW w:w="677" w:type="pct"/>
                  <w:vMerge w:val="restart"/>
                  <w:vAlign w:val="center"/>
                </w:tcPr>
                <w:p w14:paraId="24B8A5CB">
                  <w:pPr>
                    <w:pStyle w:val="37"/>
                    <w:adjustRightInd w:val="0"/>
                    <w:jc w:val="center"/>
                    <w:rPr>
                      <w:rFonts w:ascii="Times New Roman" w:hAnsi="Times New Roman" w:cs="Times New Roman"/>
                      <w:b/>
                      <w:szCs w:val="21"/>
                    </w:rPr>
                  </w:pPr>
                  <w:r>
                    <w:rPr>
                      <w:rFonts w:ascii="Times New Roman" w:hAnsi="Times New Roman" w:cs="Times New Roman"/>
                      <w:b/>
                      <w:szCs w:val="21"/>
                    </w:rPr>
                    <w:t>污染物</w:t>
                  </w:r>
                </w:p>
              </w:tc>
              <w:tc>
                <w:tcPr>
                  <w:tcW w:w="497" w:type="pct"/>
                  <w:vMerge w:val="restart"/>
                  <w:vAlign w:val="center"/>
                </w:tcPr>
                <w:p w14:paraId="6C392989">
                  <w:pPr>
                    <w:pStyle w:val="37"/>
                    <w:adjustRightInd w:val="0"/>
                    <w:jc w:val="center"/>
                    <w:rPr>
                      <w:rFonts w:ascii="Times New Roman" w:hAnsi="Times New Roman" w:cs="Times New Roman"/>
                      <w:b/>
                      <w:szCs w:val="21"/>
                    </w:rPr>
                  </w:pPr>
                  <w:r>
                    <w:rPr>
                      <w:rFonts w:hint="eastAsia" w:ascii="Times New Roman" w:hAnsi="Times New Roman" w:cs="Times New Roman"/>
                      <w:b/>
                      <w:szCs w:val="21"/>
                    </w:rPr>
                    <w:t>平均</w:t>
                  </w:r>
                </w:p>
                <w:p w14:paraId="1B5913FF">
                  <w:pPr>
                    <w:pStyle w:val="37"/>
                    <w:adjustRightInd w:val="0"/>
                    <w:jc w:val="center"/>
                    <w:rPr>
                      <w:rFonts w:ascii="Times New Roman" w:hAnsi="Times New Roman" w:cs="Times New Roman"/>
                      <w:b/>
                      <w:szCs w:val="21"/>
                    </w:rPr>
                  </w:pPr>
                  <w:r>
                    <w:rPr>
                      <w:rFonts w:hint="eastAsia" w:ascii="Times New Roman" w:hAnsi="Times New Roman" w:cs="Times New Roman"/>
                      <w:b/>
                      <w:szCs w:val="21"/>
                    </w:rPr>
                    <w:t>时间</w:t>
                  </w:r>
                </w:p>
                <w:p w14:paraId="50E89DE2">
                  <w:pPr>
                    <w:pStyle w:val="37"/>
                    <w:adjustRightInd w:val="0"/>
                    <w:jc w:val="center"/>
                    <w:rPr>
                      <w:rFonts w:ascii="Times New Roman" w:hAnsi="Times New Roman" w:cs="Times New Roman"/>
                      <w:b/>
                      <w:szCs w:val="21"/>
                    </w:rPr>
                  </w:pPr>
                  <w:r>
                    <w:rPr>
                      <w:rFonts w:hint="eastAsia" w:ascii="Times New Roman" w:hAnsi="Times New Roman" w:cs="Times New Roman"/>
                      <w:b/>
                      <w:szCs w:val="21"/>
                    </w:rPr>
                    <w:t>（h）</w:t>
                  </w:r>
                </w:p>
              </w:tc>
              <w:tc>
                <w:tcPr>
                  <w:tcW w:w="497" w:type="pct"/>
                  <w:vAlign w:val="center"/>
                </w:tcPr>
                <w:p w14:paraId="17994A8D">
                  <w:pPr>
                    <w:pStyle w:val="37"/>
                    <w:adjustRightInd w:val="0"/>
                    <w:jc w:val="center"/>
                    <w:rPr>
                      <w:rFonts w:ascii="Times New Roman" w:hAnsi="Times New Roman" w:cs="Times New Roman"/>
                      <w:b/>
                      <w:szCs w:val="21"/>
                    </w:rPr>
                  </w:pPr>
                  <w:r>
                    <w:rPr>
                      <w:rFonts w:ascii="Times New Roman" w:hAnsi="Times New Roman" w:cs="Times New Roman"/>
                      <w:b/>
                      <w:szCs w:val="21"/>
                    </w:rPr>
                    <w:t>评价</w:t>
                  </w:r>
                </w:p>
                <w:p w14:paraId="13C96CBD">
                  <w:pPr>
                    <w:pStyle w:val="37"/>
                    <w:adjustRightInd w:val="0"/>
                    <w:jc w:val="center"/>
                    <w:rPr>
                      <w:rFonts w:ascii="Times New Roman" w:hAnsi="Times New Roman" w:cs="Times New Roman"/>
                      <w:b/>
                      <w:szCs w:val="21"/>
                    </w:rPr>
                  </w:pPr>
                  <w:r>
                    <w:rPr>
                      <w:rFonts w:ascii="Times New Roman" w:hAnsi="Times New Roman" w:cs="Times New Roman"/>
                      <w:b/>
                      <w:szCs w:val="21"/>
                    </w:rPr>
                    <w:t>标准</w:t>
                  </w:r>
                </w:p>
              </w:tc>
              <w:tc>
                <w:tcPr>
                  <w:tcW w:w="809" w:type="pct"/>
                  <w:vAlign w:val="center"/>
                </w:tcPr>
                <w:p w14:paraId="06C51295">
                  <w:pPr>
                    <w:pStyle w:val="37"/>
                    <w:adjustRightInd w:val="0"/>
                    <w:jc w:val="center"/>
                    <w:rPr>
                      <w:rFonts w:ascii="Times New Roman" w:hAnsi="Times New Roman" w:cs="Times New Roman"/>
                      <w:b/>
                      <w:szCs w:val="21"/>
                    </w:rPr>
                  </w:pPr>
                  <w:r>
                    <w:rPr>
                      <w:rFonts w:ascii="Times New Roman" w:hAnsi="Times New Roman" w:cs="Times New Roman"/>
                      <w:b/>
                      <w:szCs w:val="21"/>
                    </w:rPr>
                    <w:t>浓度范围</w:t>
                  </w:r>
                </w:p>
              </w:tc>
              <w:tc>
                <w:tcPr>
                  <w:tcW w:w="646" w:type="pct"/>
                  <w:vMerge w:val="restart"/>
                  <w:vAlign w:val="center"/>
                </w:tcPr>
                <w:p w14:paraId="465D5FDF">
                  <w:pPr>
                    <w:pStyle w:val="37"/>
                    <w:adjustRightInd w:val="0"/>
                    <w:jc w:val="center"/>
                    <w:rPr>
                      <w:rFonts w:ascii="Times New Roman" w:hAnsi="Times New Roman" w:cs="Times New Roman"/>
                      <w:b/>
                      <w:szCs w:val="21"/>
                    </w:rPr>
                  </w:pPr>
                  <w:r>
                    <w:rPr>
                      <w:rFonts w:hint="eastAsia" w:ascii="Times New Roman" w:hAnsi="Times New Roman" w:cs="Times New Roman"/>
                      <w:b/>
                      <w:szCs w:val="21"/>
                    </w:rPr>
                    <w:t>最大占标率（%）</w:t>
                  </w:r>
                </w:p>
              </w:tc>
              <w:tc>
                <w:tcPr>
                  <w:tcW w:w="652" w:type="pct"/>
                  <w:vMerge w:val="restart"/>
                  <w:vAlign w:val="center"/>
                </w:tcPr>
                <w:p w14:paraId="4459D22D">
                  <w:pPr>
                    <w:pStyle w:val="37"/>
                    <w:adjustRightInd w:val="0"/>
                    <w:jc w:val="center"/>
                    <w:rPr>
                      <w:rFonts w:ascii="Times New Roman" w:hAnsi="Times New Roman" w:cs="Times New Roman"/>
                      <w:b/>
                      <w:szCs w:val="21"/>
                    </w:rPr>
                  </w:pPr>
                  <w:r>
                    <w:rPr>
                      <w:rFonts w:hint="eastAsia" w:ascii="Times New Roman" w:hAnsi="Times New Roman" w:cs="Times New Roman"/>
                      <w:b/>
                      <w:szCs w:val="21"/>
                    </w:rPr>
                    <w:t>超标率</w:t>
                  </w:r>
                </w:p>
                <w:p w14:paraId="09AA9F69">
                  <w:pPr>
                    <w:pStyle w:val="37"/>
                    <w:adjustRightInd w:val="0"/>
                    <w:jc w:val="center"/>
                    <w:rPr>
                      <w:rFonts w:ascii="Times New Roman" w:hAnsi="Times New Roman" w:cs="Times New Roman"/>
                      <w:b/>
                      <w:szCs w:val="21"/>
                    </w:rPr>
                  </w:pPr>
                  <w:r>
                    <w:rPr>
                      <w:rFonts w:hint="eastAsia" w:ascii="Times New Roman" w:hAnsi="Times New Roman" w:cs="Times New Roman"/>
                      <w:b/>
                      <w:szCs w:val="21"/>
                    </w:rPr>
                    <w:t>（%）</w:t>
                  </w:r>
                </w:p>
              </w:tc>
              <w:tc>
                <w:tcPr>
                  <w:tcW w:w="567" w:type="pct"/>
                  <w:vMerge w:val="restart"/>
                  <w:vAlign w:val="center"/>
                </w:tcPr>
                <w:p w14:paraId="7683D6D4">
                  <w:pPr>
                    <w:pStyle w:val="37"/>
                    <w:adjustRightInd w:val="0"/>
                    <w:jc w:val="center"/>
                    <w:rPr>
                      <w:rFonts w:ascii="Times New Roman" w:hAnsi="Times New Roman" w:cs="Times New Roman"/>
                      <w:b/>
                      <w:szCs w:val="21"/>
                    </w:rPr>
                  </w:pPr>
                  <w:r>
                    <w:rPr>
                      <w:rFonts w:ascii="Times New Roman" w:hAnsi="Times New Roman" w:cs="Times New Roman"/>
                      <w:b/>
                      <w:szCs w:val="21"/>
                    </w:rPr>
                    <w:t>达标情况</w:t>
                  </w:r>
                </w:p>
              </w:tc>
            </w:tr>
            <w:tr w14:paraId="394A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tcBorders>
                    <w:top w:val="nil"/>
                  </w:tcBorders>
                  <w:vAlign w:val="center"/>
                </w:tcPr>
                <w:p w14:paraId="24CB5CB0">
                  <w:pPr>
                    <w:adjustRightInd w:val="0"/>
                    <w:jc w:val="center"/>
                    <w:rPr>
                      <w:rFonts w:ascii="Times New Roman" w:hAnsi="Times New Roman" w:eastAsia="宋体" w:cs="Times New Roman"/>
                      <w:szCs w:val="21"/>
                    </w:rPr>
                  </w:pPr>
                </w:p>
              </w:tc>
              <w:tc>
                <w:tcPr>
                  <w:tcW w:w="677" w:type="pct"/>
                  <w:vMerge w:val="continue"/>
                  <w:tcBorders>
                    <w:top w:val="nil"/>
                  </w:tcBorders>
                  <w:vAlign w:val="center"/>
                </w:tcPr>
                <w:p w14:paraId="044A50D9">
                  <w:pPr>
                    <w:adjustRightInd w:val="0"/>
                    <w:jc w:val="center"/>
                    <w:rPr>
                      <w:rFonts w:ascii="Times New Roman" w:hAnsi="Times New Roman" w:eastAsia="宋体" w:cs="Times New Roman"/>
                      <w:szCs w:val="21"/>
                    </w:rPr>
                  </w:pPr>
                </w:p>
              </w:tc>
              <w:tc>
                <w:tcPr>
                  <w:tcW w:w="497" w:type="pct"/>
                  <w:vMerge w:val="continue"/>
                  <w:vAlign w:val="center"/>
                </w:tcPr>
                <w:p w14:paraId="44B6FE52">
                  <w:pPr>
                    <w:pStyle w:val="37"/>
                    <w:adjustRightInd w:val="0"/>
                    <w:jc w:val="center"/>
                    <w:rPr>
                      <w:rFonts w:ascii="Times New Roman" w:hAnsi="Times New Roman" w:cs="Times New Roman"/>
                      <w:b/>
                      <w:szCs w:val="21"/>
                    </w:rPr>
                  </w:pPr>
                </w:p>
              </w:tc>
              <w:tc>
                <w:tcPr>
                  <w:tcW w:w="1306" w:type="pct"/>
                  <w:gridSpan w:val="2"/>
                  <w:vAlign w:val="center"/>
                </w:tcPr>
                <w:p w14:paraId="24A93331">
                  <w:pPr>
                    <w:pStyle w:val="37"/>
                    <w:adjustRightInd w:val="0"/>
                    <w:jc w:val="center"/>
                    <w:rPr>
                      <w:rFonts w:ascii="Times New Roman" w:hAnsi="Times New Roman" w:cs="Times New Roman"/>
                      <w:b/>
                      <w:szCs w:val="21"/>
                    </w:rPr>
                  </w:pPr>
                  <w:r>
                    <w:rPr>
                      <w:rFonts w:ascii="Times New Roman" w:hAnsi="Times New Roman" w:cs="Times New Roman"/>
                      <w:b/>
                      <w:szCs w:val="21"/>
                    </w:rPr>
                    <w:t>μg/m</w:t>
                  </w:r>
                  <w:r>
                    <w:rPr>
                      <w:rFonts w:ascii="Times New Roman" w:hAnsi="Times New Roman" w:cs="Times New Roman"/>
                      <w:b/>
                      <w:szCs w:val="21"/>
                      <w:vertAlign w:val="superscript"/>
                    </w:rPr>
                    <w:t>3</w:t>
                  </w:r>
                </w:p>
              </w:tc>
              <w:tc>
                <w:tcPr>
                  <w:tcW w:w="646" w:type="pct"/>
                  <w:vMerge w:val="continue"/>
                  <w:vAlign w:val="center"/>
                </w:tcPr>
                <w:p w14:paraId="1E66292C">
                  <w:pPr>
                    <w:adjustRightInd w:val="0"/>
                    <w:jc w:val="center"/>
                    <w:rPr>
                      <w:rFonts w:ascii="Times New Roman" w:hAnsi="Times New Roman" w:eastAsia="宋体" w:cs="Times New Roman"/>
                      <w:szCs w:val="21"/>
                    </w:rPr>
                  </w:pPr>
                </w:p>
              </w:tc>
              <w:tc>
                <w:tcPr>
                  <w:tcW w:w="652" w:type="pct"/>
                  <w:vMerge w:val="continue"/>
                  <w:vAlign w:val="center"/>
                </w:tcPr>
                <w:p w14:paraId="6BD82BE2">
                  <w:pPr>
                    <w:adjustRightInd w:val="0"/>
                    <w:jc w:val="center"/>
                    <w:rPr>
                      <w:rFonts w:ascii="Times New Roman" w:hAnsi="Times New Roman" w:eastAsia="宋体" w:cs="Times New Roman"/>
                      <w:szCs w:val="21"/>
                    </w:rPr>
                  </w:pPr>
                </w:p>
              </w:tc>
              <w:tc>
                <w:tcPr>
                  <w:tcW w:w="567" w:type="pct"/>
                  <w:vMerge w:val="continue"/>
                  <w:tcBorders>
                    <w:top w:val="nil"/>
                  </w:tcBorders>
                  <w:vAlign w:val="center"/>
                </w:tcPr>
                <w:p w14:paraId="23A736E7">
                  <w:pPr>
                    <w:adjustRightInd w:val="0"/>
                    <w:jc w:val="center"/>
                    <w:rPr>
                      <w:rFonts w:ascii="Times New Roman" w:hAnsi="Times New Roman" w:eastAsia="宋体" w:cs="Times New Roman"/>
                      <w:szCs w:val="21"/>
                    </w:rPr>
                  </w:pPr>
                </w:p>
              </w:tc>
            </w:tr>
            <w:tr w14:paraId="3BA9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655" w:type="pct"/>
                  <w:vMerge w:val="restart"/>
                  <w:vAlign w:val="center"/>
                </w:tcPr>
                <w:p w14:paraId="2286B9E8">
                  <w:pPr>
                    <w:pStyle w:val="37"/>
                    <w:adjustRightInd w:val="0"/>
                    <w:jc w:val="center"/>
                    <w:rPr>
                      <w:rFonts w:ascii="Times New Roman" w:hAnsi="Times New Roman" w:cs="Times New Roman"/>
                      <w:szCs w:val="21"/>
                    </w:rPr>
                  </w:pPr>
                  <w:r>
                    <w:rPr>
                      <w:rFonts w:hint="eastAsia" w:ascii="Times New Roman" w:hAnsi="Times New Roman" w:cs="Times New Roman"/>
                      <w:szCs w:val="21"/>
                    </w:rPr>
                    <w:t>厂址下风向</w:t>
                  </w:r>
                </w:p>
                <w:p w14:paraId="48302F44">
                  <w:pPr>
                    <w:pStyle w:val="37"/>
                    <w:adjustRightInd w:val="0"/>
                    <w:jc w:val="center"/>
                    <w:rPr>
                      <w:rFonts w:ascii="Times New Roman" w:hAnsi="Times New Roman" w:cs="Times New Roman"/>
                      <w:szCs w:val="21"/>
                    </w:rPr>
                  </w:pPr>
                  <w:r>
                    <w:rPr>
                      <w:rFonts w:hint="eastAsia" w:ascii="Times New Roman" w:hAnsi="Times New Roman" w:cs="Times New Roman"/>
                      <w:szCs w:val="21"/>
                    </w:rPr>
                    <w:t>（东北侧）</w:t>
                  </w:r>
                </w:p>
              </w:tc>
              <w:tc>
                <w:tcPr>
                  <w:tcW w:w="677" w:type="pct"/>
                  <w:vAlign w:val="center"/>
                </w:tcPr>
                <w:p w14:paraId="28597148">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S</w:t>
                  </w:r>
                  <w:r>
                    <w:rPr>
                      <w:rFonts w:ascii="Times New Roman" w:hAnsi="Times New Roman" w:cs="Times New Roman"/>
                      <w:kern w:val="0"/>
                      <w:szCs w:val="21"/>
                    </w:rPr>
                    <w:t>O</w:t>
                  </w:r>
                  <w:r>
                    <w:rPr>
                      <w:rFonts w:ascii="Times New Roman" w:hAnsi="Times New Roman" w:cs="Times New Roman"/>
                      <w:kern w:val="0"/>
                      <w:szCs w:val="21"/>
                      <w:vertAlign w:val="subscript"/>
                    </w:rPr>
                    <w:t>2</w:t>
                  </w:r>
                </w:p>
              </w:tc>
              <w:tc>
                <w:tcPr>
                  <w:tcW w:w="497" w:type="pct"/>
                  <w:vMerge w:val="restart"/>
                  <w:vAlign w:val="center"/>
                </w:tcPr>
                <w:p w14:paraId="25412894">
                  <w:pPr>
                    <w:pStyle w:val="37"/>
                    <w:adjustRightInd w:val="0"/>
                    <w:jc w:val="center"/>
                    <w:rPr>
                      <w:rFonts w:ascii="Times New Roman" w:hAnsi="Times New Roman" w:cs="Times New Roman"/>
                      <w:szCs w:val="21"/>
                    </w:rPr>
                  </w:pPr>
                  <w:r>
                    <w:rPr>
                      <w:rFonts w:hint="eastAsia" w:ascii="Times New Roman" w:hAnsi="Times New Roman" w:cs="Times New Roman"/>
                      <w:szCs w:val="21"/>
                    </w:rPr>
                    <w:t>1h平均</w:t>
                  </w:r>
                </w:p>
              </w:tc>
              <w:tc>
                <w:tcPr>
                  <w:tcW w:w="497" w:type="pct"/>
                  <w:vAlign w:val="center"/>
                </w:tcPr>
                <w:p w14:paraId="3E1A1F5A">
                  <w:pPr>
                    <w:pStyle w:val="37"/>
                    <w:adjustRightInd w:val="0"/>
                    <w:jc w:val="center"/>
                    <w:rPr>
                      <w:rFonts w:ascii="Times New Roman" w:hAnsi="Times New Roman" w:cs="Times New Roman"/>
                      <w:szCs w:val="21"/>
                    </w:rPr>
                  </w:pPr>
                  <w:r>
                    <w:rPr>
                      <w:rFonts w:ascii="Times New Roman" w:hAnsi="Times New Roman" w:cs="Times New Roman"/>
                      <w:szCs w:val="21"/>
                    </w:rPr>
                    <w:t>500</w:t>
                  </w:r>
                </w:p>
              </w:tc>
              <w:tc>
                <w:tcPr>
                  <w:tcW w:w="809" w:type="pct"/>
                  <w:vAlign w:val="center"/>
                </w:tcPr>
                <w:p w14:paraId="190FDADE">
                  <w:pPr>
                    <w:pStyle w:val="37"/>
                    <w:adjustRightInd w:val="0"/>
                    <w:jc w:val="center"/>
                    <w:rPr>
                      <w:rFonts w:ascii="Times New Roman" w:hAnsi="Times New Roman" w:cs="Times New Roman"/>
                      <w:szCs w:val="21"/>
                    </w:rPr>
                  </w:pPr>
                  <w:r>
                    <w:rPr>
                      <w:rFonts w:ascii="Times New Roman" w:hAnsi="Times New Roman" w:cs="Times New Roman"/>
                      <w:szCs w:val="21"/>
                    </w:rPr>
                    <w:t>7-10</w:t>
                  </w:r>
                </w:p>
              </w:tc>
              <w:tc>
                <w:tcPr>
                  <w:tcW w:w="646" w:type="pct"/>
                  <w:vAlign w:val="center"/>
                </w:tcPr>
                <w:p w14:paraId="2AF2D488">
                  <w:pPr>
                    <w:pStyle w:val="37"/>
                    <w:adjustRightInd w:val="0"/>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w:t>
                  </w:r>
                </w:p>
              </w:tc>
              <w:tc>
                <w:tcPr>
                  <w:tcW w:w="652" w:type="pct"/>
                  <w:vAlign w:val="center"/>
                </w:tcPr>
                <w:p w14:paraId="653E8A85">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5E3149B2">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6461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4D52349C">
                  <w:pPr>
                    <w:pStyle w:val="37"/>
                    <w:adjustRightInd w:val="0"/>
                    <w:jc w:val="center"/>
                    <w:rPr>
                      <w:rFonts w:ascii="Times New Roman" w:hAnsi="Times New Roman" w:cs="Times New Roman"/>
                      <w:szCs w:val="21"/>
                    </w:rPr>
                  </w:pPr>
                </w:p>
              </w:tc>
              <w:tc>
                <w:tcPr>
                  <w:tcW w:w="677" w:type="pct"/>
                  <w:vAlign w:val="center"/>
                </w:tcPr>
                <w:p w14:paraId="4A80CEA3">
                  <w:pPr>
                    <w:pStyle w:val="37"/>
                    <w:adjustRightInd w:val="0"/>
                    <w:jc w:val="center"/>
                    <w:rPr>
                      <w:rFonts w:ascii="Times New Roman" w:hAnsi="Times New Roman" w:cs="Times New Roman"/>
                      <w:szCs w:val="21"/>
                    </w:rPr>
                  </w:pPr>
                  <w:r>
                    <w:rPr>
                      <w:rFonts w:ascii="Times New Roman" w:hAnsi="Times New Roman" w:cs="Times New Roman"/>
                      <w:kern w:val="0"/>
                      <w:szCs w:val="21"/>
                    </w:rPr>
                    <w:t>NO</w:t>
                  </w:r>
                  <w:r>
                    <w:rPr>
                      <w:rFonts w:ascii="Times New Roman" w:hAnsi="Times New Roman" w:cs="Times New Roman"/>
                      <w:kern w:val="0"/>
                      <w:szCs w:val="21"/>
                      <w:vertAlign w:val="subscript"/>
                    </w:rPr>
                    <w:t>2</w:t>
                  </w:r>
                </w:p>
              </w:tc>
              <w:tc>
                <w:tcPr>
                  <w:tcW w:w="497" w:type="pct"/>
                  <w:vMerge w:val="continue"/>
                  <w:vAlign w:val="center"/>
                </w:tcPr>
                <w:p w14:paraId="5BEFD17A">
                  <w:pPr>
                    <w:pStyle w:val="37"/>
                    <w:adjustRightInd w:val="0"/>
                    <w:jc w:val="center"/>
                    <w:rPr>
                      <w:rFonts w:ascii="Times New Roman" w:hAnsi="Times New Roman" w:cs="Times New Roman"/>
                      <w:szCs w:val="21"/>
                    </w:rPr>
                  </w:pPr>
                </w:p>
              </w:tc>
              <w:tc>
                <w:tcPr>
                  <w:tcW w:w="497" w:type="pct"/>
                  <w:vAlign w:val="center"/>
                </w:tcPr>
                <w:p w14:paraId="14917CFF">
                  <w:pPr>
                    <w:pStyle w:val="37"/>
                    <w:adjustRightInd w:val="0"/>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00</w:t>
                  </w:r>
                </w:p>
              </w:tc>
              <w:tc>
                <w:tcPr>
                  <w:tcW w:w="809" w:type="pct"/>
                  <w:vAlign w:val="center"/>
                </w:tcPr>
                <w:p w14:paraId="0E023A07">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4-17</w:t>
                  </w:r>
                </w:p>
              </w:tc>
              <w:tc>
                <w:tcPr>
                  <w:tcW w:w="646" w:type="pct"/>
                  <w:vAlign w:val="center"/>
                </w:tcPr>
                <w:p w14:paraId="7B8162A8">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.5</w:t>
                  </w:r>
                </w:p>
              </w:tc>
              <w:tc>
                <w:tcPr>
                  <w:tcW w:w="652" w:type="pct"/>
                  <w:vAlign w:val="center"/>
                </w:tcPr>
                <w:p w14:paraId="3DAB01E2">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38AAD572">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185B8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45EEE252">
                  <w:pPr>
                    <w:pStyle w:val="37"/>
                    <w:adjustRightInd w:val="0"/>
                    <w:jc w:val="center"/>
                    <w:rPr>
                      <w:rFonts w:ascii="Times New Roman" w:hAnsi="Times New Roman" w:cs="Times New Roman"/>
                      <w:szCs w:val="21"/>
                    </w:rPr>
                  </w:pPr>
                </w:p>
              </w:tc>
              <w:tc>
                <w:tcPr>
                  <w:tcW w:w="677" w:type="pct"/>
                  <w:vAlign w:val="center"/>
                </w:tcPr>
                <w:p w14:paraId="59C815D5">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N</w:t>
                  </w:r>
                  <w:r>
                    <w:rPr>
                      <w:rFonts w:ascii="Times New Roman" w:hAnsi="Times New Roman" w:cs="Times New Roman"/>
                      <w:kern w:val="0"/>
                      <w:szCs w:val="21"/>
                    </w:rPr>
                    <w:t>H</w:t>
                  </w:r>
                  <w:r>
                    <w:rPr>
                      <w:rFonts w:ascii="Times New Roman" w:hAnsi="Times New Roman" w:cs="Times New Roman"/>
                      <w:kern w:val="0"/>
                      <w:szCs w:val="21"/>
                      <w:vertAlign w:val="subscript"/>
                    </w:rPr>
                    <w:t>3</w:t>
                  </w:r>
                </w:p>
              </w:tc>
              <w:tc>
                <w:tcPr>
                  <w:tcW w:w="497" w:type="pct"/>
                  <w:vMerge w:val="continue"/>
                  <w:vAlign w:val="center"/>
                </w:tcPr>
                <w:p w14:paraId="09DD3A5D">
                  <w:pPr>
                    <w:pStyle w:val="37"/>
                    <w:adjustRightInd w:val="0"/>
                    <w:jc w:val="center"/>
                    <w:rPr>
                      <w:rFonts w:ascii="Times New Roman" w:hAnsi="Times New Roman" w:cs="Times New Roman"/>
                      <w:szCs w:val="21"/>
                    </w:rPr>
                  </w:pPr>
                </w:p>
              </w:tc>
              <w:tc>
                <w:tcPr>
                  <w:tcW w:w="497" w:type="pct"/>
                  <w:vAlign w:val="center"/>
                </w:tcPr>
                <w:p w14:paraId="4BE91A42">
                  <w:pPr>
                    <w:pStyle w:val="37"/>
                    <w:adjustRightInd w:val="0"/>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00</w:t>
                  </w:r>
                </w:p>
              </w:tc>
              <w:tc>
                <w:tcPr>
                  <w:tcW w:w="809" w:type="pct"/>
                  <w:vAlign w:val="center"/>
                </w:tcPr>
                <w:p w14:paraId="3CA1883F">
                  <w:pPr>
                    <w:pStyle w:val="37"/>
                    <w:adjustRightInd w:val="0"/>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0-60</w:t>
                  </w:r>
                </w:p>
              </w:tc>
              <w:tc>
                <w:tcPr>
                  <w:tcW w:w="646" w:type="pct"/>
                  <w:vAlign w:val="center"/>
                </w:tcPr>
                <w:p w14:paraId="367EA51B">
                  <w:pPr>
                    <w:pStyle w:val="37"/>
                    <w:adjustRightIn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0.0</w:t>
                  </w:r>
                </w:p>
              </w:tc>
              <w:tc>
                <w:tcPr>
                  <w:tcW w:w="652" w:type="pct"/>
                  <w:vAlign w:val="center"/>
                </w:tcPr>
                <w:p w14:paraId="530243D9">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04EBB54B">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3B53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3FA7A806">
                  <w:pPr>
                    <w:pStyle w:val="37"/>
                    <w:adjustRightInd w:val="0"/>
                    <w:jc w:val="center"/>
                    <w:rPr>
                      <w:rFonts w:ascii="Times New Roman" w:hAnsi="Times New Roman" w:cs="Times New Roman"/>
                      <w:szCs w:val="21"/>
                    </w:rPr>
                  </w:pPr>
                </w:p>
              </w:tc>
              <w:tc>
                <w:tcPr>
                  <w:tcW w:w="677" w:type="pct"/>
                  <w:vAlign w:val="center"/>
                </w:tcPr>
                <w:p w14:paraId="770DDC3B">
                  <w:pPr>
                    <w:pStyle w:val="37"/>
                    <w:adjustRightInd w:val="0"/>
                    <w:jc w:val="center"/>
                    <w:rPr>
                      <w:rFonts w:ascii="Times New Roman" w:hAnsi="Times New Roman" w:cs="Times New Roman"/>
                      <w:szCs w:val="21"/>
                    </w:rPr>
                  </w:pPr>
                  <w:r>
                    <w:rPr>
                      <w:rFonts w:ascii="Times New Roman" w:hAnsi="Times New Roman" w:cs="Times New Roman"/>
                      <w:kern w:val="0"/>
                      <w:szCs w:val="21"/>
                    </w:rPr>
                    <w:t>H</w:t>
                  </w:r>
                  <w:r>
                    <w:rPr>
                      <w:rFonts w:ascii="Times New Roman" w:hAnsi="Times New Roman" w:cs="Times New Roman"/>
                      <w:kern w:val="0"/>
                      <w:szCs w:val="21"/>
                      <w:vertAlign w:val="subscript"/>
                    </w:rPr>
                    <w:t>2</w:t>
                  </w:r>
                  <w:r>
                    <w:rPr>
                      <w:rFonts w:ascii="Times New Roman" w:hAnsi="Times New Roman" w:cs="Times New Roman"/>
                      <w:kern w:val="0"/>
                      <w:szCs w:val="21"/>
                    </w:rPr>
                    <w:t>S</w:t>
                  </w:r>
                </w:p>
              </w:tc>
              <w:tc>
                <w:tcPr>
                  <w:tcW w:w="497" w:type="pct"/>
                  <w:vMerge w:val="continue"/>
                  <w:vAlign w:val="center"/>
                </w:tcPr>
                <w:p w14:paraId="51BD5A03">
                  <w:pPr>
                    <w:pStyle w:val="37"/>
                    <w:adjustRightInd w:val="0"/>
                    <w:jc w:val="center"/>
                    <w:rPr>
                      <w:rFonts w:ascii="Times New Roman" w:hAnsi="Times New Roman" w:cs="Times New Roman"/>
                      <w:szCs w:val="21"/>
                    </w:rPr>
                  </w:pPr>
                </w:p>
              </w:tc>
              <w:tc>
                <w:tcPr>
                  <w:tcW w:w="497" w:type="pct"/>
                  <w:vAlign w:val="center"/>
                </w:tcPr>
                <w:p w14:paraId="09199A07">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809" w:type="pct"/>
                  <w:vAlign w:val="center"/>
                </w:tcPr>
                <w:p w14:paraId="0C834FE5">
                  <w:pPr>
                    <w:pStyle w:val="37"/>
                    <w:adjustRightInd w:val="0"/>
                    <w:jc w:val="center"/>
                    <w:rPr>
                      <w:rFonts w:ascii="Times New Roman" w:hAnsi="Times New Roman" w:cs="Times New Roman"/>
                      <w:szCs w:val="21"/>
                    </w:rPr>
                  </w:pPr>
                  <w:r>
                    <w:rPr>
                      <w:rFonts w:ascii="Times New Roman" w:hAnsi="Times New Roman" w:cs="Times New Roman"/>
                      <w:szCs w:val="21"/>
                    </w:rPr>
                    <w:t>7-8</w:t>
                  </w:r>
                </w:p>
              </w:tc>
              <w:tc>
                <w:tcPr>
                  <w:tcW w:w="646" w:type="pct"/>
                  <w:vAlign w:val="center"/>
                </w:tcPr>
                <w:p w14:paraId="4C13BFAC">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0.0</w:t>
                  </w:r>
                </w:p>
              </w:tc>
              <w:tc>
                <w:tcPr>
                  <w:tcW w:w="652" w:type="pct"/>
                  <w:vAlign w:val="center"/>
                </w:tcPr>
                <w:p w14:paraId="24D2BDED">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5F44D54D">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3944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restart"/>
                  <w:vAlign w:val="center"/>
                </w:tcPr>
                <w:p w14:paraId="100E53E5">
                  <w:pPr>
                    <w:pStyle w:val="37"/>
                    <w:adjustRightInd w:val="0"/>
                    <w:jc w:val="center"/>
                    <w:rPr>
                      <w:rFonts w:ascii="Times New Roman" w:hAnsi="Times New Roman" w:cs="Times New Roman"/>
                      <w:szCs w:val="21"/>
                    </w:rPr>
                  </w:pPr>
                  <w:r>
                    <w:rPr>
                      <w:rFonts w:hint="eastAsia" w:ascii="Times New Roman" w:hAnsi="Times New Roman" w:cs="Times New Roman"/>
                      <w:szCs w:val="21"/>
                    </w:rPr>
                    <w:t>厂址下风向</w:t>
                  </w:r>
                </w:p>
                <w:p w14:paraId="3EC3CD37">
                  <w:pPr>
                    <w:pStyle w:val="37"/>
                    <w:adjustRightInd w:val="0"/>
                    <w:jc w:val="center"/>
                    <w:rPr>
                      <w:rFonts w:ascii="Times New Roman" w:hAnsi="Times New Roman" w:cs="Times New Roman"/>
                      <w:szCs w:val="21"/>
                    </w:rPr>
                  </w:pPr>
                  <w:r>
                    <w:rPr>
                      <w:rFonts w:hint="eastAsia" w:ascii="Times New Roman" w:hAnsi="Times New Roman" w:cs="Times New Roman"/>
                      <w:szCs w:val="21"/>
                    </w:rPr>
                    <w:t>（东北侧）</w:t>
                  </w:r>
                </w:p>
              </w:tc>
              <w:tc>
                <w:tcPr>
                  <w:tcW w:w="677" w:type="pct"/>
                  <w:vAlign w:val="center"/>
                </w:tcPr>
                <w:p w14:paraId="052F6B68">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S</w:t>
                  </w:r>
                  <w:r>
                    <w:rPr>
                      <w:rFonts w:ascii="Times New Roman" w:hAnsi="Times New Roman" w:cs="Times New Roman"/>
                      <w:kern w:val="0"/>
                      <w:szCs w:val="21"/>
                    </w:rPr>
                    <w:t>O</w:t>
                  </w:r>
                  <w:r>
                    <w:rPr>
                      <w:rFonts w:ascii="Times New Roman" w:hAnsi="Times New Roman" w:cs="Times New Roman"/>
                      <w:kern w:val="0"/>
                      <w:szCs w:val="21"/>
                      <w:vertAlign w:val="subscript"/>
                    </w:rPr>
                    <w:t>2</w:t>
                  </w:r>
                </w:p>
              </w:tc>
              <w:tc>
                <w:tcPr>
                  <w:tcW w:w="497" w:type="pct"/>
                  <w:vMerge w:val="restart"/>
                  <w:vAlign w:val="center"/>
                </w:tcPr>
                <w:p w14:paraId="6D4F1ABF">
                  <w:pPr>
                    <w:pStyle w:val="37"/>
                    <w:adjustRightInd w:val="0"/>
                    <w:jc w:val="center"/>
                    <w:rPr>
                      <w:rFonts w:ascii="Times New Roman" w:hAnsi="Times New Roman" w:cs="Times New Roman"/>
                      <w:szCs w:val="21"/>
                    </w:rPr>
                  </w:pPr>
                  <w:r>
                    <w:rPr>
                      <w:rFonts w:ascii="Times New Roman" w:hAnsi="Times New Roman" w:cs="Times New Roman"/>
                      <w:szCs w:val="21"/>
                    </w:rPr>
                    <w:t>24</w:t>
                  </w:r>
                  <w:r>
                    <w:rPr>
                      <w:rFonts w:hint="eastAsia" w:ascii="Times New Roman" w:hAnsi="Times New Roman" w:cs="Times New Roman"/>
                      <w:szCs w:val="21"/>
                    </w:rPr>
                    <w:t>h平均</w:t>
                  </w:r>
                </w:p>
              </w:tc>
              <w:tc>
                <w:tcPr>
                  <w:tcW w:w="497" w:type="pct"/>
                  <w:vAlign w:val="center"/>
                </w:tcPr>
                <w:p w14:paraId="3641F15E">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50</w:t>
                  </w:r>
                </w:p>
              </w:tc>
              <w:tc>
                <w:tcPr>
                  <w:tcW w:w="809" w:type="pct"/>
                  <w:vAlign w:val="center"/>
                </w:tcPr>
                <w:p w14:paraId="275969A8">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-9</w:t>
                  </w:r>
                </w:p>
              </w:tc>
              <w:tc>
                <w:tcPr>
                  <w:tcW w:w="646" w:type="pct"/>
                  <w:vAlign w:val="center"/>
                </w:tcPr>
                <w:p w14:paraId="0EFFDC3D">
                  <w:pPr>
                    <w:pStyle w:val="37"/>
                    <w:adjustRightInd w:val="0"/>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c>
                <w:tcPr>
                  <w:tcW w:w="652" w:type="pct"/>
                  <w:vAlign w:val="center"/>
                </w:tcPr>
                <w:p w14:paraId="3789B666">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5257A3B0">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74C6A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752EECE8">
                  <w:pPr>
                    <w:pStyle w:val="37"/>
                    <w:adjustRightInd w:val="0"/>
                    <w:jc w:val="center"/>
                    <w:rPr>
                      <w:rFonts w:ascii="Times New Roman" w:hAnsi="Times New Roman" w:cs="Times New Roman"/>
                      <w:szCs w:val="21"/>
                    </w:rPr>
                  </w:pPr>
                </w:p>
              </w:tc>
              <w:tc>
                <w:tcPr>
                  <w:tcW w:w="677" w:type="pct"/>
                  <w:vAlign w:val="center"/>
                </w:tcPr>
                <w:p w14:paraId="4C2C2748">
                  <w:pPr>
                    <w:pStyle w:val="37"/>
                    <w:adjustRightInd w:val="0"/>
                    <w:jc w:val="center"/>
                    <w:rPr>
                      <w:rFonts w:ascii="Times New Roman" w:hAnsi="Times New Roman" w:cs="Times New Roman"/>
                      <w:szCs w:val="21"/>
                    </w:rPr>
                  </w:pPr>
                  <w:r>
                    <w:rPr>
                      <w:rFonts w:ascii="Times New Roman" w:hAnsi="Times New Roman" w:cs="Times New Roman"/>
                      <w:kern w:val="0"/>
                      <w:szCs w:val="21"/>
                    </w:rPr>
                    <w:t>NO</w:t>
                  </w:r>
                  <w:r>
                    <w:rPr>
                      <w:rFonts w:ascii="Times New Roman" w:hAnsi="Times New Roman" w:cs="Times New Roman"/>
                      <w:kern w:val="0"/>
                      <w:szCs w:val="21"/>
                      <w:vertAlign w:val="subscript"/>
                    </w:rPr>
                    <w:t>2</w:t>
                  </w:r>
                </w:p>
              </w:tc>
              <w:tc>
                <w:tcPr>
                  <w:tcW w:w="497" w:type="pct"/>
                  <w:vMerge w:val="continue"/>
                  <w:vAlign w:val="center"/>
                </w:tcPr>
                <w:p w14:paraId="42A5FFEF">
                  <w:pPr>
                    <w:pStyle w:val="37"/>
                    <w:adjustRightInd w:val="0"/>
                    <w:jc w:val="center"/>
                    <w:rPr>
                      <w:rFonts w:ascii="Times New Roman" w:hAnsi="Times New Roman" w:cs="Times New Roman"/>
                      <w:szCs w:val="21"/>
                    </w:rPr>
                  </w:pPr>
                </w:p>
              </w:tc>
              <w:tc>
                <w:tcPr>
                  <w:tcW w:w="497" w:type="pct"/>
                  <w:vAlign w:val="center"/>
                </w:tcPr>
                <w:p w14:paraId="48F7B461">
                  <w:pPr>
                    <w:pStyle w:val="37"/>
                    <w:adjustRightInd w:val="0"/>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809" w:type="pct"/>
                  <w:vAlign w:val="center"/>
                </w:tcPr>
                <w:p w14:paraId="59754303">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1-12</w:t>
                  </w:r>
                </w:p>
              </w:tc>
              <w:tc>
                <w:tcPr>
                  <w:tcW w:w="646" w:type="pct"/>
                  <w:vAlign w:val="center"/>
                </w:tcPr>
                <w:p w14:paraId="605A26CC">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5.0</w:t>
                  </w:r>
                </w:p>
              </w:tc>
              <w:tc>
                <w:tcPr>
                  <w:tcW w:w="652" w:type="pct"/>
                  <w:vAlign w:val="center"/>
                </w:tcPr>
                <w:p w14:paraId="0FD79A26">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493C0799">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6EEE4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5DD57B0C">
                  <w:pPr>
                    <w:pStyle w:val="37"/>
                    <w:adjustRightInd w:val="0"/>
                    <w:jc w:val="center"/>
                    <w:rPr>
                      <w:rFonts w:ascii="Times New Roman" w:hAnsi="Times New Roman" w:cs="Times New Roman"/>
                      <w:szCs w:val="21"/>
                    </w:rPr>
                  </w:pPr>
                </w:p>
              </w:tc>
              <w:tc>
                <w:tcPr>
                  <w:tcW w:w="677" w:type="pct"/>
                  <w:vAlign w:val="center"/>
                </w:tcPr>
                <w:p w14:paraId="086659FF">
                  <w:pPr>
                    <w:pStyle w:val="37"/>
                    <w:adjustRightInd w:val="0"/>
                    <w:jc w:val="center"/>
                    <w:rPr>
                      <w:rFonts w:ascii="Times New Roman" w:hAnsi="Times New Roman" w:cs="Times New Roman"/>
                      <w:szCs w:val="21"/>
                    </w:rPr>
                  </w:pPr>
                  <w:r>
                    <w:rPr>
                      <w:rFonts w:hint="eastAsia" w:ascii="Times New Roman" w:hAnsi="Times New Roman" w:cs="Times New Roman"/>
                      <w:kern w:val="0"/>
                      <w:szCs w:val="21"/>
                    </w:rPr>
                    <w:t>T</w:t>
                  </w:r>
                  <w:r>
                    <w:rPr>
                      <w:rFonts w:ascii="Times New Roman" w:hAnsi="Times New Roman" w:cs="Times New Roman"/>
                      <w:kern w:val="0"/>
                      <w:szCs w:val="21"/>
                    </w:rPr>
                    <w:t>SP</w:t>
                  </w:r>
                </w:p>
              </w:tc>
              <w:tc>
                <w:tcPr>
                  <w:tcW w:w="497" w:type="pct"/>
                  <w:vMerge w:val="continue"/>
                  <w:vAlign w:val="center"/>
                </w:tcPr>
                <w:p w14:paraId="0C2F20BA">
                  <w:pPr>
                    <w:pStyle w:val="37"/>
                    <w:adjustRightInd w:val="0"/>
                    <w:jc w:val="center"/>
                    <w:rPr>
                      <w:rFonts w:ascii="Times New Roman" w:hAnsi="Times New Roman" w:cs="Times New Roman"/>
                      <w:szCs w:val="21"/>
                    </w:rPr>
                  </w:pPr>
                </w:p>
              </w:tc>
              <w:tc>
                <w:tcPr>
                  <w:tcW w:w="497" w:type="pct"/>
                  <w:vAlign w:val="center"/>
                </w:tcPr>
                <w:p w14:paraId="3E0FF208">
                  <w:pPr>
                    <w:pStyle w:val="37"/>
                    <w:adjustRightIn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00</w:t>
                  </w:r>
                </w:p>
              </w:tc>
              <w:tc>
                <w:tcPr>
                  <w:tcW w:w="809" w:type="pct"/>
                  <w:vAlign w:val="center"/>
                </w:tcPr>
                <w:p w14:paraId="719D4498">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10-116</w:t>
                  </w:r>
                </w:p>
              </w:tc>
              <w:tc>
                <w:tcPr>
                  <w:tcW w:w="646" w:type="pct"/>
                  <w:vAlign w:val="center"/>
                </w:tcPr>
                <w:p w14:paraId="28C845BD">
                  <w:pPr>
                    <w:pStyle w:val="37"/>
                    <w:adjustRightInd w:val="0"/>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8.7</w:t>
                  </w:r>
                </w:p>
              </w:tc>
              <w:tc>
                <w:tcPr>
                  <w:tcW w:w="652" w:type="pct"/>
                  <w:vAlign w:val="center"/>
                </w:tcPr>
                <w:p w14:paraId="1029BF9B">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2FAB8B91">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r w14:paraId="59F8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pct"/>
                  <w:vMerge w:val="continue"/>
                  <w:vAlign w:val="center"/>
                </w:tcPr>
                <w:p w14:paraId="11B0C3D0">
                  <w:pPr>
                    <w:pStyle w:val="37"/>
                    <w:adjustRightInd w:val="0"/>
                    <w:jc w:val="center"/>
                    <w:rPr>
                      <w:rFonts w:ascii="Times New Roman" w:hAnsi="Times New Roman" w:cs="Times New Roman"/>
                      <w:szCs w:val="21"/>
                    </w:rPr>
                  </w:pPr>
                </w:p>
              </w:tc>
              <w:tc>
                <w:tcPr>
                  <w:tcW w:w="677" w:type="pct"/>
                  <w:vAlign w:val="center"/>
                </w:tcPr>
                <w:p w14:paraId="536382AF">
                  <w:pPr>
                    <w:pStyle w:val="37"/>
                    <w:adjustRightInd w:val="0"/>
                    <w:jc w:val="center"/>
                    <w:rPr>
                      <w:rFonts w:ascii="Times New Roman" w:hAnsi="Times New Roman" w:cs="Times New Roman"/>
                      <w:szCs w:val="21"/>
                    </w:rPr>
                  </w:pPr>
                  <w:r>
                    <w:rPr>
                      <w:rFonts w:hint="eastAsia" w:ascii="Times New Roman" w:hAnsi="Times New Roman" w:cs="Times New Roman"/>
                      <w:szCs w:val="21"/>
                    </w:rPr>
                    <w:t>P</w:t>
                  </w:r>
                  <w:r>
                    <w:rPr>
                      <w:rFonts w:ascii="Times New Roman" w:hAnsi="Times New Roman" w:cs="Times New Roman"/>
                      <w:szCs w:val="21"/>
                    </w:rPr>
                    <w:t>M</w:t>
                  </w:r>
                  <w:r>
                    <w:rPr>
                      <w:rFonts w:ascii="Times New Roman" w:hAnsi="Times New Roman" w:cs="Times New Roman"/>
                      <w:szCs w:val="21"/>
                      <w:vertAlign w:val="subscript"/>
                    </w:rPr>
                    <w:t>10</w:t>
                  </w:r>
                </w:p>
              </w:tc>
              <w:tc>
                <w:tcPr>
                  <w:tcW w:w="497" w:type="pct"/>
                  <w:vMerge w:val="continue"/>
                  <w:vAlign w:val="center"/>
                </w:tcPr>
                <w:p w14:paraId="7E0F92BE">
                  <w:pPr>
                    <w:pStyle w:val="37"/>
                    <w:adjustRightInd w:val="0"/>
                    <w:jc w:val="center"/>
                    <w:rPr>
                      <w:rFonts w:ascii="Times New Roman" w:hAnsi="Times New Roman" w:cs="Times New Roman"/>
                      <w:szCs w:val="21"/>
                    </w:rPr>
                  </w:pPr>
                </w:p>
              </w:tc>
              <w:tc>
                <w:tcPr>
                  <w:tcW w:w="497" w:type="pct"/>
                  <w:vAlign w:val="center"/>
                </w:tcPr>
                <w:p w14:paraId="468D873B">
                  <w:pPr>
                    <w:pStyle w:val="37"/>
                    <w:adjustRightIn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50</w:t>
                  </w:r>
                </w:p>
              </w:tc>
              <w:tc>
                <w:tcPr>
                  <w:tcW w:w="809" w:type="pct"/>
                  <w:vAlign w:val="center"/>
                </w:tcPr>
                <w:p w14:paraId="1D5C3C70">
                  <w:pPr>
                    <w:pStyle w:val="37"/>
                    <w:adjustRightInd w:val="0"/>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4-77</w:t>
                  </w:r>
                </w:p>
              </w:tc>
              <w:tc>
                <w:tcPr>
                  <w:tcW w:w="646" w:type="pct"/>
                  <w:vAlign w:val="center"/>
                </w:tcPr>
                <w:p w14:paraId="4B972D7D">
                  <w:pPr>
                    <w:pStyle w:val="37"/>
                    <w:adjustRightInd w:val="0"/>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1.3</w:t>
                  </w:r>
                </w:p>
              </w:tc>
              <w:tc>
                <w:tcPr>
                  <w:tcW w:w="652" w:type="pct"/>
                  <w:vAlign w:val="center"/>
                </w:tcPr>
                <w:p w14:paraId="17318294">
                  <w:pPr>
                    <w:pStyle w:val="37"/>
                    <w:adjustRightInd w:val="0"/>
                    <w:jc w:val="center"/>
                    <w:rPr>
                      <w:rFonts w:ascii="Times New Roman" w:hAnsi="Times New Roman" w:cs="Times New Roman"/>
                      <w:szCs w:val="21"/>
                    </w:rPr>
                  </w:pPr>
                  <w:r>
                    <w:rPr>
                      <w:rFonts w:hint="eastAsia" w:ascii="Times New Roman" w:hAnsi="Times New Roman" w:cs="Times New Roman"/>
                      <w:szCs w:val="21"/>
                    </w:rPr>
                    <w:t>0</w:t>
                  </w:r>
                </w:p>
              </w:tc>
              <w:tc>
                <w:tcPr>
                  <w:tcW w:w="567" w:type="pct"/>
                  <w:vAlign w:val="center"/>
                </w:tcPr>
                <w:p w14:paraId="263E62E2">
                  <w:pPr>
                    <w:pStyle w:val="37"/>
                    <w:adjustRightInd w:val="0"/>
                    <w:jc w:val="center"/>
                    <w:rPr>
                      <w:rFonts w:ascii="Times New Roman" w:hAnsi="Times New Roman" w:cs="Times New Roman"/>
                      <w:szCs w:val="21"/>
                    </w:rPr>
                  </w:pPr>
                  <w:r>
                    <w:rPr>
                      <w:rFonts w:ascii="Times New Roman" w:hAnsi="Times New Roman" w:cs="Times New Roman"/>
                      <w:szCs w:val="21"/>
                    </w:rPr>
                    <w:t>达标</w:t>
                  </w:r>
                </w:p>
              </w:tc>
            </w:tr>
          </w:tbl>
          <w:p w14:paraId="1F26CD36">
            <w:pPr>
              <w:adjustRightInd w:val="0"/>
              <w:snapToGrid w:val="0"/>
              <w:ind w:firstLine="420" w:firstLineChars="200"/>
              <w:rPr>
                <w:rFonts w:ascii="Times New Roman" w:hAnsi="Times New Roman" w:eastAsia="宋体" w:cs="Times New Roman"/>
                <w:kern w:val="0"/>
                <w:szCs w:val="21"/>
              </w:rPr>
            </w:pPr>
          </w:p>
          <w:p w14:paraId="5F52F4E7">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从监测结果可知，厂区附近</w:t>
            </w:r>
            <w:r>
              <w:rPr>
                <w:rFonts w:hint="eastAsia" w:ascii="Times New Roman" w:hAnsi="Times New Roman" w:eastAsia="宋体" w:cs="Times New Roman"/>
                <w:bCs/>
                <w:sz w:val="24"/>
              </w:rPr>
              <w:t>S</w:t>
            </w:r>
            <w:r>
              <w:rPr>
                <w:rFonts w:ascii="Times New Roman" w:hAnsi="Times New Roman" w:eastAsia="宋体" w:cs="Times New Roman"/>
                <w:bCs/>
                <w:sz w:val="24"/>
              </w:rPr>
              <w:t>O</w:t>
            </w:r>
            <w:r>
              <w:rPr>
                <w:rFonts w:ascii="Times New Roman" w:hAnsi="Times New Roman" w:eastAsia="宋体" w:cs="Times New Roman"/>
                <w:bCs/>
                <w:sz w:val="24"/>
                <w:vertAlign w:val="subscript"/>
              </w:rPr>
              <w:t>2</w:t>
            </w:r>
            <w:r>
              <w:rPr>
                <w:rFonts w:hint="eastAsia" w:ascii="Times New Roman" w:hAnsi="Times New Roman" w:eastAsia="宋体" w:cs="Times New Roman"/>
                <w:bCs/>
                <w:sz w:val="24"/>
              </w:rPr>
              <w:t>、</w:t>
            </w:r>
            <w:r>
              <w:rPr>
                <w:rFonts w:ascii="Times New Roman" w:hAnsi="Times New Roman" w:eastAsia="宋体" w:cs="Times New Roman"/>
                <w:bCs/>
                <w:sz w:val="24"/>
              </w:rPr>
              <w:t>NO</w:t>
            </w:r>
            <w:r>
              <w:rPr>
                <w:rFonts w:ascii="Times New Roman" w:hAnsi="Times New Roman" w:eastAsia="宋体" w:cs="Times New Roman"/>
                <w:bCs/>
                <w:sz w:val="24"/>
                <w:vertAlign w:val="subscript"/>
              </w:rPr>
              <w:t>2</w:t>
            </w:r>
            <w:r>
              <w:rPr>
                <w:rFonts w:hint="eastAsia" w:ascii="Times New Roman" w:hAnsi="Times New Roman" w:eastAsia="宋体" w:cs="Times New Roman"/>
                <w:bCs/>
                <w:sz w:val="24"/>
              </w:rPr>
              <w:t>、</w:t>
            </w:r>
            <w:r>
              <w:rPr>
                <w:rFonts w:ascii="Times New Roman" w:hAnsi="Times New Roman" w:eastAsia="宋体" w:cs="Times New Roman"/>
                <w:bCs/>
                <w:sz w:val="24"/>
              </w:rPr>
              <w:t>TSP</w:t>
            </w:r>
            <w:r>
              <w:rPr>
                <w:rFonts w:hint="eastAsia" w:ascii="Times New Roman" w:hAnsi="Times New Roman" w:cs="Times New Roman"/>
                <w:bCs/>
                <w:sz w:val="24"/>
              </w:rPr>
              <w:t>、</w:t>
            </w:r>
            <w:r>
              <w:rPr>
                <w:rFonts w:hint="eastAsia" w:ascii="Times New Roman" w:hAnsi="Times New Roman" w:eastAsia="宋体" w:cs="Times New Roman"/>
                <w:bCs/>
                <w:sz w:val="24"/>
              </w:rPr>
              <w:t>P</w:t>
            </w:r>
            <w:r>
              <w:rPr>
                <w:rFonts w:ascii="Times New Roman" w:hAnsi="Times New Roman" w:eastAsia="宋体" w:cs="Times New Roman"/>
                <w:bCs/>
                <w:sz w:val="24"/>
              </w:rPr>
              <w:t>M</w:t>
            </w:r>
            <w:r>
              <w:rPr>
                <w:rFonts w:ascii="Times New Roman" w:hAnsi="Times New Roman" w:eastAsia="宋体" w:cs="Times New Roman"/>
                <w:bCs/>
                <w:sz w:val="24"/>
                <w:vertAlign w:val="subscript"/>
              </w:rPr>
              <w:t>10</w:t>
            </w:r>
            <w:r>
              <w:rPr>
                <w:rFonts w:hint="eastAsia" w:ascii="Times New Roman" w:hAnsi="Times New Roman" w:eastAsia="宋体" w:cs="Times New Roman"/>
                <w:bCs/>
                <w:sz w:val="24"/>
              </w:rPr>
              <w:t>浓度</w:t>
            </w:r>
            <w:r>
              <w:rPr>
                <w:rFonts w:ascii="Times New Roman" w:hAnsi="Times New Roman" w:eastAsia="宋体" w:cs="Times New Roman"/>
                <w:kern w:val="0"/>
                <w:sz w:val="24"/>
              </w:rPr>
              <w:t>满足《环境空气质量标准》（GB3095-2012）二级标准限制要求。</w:t>
            </w:r>
            <w:r>
              <w:rPr>
                <w:rFonts w:hint="eastAsia"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和</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bCs/>
                <w:sz w:val="24"/>
              </w:rPr>
              <w:t>满足</w:t>
            </w:r>
            <w:r>
              <w:rPr>
                <w:rFonts w:ascii="Times New Roman" w:hAnsi="Times New Roman" w:cs="Times New Roman"/>
                <w:bCs/>
                <w:sz w:val="24"/>
              </w:rPr>
              <w:t>《环境影响评价技术导则 大气环境》（HJ2.2-2018）</w:t>
            </w:r>
            <w:r>
              <w:rPr>
                <w:rFonts w:hint="eastAsia" w:ascii="Times New Roman" w:hAnsi="Times New Roman" w:cs="Times New Roman"/>
                <w:bCs/>
                <w:sz w:val="24"/>
              </w:rPr>
              <w:t>中附录D限值要求，</w:t>
            </w:r>
            <w:r>
              <w:rPr>
                <w:rFonts w:ascii="Times New Roman" w:hAnsi="Times New Roman" w:eastAsia="宋体" w:cs="Times New Roman"/>
                <w:kern w:val="0"/>
                <w:sz w:val="24"/>
              </w:rPr>
              <w:t>评价区环境空气质量现状</w:t>
            </w:r>
            <w:r>
              <w:rPr>
                <w:rFonts w:hint="eastAsia" w:ascii="Times New Roman" w:hAnsi="Times New Roman" w:eastAsia="宋体" w:cs="Times New Roman"/>
                <w:kern w:val="0"/>
                <w:sz w:val="24"/>
              </w:rPr>
              <w:t>较</w:t>
            </w:r>
            <w:r>
              <w:rPr>
                <w:rFonts w:ascii="Times New Roman" w:hAnsi="Times New Roman" w:eastAsia="宋体" w:cs="Times New Roman"/>
                <w:kern w:val="0"/>
                <w:sz w:val="24"/>
              </w:rPr>
              <w:t>好，属于质量达标区。</w:t>
            </w:r>
          </w:p>
          <w:p w14:paraId="0C675B31">
            <w:pPr>
              <w:pStyle w:val="11"/>
              <w:spacing w:after="0"/>
              <w:ind w:left="0" w:leftChars="0" w:firstLine="241" w:firstLineChars="100"/>
              <w:jc w:val="left"/>
              <w:rPr>
                <w:rFonts w:ascii="Times New Roman" w:hAnsi="Times New Roman" w:eastAsia="宋体" w:cs="Times New Roman"/>
                <w:b/>
                <w:bCs/>
                <w:kern w:val="0"/>
                <w:sz w:val="24"/>
              </w:rPr>
            </w:pPr>
          </w:p>
          <w:p w14:paraId="657D758D">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3.2 地表水环境质量现状</w:t>
            </w:r>
          </w:p>
          <w:p w14:paraId="7688FC33">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根据现场勘查，项目区最近地表水主要为</w:t>
            </w:r>
            <w:r>
              <w:rPr>
                <w:rFonts w:hint="eastAsia" w:ascii="Times New Roman" w:hAnsi="Times New Roman" w:eastAsia="宋体" w:cs="Times New Roman"/>
                <w:kern w:val="0"/>
                <w:sz w:val="24"/>
              </w:rPr>
              <w:t>西</w:t>
            </w:r>
            <w:r>
              <w:rPr>
                <w:rFonts w:ascii="Times New Roman" w:hAnsi="Times New Roman" w:eastAsia="宋体" w:cs="Times New Roman"/>
                <w:kern w:val="0"/>
                <w:sz w:val="24"/>
              </w:rPr>
              <w:t>侧920m</w:t>
            </w:r>
            <w:r>
              <w:rPr>
                <w:rFonts w:hint="eastAsia" w:ascii="Times New Roman" w:hAnsi="Times New Roman" w:eastAsia="宋体" w:cs="Times New Roman"/>
                <w:kern w:val="0"/>
                <w:sz w:val="24"/>
              </w:rPr>
              <w:t>处</w:t>
            </w:r>
            <w:r>
              <w:rPr>
                <w:rFonts w:ascii="Times New Roman" w:hAnsi="Times New Roman" w:eastAsia="宋体" w:cs="Times New Roman"/>
                <w:kern w:val="0"/>
                <w:sz w:val="24"/>
              </w:rPr>
              <w:t>的芒市大河</w:t>
            </w:r>
            <w:r>
              <w:rPr>
                <w:rFonts w:hint="eastAsia" w:ascii="Times New Roman" w:hAnsi="Times New Roman" w:eastAsia="宋体" w:cs="Times New Roman"/>
                <w:kern w:val="0"/>
                <w:sz w:val="24"/>
              </w:rPr>
              <w:t>（</w:t>
            </w:r>
            <w:r>
              <w:rPr>
                <w:rFonts w:ascii="Times New Roman" w:hAnsi="Times New Roman" w:eastAsia="宋体" w:cs="Times New Roman"/>
                <w:kern w:val="0"/>
                <w:sz w:val="24"/>
              </w:rPr>
              <w:t>芒市河</w:t>
            </w:r>
            <w:r>
              <w:rPr>
                <w:rFonts w:hint="eastAsia" w:ascii="Times New Roman" w:hAnsi="Times New Roman" w:eastAsia="宋体" w:cs="Times New Roman"/>
                <w:kern w:val="0"/>
                <w:sz w:val="24"/>
              </w:rPr>
              <w:t>）</w:t>
            </w:r>
            <w:r>
              <w:rPr>
                <w:rFonts w:ascii="Times New Roman" w:hAnsi="Times New Roman" w:eastAsia="宋体" w:cs="Times New Roman"/>
                <w:kern w:val="0"/>
                <w:sz w:val="24"/>
              </w:rPr>
              <w:t>。</w:t>
            </w:r>
          </w:p>
          <w:p w14:paraId="1DF9FECC">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云南省水功能区划》（2014版），芒市大河（木康水文站—遮放团结）2020年、2030年水质目标为Ⅲ类，执行《地表水环境质量标准》（GB3838-2002）Ⅲ类要求。根据《德宏州人民政府关于水功能区划复核和调整报告》（德政复</w:t>
            </w:r>
            <w:r>
              <w:rPr>
                <w:rFonts w:hint="eastAsia" w:ascii="Times New Roman" w:hAnsi="Times New Roman" w:eastAsia="宋体" w:cs="Times New Roman"/>
                <w:kern w:val="0"/>
                <w:sz w:val="24"/>
              </w:rPr>
              <w:t>〔</w:t>
            </w:r>
            <w:r>
              <w:rPr>
                <w:rFonts w:ascii="Times New Roman" w:hAnsi="Times New Roman" w:eastAsia="宋体" w:cs="Times New Roman"/>
                <w:kern w:val="0"/>
                <w:sz w:val="24"/>
              </w:rPr>
              <w:t>2014</w:t>
            </w:r>
            <w:r>
              <w:rPr>
                <w:rFonts w:hint="eastAsia" w:ascii="Times New Roman" w:hAnsi="Times New Roman" w:eastAsia="宋体" w:cs="Times New Roman"/>
                <w:kern w:val="0"/>
                <w:sz w:val="24"/>
              </w:rPr>
              <w:t>〕</w:t>
            </w:r>
            <w:r>
              <w:rPr>
                <w:rFonts w:ascii="Times New Roman" w:hAnsi="Times New Roman" w:eastAsia="宋体" w:cs="Times New Roman"/>
                <w:kern w:val="0"/>
                <w:sz w:val="24"/>
              </w:rPr>
              <w:t>257号）区划水质标准，芒市河</w:t>
            </w:r>
            <w:r>
              <w:rPr>
                <w:rFonts w:hint="eastAsia" w:ascii="Times New Roman" w:hAnsi="Times New Roman" w:eastAsia="宋体" w:cs="Times New Roman"/>
                <w:kern w:val="0"/>
                <w:sz w:val="24"/>
              </w:rPr>
              <w:t>（木康断面—入瑞丽江口）</w:t>
            </w:r>
            <w:r>
              <w:rPr>
                <w:rFonts w:ascii="Times New Roman" w:hAnsi="Times New Roman" w:eastAsia="宋体" w:cs="Times New Roman"/>
                <w:kern w:val="0"/>
                <w:sz w:val="24"/>
              </w:rPr>
              <w:t>水质类别为Ⅲ类</w:t>
            </w:r>
            <w:r>
              <w:rPr>
                <w:rFonts w:hint="eastAsia" w:ascii="Times New Roman" w:hAnsi="Times New Roman" w:eastAsia="宋体" w:cs="Times New Roman"/>
                <w:kern w:val="0"/>
                <w:sz w:val="24"/>
              </w:rPr>
              <w:t>保护目标，水体功能为农业及景观用水</w:t>
            </w:r>
            <w:r>
              <w:rPr>
                <w:rFonts w:ascii="Times New Roman" w:hAnsi="Times New Roman" w:eastAsia="宋体" w:cs="Times New Roman"/>
                <w:kern w:val="0"/>
                <w:sz w:val="24"/>
              </w:rPr>
              <w:t>，执行《地表水环境质量标准》（GB3838-2002）Ⅲ类标准</w:t>
            </w:r>
            <w:r>
              <w:rPr>
                <w:rFonts w:hint="eastAsia" w:ascii="Times New Roman" w:hAnsi="Times New Roman" w:eastAsia="宋体" w:cs="Times New Roman"/>
                <w:kern w:val="0"/>
                <w:sz w:val="24"/>
              </w:rPr>
              <w:t>。</w:t>
            </w:r>
          </w:p>
          <w:p w14:paraId="59E82ABC">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根据《德宏州2019年环境质量公报》</w:t>
            </w:r>
            <w:r>
              <w:rPr>
                <w:rFonts w:hint="eastAsia" w:ascii="Times New Roman" w:hAnsi="Times New Roman" w:eastAsia="宋体" w:cs="Times New Roman"/>
                <w:kern w:val="0"/>
                <w:sz w:val="24"/>
              </w:rPr>
              <w:t>，芒市河</w:t>
            </w:r>
            <w:r>
              <w:rPr>
                <w:rFonts w:ascii="Times New Roman" w:hAnsi="Times New Roman" w:eastAsia="宋体" w:cs="Times New Roman"/>
                <w:kern w:val="0"/>
                <w:sz w:val="24"/>
              </w:rPr>
              <w:t>木康</w:t>
            </w:r>
            <w:r>
              <w:rPr>
                <w:rFonts w:hint="eastAsia" w:ascii="Times New Roman" w:hAnsi="Times New Roman" w:eastAsia="宋体" w:cs="Times New Roman"/>
                <w:kern w:val="0"/>
                <w:sz w:val="24"/>
              </w:rPr>
              <w:t>断面2</w:t>
            </w:r>
            <w:r>
              <w:rPr>
                <w:rFonts w:ascii="Times New Roman" w:hAnsi="Times New Roman" w:eastAsia="宋体" w:cs="Times New Roman"/>
                <w:kern w:val="0"/>
                <w:sz w:val="24"/>
              </w:rPr>
              <w:t>018</w:t>
            </w:r>
            <w:r>
              <w:rPr>
                <w:rFonts w:hint="eastAsia" w:ascii="Times New Roman" w:hAnsi="Times New Roman" w:eastAsia="宋体" w:cs="Times New Roman"/>
                <w:kern w:val="0"/>
                <w:sz w:val="24"/>
              </w:rPr>
              <w:t>年达到Ⅱ类水质，2</w:t>
            </w:r>
            <w:r>
              <w:rPr>
                <w:rFonts w:ascii="Times New Roman" w:hAnsi="Times New Roman" w:eastAsia="宋体" w:cs="Times New Roman"/>
                <w:kern w:val="0"/>
                <w:sz w:val="24"/>
              </w:rPr>
              <w:t>019</w:t>
            </w:r>
            <w:r>
              <w:rPr>
                <w:rFonts w:hint="eastAsia" w:ascii="Times New Roman" w:hAnsi="Times New Roman" w:eastAsia="宋体" w:cs="Times New Roman"/>
                <w:kern w:val="0"/>
                <w:sz w:val="24"/>
              </w:rPr>
              <w:t>年达到Ⅱ类水质，均属于优</w:t>
            </w:r>
            <w:r>
              <w:rPr>
                <w:rFonts w:ascii="Times New Roman" w:hAnsi="Times New Roman" w:eastAsia="宋体" w:cs="Times New Roman"/>
                <w:kern w:val="0"/>
                <w:sz w:val="24"/>
              </w:rPr>
              <w:t>，属达标区。根据《德宏州2020年环境质量公报》，2020年芒市大河（木康断面—入瑞丽江口）满足《地表水环境质量标准》（GB3838-2002）中Ⅲ类水质标准要求，属达标区。</w:t>
            </w:r>
          </w:p>
          <w:p w14:paraId="2712C3D4">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根据德宏州生态环境局芒市分局发布的《芒市水体质量报告》2</w:t>
            </w:r>
            <w:r>
              <w:rPr>
                <w:rFonts w:ascii="Times New Roman" w:hAnsi="Times New Roman" w:eastAsia="宋体" w:cs="Times New Roman"/>
                <w:kern w:val="0"/>
                <w:sz w:val="24"/>
              </w:rPr>
              <w:t>021</w:t>
            </w:r>
            <w:r>
              <w:rPr>
                <w:rFonts w:hint="eastAsia" w:ascii="Times New Roman" w:hAnsi="Times New Roman" w:eastAsia="宋体" w:cs="Times New Roman"/>
                <w:kern w:val="0"/>
                <w:sz w:val="24"/>
              </w:rPr>
              <w:t>年1月至1</w:t>
            </w:r>
            <w:r>
              <w:rPr>
                <w:rFonts w:ascii="Times New Roman" w:hAnsi="Times New Roman" w:eastAsia="宋体" w:cs="Times New Roman"/>
                <w:kern w:val="0"/>
                <w:sz w:val="24"/>
              </w:rPr>
              <w:t>2</w:t>
            </w:r>
            <w:r>
              <w:rPr>
                <w:rFonts w:hint="eastAsia" w:ascii="Times New Roman" w:hAnsi="Times New Roman" w:eastAsia="宋体" w:cs="Times New Roman"/>
                <w:kern w:val="0"/>
                <w:sz w:val="24"/>
              </w:rPr>
              <w:t>月，芒市大河木康断面均可达到</w:t>
            </w:r>
            <w:r>
              <w:rPr>
                <w:rFonts w:ascii="Times New Roman" w:hAnsi="Times New Roman" w:eastAsia="宋体" w:cs="Times New Roman"/>
                <w:kern w:val="0"/>
                <w:sz w:val="24"/>
              </w:rPr>
              <w:t>Ⅲ类</w:t>
            </w:r>
            <w:r>
              <w:rPr>
                <w:rFonts w:hint="eastAsia" w:ascii="Times New Roman" w:hAnsi="Times New Roman" w:eastAsia="宋体" w:cs="Times New Roman"/>
                <w:kern w:val="0"/>
                <w:sz w:val="24"/>
              </w:rPr>
              <w:t>水质</w:t>
            </w:r>
            <w:r>
              <w:rPr>
                <w:rFonts w:ascii="Times New Roman" w:hAnsi="Times New Roman" w:eastAsia="宋体" w:cs="Times New Roman"/>
                <w:kern w:val="0"/>
                <w:sz w:val="24"/>
              </w:rPr>
              <w:t>，属达标区。</w:t>
            </w:r>
          </w:p>
          <w:p w14:paraId="5755F501">
            <w:pPr>
              <w:adjustRightInd w:val="0"/>
              <w:spacing w:line="360" w:lineRule="auto"/>
              <w:ind w:firstLine="240" w:firstLineChars="100"/>
            </w:pPr>
            <w:r>
              <w:rPr>
                <w:rFonts w:ascii="Times New Roman" w:hAnsi="Times New Roman" w:eastAsia="宋体" w:cs="Times New Roman"/>
                <w:kern w:val="0"/>
                <w:sz w:val="24"/>
              </w:rPr>
              <w:t>综上，芒市大河</w:t>
            </w:r>
            <w:r>
              <w:rPr>
                <w:rFonts w:hint="eastAsia" w:ascii="Times New Roman" w:hAnsi="Times New Roman" w:eastAsia="宋体" w:cs="Times New Roman"/>
                <w:kern w:val="0"/>
                <w:sz w:val="24"/>
              </w:rPr>
              <w:t>评价河段</w:t>
            </w:r>
            <w:r>
              <w:rPr>
                <w:rFonts w:ascii="Times New Roman" w:hAnsi="Times New Roman" w:eastAsia="宋体" w:cs="Times New Roman"/>
                <w:kern w:val="0"/>
                <w:sz w:val="24"/>
              </w:rPr>
              <w:t>水环境功能</w:t>
            </w:r>
            <w:r>
              <w:rPr>
                <w:rFonts w:hint="eastAsia" w:ascii="Times New Roman" w:hAnsi="Times New Roman" w:eastAsia="宋体" w:cs="Times New Roman"/>
                <w:kern w:val="0"/>
                <w:sz w:val="24"/>
              </w:rPr>
              <w:t>较好</w:t>
            </w:r>
            <w:r>
              <w:rPr>
                <w:rFonts w:ascii="Times New Roman" w:hAnsi="Times New Roman" w:eastAsia="宋体" w:cs="Times New Roman"/>
                <w:kern w:val="0"/>
                <w:sz w:val="24"/>
              </w:rPr>
              <w:t>，满足《地表水环境质量标准》（GB3838-2002）中Ⅲ类水质要求。</w:t>
            </w:r>
          </w:p>
          <w:p w14:paraId="50A43613">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3.3 声环境质量现状</w:t>
            </w:r>
          </w:p>
          <w:p w14:paraId="1D30E381">
            <w:pPr>
              <w:adjustRightInd w:val="0"/>
              <w:spacing w:line="360" w:lineRule="auto"/>
              <w:ind w:firstLine="240" w:firstLineChars="100"/>
              <w:rPr>
                <w:rFonts w:ascii="Times New Roman" w:hAnsi="Times New Roman" w:eastAsia="宋体" w:cs="Times New Roman"/>
                <w:kern w:val="0"/>
                <w:sz w:val="24"/>
              </w:rPr>
            </w:pPr>
            <w:bookmarkStart w:id="63" w:name="_Hlk99975356"/>
            <w:r>
              <w:rPr>
                <w:rFonts w:hint="eastAsia" w:ascii="Times New Roman" w:hAnsi="Times New Roman" w:eastAsia="宋体" w:cs="Times New Roman"/>
                <w:kern w:val="0"/>
                <w:sz w:val="24"/>
              </w:rPr>
              <w:t>本项目位于芒市三台山乡邦外村委会帕当坝村小组，厂址所在位置属于居住与工业混杂区域，参照《</w:t>
            </w:r>
            <w:r>
              <w:rPr>
                <w:rFonts w:ascii="Times New Roman" w:hAnsi="Times New Roman" w:eastAsia="宋体" w:cs="Times New Roman"/>
                <w:kern w:val="0"/>
                <w:sz w:val="24"/>
              </w:rPr>
              <w:t>芒市声环境功能区划分（2019~2029）》</w:t>
            </w:r>
            <w:bookmarkEnd w:id="63"/>
            <w:r>
              <w:rPr>
                <w:rFonts w:ascii="Times New Roman" w:hAnsi="Times New Roman" w:eastAsia="宋体" w:cs="Times New Roman"/>
                <w:kern w:val="0"/>
                <w:sz w:val="24"/>
              </w:rPr>
              <w:t>属于2类声环境功能区</w:t>
            </w:r>
            <w:r>
              <w:rPr>
                <w:rFonts w:hint="eastAsia" w:ascii="Times New Roman" w:hAnsi="Times New Roman" w:eastAsia="宋体" w:cs="Times New Roman"/>
                <w:kern w:val="0"/>
                <w:sz w:val="24"/>
              </w:rPr>
              <w:t>，</w:t>
            </w:r>
            <w:r>
              <w:rPr>
                <w:rFonts w:ascii="Times New Roman" w:hAnsi="Times New Roman" w:eastAsia="宋体" w:cs="Times New Roman"/>
                <w:kern w:val="0"/>
                <w:sz w:val="24"/>
              </w:rPr>
              <w:t>执行《声环境质量标准》(GB3096-2008)中的2类声环境功能区环境噪声限值标准，即昼间60dB(A)，夜间50dB(A)。</w:t>
            </w:r>
          </w:p>
          <w:p w14:paraId="72655D3B">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项目厂址位于山区农村，工业企业较少，区域声环境整体较好，满足</w:t>
            </w:r>
            <w:r>
              <w:rPr>
                <w:rFonts w:ascii="Times New Roman" w:hAnsi="Times New Roman" w:eastAsia="宋体" w:cs="Times New Roman"/>
                <w:kern w:val="0"/>
                <w:sz w:val="24"/>
              </w:rPr>
              <w:t>声环境质量标准》(GB3096-2008)中的2类</w:t>
            </w:r>
            <w:r>
              <w:rPr>
                <w:rFonts w:hint="eastAsia" w:ascii="Times New Roman" w:hAnsi="Times New Roman" w:eastAsia="宋体" w:cs="Times New Roman"/>
                <w:kern w:val="0"/>
                <w:sz w:val="24"/>
              </w:rPr>
              <w:t>标准。</w:t>
            </w:r>
          </w:p>
          <w:p w14:paraId="5766E68C">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3.4 生态环境现状</w:t>
            </w:r>
          </w:p>
          <w:p w14:paraId="3A8E6C51">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经过现场踏勘，项目用地区域内地表已无原生植被。项目所在区域为农村地区，厂区周边多为人工植被及农田植被，植被类型较为单一，植物种类较少，且受人为控制性强。区域内的人类活动强烈，已无大型野生动物活动生境，动物以常见的小型哺乳类和小型鸟类为主。项目占地范围及周边无自然保护区、风景名胜区等需要特殊保护的敏感区，未发现需保护的古树名木，亦未发现珍稀濒危动、植物及国家级和省级重点保护的动、植物存在</w:t>
            </w:r>
            <w:r>
              <w:rPr>
                <w:rFonts w:ascii="Times New Roman" w:hAnsi="Times New Roman" w:eastAsia="宋体" w:cs="Times New Roman"/>
                <w:kern w:val="0"/>
                <w:sz w:val="24"/>
              </w:rPr>
              <w:t>。</w:t>
            </w:r>
          </w:p>
          <w:p w14:paraId="127A6CA5">
            <w:pPr>
              <w:adjustRightInd w:val="0"/>
              <w:spacing w:line="360" w:lineRule="auto"/>
              <w:ind w:firstLine="240" w:firstLineChars="100"/>
            </w:pPr>
            <w:r>
              <w:rPr>
                <w:rFonts w:ascii="Times New Roman" w:hAnsi="Times New Roman" w:eastAsia="宋体" w:cs="Times New Roman"/>
                <w:kern w:val="0"/>
                <w:sz w:val="24"/>
              </w:rPr>
              <w:t>随着本项目</w:t>
            </w:r>
            <w:r>
              <w:rPr>
                <w:rFonts w:hint="eastAsia" w:ascii="Times New Roman" w:hAnsi="Times New Roman" w:eastAsia="宋体" w:cs="Times New Roman"/>
                <w:kern w:val="0"/>
                <w:sz w:val="24"/>
              </w:rPr>
              <w:t>的</w:t>
            </w:r>
            <w:r>
              <w:rPr>
                <w:rFonts w:ascii="Times New Roman" w:hAnsi="Times New Roman" w:eastAsia="宋体" w:cs="Times New Roman"/>
                <w:kern w:val="0"/>
                <w:sz w:val="24"/>
              </w:rPr>
              <w:t>建设完成，绿化等生态防护措施</w:t>
            </w:r>
            <w:r>
              <w:rPr>
                <w:rFonts w:hint="eastAsia" w:ascii="Times New Roman" w:hAnsi="Times New Roman" w:eastAsia="宋体" w:cs="Times New Roman"/>
                <w:kern w:val="0"/>
                <w:sz w:val="24"/>
              </w:rPr>
              <w:t>逐步</w:t>
            </w:r>
            <w:r>
              <w:rPr>
                <w:rFonts w:ascii="Times New Roman" w:hAnsi="Times New Roman" w:eastAsia="宋体" w:cs="Times New Roman"/>
                <w:kern w:val="0"/>
                <w:sz w:val="24"/>
              </w:rPr>
              <w:t>实施，生态系统将得到重建，形成新的生态系统</w:t>
            </w:r>
            <w:r>
              <w:rPr>
                <w:rFonts w:hint="eastAsia" w:ascii="Times New Roman" w:hAnsi="Times New Roman" w:eastAsia="宋体" w:cs="Times New Roman"/>
                <w:kern w:val="0"/>
                <w:sz w:val="24"/>
              </w:rPr>
              <w:t>。</w:t>
            </w:r>
          </w:p>
          <w:p w14:paraId="482844A8"/>
        </w:tc>
      </w:tr>
      <w:tr w14:paraId="161E3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575" w:type="dxa"/>
            <w:tcBorders>
              <w:top w:val="single" w:color="auto" w:sz="4" w:space="0"/>
              <w:left w:val="single" w:color="auto" w:sz="8" w:space="0"/>
              <w:bottom w:val="single" w:color="auto" w:sz="4" w:space="0"/>
              <w:right w:val="single" w:color="auto" w:sz="4" w:space="0"/>
            </w:tcBorders>
            <w:shd w:val="clear" w:color="auto" w:fill="auto"/>
            <w:vAlign w:val="center"/>
          </w:tcPr>
          <w:p w14:paraId="3318DFFD">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环境</w:t>
            </w:r>
          </w:p>
          <w:p w14:paraId="5E20AB7C">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保护</w:t>
            </w:r>
          </w:p>
          <w:p w14:paraId="6203177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目标</w:t>
            </w:r>
          </w:p>
        </w:tc>
        <w:tc>
          <w:tcPr>
            <w:tcW w:w="8415" w:type="dxa"/>
            <w:tcBorders>
              <w:top w:val="single" w:color="auto" w:sz="4" w:space="0"/>
              <w:left w:val="single" w:color="auto" w:sz="4" w:space="0"/>
              <w:bottom w:val="single" w:color="auto" w:sz="4" w:space="0"/>
              <w:right w:val="single" w:color="auto" w:sz="8" w:space="0"/>
            </w:tcBorders>
            <w:shd w:val="clear" w:color="auto" w:fill="auto"/>
            <w:vAlign w:val="center"/>
          </w:tcPr>
          <w:p w14:paraId="6DBEC51B">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3.5 环境保护目标</w:t>
            </w:r>
          </w:p>
          <w:p w14:paraId="26BBD276">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本项目</w:t>
            </w:r>
            <w:r>
              <w:rPr>
                <w:rFonts w:hint="eastAsia" w:ascii="Times New Roman" w:hAnsi="Times New Roman" w:eastAsia="宋体" w:cs="Times New Roman"/>
                <w:kern w:val="0"/>
                <w:sz w:val="24"/>
              </w:rPr>
              <w:t>位于芒市三台山乡邦外村委会帕当坝村小组，厂区</w:t>
            </w:r>
            <w:r>
              <w:rPr>
                <w:rFonts w:ascii="Times New Roman" w:hAnsi="Times New Roman" w:eastAsia="宋体" w:cs="Times New Roman"/>
                <w:kern w:val="0"/>
                <w:sz w:val="24"/>
              </w:rPr>
              <w:t>周边</w:t>
            </w:r>
            <w:r>
              <w:rPr>
                <w:rFonts w:hint="eastAsia" w:ascii="Times New Roman" w:hAnsi="Times New Roman" w:eastAsia="宋体" w:cs="Times New Roman"/>
                <w:kern w:val="0"/>
                <w:sz w:val="24"/>
              </w:rPr>
              <w:t>5</w:t>
            </w:r>
            <w:r>
              <w:rPr>
                <w:rFonts w:ascii="Times New Roman" w:hAnsi="Times New Roman" w:eastAsia="宋体" w:cs="Times New Roman"/>
                <w:kern w:val="0"/>
                <w:sz w:val="24"/>
              </w:rPr>
              <w:t>00</w:t>
            </w:r>
            <w:r>
              <w:rPr>
                <w:rFonts w:hint="eastAsia" w:ascii="Times New Roman" w:hAnsi="Times New Roman" w:eastAsia="宋体" w:cs="Times New Roman"/>
                <w:kern w:val="0"/>
                <w:sz w:val="24"/>
              </w:rPr>
              <w:t>m范围内无自然保护区、风景名胜区和文化区，也无地下水集中式饮用水水源地和热水、矿泉水、温泉等特殊地下水资源。5</w:t>
            </w:r>
            <w:r>
              <w:rPr>
                <w:rFonts w:ascii="Times New Roman" w:hAnsi="Times New Roman" w:eastAsia="宋体" w:cs="Times New Roman"/>
                <w:kern w:val="0"/>
                <w:sz w:val="24"/>
              </w:rPr>
              <w:t>0</w:t>
            </w:r>
            <w:r>
              <w:rPr>
                <w:rFonts w:hint="eastAsia" w:ascii="Times New Roman" w:hAnsi="Times New Roman" w:eastAsia="宋体" w:cs="Times New Roman"/>
                <w:kern w:val="0"/>
                <w:sz w:val="24"/>
              </w:rPr>
              <w:t>m范围内无居住区、村庄。</w:t>
            </w:r>
          </w:p>
          <w:p w14:paraId="2225BBF5">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1、大气环境保护目标</w:t>
            </w:r>
          </w:p>
          <w:p w14:paraId="4B1D8856">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生态环境部办公厅印发的“《建设项目环境影响报告表》内容、格式及编制技术指南的通知”（环办环评[2020]33号）关于大气环境保护目标规定：大气环境保护目标调查厂界500m范围内的自然保护区、风景名胜区、居住区和文化区等。根据现场勘察，本项目厂界外500</w:t>
            </w:r>
            <w:r>
              <w:rPr>
                <w:rFonts w:hint="eastAsia" w:ascii="Times New Roman" w:hAnsi="Times New Roman" w:eastAsia="宋体" w:cs="Times New Roman"/>
                <w:kern w:val="0"/>
                <w:sz w:val="24"/>
              </w:rPr>
              <w:t>m</w:t>
            </w:r>
            <w:r>
              <w:rPr>
                <w:rFonts w:ascii="Times New Roman" w:hAnsi="Times New Roman" w:eastAsia="宋体" w:cs="Times New Roman"/>
                <w:kern w:val="0"/>
                <w:sz w:val="24"/>
              </w:rPr>
              <w:t>范围内大气环境保护目标主要为</w:t>
            </w:r>
            <w:r>
              <w:rPr>
                <w:rFonts w:hint="eastAsia" w:ascii="Times New Roman" w:hAnsi="Times New Roman" w:eastAsia="宋体" w:cs="Times New Roman"/>
                <w:kern w:val="0"/>
                <w:sz w:val="24"/>
              </w:rPr>
              <w:t>东北侧2</w:t>
            </w:r>
            <w:r>
              <w:rPr>
                <w:rFonts w:ascii="Times New Roman" w:hAnsi="Times New Roman" w:eastAsia="宋体" w:cs="Times New Roman"/>
                <w:kern w:val="0"/>
                <w:sz w:val="24"/>
              </w:rPr>
              <w:t>20</w:t>
            </w:r>
            <w:r>
              <w:rPr>
                <w:rFonts w:hint="eastAsia" w:ascii="Times New Roman" w:hAnsi="Times New Roman" w:eastAsia="宋体" w:cs="Times New Roman"/>
                <w:kern w:val="0"/>
                <w:sz w:val="24"/>
              </w:rPr>
              <w:t>m</w:t>
            </w:r>
            <w:r>
              <w:rPr>
                <w:rFonts w:ascii="Times New Roman" w:hAnsi="Times New Roman" w:eastAsia="宋体" w:cs="Times New Roman"/>
                <w:kern w:val="0"/>
                <w:sz w:val="24"/>
              </w:rPr>
              <w:t>处的</w:t>
            </w:r>
            <w:r>
              <w:rPr>
                <w:rFonts w:hint="eastAsia" w:ascii="Times New Roman" w:hAnsi="Times New Roman" w:eastAsia="宋体" w:cs="Times New Roman"/>
                <w:kern w:val="0"/>
                <w:sz w:val="24"/>
              </w:rPr>
              <w:t>帕当坝</w:t>
            </w:r>
            <w:r>
              <w:rPr>
                <w:rFonts w:ascii="Times New Roman" w:hAnsi="Times New Roman" w:eastAsia="宋体" w:cs="Times New Roman"/>
                <w:kern w:val="0"/>
                <w:sz w:val="24"/>
              </w:rPr>
              <w:t>村。</w:t>
            </w:r>
          </w:p>
          <w:p w14:paraId="367791A1">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2、声环境保护目标</w:t>
            </w:r>
          </w:p>
          <w:p w14:paraId="5D1F3DD3">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w:t>
            </w:r>
            <w:r>
              <w:rPr>
                <w:rFonts w:hint="eastAsia" w:ascii="Times New Roman" w:hAnsi="Times New Roman" w:eastAsia="宋体" w:cs="Times New Roman"/>
                <w:kern w:val="0"/>
                <w:sz w:val="24"/>
              </w:rPr>
              <w:t>“</w:t>
            </w:r>
            <w:r>
              <w:rPr>
                <w:rFonts w:ascii="Times New Roman" w:hAnsi="Times New Roman" w:eastAsia="宋体" w:cs="Times New Roman"/>
                <w:kern w:val="0"/>
                <w:sz w:val="24"/>
              </w:rPr>
              <w:t>环办环评[2020]33号</w:t>
            </w:r>
            <w:r>
              <w:rPr>
                <w:rFonts w:hint="eastAsia" w:ascii="Times New Roman" w:hAnsi="Times New Roman" w:eastAsia="宋体" w:cs="Times New Roman"/>
                <w:kern w:val="0"/>
                <w:sz w:val="24"/>
              </w:rPr>
              <w:t>”中</w:t>
            </w:r>
            <w:r>
              <w:rPr>
                <w:rFonts w:ascii="Times New Roman" w:hAnsi="Times New Roman" w:eastAsia="宋体" w:cs="Times New Roman"/>
                <w:kern w:val="0"/>
                <w:sz w:val="24"/>
              </w:rPr>
              <w:t>关于声环境保护目标的规定：声环境保护目标调查厂界周边50m范围内噪声敏感点。根据调查，本项目厂界外50</w:t>
            </w:r>
            <w:r>
              <w:rPr>
                <w:rFonts w:hint="eastAsia" w:ascii="Times New Roman" w:hAnsi="Times New Roman" w:eastAsia="宋体" w:cs="Times New Roman"/>
                <w:kern w:val="0"/>
                <w:sz w:val="24"/>
              </w:rPr>
              <w:t>m</w:t>
            </w:r>
            <w:r>
              <w:rPr>
                <w:rFonts w:ascii="Times New Roman" w:hAnsi="Times New Roman" w:eastAsia="宋体" w:cs="Times New Roman"/>
                <w:kern w:val="0"/>
                <w:sz w:val="24"/>
              </w:rPr>
              <w:t>范围内无声环境保护目标。</w:t>
            </w:r>
          </w:p>
          <w:p w14:paraId="0EAB22AA">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3、地下水环境保护目标</w:t>
            </w:r>
          </w:p>
          <w:p w14:paraId="0A35CE48">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根据</w:t>
            </w:r>
            <w:r>
              <w:rPr>
                <w:rFonts w:hint="eastAsia" w:ascii="Times New Roman" w:hAnsi="Times New Roman" w:eastAsia="宋体" w:cs="Times New Roman"/>
                <w:kern w:val="0"/>
                <w:sz w:val="24"/>
              </w:rPr>
              <w:t>“</w:t>
            </w:r>
            <w:r>
              <w:rPr>
                <w:rFonts w:ascii="Times New Roman" w:hAnsi="Times New Roman" w:eastAsia="宋体" w:cs="Times New Roman"/>
                <w:kern w:val="0"/>
                <w:sz w:val="24"/>
              </w:rPr>
              <w:t>环办环评[2020]33号</w:t>
            </w:r>
            <w:r>
              <w:rPr>
                <w:rFonts w:hint="eastAsia" w:ascii="Times New Roman" w:hAnsi="Times New Roman" w:eastAsia="宋体" w:cs="Times New Roman"/>
                <w:kern w:val="0"/>
                <w:sz w:val="24"/>
              </w:rPr>
              <w:t>”中</w:t>
            </w:r>
            <w:r>
              <w:rPr>
                <w:rFonts w:ascii="Times New Roman" w:hAnsi="Times New Roman" w:eastAsia="宋体" w:cs="Times New Roman"/>
                <w:kern w:val="0"/>
                <w:sz w:val="24"/>
              </w:rPr>
              <w:t>关于地下水环境保护目标的规定：明确厂界外500</w:t>
            </w:r>
            <w:r>
              <w:rPr>
                <w:rFonts w:hint="eastAsia" w:ascii="Times New Roman" w:hAnsi="Times New Roman" w:eastAsia="宋体" w:cs="Times New Roman"/>
                <w:kern w:val="0"/>
                <w:sz w:val="24"/>
              </w:rPr>
              <w:t>m</w:t>
            </w:r>
            <w:r>
              <w:rPr>
                <w:rFonts w:ascii="Times New Roman" w:hAnsi="Times New Roman" w:eastAsia="宋体" w:cs="Times New Roman"/>
                <w:kern w:val="0"/>
                <w:sz w:val="24"/>
              </w:rPr>
              <w:t>范围内的地下水集中式饮用水水源和热水、矿泉水、温泉等特殊地下水资源。根据现场勘察，距离项目厂界500m范围内没有地下水集中式饮用水水源和热水、矿泉水、温泉等特殊地下水资源，</w:t>
            </w:r>
            <w:r>
              <w:rPr>
                <w:rFonts w:hint="eastAsia" w:ascii="Times New Roman" w:hAnsi="Times New Roman" w:eastAsia="宋体" w:cs="Times New Roman"/>
                <w:kern w:val="0"/>
                <w:sz w:val="24"/>
              </w:rPr>
              <w:t>故</w:t>
            </w:r>
            <w:r>
              <w:rPr>
                <w:rFonts w:ascii="Times New Roman" w:hAnsi="Times New Roman" w:eastAsia="宋体" w:cs="Times New Roman"/>
                <w:kern w:val="0"/>
                <w:sz w:val="24"/>
              </w:rPr>
              <w:t>本项目不涉及地下水环境保护目标。</w:t>
            </w:r>
          </w:p>
          <w:p w14:paraId="574C905F">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4、地表水环境保护目标</w:t>
            </w:r>
          </w:p>
          <w:p w14:paraId="04E22F3F">
            <w:pPr>
              <w:adjustRightInd w:val="0"/>
              <w:snapToGrid w:val="0"/>
              <w:spacing w:line="360" w:lineRule="auto"/>
              <w:ind w:firstLine="480" w:firstLineChars="200"/>
              <w:rPr>
                <w:rFonts w:ascii="Times New Roman" w:hAnsi="Times New Roman" w:eastAsia="宋体" w:cs="Times New Roman"/>
                <w:kern w:val="0"/>
                <w:sz w:val="24"/>
              </w:rPr>
            </w:pPr>
            <w:r>
              <w:rPr>
                <w:rFonts w:hint="eastAsia"/>
                <w:kern w:val="0"/>
                <w:sz w:val="24"/>
              </w:rPr>
              <w:t>本项目无废水外排，项目区附近主要地表水体是厂区西侧</w:t>
            </w:r>
            <w:r>
              <w:rPr>
                <w:rFonts w:ascii="Times New Roman" w:hAnsi="Times New Roman" w:eastAsia="宋体" w:cs="Times New Roman"/>
                <w:kern w:val="0"/>
                <w:sz w:val="24"/>
              </w:rPr>
              <w:t>920m</w:t>
            </w:r>
            <w:r>
              <w:rPr>
                <w:rFonts w:hint="eastAsia" w:ascii="Times New Roman" w:hAnsi="Times New Roman" w:eastAsia="宋体" w:cs="Times New Roman"/>
                <w:kern w:val="0"/>
                <w:sz w:val="24"/>
              </w:rPr>
              <w:t>处</w:t>
            </w:r>
            <w:r>
              <w:rPr>
                <w:rFonts w:ascii="Times New Roman" w:hAnsi="Times New Roman" w:eastAsia="宋体" w:cs="Times New Roman"/>
                <w:kern w:val="0"/>
                <w:sz w:val="24"/>
              </w:rPr>
              <w:t>的芒市大河</w:t>
            </w:r>
            <w:r>
              <w:rPr>
                <w:rFonts w:hint="eastAsia" w:ascii="Times New Roman" w:hAnsi="Times New Roman" w:eastAsia="宋体" w:cs="Times New Roman"/>
                <w:kern w:val="0"/>
                <w:sz w:val="24"/>
              </w:rPr>
              <w:t>（</w:t>
            </w:r>
            <w:r>
              <w:rPr>
                <w:rFonts w:ascii="Times New Roman" w:hAnsi="Times New Roman" w:eastAsia="宋体" w:cs="Times New Roman"/>
                <w:kern w:val="0"/>
                <w:sz w:val="24"/>
              </w:rPr>
              <w:t>芒市河</w:t>
            </w:r>
            <w:r>
              <w:rPr>
                <w:rFonts w:hint="eastAsia" w:ascii="Times New Roman" w:hAnsi="Times New Roman" w:eastAsia="宋体" w:cs="Times New Roman"/>
                <w:kern w:val="0"/>
                <w:sz w:val="24"/>
              </w:rPr>
              <w:t>）</w:t>
            </w:r>
          </w:p>
          <w:p w14:paraId="6F9C5C22">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本项目的</w:t>
            </w:r>
            <w:r>
              <w:rPr>
                <w:rFonts w:ascii="Times New Roman" w:hAnsi="Times New Roman" w:eastAsia="宋体" w:cs="Times New Roman"/>
                <w:kern w:val="0"/>
                <w:sz w:val="24"/>
              </w:rPr>
              <w:t>环境保护目标以及他们与项目的关系见表3-5</w:t>
            </w:r>
            <w:r>
              <w:rPr>
                <w:rFonts w:hint="eastAsia" w:ascii="Times New Roman" w:hAnsi="Times New Roman" w:eastAsia="宋体" w:cs="Times New Roman"/>
                <w:kern w:val="0"/>
                <w:sz w:val="24"/>
              </w:rPr>
              <w:t>和图3</w:t>
            </w:r>
            <w:r>
              <w:rPr>
                <w:rFonts w:ascii="Times New Roman" w:hAnsi="Times New Roman" w:eastAsia="宋体" w:cs="Times New Roman"/>
                <w:kern w:val="0"/>
                <w:sz w:val="24"/>
              </w:rPr>
              <w:t>-1</w:t>
            </w:r>
            <w:r>
              <w:rPr>
                <w:rFonts w:hint="eastAsia" w:ascii="Times New Roman" w:hAnsi="Times New Roman" w:eastAsia="宋体" w:cs="Times New Roman"/>
                <w:kern w:val="0"/>
                <w:sz w:val="24"/>
              </w:rPr>
              <w:t>。</w:t>
            </w:r>
          </w:p>
          <w:p w14:paraId="02827A40">
            <w:pPr>
              <w:pStyle w:val="53"/>
              <w:spacing w:before="156" w:beforeLines="50" w:line="240" w:lineRule="auto"/>
              <w:ind w:firstLine="0" w:firstLineChars="0"/>
              <w:jc w:val="center"/>
            </w:pPr>
            <w:r>
              <w:rPr>
                <w:rFonts w:hint="eastAsia" w:cs="Times New Roman"/>
                <w:b/>
                <w:kern w:val="0"/>
                <w:sz w:val="21"/>
                <w:szCs w:val="21"/>
                <w:lang w:val="zh-CN"/>
              </w:rPr>
              <w:t>表3-</w:t>
            </w:r>
            <w:r>
              <w:rPr>
                <w:rFonts w:cs="Times New Roman"/>
                <w:b/>
                <w:kern w:val="0"/>
                <w:sz w:val="21"/>
                <w:szCs w:val="21"/>
                <w:lang w:val="zh-CN"/>
              </w:rPr>
              <w:t xml:space="preserve">5    </w:t>
            </w:r>
            <w:r>
              <w:rPr>
                <w:rFonts w:hint="eastAsia" w:cs="Times New Roman"/>
                <w:b/>
                <w:kern w:val="0"/>
                <w:sz w:val="21"/>
                <w:szCs w:val="21"/>
                <w:lang w:val="zh-CN"/>
              </w:rPr>
              <w:t>环境保护目标</w:t>
            </w:r>
          </w:p>
          <w:tbl>
            <w:tblPr>
              <w:tblStyle w:val="19"/>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669"/>
              <w:gridCol w:w="1896"/>
              <w:gridCol w:w="584"/>
              <w:gridCol w:w="973"/>
              <w:gridCol w:w="1340"/>
              <w:gridCol w:w="1978"/>
            </w:tblGrid>
            <w:tr w14:paraId="63B7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56464608">
                  <w:pPr>
                    <w:jc w:val="center"/>
                    <w:rPr>
                      <w:rFonts w:ascii="Times New Roman" w:hAnsi="Times New Roman" w:eastAsia="宋体" w:cs="Times New Roman"/>
                      <w:b/>
                      <w:bCs/>
                      <w:szCs w:val="21"/>
                    </w:rPr>
                  </w:pPr>
                  <w:r>
                    <w:rPr>
                      <w:rFonts w:ascii="Times New Roman" w:hAnsi="Times New Roman" w:eastAsia="宋体" w:cs="Times New Roman"/>
                      <w:b/>
                      <w:bCs/>
                      <w:szCs w:val="21"/>
                    </w:rPr>
                    <w:t>类别</w:t>
                  </w:r>
                </w:p>
              </w:tc>
              <w:tc>
                <w:tcPr>
                  <w:tcW w:w="708" w:type="dxa"/>
                  <w:vAlign w:val="center"/>
                </w:tcPr>
                <w:p w14:paraId="4154F007">
                  <w:pPr>
                    <w:jc w:val="center"/>
                    <w:rPr>
                      <w:rFonts w:ascii="Times New Roman" w:hAnsi="Times New Roman" w:eastAsia="宋体" w:cs="Times New Roman"/>
                      <w:b/>
                      <w:bCs/>
                      <w:szCs w:val="21"/>
                    </w:rPr>
                  </w:pPr>
                  <w:r>
                    <w:rPr>
                      <w:rFonts w:ascii="Times New Roman" w:hAnsi="Times New Roman" w:eastAsia="宋体" w:cs="Times New Roman"/>
                      <w:b/>
                      <w:bCs/>
                      <w:szCs w:val="21"/>
                    </w:rPr>
                    <w:t>保护目标</w:t>
                  </w:r>
                </w:p>
              </w:tc>
              <w:tc>
                <w:tcPr>
                  <w:tcW w:w="1953" w:type="dxa"/>
                  <w:vAlign w:val="center"/>
                </w:tcPr>
                <w:p w14:paraId="667B6647">
                  <w:pPr>
                    <w:jc w:val="center"/>
                    <w:rPr>
                      <w:rFonts w:ascii="Times New Roman" w:hAnsi="Times New Roman" w:eastAsia="宋体" w:cs="Times New Roman"/>
                      <w:b/>
                      <w:bCs/>
                      <w:szCs w:val="21"/>
                    </w:rPr>
                  </w:pPr>
                  <w:r>
                    <w:rPr>
                      <w:rFonts w:ascii="Times New Roman" w:hAnsi="Times New Roman" w:eastAsia="宋体" w:cs="Times New Roman"/>
                      <w:b/>
                      <w:bCs/>
                      <w:szCs w:val="21"/>
                    </w:rPr>
                    <w:t>经纬度</w:t>
                  </w:r>
                </w:p>
              </w:tc>
              <w:tc>
                <w:tcPr>
                  <w:tcW w:w="598" w:type="dxa"/>
                  <w:vAlign w:val="center"/>
                </w:tcPr>
                <w:p w14:paraId="6B2773B0">
                  <w:pPr>
                    <w:jc w:val="center"/>
                    <w:rPr>
                      <w:rFonts w:ascii="Times New Roman" w:hAnsi="Times New Roman" w:eastAsia="宋体" w:cs="Times New Roman"/>
                      <w:b/>
                      <w:bCs/>
                      <w:szCs w:val="21"/>
                    </w:rPr>
                  </w:pPr>
                  <w:r>
                    <w:rPr>
                      <w:rFonts w:ascii="Times New Roman" w:hAnsi="Times New Roman" w:eastAsia="宋体" w:cs="Times New Roman"/>
                      <w:b/>
                      <w:bCs/>
                      <w:szCs w:val="21"/>
                    </w:rPr>
                    <w:t>方位</w:t>
                  </w:r>
                </w:p>
              </w:tc>
              <w:tc>
                <w:tcPr>
                  <w:tcW w:w="1017" w:type="dxa"/>
                  <w:vAlign w:val="center"/>
                </w:tcPr>
                <w:p w14:paraId="0E6BDA5F">
                  <w:pPr>
                    <w:jc w:val="center"/>
                    <w:rPr>
                      <w:rFonts w:ascii="Times New Roman" w:hAnsi="Times New Roman" w:eastAsia="宋体" w:cs="Times New Roman"/>
                      <w:b/>
                      <w:bCs/>
                      <w:szCs w:val="21"/>
                    </w:rPr>
                  </w:pPr>
                  <w:r>
                    <w:rPr>
                      <w:rFonts w:ascii="Times New Roman" w:hAnsi="Times New Roman" w:eastAsia="宋体" w:cs="Times New Roman"/>
                      <w:b/>
                      <w:bCs/>
                      <w:szCs w:val="21"/>
                    </w:rPr>
                    <w:t>厂界</w:t>
                  </w:r>
                </w:p>
                <w:p w14:paraId="5C0BB9BD">
                  <w:pPr>
                    <w:jc w:val="center"/>
                    <w:rPr>
                      <w:rFonts w:ascii="Times New Roman" w:hAnsi="Times New Roman" w:eastAsia="宋体" w:cs="Times New Roman"/>
                      <w:b/>
                      <w:bCs/>
                      <w:szCs w:val="21"/>
                    </w:rPr>
                  </w:pPr>
                  <w:r>
                    <w:rPr>
                      <w:rFonts w:ascii="Times New Roman" w:hAnsi="Times New Roman" w:eastAsia="宋体" w:cs="Times New Roman"/>
                      <w:b/>
                      <w:bCs/>
                      <w:szCs w:val="21"/>
                    </w:rPr>
                    <w:t>距离</w:t>
                  </w:r>
                </w:p>
              </w:tc>
              <w:tc>
                <w:tcPr>
                  <w:tcW w:w="1110" w:type="dxa"/>
                  <w:vAlign w:val="center"/>
                </w:tcPr>
                <w:p w14:paraId="0FA2DE61">
                  <w:pPr>
                    <w:jc w:val="center"/>
                    <w:rPr>
                      <w:rFonts w:ascii="Times New Roman" w:hAnsi="Times New Roman" w:eastAsia="宋体" w:cs="Times New Roman"/>
                      <w:b/>
                      <w:bCs/>
                      <w:szCs w:val="21"/>
                    </w:rPr>
                  </w:pPr>
                  <w:r>
                    <w:rPr>
                      <w:rFonts w:ascii="Times New Roman" w:hAnsi="Times New Roman" w:eastAsia="宋体" w:cs="Times New Roman"/>
                      <w:b/>
                      <w:bCs/>
                      <w:szCs w:val="21"/>
                    </w:rPr>
                    <w:t>人口</w:t>
                  </w:r>
                </w:p>
              </w:tc>
              <w:tc>
                <w:tcPr>
                  <w:tcW w:w="2000" w:type="dxa"/>
                  <w:vAlign w:val="center"/>
                </w:tcPr>
                <w:p w14:paraId="3EB27C40">
                  <w:pPr>
                    <w:jc w:val="center"/>
                    <w:rPr>
                      <w:rFonts w:ascii="Times New Roman" w:hAnsi="Times New Roman" w:eastAsia="宋体" w:cs="Times New Roman"/>
                      <w:b/>
                      <w:bCs/>
                      <w:szCs w:val="21"/>
                    </w:rPr>
                  </w:pPr>
                  <w:r>
                    <w:rPr>
                      <w:rFonts w:ascii="Times New Roman" w:hAnsi="Times New Roman" w:eastAsia="宋体" w:cs="Times New Roman"/>
                      <w:b/>
                      <w:bCs/>
                      <w:szCs w:val="21"/>
                    </w:rPr>
                    <w:t>保护级别</w:t>
                  </w:r>
                </w:p>
              </w:tc>
            </w:tr>
            <w:tr w14:paraId="0395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71C6CC8D">
                  <w:pPr>
                    <w:jc w:val="center"/>
                    <w:rPr>
                      <w:rFonts w:ascii="Times New Roman" w:hAnsi="Times New Roman" w:eastAsia="宋体" w:cs="Times New Roman"/>
                      <w:szCs w:val="21"/>
                    </w:rPr>
                  </w:pPr>
                  <w:r>
                    <w:rPr>
                      <w:rFonts w:ascii="Times New Roman" w:hAnsi="Times New Roman" w:eastAsia="宋体" w:cs="Times New Roman"/>
                      <w:szCs w:val="21"/>
                    </w:rPr>
                    <w:t>大气</w:t>
                  </w:r>
                </w:p>
                <w:p w14:paraId="33CB6461">
                  <w:pPr>
                    <w:jc w:val="center"/>
                    <w:rPr>
                      <w:rFonts w:ascii="Times New Roman" w:hAnsi="Times New Roman" w:eastAsia="宋体" w:cs="Times New Roman"/>
                      <w:szCs w:val="21"/>
                    </w:rPr>
                  </w:pPr>
                  <w:r>
                    <w:rPr>
                      <w:rFonts w:ascii="Times New Roman" w:hAnsi="Times New Roman" w:eastAsia="宋体" w:cs="Times New Roman"/>
                      <w:szCs w:val="21"/>
                    </w:rPr>
                    <w:t>环境</w:t>
                  </w:r>
                </w:p>
              </w:tc>
              <w:tc>
                <w:tcPr>
                  <w:tcW w:w="708" w:type="dxa"/>
                  <w:vAlign w:val="center"/>
                </w:tcPr>
                <w:p w14:paraId="42CD3ECB">
                  <w:pPr>
                    <w:jc w:val="center"/>
                    <w:rPr>
                      <w:rFonts w:ascii="Times New Roman" w:hAnsi="Times New Roman" w:eastAsia="宋体" w:cs="Times New Roman"/>
                      <w:szCs w:val="21"/>
                    </w:rPr>
                  </w:pPr>
                  <w:r>
                    <w:rPr>
                      <w:rFonts w:hint="eastAsia" w:ascii="Times New Roman" w:hAnsi="Times New Roman" w:eastAsia="宋体" w:cs="Times New Roman"/>
                      <w:szCs w:val="21"/>
                    </w:rPr>
                    <w:t>帕当坝</w:t>
                  </w:r>
                </w:p>
              </w:tc>
              <w:tc>
                <w:tcPr>
                  <w:tcW w:w="1953" w:type="dxa"/>
                  <w:vAlign w:val="center"/>
                </w:tcPr>
                <w:p w14:paraId="73740F25">
                  <w:pPr>
                    <w:pStyle w:val="37"/>
                    <w:spacing w:line="233" w:lineRule="exact"/>
                    <w:ind w:left="122" w:right="91"/>
                    <w:jc w:val="center"/>
                    <w:rPr>
                      <w:rFonts w:ascii="Times New Roman" w:hAnsi="Times New Roman" w:cs="Times New Roman"/>
                      <w:szCs w:val="21"/>
                      <w:lang w:val="en-US"/>
                    </w:rPr>
                  </w:pPr>
                  <w:r>
                    <w:rPr>
                      <w:rFonts w:ascii="Times New Roman" w:hAnsi="Times New Roman" w:cs="Times New Roman"/>
                      <w:szCs w:val="21"/>
                      <w:lang w:val="en-US"/>
                    </w:rPr>
                    <w:t>E：98°24′18.28″</w:t>
                  </w:r>
                </w:p>
                <w:p w14:paraId="01516C66">
                  <w:pPr>
                    <w:jc w:val="center"/>
                    <w:rPr>
                      <w:rFonts w:ascii="Times New Roman" w:hAnsi="Times New Roman" w:eastAsia="宋体" w:cs="Times New Roman"/>
                      <w:szCs w:val="21"/>
                    </w:rPr>
                  </w:pPr>
                  <w:r>
                    <w:rPr>
                      <w:rFonts w:ascii="Times New Roman" w:hAnsi="Times New Roman" w:eastAsia="宋体" w:cs="Times New Roman"/>
                      <w:szCs w:val="21"/>
                    </w:rPr>
                    <w:t>N：24°22′37.07″</w:t>
                  </w:r>
                </w:p>
              </w:tc>
              <w:tc>
                <w:tcPr>
                  <w:tcW w:w="598" w:type="dxa"/>
                  <w:vAlign w:val="center"/>
                </w:tcPr>
                <w:p w14:paraId="591CF849">
                  <w:pPr>
                    <w:jc w:val="center"/>
                    <w:rPr>
                      <w:rFonts w:ascii="Times New Roman" w:hAnsi="Times New Roman" w:eastAsia="宋体" w:cs="Times New Roman"/>
                      <w:szCs w:val="21"/>
                    </w:rPr>
                  </w:pPr>
                  <w:r>
                    <w:rPr>
                      <w:rFonts w:hint="eastAsia" w:ascii="Times New Roman" w:hAnsi="Times New Roman" w:eastAsia="宋体" w:cs="Times New Roman"/>
                      <w:szCs w:val="21"/>
                    </w:rPr>
                    <w:t>N</w:t>
                  </w:r>
                  <w:r>
                    <w:rPr>
                      <w:rFonts w:ascii="Times New Roman" w:hAnsi="Times New Roman" w:eastAsia="宋体" w:cs="Times New Roman"/>
                      <w:szCs w:val="21"/>
                    </w:rPr>
                    <w:t>E</w:t>
                  </w:r>
                </w:p>
              </w:tc>
              <w:tc>
                <w:tcPr>
                  <w:tcW w:w="1017" w:type="dxa"/>
                  <w:vAlign w:val="center"/>
                </w:tcPr>
                <w:p w14:paraId="07385CB2">
                  <w:pPr>
                    <w:jc w:val="center"/>
                    <w:rPr>
                      <w:rFonts w:ascii="Times New Roman" w:hAnsi="Times New Roman" w:eastAsia="宋体" w:cs="Times New Roman"/>
                      <w:szCs w:val="21"/>
                    </w:rPr>
                  </w:pPr>
                  <w:r>
                    <w:rPr>
                      <w:rFonts w:ascii="Times New Roman" w:hAnsi="Times New Roman" w:eastAsia="宋体" w:cs="Times New Roman"/>
                      <w:szCs w:val="21"/>
                    </w:rPr>
                    <w:t>220m</w:t>
                  </w:r>
                </w:p>
              </w:tc>
              <w:tc>
                <w:tcPr>
                  <w:tcW w:w="1110" w:type="dxa"/>
                  <w:vAlign w:val="center"/>
                </w:tcPr>
                <w:p w14:paraId="109BF80B">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szCs w:val="21"/>
                    </w:rPr>
                    <w:t>户</w:t>
                  </w:r>
                  <w:r>
                    <w:rPr>
                      <w:rFonts w:ascii="Times New Roman" w:hAnsi="Times New Roman" w:eastAsia="宋体" w:cs="Times New Roman"/>
                      <w:szCs w:val="21"/>
                    </w:rPr>
                    <w:t>241人</w:t>
                  </w:r>
                </w:p>
              </w:tc>
              <w:tc>
                <w:tcPr>
                  <w:tcW w:w="2000" w:type="dxa"/>
                  <w:vAlign w:val="center"/>
                </w:tcPr>
                <w:p w14:paraId="2DBADD91">
                  <w:pPr>
                    <w:jc w:val="center"/>
                    <w:rPr>
                      <w:rFonts w:ascii="Times New Roman" w:hAnsi="Times New Roman" w:eastAsia="宋体" w:cs="Times New Roman"/>
                      <w:kern w:val="0"/>
                      <w:szCs w:val="21"/>
                    </w:rPr>
                  </w:pPr>
                  <w:r>
                    <w:rPr>
                      <w:rFonts w:ascii="Times New Roman" w:hAnsi="Times New Roman" w:eastAsia="宋体" w:cs="Times New Roman"/>
                      <w:kern w:val="0"/>
                      <w:szCs w:val="21"/>
                    </w:rPr>
                    <w:t>《环境空气质量标准》（GB3095-2012）</w:t>
                  </w:r>
                </w:p>
                <w:p w14:paraId="73D0AA45">
                  <w:pPr>
                    <w:jc w:val="center"/>
                    <w:rPr>
                      <w:rFonts w:ascii="Times New Roman" w:hAnsi="Times New Roman" w:eastAsia="宋体" w:cs="Times New Roman"/>
                      <w:szCs w:val="21"/>
                    </w:rPr>
                  </w:pPr>
                  <w:r>
                    <w:rPr>
                      <w:rFonts w:ascii="Times New Roman" w:hAnsi="Times New Roman" w:eastAsia="宋体" w:cs="Times New Roman"/>
                      <w:kern w:val="0"/>
                      <w:szCs w:val="21"/>
                    </w:rPr>
                    <w:t>二级标准</w:t>
                  </w:r>
                </w:p>
              </w:tc>
            </w:tr>
            <w:tr w14:paraId="1DE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29377D2D">
                  <w:pPr>
                    <w:jc w:val="center"/>
                    <w:rPr>
                      <w:rFonts w:ascii="Times New Roman" w:hAnsi="Times New Roman" w:eastAsia="宋体" w:cs="Times New Roman"/>
                      <w:szCs w:val="21"/>
                    </w:rPr>
                  </w:pPr>
                  <w:r>
                    <w:rPr>
                      <w:rFonts w:hint="eastAsia" w:ascii="Times New Roman" w:hAnsi="Times New Roman" w:cs="Times New Roman"/>
                      <w:szCs w:val="21"/>
                    </w:rPr>
                    <w:t>地表水</w:t>
                  </w:r>
                </w:p>
              </w:tc>
              <w:tc>
                <w:tcPr>
                  <w:tcW w:w="708" w:type="dxa"/>
                  <w:vAlign w:val="center"/>
                </w:tcPr>
                <w:p w14:paraId="1434DCCE">
                  <w:pPr>
                    <w:jc w:val="center"/>
                    <w:rPr>
                      <w:rFonts w:ascii="Times New Roman" w:hAnsi="Times New Roman" w:cs="Times New Roman"/>
                    </w:rPr>
                  </w:pPr>
                  <w:r>
                    <w:rPr>
                      <w:rFonts w:hint="eastAsia" w:ascii="Times New Roman" w:hAnsi="Times New Roman" w:cs="Times New Roman"/>
                    </w:rPr>
                    <w:t>芒市河</w:t>
                  </w:r>
                </w:p>
              </w:tc>
              <w:tc>
                <w:tcPr>
                  <w:tcW w:w="1953" w:type="dxa"/>
                  <w:vAlign w:val="center"/>
                </w:tcPr>
                <w:p w14:paraId="0D50DBD4">
                  <w:pPr>
                    <w:pStyle w:val="37"/>
                    <w:spacing w:line="233" w:lineRule="exact"/>
                    <w:ind w:left="122" w:right="91"/>
                    <w:jc w:val="center"/>
                    <w:rPr>
                      <w:rFonts w:ascii="Times New Roman" w:hAnsi="Times New Roman" w:cs="Times New Roman"/>
                      <w:szCs w:val="21"/>
                      <w:lang w:val="en-US"/>
                    </w:rPr>
                  </w:pPr>
                  <w:r>
                    <w:rPr>
                      <w:rFonts w:hint="eastAsia" w:ascii="Times New Roman" w:hAnsi="Times New Roman" w:cs="Times New Roman"/>
                      <w:szCs w:val="21"/>
                      <w:lang w:val="en-US"/>
                    </w:rPr>
                    <w:t>/</w:t>
                  </w:r>
                </w:p>
              </w:tc>
              <w:tc>
                <w:tcPr>
                  <w:tcW w:w="598" w:type="dxa"/>
                  <w:vAlign w:val="center"/>
                </w:tcPr>
                <w:p w14:paraId="621B8225">
                  <w:pPr>
                    <w:jc w:val="center"/>
                    <w:rPr>
                      <w:rFonts w:ascii="Times New Roman" w:hAnsi="Times New Roman" w:eastAsia="宋体" w:cs="Times New Roman"/>
                      <w:szCs w:val="21"/>
                    </w:rPr>
                  </w:pPr>
                  <w:r>
                    <w:rPr>
                      <w:rFonts w:ascii="Times New Roman" w:hAnsi="Times New Roman" w:eastAsia="宋体" w:cs="Times New Roman"/>
                      <w:szCs w:val="21"/>
                    </w:rPr>
                    <w:t>W</w:t>
                  </w:r>
                </w:p>
              </w:tc>
              <w:tc>
                <w:tcPr>
                  <w:tcW w:w="1017" w:type="dxa"/>
                  <w:vAlign w:val="center"/>
                </w:tcPr>
                <w:p w14:paraId="1ADB3B70">
                  <w:pPr>
                    <w:jc w:val="center"/>
                    <w:rPr>
                      <w:rFonts w:ascii="Times New Roman" w:hAnsi="Times New Roman" w:eastAsia="宋体" w:cs="Times New Roman"/>
                      <w:szCs w:val="21"/>
                    </w:rPr>
                  </w:pPr>
                  <w:r>
                    <w:rPr>
                      <w:rFonts w:ascii="Times New Roman" w:hAnsi="Times New Roman" w:eastAsia="宋体" w:cs="Times New Roman"/>
                      <w:szCs w:val="21"/>
                    </w:rPr>
                    <w:t>920</w:t>
                  </w:r>
                  <w:r>
                    <w:rPr>
                      <w:rFonts w:hint="eastAsia" w:ascii="Times New Roman" w:hAnsi="Times New Roman" w:eastAsia="宋体" w:cs="Times New Roman"/>
                      <w:szCs w:val="21"/>
                    </w:rPr>
                    <w:t>m</w:t>
                  </w:r>
                </w:p>
              </w:tc>
              <w:tc>
                <w:tcPr>
                  <w:tcW w:w="1110" w:type="dxa"/>
                  <w:vAlign w:val="center"/>
                </w:tcPr>
                <w:p w14:paraId="0A1F2002">
                  <w:pPr>
                    <w:jc w:val="center"/>
                    <w:rPr>
                      <w:rFonts w:ascii="Times New Roman" w:hAnsi="Times New Roman" w:eastAsia="宋体" w:cs="Times New Roman"/>
                      <w:szCs w:val="21"/>
                    </w:rPr>
                  </w:pPr>
                  <w:r>
                    <w:rPr>
                      <w:rFonts w:hint="eastAsia" w:ascii="Times New Roman" w:hAnsi="Times New Roman" w:eastAsia="宋体" w:cs="Times New Roman"/>
                      <w:szCs w:val="21"/>
                    </w:rPr>
                    <w:t>河道</w:t>
                  </w:r>
                  <w:r>
                    <w:rPr>
                      <w:rFonts w:ascii="Times New Roman" w:hAnsi="Times New Roman" w:eastAsia="宋体" w:cs="Times New Roman"/>
                      <w:szCs w:val="21"/>
                    </w:rPr>
                    <w:t>全长</w:t>
                  </w:r>
                  <w:r>
                    <w:rPr>
                      <w:rFonts w:hint="eastAsia" w:ascii="Times New Roman" w:hAnsi="Times New Roman" w:eastAsia="宋体" w:cs="Times New Roman"/>
                      <w:szCs w:val="21"/>
                    </w:rPr>
                    <w:t>约103.7</w:t>
                  </w:r>
                  <w:r>
                    <w:rPr>
                      <w:rFonts w:ascii="Times New Roman" w:hAnsi="Times New Roman" w:eastAsia="宋体" w:cs="Times New Roman"/>
                      <w:szCs w:val="21"/>
                    </w:rPr>
                    <w:t>km</w:t>
                  </w:r>
                  <w:r>
                    <w:rPr>
                      <w:rFonts w:hint="eastAsia" w:ascii="Times New Roman" w:hAnsi="Times New Roman" w:eastAsia="宋体" w:cs="Times New Roman"/>
                      <w:szCs w:val="21"/>
                    </w:rPr>
                    <w:t>，流域面积约1</w:t>
                  </w:r>
                  <w:r>
                    <w:rPr>
                      <w:rFonts w:ascii="Times New Roman" w:hAnsi="Times New Roman" w:eastAsia="宋体" w:cs="Times New Roman"/>
                      <w:szCs w:val="21"/>
                    </w:rPr>
                    <w:t>8</w:t>
                  </w:r>
                  <w:r>
                    <w:rPr>
                      <w:rFonts w:hint="eastAsia" w:ascii="Times New Roman" w:hAnsi="Times New Roman" w:eastAsia="宋体" w:cs="Times New Roman"/>
                      <w:szCs w:val="21"/>
                    </w:rPr>
                    <w:t>84.3km</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w:t>
                  </w:r>
                </w:p>
              </w:tc>
              <w:tc>
                <w:tcPr>
                  <w:tcW w:w="2000" w:type="dxa"/>
                  <w:vAlign w:val="center"/>
                </w:tcPr>
                <w:p w14:paraId="3CBD4ACE">
                  <w:pPr>
                    <w:jc w:val="center"/>
                    <w:rPr>
                      <w:rFonts w:ascii="Times New Roman" w:hAnsi="Times New Roman" w:eastAsia="宋体" w:cs="Times New Roman"/>
                      <w:kern w:val="0"/>
                      <w:szCs w:val="21"/>
                    </w:rPr>
                  </w:pPr>
                  <w:r>
                    <w:rPr>
                      <w:rFonts w:hint="eastAsia" w:ascii="Times New Roman" w:hAnsi="Times New Roman" w:cs="Times New Roman"/>
                      <w:szCs w:val="21"/>
                    </w:rPr>
                    <w:t>（</w:t>
                  </w:r>
                  <w:r>
                    <w:rPr>
                      <w:rFonts w:ascii="Times New Roman" w:hAnsi="Times New Roman" w:cs="Times New Roman"/>
                      <w:szCs w:val="21"/>
                    </w:rPr>
                    <w:t>GB3838-2002</w:t>
                  </w:r>
                  <w:r>
                    <w:rPr>
                      <w:rFonts w:hint="eastAsia" w:ascii="Times New Roman" w:hAnsi="Times New Roman" w:cs="Times New Roman"/>
                      <w:szCs w:val="21"/>
                    </w:rPr>
                    <w:t>）《地表水环境质量标准》</w:t>
                  </w:r>
                  <w:r>
                    <w:rPr>
                      <w:rFonts w:ascii="Times New Roman" w:hAnsi="Times New Roman" w:cs="Times New Roman"/>
                      <w:szCs w:val="21"/>
                    </w:rPr>
                    <w:fldChar w:fldCharType="begin"/>
                  </w:r>
                  <w:r>
                    <w:rPr>
                      <w:rFonts w:ascii="Times New Roman" w:hAnsi="Times New Roman" w:cs="Times New Roman"/>
                      <w:szCs w:val="21"/>
                    </w:rPr>
                    <w:instrText xml:space="preserve"> = 3 \* ROMAN \* MERGEFORMAT </w:instrText>
                  </w:r>
                  <w:r>
                    <w:rPr>
                      <w:rFonts w:ascii="Times New Roman" w:hAnsi="Times New Roman" w:cs="Times New Roman"/>
                      <w:szCs w:val="21"/>
                    </w:rPr>
                    <w:fldChar w:fldCharType="separate"/>
                  </w:r>
                  <w:r>
                    <w:rPr>
                      <w:rFonts w:ascii="Times New Roman" w:hAnsi="Times New Roman" w:cs="Times New Roman"/>
                      <w:szCs w:val="21"/>
                    </w:rPr>
                    <w:t>III</w:t>
                  </w:r>
                  <w:r>
                    <w:rPr>
                      <w:rFonts w:ascii="Times New Roman" w:hAnsi="Times New Roman" w:cs="Times New Roman"/>
                      <w:szCs w:val="21"/>
                    </w:rPr>
                    <w:fldChar w:fldCharType="end"/>
                  </w:r>
                  <w:r>
                    <w:rPr>
                      <w:rFonts w:hint="eastAsia" w:ascii="Times New Roman" w:hAnsi="Times New Roman" w:cs="Times New Roman"/>
                      <w:szCs w:val="21"/>
                    </w:rPr>
                    <w:t>类标准</w:t>
                  </w:r>
                </w:p>
              </w:tc>
            </w:tr>
            <w:tr w14:paraId="1F51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0F093A13">
                  <w:pPr>
                    <w:jc w:val="center"/>
                    <w:rPr>
                      <w:rFonts w:ascii="Times New Roman" w:hAnsi="Times New Roman" w:eastAsia="宋体" w:cs="Times New Roman"/>
                      <w:szCs w:val="21"/>
                    </w:rPr>
                  </w:pPr>
                  <w:r>
                    <w:rPr>
                      <w:rFonts w:hint="eastAsia" w:ascii="Times New Roman" w:hAnsi="Times New Roman" w:eastAsia="宋体" w:cs="Times New Roman"/>
                      <w:szCs w:val="21"/>
                    </w:rPr>
                    <w:t>地下水</w:t>
                  </w:r>
                </w:p>
              </w:tc>
              <w:tc>
                <w:tcPr>
                  <w:tcW w:w="7386" w:type="dxa"/>
                  <w:gridSpan w:val="6"/>
                  <w:vAlign w:val="center"/>
                </w:tcPr>
                <w:p w14:paraId="3E98FC80">
                  <w:pPr>
                    <w:jc w:val="center"/>
                    <w:rPr>
                      <w:rFonts w:ascii="Times New Roman" w:hAnsi="Times New Roman" w:eastAsia="宋体" w:cs="Times New Roman"/>
                      <w:szCs w:val="21"/>
                    </w:rPr>
                  </w:pPr>
                  <w:r>
                    <w:rPr>
                      <w:rFonts w:hint="eastAsia" w:ascii="Times New Roman" w:hAnsi="Times New Roman" w:eastAsia="宋体" w:cs="Times New Roman"/>
                      <w:szCs w:val="21"/>
                    </w:rPr>
                    <w:t>项目区周边50</w:t>
                  </w:r>
                  <w:r>
                    <w:rPr>
                      <w:rFonts w:ascii="Times New Roman" w:hAnsi="Times New Roman" w:eastAsia="宋体" w:cs="Times New Roman"/>
                      <w:szCs w:val="21"/>
                    </w:rPr>
                    <w:t>0</w:t>
                  </w:r>
                  <w:r>
                    <w:rPr>
                      <w:rFonts w:hint="eastAsia" w:ascii="Times New Roman" w:hAnsi="Times New Roman" w:eastAsia="宋体" w:cs="Times New Roman"/>
                      <w:szCs w:val="21"/>
                    </w:rPr>
                    <w:t>m范围内无环境保护目标</w:t>
                  </w:r>
                </w:p>
              </w:tc>
            </w:tr>
            <w:tr w14:paraId="61C9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0A30CC8C">
                  <w:pPr>
                    <w:jc w:val="center"/>
                    <w:rPr>
                      <w:rFonts w:ascii="Times New Roman" w:hAnsi="Times New Roman" w:eastAsia="宋体" w:cs="Times New Roman"/>
                      <w:szCs w:val="21"/>
                    </w:rPr>
                  </w:pPr>
                  <w:r>
                    <w:rPr>
                      <w:rFonts w:ascii="Times New Roman" w:hAnsi="Times New Roman" w:eastAsia="宋体" w:cs="Times New Roman"/>
                      <w:szCs w:val="21"/>
                    </w:rPr>
                    <w:t>声环境</w:t>
                  </w:r>
                </w:p>
              </w:tc>
              <w:tc>
                <w:tcPr>
                  <w:tcW w:w="7386" w:type="dxa"/>
                  <w:gridSpan w:val="6"/>
                  <w:vAlign w:val="center"/>
                </w:tcPr>
                <w:p w14:paraId="43A2BF3E">
                  <w:pPr>
                    <w:jc w:val="center"/>
                    <w:rPr>
                      <w:rFonts w:ascii="Times New Roman" w:hAnsi="Times New Roman" w:eastAsia="宋体" w:cs="Times New Roman"/>
                      <w:szCs w:val="21"/>
                    </w:rPr>
                  </w:pPr>
                  <w:r>
                    <w:rPr>
                      <w:rFonts w:ascii="Times New Roman" w:hAnsi="Times New Roman" w:eastAsia="宋体" w:cs="Times New Roman"/>
                      <w:szCs w:val="21"/>
                    </w:rPr>
                    <w:t>厂界外50</w:t>
                  </w:r>
                  <w:r>
                    <w:rPr>
                      <w:rFonts w:hint="eastAsia" w:ascii="Times New Roman" w:hAnsi="Times New Roman" w:eastAsia="宋体" w:cs="Times New Roman"/>
                      <w:szCs w:val="21"/>
                    </w:rPr>
                    <w:t>m</w:t>
                  </w:r>
                  <w:r>
                    <w:rPr>
                      <w:rFonts w:ascii="Times New Roman" w:hAnsi="Times New Roman" w:eastAsia="宋体" w:cs="Times New Roman"/>
                      <w:szCs w:val="21"/>
                    </w:rPr>
                    <w:t>范围内无声环境保护目标</w:t>
                  </w:r>
                </w:p>
              </w:tc>
            </w:tr>
            <w:tr w14:paraId="3F83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vAlign w:val="center"/>
                </w:tcPr>
                <w:p w14:paraId="596C2019">
                  <w:pPr>
                    <w:jc w:val="center"/>
                    <w:rPr>
                      <w:rFonts w:ascii="Times New Roman" w:hAnsi="Times New Roman" w:eastAsia="宋体" w:cs="Times New Roman"/>
                      <w:szCs w:val="21"/>
                    </w:rPr>
                  </w:pPr>
                  <w:r>
                    <w:rPr>
                      <w:rFonts w:ascii="Times New Roman" w:hAnsi="Times New Roman" w:eastAsia="宋体" w:cs="Times New Roman"/>
                      <w:szCs w:val="21"/>
                    </w:rPr>
                    <w:t>生态</w:t>
                  </w:r>
                </w:p>
                <w:p w14:paraId="200825B3">
                  <w:pPr>
                    <w:jc w:val="center"/>
                    <w:rPr>
                      <w:rFonts w:ascii="Times New Roman" w:hAnsi="Times New Roman" w:eastAsia="宋体" w:cs="Times New Roman"/>
                      <w:szCs w:val="21"/>
                    </w:rPr>
                  </w:pPr>
                  <w:r>
                    <w:rPr>
                      <w:rFonts w:ascii="Times New Roman" w:hAnsi="Times New Roman" w:eastAsia="宋体" w:cs="Times New Roman"/>
                      <w:szCs w:val="21"/>
                    </w:rPr>
                    <w:t>环境</w:t>
                  </w:r>
                </w:p>
              </w:tc>
              <w:tc>
                <w:tcPr>
                  <w:tcW w:w="7386" w:type="dxa"/>
                  <w:gridSpan w:val="6"/>
                  <w:vAlign w:val="center"/>
                </w:tcPr>
                <w:p w14:paraId="04A30D18">
                  <w:pPr>
                    <w:jc w:val="center"/>
                    <w:rPr>
                      <w:rFonts w:ascii="Times New Roman" w:hAnsi="Times New Roman" w:eastAsia="宋体" w:cs="Times New Roman"/>
                      <w:kern w:val="0"/>
                      <w:szCs w:val="21"/>
                    </w:rPr>
                  </w:pPr>
                  <w:r>
                    <w:rPr>
                      <w:rFonts w:hint="eastAsia" w:ascii="Times New Roman" w:hAnsi="Times New Roman" w:cs="Times New Roman"/>
                      <w:szCs w:val="21"/>
                    </w:rPr>
                    <w:t>野生动物、水土流失等</w:t>
                  </w:r>
                </w:p>
              </w:tc>
            </w:tr>
          </w:tbl>
          <w:p w14:paraId="19962627">
            <w:pPr>
              <w:pStyle w:val="2"/>
              <w:pBdr>
                <w:bottom w:val="none" w:color="auto" w:sz="0" w:space="0"/>
              </w:pBdr>
            </w:pPr>
          </w:p>
          <w:p w14:paraId="440D9374">
            <w:pPr>
              <w:jc w:val="center"/>
              <w:rPr>
                <w:rFonts w:ascii="Times New Roman" w:hAnsi="Times New Roman" w:eastAsia="宋体" w:cs="Times New Roman"/>
                <w:szCs w:val="21"/>
              </w:rPr>
            </w:pPr>
          </w:p>
        </w:tc>
      </w:tr>
      <w:tr w14:paraId="05D0C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75"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38C84F28">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污</w:t>
            </w:r>
          </w:p>
          <w:p w14:paraId="0AEA57A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染</w:t>
            </w:r>
          </w:p>
          <w:p w14:paraId="11D36AE6">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物</w:t>
            </w:r>
          </w:p>
          <w:p w14:paraId="7E08394B">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排</w:t>
            </w:r>
          </w:p>
          <w:p w14:paraId="6AD3B132">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放</w:t>
            </w:r>
          </w:p>
          <w:p w14:paraId="5B7B6E24">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控</w:t>
            </w:r>
          </w:p>
          <w:p w14:paraId="350EE4BD">
            <w:pPr>
              <w:adjustRightInd w:val="0"/>
              <w:snapToGrid w:val="0"/>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制</w:t>
            </w:r>
          </w:p>
          <w:p w14:paraId="1D73D50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标</w:t>
            </w:r>
          </w:p>
          <w:p w14:paraId="0AB7E061">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准</w:t>
            </w:r>
          </w:p>
        </w:tc>
        <w:tc>
          <w:tcPr>
            <w:tcW w:w="8415" w:type="dxa"/>
            <w:tcBorders>
              <w:top w:val="single" w:color="auto" w:sz="4" w:space="0"/>
              <w:left w:val="single" w:color="auto" w:sz="4" w:space="0"/>
              <w:bottom w:val="single" w:color="auto" w:sz="4" w:space="0"/>
              <w:right w:val="single" w:color="auto" w:sz="8" w:space="0"/>
            </w:tcBorders>
            <w:shd w:val="clear" w:color="auto" w:fill="auto"/>
            <w:vAlign w:val="center"/>
          </w:tcPr>
          <w:p w14:paraId="7C638062">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3.6 废气</w:t>
            </w:r>
          </w:p>
          <w:p w14:paraId="57CC648D">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（1）施工期</w:t>
            </w:r>
          </w:p>
          <w:p w14:paraId="3869090A">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施工期颗粒物排放执行《大气污染物综合排放标准》（GB16297-1996）</w:t>
            </w:r>
            <w:r>
              <w:rPr>
                <w:rFonts w:hint="eastAsia" w:ascii="Times New Roman" w:hAnsi="Times New Roman" w:eastAsia="宋体" w:cs="Times New Roman"/>
                <w:kern w:val="0"/>
                <w:sz w:val="24"/>
              </w:rPr>
              <w:t>中</w:t>
            </w:r>
            <w:r>
              <w:rPr>
                <w:rFonts w:ascii="Times New Roman" w:hAnsi="Times New Roman" w:eastAsia="宋体" w:cs="Times New Roman"/>
                <w:kern w:val="0"/>
                <w:sz w:val="24"/>
              </w:rPr>
              <w:t>无组织排放监控浓度限值的要求。</w:t>
            </w:r>
          </w:p>
          <w:p w14:paraId="13FDE8E3">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表3-6    施工期</w:t>
            </w:r>
            <w:r>
              <w:rPr>
                <w:rFonts w:hint="eastAsia" w:cs="Times New Roman"/>
                <w:b/>
                <w:kern w:val="0"/>
                <w:sz w:val="21"/>
                <w:szCs w:val="21"/>
                <w:lang w:val="zh-CN"/>
              </w:rPr>
              <w:t>颗粒物</w:t>
            </w:r>
            <w:r>
              <w:rPr>
                <w:rFonts w:cs="Times New Roman"/>
                <w:b/>
                <w:kern w:val="0"/>
                <w:sz w:val="21"/>
                <w:szCs w:val="21"/>
                <w:lang w:val="zh-CN"/>
              </w:rPr>
              <w:t>排放标准</w:t>
            </w:r>
          </w:p>
          <w:tbl>
            <w:tblPr>
              <w:tblStyle w:val="18"/>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446"/>
              <w:gridCol w:w="2753"/>
            </w:tblGrid>
            <w:tr w14:paraId="3C98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9" w:type="pct"/>
                  <w:vMerge w:val="restart"/>
                  <w:vAlign w:val="center"/>
                </w:tcPr>
                <w:p w14:paraId="6AB91D09">
                  <w:pPr>
                    <w:jc w:val="center"/>
                    <w:rPr>
                      <w:rFonts w:ascii="Times New Roman" w:hAnsi="Times New Roman" w:eastAsia="宋体" w:cs="Times New Roman"/>
                      <w:b/>
                      <w:bCs/>
                      <w:szCs w:val="21"/>
                    </w:rPr>
                  </w:pPr>
                  <w:r>
                    <w:rPr>
                      <w:rFonts w:ascii="Times New Roman" w:hAnsi="Times New Roman" w:eastAsia="宋体" w:cs="Times New Roman"/>
                      <w:b/>
                      <w:bCs/>
                      <w:szCs w:val="21"/>
                    </w:rPr>
                    <w:t>污染物</w:t>
                  </w:r>
                </w:p>
              </w:tc>
              <w:tc>
                <w:tcPr>
                  <w:tcW w:w="3851" w:type="pct"/>
                  <w:gridSpan w:val="2"/>
                </w:tcPr>
                <w:p w14:paraId="6AFA58DF">
                  <w:pPr>
                    <w:jc w:val="center"/>
                    <w:rPr>
                      <w:rFonts w:ascii="Times New Roman" w:hAnsi="Times New Roman" w:eastAsia="宋体" w:cs="Times New Roman"/>
                      <w:b/>
                      <w:bCs/>
                      <w:szCs w:val="21"/>
                    </w:rPr>
                  </w:pPr>
                  <w:r>
                    <w:rPr>
                      <w:rFonts w:ascii="Times New Roman" w:hAnsi="Times New Roman" w:eastAsia="宋体" w:cs="Times New Roman"/>
                      <w:b/>
                      <w:bCs/>
                      <w:szCs w:val="21"/>
                    </w:rPr>
                    <w:t>无组织排放监控浓度限值</w:t>
                  </w:r>
                </w:p>
              </w:tc>
            </w:tr>
            <w:tr w14:paraId="11AB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jc w:val="center"/>
              </w:trPr>
              <w:tc>
                <w:tcPr>
                  <w:tcW w:w="1149" w:type="pct"/>
                  <w:vMerge w:val="continue"/>
                  <w:vAlign w:val="center"/>
                </w:tcPr>
                <w:p w14:paraId="17B48FBA">
                  <w:pPr>
                    <w:jc w:val="center"/>
                    <w:rPr>
                      <w:rFonts w:ascii="Times New Roman" w:hAnsi="Times New Roman" w:eastAsia="宋体" w:cs="Times New Roman"/>
                      <w:szCs w:val="21"/>
                    </w:rPr>
                  </w:pPr>
                </w:p>
              </w:tc>
              <w:tc>
                <w:tcPr>
                  <w:tcW w:w="2141" w:type="pct"/>
                </w:tcPr>
                <w:p w14:paraId="54DD0D1D">
                  <w:pPr>
                    <w:jc w:val="center"/>
                    <w:rPr>
                      <w:rFonts w:ascii="Times New Roman" w:hAnsi="Times New Roman" w:eastAsia="宋体" w:cs="Times New Roman"/>
                      <w:b/>
                      <w:bCs/>
                      <w:szCs w:val="21"/>
                    </w:rPr>
                  </w:pPr>
                  <w:r>
                    <w:rPr>
                      <w:rFonts w:ascii="Times New Roman" w:hAnsi="Times New Roman" w:eastAsia="宋体" w:cs="Times New Roman"/>
                      <w:b/>
                      <w:bCs/>
                      <w:szCs w:val="21"/>
                    </w:rPr>
                    <w:t>监控点</w:t>
                  </w:r>
                </w:p>
              </w:tc>
              <w:tc>
                <w:tcPr>
                  <w:tcW w:w="1710" w:type="pct"/>
                </w:tcPr>
                <w:p w14:paraId="6366CB73">
                  <w:pPr>
                    <w:jc w:val="center"/>
                    <w:rPr>
                      <w:rFonts w:ascii="Times New Roman" w:hAnsi="Times New Roman" w:eastAsia="宋体" w:cs="Times New Roman"/>
                      <w:b/>
                      <w:bCs/>
                      <w:szCs w:val="21"/>
                    </w:rPr>
                  </w:pPr>
                  <w:r>
                    <w:rPr>
                      <w:rFonts w:ascii="Times New Roman" w:hAnsi="Times New Roman" w:eastAsia="宋体" w:cs="Times New Roman"/>
                      <w:b/>
                      <w:bCs/>
                      <w:szCs w:val="21"/>
                    </w:rPr>
                    <w:t>浓度mg/m</w:t>
                  </w:r>
                  <w:r>
                    <w:rPr>
                      <w:rFonts w:ascii="Times New Roman" w:hAnsi="Times New Roman" w:eastAsia="宋体" w:cs="Times New Roman"/>
                      <w:b/>
                      <w:bCs/>
                      <w:szCs w:val="21"/>
                      <w:vertAlign w:val="superscript"/>
                    </w:rPr>
                    <w:t>3</w:t>
                  </w:r>
                </w:p>
              </w:tc>
            </w:tr>
            <w:tr w14:paraId="5712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49" w:type="pct"/>
                  <w:vAlign w:val="center"/>
                </w:tcPr>
                <w:p w14:paraId="40300749">
                  <w:pPr>
                    <w:jc w:val="center"/>
                    <w:rPr>
                      <w:rFonts w:ascii="Times New Roman" w:hAnsi="Times New Roman" w:eastAsia="宋体" w:cs="Times New Roman"/>
                      <w:szCs w:val="21"/>
                    </w:rPr>
                  </w:pPr>
                  <w:r>
                    <w:rPr>
                      <w:rFonts w:ascii="Times New Roman" w:hAnsi="Times New Roman" w:eastAsia="宋体" w:cs="Times New Roman"/>
                      <w:szCs w:val="21"/>
                    </w:rPr>
                    <w:t>颗粒物</w:t>
                  </w:r>
                </w:p>
              </w:tc>
              <w:tc>
                <w:tcPr>
                  <w:tcW w:w="2141" w:type="pct"/>
                  <w:vAlign w:val="center"/>
                </w:tcPr>
                <w:p w14:paraId="265013DF">
                  <w:pPr>
                    <w:jc w:val="center"/>
                    <w:rPr>
                      <w:rFonts w:ascii="Times New Roman" w:hAnsi="Times New Roman" w:eastAsia="宋体" w:cs="Times New Roman"/>
                      <w:szCs w:val="21"/>
                    </w:rPr>
                  </w:pPr>
                  <w:r>
                    <w:rPr>
                      <w:rFonts w:ascii="Times New Roman" w:hAnsi="Times New Roman" w:eastAsia="宋体" w:cs="Times New Roman"/>
                      <w:szCs w:val="21"/>
                    </w:rPr>
                    <w:t>周界外浓度最高点</w:t>
                  </w:r>
                </w:p>
              </w:tc>
              <w:tc>
                <w:tcPr>
                  <w:tcW w:w="1710" w:type="pct"/>
                  <w:vAlign w:val="center"/>
                </w:tcPr>
                <w:p w14:paraId="2A573BCF">
                  <w:pPr>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2FC814A1">
            <w:pPr>
              <w:ind w:firstLine="482"/>
              <w:rPr>
                <w:szCs w:val="21"/>
              </w:rPr>
            </w:pPr>
          </w:p>
          <w:p w14:paraId="2157BED3">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（2）运营期</w:t>
            </w:r>
          </w:p>
          <w:p w14:paraId="5C87A84B">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1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①</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锅炉烟气</w:t>
            </w:r>
          </w:p>
          <w:p w14:paraId="72C57469">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t>参照执行《锅炉大气污染物排放标准》（GB13271-2014）</w:t>
            </w:r>
            <w:r>
              <w:rPr>
                <w:rFonts w:hint="eastAsia" w:ascii="Times New Roman" w:hAnsi="Times New Roman" w:eastAsia="宋体" w:cs="Times New Roman"/>
                <w:kern w:val="0"/>
                <w:sz w:val="24"/>
              </w:rPr>
              <w:t>表2中</w:t>
            </w:r>
            <w:r>
              <w:rPr>
                <w:rFonts w:ascii="Times New Roman" w:hAnsi="Times New Roman" w:eastAsia="宋体" w:cs="Times New Roman"/>
                <w:kern w:val="0"/>
                <w:sz w:val="24"/>
              </w:rPr>
              <w:t>燃</w:t>
            </w:r>
            <w:r>
              <w:rPr>
                <w:rFonts w:hint="eastAsia" w:ascii="Times New Roman" w:hAnsi="Times New Roman" w:eastAsia="宋体" w:cs="Times New Roman"/>
                <w:kern w:val="0"/>
                <w:sz w:val="24"/>
              </w:rPr>
              <w:t>煤</w:t>
            </w:r>
            <w:r>
              <w:rPr>
                <w:rFonts w:ascii="Times New Roman" w:hAnsi="Times New Roman" w:eastAsia="宋体" w:cs="Times New Roman"/>
                <w:kern w:val="0"/>
                <w:sz w:val="24"/>
              </w:rPr>
              <w:t>锅炉大气污染物排放限值，标准限值见表3-7。</w:t>
            </w:r>
          </w:p>
          <w:p w14:paraId="3D5F9490">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表3-7    新建</w:t>
            </w:r>
            <w:r>
              <w:rPr>
                <w:rFonts w:hint="eastAsia" w:cs="Times New Roman"/>
                <w:b/>
                <w:kern w:val="0"/>
                <w:sz w:val="21"/>
                <w:szCs w:val="21"/>
                <w:lang w:val="zh-CN"/>
              </w:rPr>
              <w:t>锅炉</w:t>
            </w:r>
            <w:r>
              <w:rPr>
                <w:rFonts w:cs="Times New Roman"/>
                <w:b/>
                <w:kern w:val="0"/>
                <w:sz w:val="21"/>
                <w:szCs w:val="21"/>
                <w:lang w:val="zh-CN"/>
              </w:rPr>
              <w:t>大气污染物排放限值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1276"/>
              <w:gridCol w:w="1134"/>
              <w:gridCol w:w="2202"/>
            </w:tblGrid>
            <w:tr w14:paraId="59B9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457EFD4C">
                  <w:pPr>
                    <w:jc w:val="center"/>
                    <w:rPr>
                      <w:rFonts w:ascii="Times New Roman" w:hAnsi="Times New Roman" w:eastAsia="宋体" w:cs="Times New Roman"/>
                      <w:szCs w:val="21"/>
                    </w:rPr>
                  </w:pPr>
                  <w:r>
                    <w:rPr>
                      <w:rFonts w:hint="eastAsia" w:ascii="Times New Roman" w:hAnsi="Times New Roman" w:eastAsia="宋体" w:cs="Times New Roman"/>
                      <w:szCs w:val="21"/>
                    </w:rPr>
                    <w:t>污染物项目</w:t>
                  </w:r>
                </w:p>
              </w:tc>
              <w:tc>
                <w:tcPr>
                  <w:tcW w:w="1276" w:type="dxa"/>
                  <w:vAlign w:val="center"/>
                </w:tcPr>
                <w:p w14:paraId="7B7462AC">
                  <w:pPr>
                    <w:jc w:val="center"/>
                    <w:rPr>
                      <w:rFonts w:ascii="Times New Roman" w:hAnsi="Times New Roman" w:eastAsia="宋体" w:cs="Times New Roman"/>
                      <w:szCs w:val="21"/>
                    </w:rPr>
                  </w:pPr>
                  <w:r>
                    <w:rPr>
                      <w:rFonts w:hint="eastAsia" w:ascii="Times New Roman" w:hAnsi="Times New Roman" w:eastAsia="宋体" w:cs="Times New Roman"/>
                      <w:szCs w:val="21"/>
                    </w:rPr>
                    <w:t>排放浓度限值</w:t>
                  </w:r>
                </w:p>
              </w:tc>
              <w:tc>
                <w:tcPr>
                  <w:tcW w:w="1134" w:type="dxa"/>
                  <w:tcBorders>
                    <w:top w:val="single" w:color="auto" w:sz="4" w:space="0"/>
                    <w:left w:val="single" w:color="auto" w:sz="4" w:space="0"/>
                    <w:bottom w:val="single" w:color="auto" w:sz="4" w:space="0"/>
                    <w:right w:val="single" w:color="auto" w:sz="4" w:space="0"/>
                  </w:tcBorders>
                  <w:vAlign w:val="center"/>
                </w:tcPr>
                <w:p w14:paraId="596F9785">
                  <w:pPr>
                    <w:jc w:val="center"/>
                    <w:rPr>
                      <w:rFonts w:ascii="Times New Roman" w:hAnsi="Times New Roman" w:eastAsia="宋体" w:cs="Times New Roman"/>
                      <w:szCs w:val="21"/>
                    </w:rPr>
                  </w:pPr>
                  <w:r>
                    <w:rPr>
                      <w:rFonts w:hint="eastAsia" w:ascii="Times New Roman" w:hAnsi="Times New Roman" w:eastAsia="宋体" w:cs="Times New Roman"/>
                      <w:szCs w:val="21"/>
                    </w:rPr>
                    <w:t>排放高度限值</w:t>
                  </w:r>
                </w:p>
              </w:tc>
              <w:tc>
                <w:tcPr>
                  <w:tcW w:w="2202" w:type="dxa"/>
                  <w:vAlign w:val="center"/>
                </w:tcPr>
                <w:p w14:paraId="1E2D084C">
                  <w:pPr>
                    <w:jc w:val="center"/>
                    <w:rPr>
                      <w:rFonts w:ascii="Times New Roman" w:hAnsi="Times New Roman" w:eastAsia="宋体" w:cs="Times New Roman"/>
                      <w:szCs w:val="21"/>
                    </w:rPr>
                  </w:pPr>
                  <w:r>
                    <w:rPr>
                      <w:rFonts w:hint="eastAsia" w:ascii="Times New Roman" w:hAnsi="Times New Roman" w:eastAsia="宋体" w:cs="Times New Roman"/>
                      <w:szCs w:val="21"/>
                    </w:rPr>
                    <w:t>污染物排放监控位置</w:t>
                  </w:r>
                </w:p>
              </w:tc>
            </w:tr>
            <w:tr w14:paraId="0C3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141" w:type="dxa"/>
                  <w:vAlign w:val="center"/>
                </w:tcPr>
                <w:p w14:paraId="53D85749">
                  <w:pPr>
                    <w:jc w:val="center"/>
                    <w:rPr>
                      <w:rFonts w:ascii="Times New Roman" w:hAnsi="Times New Roman" w:eastAsia="宋体" w:cs="Times New Roman"/>
                      <w:szCs w:val="21"/>
                    </w:rPr>
                  </w:pPr>
                  <w:r>
                    <w:rPr>
                      <w:rFonts w:hint="eastAsia" w:ascii="Times New Roman" w:hAnsi="Times New Roman" w:eastAsia="宋体" w:cs="Times New Roman"/>
                      <w:szCs w:val="21"/>
                    </w:rPr>
                    <w:t>颗粒物</w:t>
                  </w:r>
                </w:p>
              </w:tc>
              <w:tc>
                <w:tcPr>
                  <w:tcW w:w="1276" w:type="dxa"/>
                  <w:vAlign w:val="center"/>
                </w:tcPr>
                <w:p w14:paraId="34724BC3">
                  <w:pPr>
                    <w:jc w:val="center"/>
                    <w:rPr>
                      <w:rFonts w:ascii="Times New Roman" w:hAnsi="Times New Roman" w:eastAsia="宋体" w:cs="Times New Roman"/>
                      <w:szCs w:val="21"/>
                    </w:rPr>
                  </w:pPr>
                  <w:r>
                    <w:rPr>
                      <w:rFonts w:ascii="Times New Roman" w:hAnsi="Times New Roman" w:eastAsia="宋体" w:cs="Times New Roman"/>
                      <w:szCs w:val="21"/>
                    </w:rPr>
                    <w:t>50</w:t>
                  </w:r>
                  <w:r>
                    <w:rPr>
                      <w:rFonts w:hint="eastAsia" w:ascii="Times New Roman" w:hAnsi="Times New Roman" w:eastAsia="宋体" w:cs="Times New Roman"/>
                      <w:szCs w:val="21"/>
                    </w:rPr>
                    <w:t>mg</w:t>
                  </w:r>
                  <w:r>
                    <w:rPr>
                      <w:rFonts w:ascii="Times New Roman" w:hAnsi="Times New Roman" w:eastAsia="宋体" w:cs="Times New Roman"/>
                      <w:szCs w:val="21"/>
                    </w:rPr>
                    <w:t>/</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p>
              </w:tc>
              <w:tc>
                <w:tcPr>
                  <w:tcW w:w="1134" w:type="dxa"/>
                  <w:vMerge w:val="restart"/>
                  <w:tcBorders>
                    <w:top w:val="single" w:color="auto" w:sz="4" w:space="0"/>
                    <w:left w:val="single" w:color="auto" w:sz="4" w:space="0"/>
                    <w:right w:val="single" w:color="auto" w:sz="4" w:space="0"/>
                  </w:tcBorders>
                  <w:vAlign w:val="center"/>
                </w:tcPr>
                <w:p w14:paraId="4175DE76">
                  <w:pPr>
                    <w:jc w:val="center"/>
                    <w:rPr>
                      <w:rFonts w:ascii="Times New Roman" w:hAnsi="Times New Roman" w:eastAsia="宋体" w:cs="Times New Roman"/>
                      <w:szCs w:val="21"/>
                    </w:rPr>
                  </w:pPr>
                  <w:r>
                    <w:rPr>
                      <w:rFonts w:ascii="Times New Roman" w:hAnsi="Times New Roman" w:eastAsia="宋体" w:cs="Times New Roman"/>
                      <w:szCs w:val="21"/>
                    </w:rPr>
                    <w:t>35</w:t>
                  </w:r>
                  <w:r>
                    <w:rPr>
                      <w:rFonts w:hint="eastAsia" w:ascii="Times New Roman" w:hAnsi="Times New Roman" w:eastAsia="宋体" w:cs="Times New Roman"/>
                      <w:szCs w:val="21"/>
                    </w:rPr>
                    <w:t>m</w:t>
                  </w:r>
                </w:p>
              </w:tc>
              <w:tc>
                <w:tcPr>
                  <w:tcW w:w="2202" w:type="dxa"/>
                  <w:vMerge w:val="restart"/>
                  <w:vAlign w:val="center"/>
                </w:tcPr>
                <w:p w14:paraId="189F2F0C">
                  <w:pPr>
                    <w:jc w:val="center"/>
                    <w:rPr>
                      <w:rFonts w:ascii="Times New Roman" w:hAnsi="Times New Roman" w:eastAsia="宋体" w:cs="Times New Roman"/>
                      <w:szCs w:val="21"/>
                    </w:rPr>
                  </w:pPr>
                  <w:r>
                    <w:rPr>
                      <w:rFonts w:hint="eastAsia" w:ascii="Times New Roman" w:hAnsi="Times New Roman" w:eastAsia="宋体" w:cs="Times New Roman"/>
                      <w:szCs w:val="21"/>
                    </w:rPr>
                    <w:t>烟囱或烟道</w:t>
                  </w:r>
                </w:p>
              </w:tc>
            </w:tr>
            <w:tr w14:paraId="25E0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5A7AEFFC">
                  <w:pPr>
                    <w:jc w:val="center"/>
                    <w:rPr>
                      <w:rFonts w:ascii="Times New Roman" w:hAnsi="Times New Roman" w:eastAsia="宋体" w:cs="Times New Roman"/>
                      <w:szCs w:val="21"/>
                    </w:rPr>
                  </w:pPr>
                  <w:r>
                    <w:rPr>
                      <w:rFonts w:hint="eastAsia" w:ascii="Times New Roman" w:hAnsi="Times New Roman" w:eastAsia="宋体" w:cs="Times New Roman"/>
                      <w:szCs w:val="21"/>
                    </w:rPr>
                    <w:t>二氧化硫</w:t>
                  </w:r>
                </w:p>
              </w:tc>
              <w:tc>
                <w:tcPr>
                  <w:tcW w:w="1276" w:type="dxa"/>
                  <w:vAlign w:val="center"/>
                </w:tcPr>
                <w:p w14:paraId="53D87DA6">
                  <w:pPr>
                    <w:jc w:val="center"/>
                    <w:rPr>
                      <w:rFonts w:ascii="Times New Roman" w:hAnsi="Times New Roman" w:eastAsia="宋体" w:cs="Times New Roman"/>
                      <w:szCs w:val="21"/>
                    </w:rPr>
                  </w:pPr>
                  <w:r>
                    <w:rPr>
                      <w:rFonts w:ascii="Times New Roman" w:hAnsi="Times New Roman" w:eastAsia="宋体" w:cs="Times New Roman"/>
                      <w:szCs w:val="21"/>
                    </w:rPr>
                    <w:t>300</w:t>
                  </w:r>
                  <w:r>
                    <w:rPr>
                      <w:rFonts w:hint="eastAsia" w:ascii="Times New Roman" w:hAnsi="Times New Roman" w:eastAsia="宋体" w:cs="Times New Roman"/>
                      <w:szCs w:val="21"/>
                    </w:rPr>
                    <w:t>mg</w:t>
                  </w:r>
                  <w:r>
                    <w:rPr>
                      <w:rFonts w:ascii="Times New Roman" w:hAnsi="Times New Roman" w:eastAsia="宋体" w:cs="Times New Roman"/>
                      <w:szCs w:val="21"/>
                    </w:rPr>
                    <w:t>/</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p>
              </w:tc>
              <w:tc>
                <w:tcPr>
                  <w:tcW w:w="1134" w:type="dxa"/>
                  <w:vMerge w:val="continue"/>
                  <w:tcBorders>
                    <w:left w:val="single" w:color="auto" w:sz="4" w:space="0"/>
                    <w:right w:val="single" w:color="auto" w:sz="4" w:space="0"/>
                  </w:tcBorders>
                  <w:vAlign w:val="center"/>
                </w:tcPr>
                <w:p w14:paraId="633AC9EE">
                  <w:pPr>
                    <w:jc w:val="center"/>
                    <w:rPr>
                      <w:rFonts w:ascii="Times New Roman" w:hAnsi="Times New Roman" w:eastAsia="宋体" w:cs="Times New Roman"/>
                      <w:szCs w:val="21"/>
                    </w:rPr>
                  </w:pPr>
                </w:p>
              </w:tc>
              <w:tc>
                <w:tcPr>
                  <w:tcW w:w="2202" w:type="dxa"/>
                  <w:vMerge w:val="continue"/>
                  <w:vAlign w:val="center"/>
                </w:tcPr>
                <w:p w14:paraId="6E168B49">
                  <w:pPr>
                    <w:jc w:val="center"/>
                    <w:rPr>
                      <w:rFonts w:ascii="Times New Roman" w:hAnsi="Times New Roman" w:eastAsia="宋体" w:cs="Times New Roman"/>
                      <w:szCs w:val="21"/>
                    </w:rPr>
                  </w:pPr>
                </w:p>
              </w:tc>
            </w:tr>
            <w:tr w14:paraId="3A51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47001F7C">
                  <w:pPr>
                    <w:jc w:val="center"/>
                    <w:rPr>
                      <w:rFonts w:ascii="Times New Roman" w:hAnsi="Times New Roman" w:eastAsia="宋体" w:cs="Times New Roman"/>
                      <w:szCs w:val="21"/>
                    </w:rPr>
                  </w:pPr>
                  <w:r>
                    <w:rPr>
                      <w:rFonts w:hint="eastAsia" w:ascii="Times New Roman" w:hAnsi="Times New Roman" w:eastAsia="宋体" w:cs="Times New Roman"/>
                      <w:szCs w:val="21"/>
                    </w:rPr>
                    <w:t>氮氧化物</w:t>
                  </w:r>
                </w:p>
              </w:tc>
              <w:tc>
                <w:tcPr>
                  <w:tcW w:w="1276" w:type="dxa"/>
                  <w:vAlign w:val="center"/>
                </w:tcPr>
                <w:p w14:paraId="13CE7533">
                  <w:pPr>
                    <w:jc w:val="center"/>
                    <w:rPr>
                      <w:rFonts w:ascii="Times New Roman" w:hAnsi="Times New Roman" w:eastAsia="宋体" w:cs="Times New Roman"/>
                      <w:szCs w:val="21"/>
                    </w:rPr>
                  </w:pPr>
                  <w:r>
                    <w:rPr>
                      <w:rFonts w:ascii="Times New Roman" w:hAnsi="Times New Roman" w:eastAsia="宋体" w:cs="Times New Roman"/>
                      <w:szCs w:val="21"/>
                    </w:rPr>
                    <w:t>300</w:t>
                  </w:r>
                  <w:r>
                    <w:rPr>
                      <w:rFonts w:hint="eastAsia" w:ascii="Times New Roman" w:hAnsi="Times New Roman" w:eastAsia="宋体" w:cs="Times New Roman"/>
                      <w:szCs w:val="21"/>
                    </w:rPr>
                    <w:t>mg</w:t>
                  </w:r>
                  <w:r>
                    <w:rPr>
                      <w:rFonts w:ascii="Times New Roman" w:hAnsi="Times New Roman" w:eastAsia="宋体" w:cs="Times New Roman"/>
                      <w:szCs w:val="21"/>
                    </w:rPr>
                    <w:t>/</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p>
              </w:tc>
              <w:tc>
                <w:tcPr>
                  <w:tcW w:w="1134" w:type="dxa"/>
                  <w:vMerge w:val="continue"/>
                  <w:tcBorders>
                    <w:left w:val="single" w:color="auto" w:sz="4" w:space="0"/>
                    <w:right w:val="single" w:color="auto" w:sz="4" w:space="0"/>
                  </w:tcBorders>
                  <w:vAlign w:val="center"/>
                </w:tcPr>
                <w:p w14:paraId="10348838">
                  <w:pPr>
                    <w:jc w:val="center"/>
                    <w:rPr>
                      <w:rFonts w:ascii="Times New Roman" w:hAnsi="Times New Roman" w:eastAsia="宋体" w:cs="Times New Roman"/>
                      <w:szCs w:val="21"/>
                    </w:rPr>
                  </w:pPr>
                </w:p>
              </w:tc>
              <w:tc>
                <w:tcPr>
                  <w:tcW w:w="2202" w:type="dxa"/>
                  <w:vMerge w:val="continue"/>
                  <w:vAlign w:val="center"/>
                </w:tcPr>
                <w:p w14:paraId="1C12CA9F">
                  <w:pPr>
                    <w:jc w:val="center"/>
                    <w:rPr>
                      <w:rFonts w:ascii="Times New Roman" w:hAnsi="Times New Roman" w:eastAsia="宋体" w:cs="Times New Roman"/>
                      <w:szCs w:val="21"/>
                    </w:rPr>
                  </w:pPr>
                </w:p>
              </w:tc>
            </w:tr>
            <w:tr w14:paraId="7840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141" w:type="dxa"/>
                  <w:vAlign w:val="center"/>
                </w:tcPr>
                <w:p w14:paraId="3FEDA626">
                  <w:pPr>
                    <w:jc w:val="center"/>
                    <w:rPr>
                      <w:rFonts w:ascii="Times New Roman" w:hAnsi="Times New Roman" w:eastAsia="宋体" w:cs="Times New Roman"/>
                      <w:szCs w:val="21"/>
                    </w:rPr>
                  </w:pPr>
                  <w:r>
                    <w:rPr>
                      <w:rFonts w:hint="eastAsia" w:ascii="Times New Roman" w:hAnsi="Times New Roman" w:eastAsia="宋体" w:cs="Times New Roman"/>
                      <w:szCs w:val="21"/>
                    </w:rPr>
                    <w:t>烟气黑度（林格曼黑度，级）</w:t>
                  </w:r>
                </w:p>
              </w:tc>
              <w:tc>
                <w:tcPr>
                  <w:tcW w:w="1276" w:type="dxa"/>
                  <w:vAlign w:val="center"/>
                </w:tcPr>
                <w:p w14:paraId="6263B778">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p>
              </w:tc>
              <w:tc>
                <w:tcPr>
                  <w:tcW w:w="1134" w:type="dxa"/>
                  <w:vMerge w:val="continue"/>
                  <w:tcBorders>
                    <w:left w:val="single" w:color="auto" w:sz="4" w:space="0"/>
                    <w:bottom w:val="single" w:color="auto" w:sz="4" w:space="0"/>
                    <w:right w:val="single" w:color="auto" w:sz="4" w:space="0"/>
                  </w:tcBorders>
                  <w:vAlign w:val="center"/>
                </w:tcPr>
                <w:p w14:paraId="26533CB5">
                  <w:pPr>
                    <w:jc w:val="center"/>
                    <w:rPr>
                      <w:rFonts w:ascii="Times New Roman" w:hAnsi="Times New Roman" w:eastAsia="宋体" w:cs="Times New Roman"/>
                      <w:szCs w:val="21"/>
                    </w:rPr>
                  </w:pPr>
                </w:p>
              </w:tc>
              <w:tc>
                <w:tcPr>
                  <w:tcW w:w="2202" w:type="dxa"/>
                  <w:vAlign w:val="center"/>
                </w:tcPr>
                <w:p w14:paraId="0C8050CB">
                  <w:pPr>
                    <w:jc w:val="center"/>
                    <w:rPr>
                      <w:rFonts w:ascii="Times New Roman" w:hAnsi="Times New Roman" w:eastAsia="宋体" w:cs="Times New Roman"/>
                      <w:szCs w:val="21"/>
                    </w:rPr>
                  </w:pPr>
                  <w:r>
                    <w:rPr>
                      <w:rFonts w:hint="eastAsia" w:ascii="Times New Roman" w:hAnsi="Times New Roman" w:eastAsia="宋体" w:cs="Times New Roman"/>
                      <w:szCs w:val="21"/>
                    </w:rPr>
                    <w:t>烟囱排放口</w:t>
                  </w:r>
                </w:p>
              </w:tc>
            </w:tr>
          </w:tbl>
          <w:p w14:paraId="2827174E">
            <w:pPr>
              <w:adjustRightInd w:val="0"/>
              <w:snapToGrid w:val="0"/>
              <w:jc w:val="center"/>
              <w:rPr>
                <w:rFonts w:ascii="Times New Roman" w:hAnsi="Times New Roman" w:cs="Times New Roman"/>
                <w:b/>
                <w:bCs/>
                <w:kern w:val="0"/>
                <w:szCs w:val="21"/>
              </w:rPr>
            </w:pPr>
          </w:p>
          <w:p w14:paraId="7807E022">
            <w:pPr>
              <w:adjustRightInd w:val="0"/>
              <w:spacing w:line="360" w:lineRule="auto"/>
              <w:ind w:firstLine="240" w:firstLineChars="100"/>
              <w:rPr>
                <w:rFonts w:ascii="Times New Roman" w:hAnsi="Times New Roman" w:eastAsia="宋体" w:cs="Times New Roman"/>
                <w:kern w:val="0"/>
                <w:sz w:val="24"/>
              </w:rPr>
            </w:pPr>
            <w:r>
              <w:rPr>
                <w:rFonts w:ascii="Times New Roman" w:hAnsi="Times New Roman" w:eastAsia="宋体" w:cs="Times New Roman"/>
                <w:kern w:val="0"/>
                <w:sz w:val="24"/>
              </w:rPr>
              <w:fldChar w:fldCharType="begin"/>
            </w:r>
            <w:r>
              <w:rPr>
                <w:rFonts w:ascii="Times New Roman" w:hAnsi="Times New Roman" w:eastAsia="宋体" w:cs="Times New Roman"/>
                <w:kern w:val="0"/>
                <w:sz w:val="24"/>
              </w:rPr>
              <w:instrText xml:space="preserve"> </w:instrText>
            </w:r>
            <w:r>
              <w:rPr>
                <w:rFonts w:hint="eastAsia" w:ascii="Times New Roman" w:hAnsi="Times New Roman" w:eastAsia="宋体" w:cs="Times New Roman"/>
                <w:kern w:val="0"/>
                <w:sz w:val="24"/>
              </w:rPr>
              <w:instrText xml:space="preserve">= 2 \* GB3</w:instrText>
            </w:r>
            <w:r>
              <w:rPr>
                <w:rFonts w:ascii="Times New Roman" w:hAnsi="Times New Roman" w:eastAsia="宋体" w:cs="Times New Roman"/>
                <w:kern w:val="0"/>
                <w:sz w:val="24"/>
              </w:rPr>
              <w:instrText xml:space="preserve"> </w:instrText>
            </w:r>
            <w:r>
              <w:rPr>
                <w:rFonts w:ascii="Times New Roman" w:hAnsi="Times New Roman" w:eastAsia="宋体" w:cs="Times New Roman"/>
                <w:kern w:val="0"/>
                <w:sz w:val="24"/>
              </w:rPr>
              <w:fldChar w:fldCharType="separate"/>
            </w:r>
            <w:r>
              <w:rPr>
                <w:rFonts w:hint="eastAsia" w:ascii="Times New Roman" w:hAnsi="Times New Roman" w:eastAsia="宋体" w:cs="Times New Roman"/>
                <w:kern w:val="0"/>
                <w:sz w:val="24"/>
              </w:rPr>
              <w:t>②</w:t>
            </w:r>
            <w:r>
              <w:rPr>
                <w:rFonts w:ascii="Times New Roman" w:hAnsi="Times New Roman" w:eastAsia="宋体" w:cs="Times New Roman"/>
                <w:kern w:val="0"/>
                <w:sz w:val="24"/>
              </w:rPr>
              <w:fldChar w:fldCharType="end"/>
            </w:r>
            <w:r>
              <w:rPr>
                <w:rFonts w:hint="eastAsia" w:ascii="Times New Roman" w:hAnsi="Times New Roman" w:eastAsia="宋体" w:cs="Times New Roman"/>
                <w:kern w:val="0"/>
                <w:sz w:val="24"/>
              </w:rPr>
              <w:t>恶臭气体</w:t>
            </w:r>
          </w:p>
          <w:p w14:paraId="51455E89">
            <w:pPr>
              <w:adjustRightInd w:val="0"/>
              <w:spacing w:line="360" w:lineRule="auto"/>
              <w:ind w:firstLine="240" w:firstLineChars="100"/>
              <w:rPr>
                <w:rFonts w:ascii="Times New Roman" w:hAnsi="Times New Roman" w:eastAsia="宋体" w:cs="Times New Roman"/>
                <w:kern w:val="0"/>
                <w:sz w:val="24"/>
              </w:rPr>
            </w:pPr>
            <w:r>
              <w:rPr>
                <w:rFonts w:hint="eastAsia" w:ascii="Times New Roman" w:hAnsi="Times New Roman" w:eastAsia="宋体" w:cs="Times New Roman"/>
                <w:kern w:val="0"/>
                <w:sz w:val="24"/>
              </w:rPr>
              <w:t>有组织排放的硫化氢、氨气执行《恶臭污染物排放标准》(GB14554-93）表2中相应标准，具体排放标准值见下表。</w:t>
            </w:r>
          </w:p>
          <w:p w14:paraId="1EA51B40">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 xml:space="preserve">表3-8    </w:t>
            </w:r>
            <w:r>
              <w:rPr>
                <w:rFonts w:hint="eastAsia" w:cs="Times New Roman"/>
                <w:b/>
                <w:kern w:val="0"/>
                <w:sz w:val="21"/>
                <w:szCs w:val="21"/>
                <w:lang w:val="zh-CN"/>
              </w:rPr>
              <w:t>恶臭污染物排放标准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2731"/>
              <w:gridCol w:w="2732"/>
            </w:tblGrid>
            <w:tr w14:paraId="5A5D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66665B8B">
                  <w:pPr>
                    <w:pStyle w:val="32"/>
                    <w:spacing w:before="31"/>
                    <w:rPr>
                      <w:rFonts w:ascii="Times New Roman"/>
                      <w:b/>
                      <w:bCs/>
                      <w:szCs w:val="21"/>
                    </w:rPr>
                  </w:pPr>
                  <w:r>
                    <w:rPr>
                      <w:rFonts w:hint="eastAsia" w:ascii="Times New Roman"/>
                      <w:b/>
                      <w:bCs/>
                      <w:szCs w:val="21"/>
                    </w:rPr>
                    <w:t>控制项目</w:t>
                  </w:r>
                </w:p>
              </w:tc>
              <w:tc>
                <w:tcPr>
                  <w:tcW w:w="2731" w:type="dxa"/>
                  <w:vAlign w:val="center"/>
                </w:tcPr>
                <w:p w14:paraId="10BA5A7C">
                  <w:pPr>
                    <w:pStyle w:val="32"/>
                    <w:spacing w:before="31"/>
                    <w:rPr>
                      <w:rFonts w:ascii="Times New Roman"/>
                      <w:b/>
                      <w:bCs/>
                      <w:szCs w:val="21"/>
                    </w:rPr>
                  </w:pPr>
                  <w:r>
                    <w:rPr>
                      <w:rFonts w:hint="eastAsia" w:ascii="Times New Roman"/>
                      <w:b/>
                      <w:bCs/>
                      <w:szCs w:val="21"/>
                    </w:rPr>
                    <w:t>标准值</w:t>
                  </w:r>
                </w:p>
              </w:tc>
              <w:tc>
                <w:tcPr>
                  <w:tcW w:w="2732" w:type="dxa"/>
                  <w:vAlign w:val="center"/>
                </w:tcPr>
                <w:p w14:paraId="03422C88">
                  <w:pPr>
                    <w:pStyle w:val="32"/>
                    <w:spacing w:before="31"/>
                    <w:rPr>
                      <w:rFonts w:ascii="Times New Roman"/>
                      <w:b/>
                      <w:bCs/>
                      <w:szCs w:val="21"/>
                    </w:rPr>
                  </w:pPr>
                  <w:r>
                    <w:rPr>
                      <w:rFonts w:hint="eastAsia" w:ascii="Times New Roman"/>
                      <w:b/>
                      <w:bCs/>
                      <w:szCs w:val="21"/>
                    </w:rPr>
                    <w:t>备注</w:t>
                  </w:r>
                </w:p>
              </w:tc>
            </w:tr>
            <w:tr w14:paraId="3FA7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24E5F50C">
                  <w:pPr>
                    <w:pStyle w:val="32"/>
                    <w:spacing w:before="31"/>
                    <w:rPr>
                      <w:rFonts w:ascii="Times New Roman"/>
                      <w:szCs w:val="21"/>
                    </w:rPr>
                  </w:pPr>
                  <w:r>
                    <w:rPr>
                      <w:rFonts w:hint="eastAsia" w:ascii="Times New Roman"/>
                      <w:szCs w:val="21"/>
                    </w:rPr>
                    <w:t>硫化氢</w:t>
                  </w:r>
                </w:p>
              </w:tc>
              <w:tc>
                <w:tcPr>
                  <w:tcW w:w="2731" w:type="dxa"/>
                  <w:vAlign w:val="center"/>
                </w:tcPr>
                <w:p w14:paraId="6584ACCB">
                  <w:pPr>
                    <w:pStyle w:val="32"/>
                    <w:spacing w:before="31"/>
                    <w:rPr>
                      <w:rFonts w:ascii="Times New Roman"/>
                      <w:szCs w:val="21"/>
                    </w:rPr>
                  </w:pPr>
                  <w:r>
                    <w:rPr>
                      <w:rFonts w:ascii="Times New Roman"/>
                      <w:szCs w:val="21"/>
                    </w:rPr>
                    <w:t>0.33</w:t>
                  </w:r>
                  <w:r>
                    <w:rPr>
                      <w:rFonts w:hint="eastAsia" w:ascii="Times New Roman"/>
                      <w:szCs w:val="21"/>
                    </w:rPr>
                    <w:t>kg/h</w:t>
                  </w:r>
                </w:p>
              </w:tc>
              <w:tc>
                <w:tcPr>
                  <w:tcW w:w="2732" w:type="dxa"/>
                  <w:vMerge w:val="restart"/>
                  <w:vAlign w:val="center"/>
                </w:tcPr>
                <w:p w14:paraId="527B9CD2">
                  <w:pPr>
                    <w:pStyle w:val="32"/>
                    <w:spacing w:before="31"/>
                    <w:rPr>
                      <w:rFonts w:ascii="Times New Roman"/>
                      <w:szCs w:val="21"/>
                    </w:rPr>
                  </w:pPr>
                  <w:r>
                    <w:rPr>
                      <w:rFonts w:ascii="Times New Roman"/>
                      <w:szCs w:val="21"/>
                    </w:rPr>
                    <w:t>15</w:t>
                  </w:r>
                  <w:r>
                    <w:rPr>
                      <w:rFonts w:hint="eastAsia" w:ascii="Times New Roman"/>
                      <w:szCs w:val="21"/>
                    </w:rPr>
                    <w:t>m高的烟囱</w:t>
                  </w:r>
                </w:p>
              </w:tc>
            </w:tr>
            <w:tr w14:paraId="0D20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52559EF2">
                  <w:pPr>
                    <w:pStyle w:val="32"/>
                    <w:spacing w:before="31"/>
                    <w:rPr>
                      <w:rFonts w:ascii="Times New Roman"/>
                      <w:szCs w:val="21"/>
                    </w:rPr>
                  </w:pPr>
                  <w:r>
                    <w:rPr>
                      <w:rFonts w:hint="eastAsia" w:ascii="Times New Roman"/>
                      <w:szCs w:val="21"/>
                    </w:rPr>
                    <w:t>氨气</w:t>
                  </w:r>
                </w:p>
              </w:tc>
              <w:tc>
                <w:tcPr>
                  <w:tcW w:w="2731" w:type="dxa"/>
                  <w:vAlign w:val="center"/>
                </w:tcPr>
                <w:p w14:paraId="3ACE4965">
                  <w:pPr>
                    <w:pStyle w:val="32"/>
                    <w:spacing w:before="31"/>
                    <w:rPr>
                      <w:rFonts w:ascii="Times New Roman"/>
                      <w:szCs w:val="21"/>
                    </w:rPr>
                  </w:pPr>
                  <w:r>
                    <w:rPr>
                      <w:rFonts w:ascii="Times New Roman"/>
                      <w:szCs w:val="21"/>
                    </w:rPr>
                    <w:t>4.9</w:t>
                  </w:r>
                  <w:r>
                    <w:rPr>
                      <w:rFonts w:hint="eastAsia" w:ascii="Times New Roman"/>
                      <w:szCs w:val="21"/>
                    </w:rPr>
                    <w:t>kg/h</w:t>
                  </w:r>
                </w:p>
              </w:tc>
              <w:tc>
                <w:tcPr>
                  <w:tcW w:w="2732" w:type="dxa"/>
                  <w:vMerge w:val="continue"/>
                  <w:vAlign w:val="center"/>
                </w:tcPr>
                <w:p w14:paraId="6B9893F7">
                  <w:pPr>
                    <w:pStyle w:val="32"/>
                    <w:spacing w:before="31"/>
                    <w:rPr>
                      <w:rFonts w:ascii="Times New Roman"/>
                      <w:szCs w:val="21"/>
                    </w:rPr>
                  </w:pPr>
                </w:p>
              </w:tc>
            </w:tr>
            <w:tr w14:paraId="62B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48A0BBA0">
                  <w:pPr>
                    <w:pStyle w:val="32"/>
                    <w:spacing w:before="31"/>
                    <w:rPr>
                      <w:rFonts w:ascii="Times New Roman"/>
                      <w:szCs w:val="21"/>
                    </w:rPr>
                  </w:pPr>
                  <w:r>
                    <w:rPr>
                      <w:rFonts w:hint="eastAsia" w:ascii="Times New Roman"/>
                      <w:szCs w:val="21"/>
                    </w:rPr>
                    <w:t>臭气浓度</w:t>
                  </w:r>
                </w:p>
              </w:tc>
              <w:tc>
                <w:tcPr>
                  <w:tcW w:w="2731" w:type="dxa"/>
                  <w:vAlign w:val="center"/>
                </w:tcPr>
                <w:p w14:paraId="14D652BF">
                  <w:pPr>
                    <w:pStyle w:val="32"/>
                    <w:spacing w:before="31"/>
                    <w:rPr>
                      <w:rFonts w:ascii="Times New Roman"/>
                      <w:szCs w:val="21"/>
                    </w:rPr>
                  </w:pPr>
                  <w:r>
                    <w:rPr>
                      <w:rFonts w:hint="eastAsia" w:ascii="Times New Roman"/>
                      <w:szCs w:val="21"/>
                    </w:rPr>
                    <w:t>2</w:t>
                  </w:r>
                  <w:r>
                    <w:rPr>
                      <w:rFonts w:ascii="Times New Roman"/>
                      <w:szCs w:val="21"/>
                    </w:rPr>
                    <w:t>000</w:t>
                  </w:r>
                  <w:r>
                    <w:rPr>
                      <w:rFonts w:hint="eastAsia" w:ascii="Times New Roman"/>
                      <w:szCs w:val="21"/>
                    </w:rPr>
                    <w:t>（无量纲）</w:t>
                  </w:r>
                </w:p>
              </w:tc>
              <w:tc>
                <w:tcPr>
                  <w:tcW w:w="2732" w:type="dxa"/>
                  <w:vMerge w:val="continue"/>
                  <w:vAlign w:val="center"/>
                </w:tcPr>
                <w:p w14:paraId="2B18705C">
                  <w:pPr>
                    <w:pStyle w:val="32"/>
                    <w:spacing w:before="31"/>
                    <w:rPr>
                      <w:rFonts w:ascii="Times New Roman"/>
                      <w:szCs w:val="21"/>
                    </w:rPr>
                  </w:pPr>
                </w:p>
              </w:tc>
            </w:tr>
            <w:tr w14:paraId="6AED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2324971A">
                  <w:pPr>
                    <w:pStyle w:val="32"/>
                    <w:spacing w:before="31"/>
                    <w:rPr>
                      <w:rFonts w:ascii="Times New Roman"/>
                      <w:szCs w:val="21"/>
                    </w:rPr>
                  </w:pPr>
                  <w:r>
                    <w:rPr>
                      <w:rFonts w:hint="eastAsia" w:ascii="Times New Roman"/>
                      <w:szCs w:val="21"/>
                    </w:rPr>
                    <w:t>硫化氢</w:t>
                  </w:r>
                </w:p>
              </w:tc>
              <w:tc>
                <w:tcPr>
                  <w:tcW w:w="2731" w:type="dxa"/>
                  <w:vAlign w:val="center"/>
                </w:tcPr>
                <w:p w14:paraId="7C4EFFAF">
                  <w:pPr>
                    <w:pStyle w:val="32"/>
                    <w:spacing w:before="31"/>
                    <w:rPr>
                      <w:rFonts w:ascii="Times New Roman"/>
                      <w:szCs w:val="21"/>
                    </w:rPr>
                  </w:pPr>
                  <w:r>
                    <w:rPr>
                      <w:rFonts w:hint="eastAsia" w:ascii="Times New Roman"/>
                      <w:szCs w:val="21"/>
                    </w:rPr>
                    <w:t>1</w:t>
                  </w:r>
                  <w:r>
                    <w:rPr>
                      <w:rFonts w:ascii="Times New Roman"/>
                      <w:szCs w:val="21"/>
                    </w:rPr>
                    <w:t>.8</w:t>
                  </w:r>
                  <w:r>
                    <w:rPr>
                      <w:rFonts w:hint="eastAsia" w:ascii="Times New Roman"/>
                      <w:szCs w:val="21"/>
                    </w:rPr>
                    <w:t>kg/h</w:t>
                  </w:r>
                </w:p>
              </w:tc>
              <w:tc>
                <w:tcPr>
                  <w:tcW w:w="2732" w:type="dxa"/>
                  <w:vMerge w:val="restart"/>
                  <w:vAlign w:val="center"/>
                </w:tcPr>
                <w:p w14:paraId="6A8982B0">
                  <w:pPr>
                    <w:pStyle w:val="32"/>
                    <w:spacing w:before="31"/>
                    <w:rPr>
                      <w:rFonts w:ascii="Times New Roman"/>
                      <w:szCs w:val="21"/>
                    </w:rPr>
                  </w:pPr>
                  <w:r>
                    <w:rPr>
                      <w:rFonts w:ascii="Times New Roman"/>
                      <w:szCs w:val="21"/>
                    </w:rPr>
                    <w:t>35</w:t>
                  </w:r>
                  <w:r>
                    <w:rPr>
                      <w:rFonts w:hint="eastAsia" w:ascii="Times New Roman"/>
                      <w:szCs w:val="21"/>
                    </w:rPr>
                    <w:t>m高的烟囱</w:t>
                  </w:r>
                </w:p>
              </w:tc>
            </w:tr>
            <w:tr w14:paraId="1893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5DF033FC">
                  <w:pPr>
                    <w:pStyle w:val="32"/>
                    <w:spacing w:before="31"/>
                    <w:rPr>
                      <w:rFonts w:ascii="Times New Roman"/>
                      <w:szCs w:val="21"/>
                    </w:rPr>
                  </w:pPr>
                  <w:r>
                    <w:rPr>
                      <w:rFonts w:hint="eastAsia" w:ascii="Times New Roman"/>
                      <w:szCs w:val="21"/>
                    </w:rPr>
                    <w:t>氨气</w:t>
                  </w:r>
                </w:p>
              </w:tc>
              <w:tc>
                <w:tcPr>
                  <w:tcW w:w="2731" w:type="dxa"/>
                  <w:vAlign w:val="center"/>
                </w:tcPr>
                <w:p w14:paraId="3F99E99D">
                  <w:pPr>
                    <w:pStyle w:val="32"/>
                    <w:spacing w:before="31"/>
                    <w:rPr>
                      <w:rFonts w:ascii="Times New Roman"/>
                      <w:szCs w:val="21"/>
                    </w:rPr>
                  </w:pPr>
                  <w:r>
                    <w:rPr>
                      <w:rFonts w:hint="eastAsia" w:ascii="Times New Roman"/>
                      <w:szCs w:val="21"/>
                    </w:rPr>
                    <w:t>2</w:t>
                  </w:r>
                  <w:r>
                    <w:rPr>
                      <w:rFonts w:ascii="Times New Roman"/>
                      <w:szCs w:val="21"/>
                    </w:rPr>
                    <w:t>7</w:t>
                  </w:r>
                  <w:r>
                    <w:rPr>
                      <w:rFonts w:hint="eastAsia" w:ascii="Times New Roman"/>
                      <w:szCs w:val="21"/>
                    </w:rPr>
                    <w:t>kg/h</w:t>
                  </w:r>
                </w:p>
              </w:tc>
              <w:tc>
                <w:tcPr>
                  <w:tcW w:w="2732" w:type="dxa"/>
                  <w:vMerge w:val="continue"/>
                  <w:vAlign w:val="center"/>
                </w:tcPr>
                <w:p w14:paraId="24503767">
                  <w:pPr>
                    <w:pStyle w:val="32"/>
                    <w:spacing w:before="31"/>
                    <w:rPr>
                      <w:rFonts w:ascii="Times New Roman"/>
                      <w:szCs w:val="21"/>
                    </w:rPr>
                  </w:pPr>
                </w:p>
              </w:tc>
            </w:tr>
            <w:tr w14:paraId="3335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vAlign w:val="center"/>
                </w:tcPr>
                <w:p w14:paraId="422584CA">
                  <w:pPr>
                    <w:pStyle w:val="32"/>
                    <w:spacing w:before="31"/>
                    <w:rPr>
                      <w:rFonts w:ascii="Times New Roman"/>
                      <w:szCs w:val="21"/>
                    </w:rPr>
                  </w:pPr>
                  <w:r>
                    <w:rPr>
                      <w:rFonts w:hint="eastAsia" w:ascii="Times New Roman"/>
                      <w:szCs w:val="21"/>
                    </w:rPr>
                    <w:t>臭气浓度</w:t>
                  </w:r>
                </w:p>
              </w:tc>
              <w:tc>
                <w:tcPr>
                  <w:tcW w:w="2731" w:type="dxa"/>
                  <w:vAlign w:val="center"/>
                </w:tcPr>
                <w:p w14:paraId="6F9B506B">
                  <w:pPr>
                    <w:pStyle w:val="32"/>
                    <w:spacing w:before="31"/>
                    <w:rPr>
                      <w:rFonts w:ascii="Times New Roman"/>
                      <w:szCs w:val="21"/>
                    </w:rPr>
                  </w:pPr>
                  <w:r>
                    <w:rPr>
                      <w:rFonts w:hint="eastAsia" w:ascii="Times New Roman"/>
                      <w:szCs w:val="21"/>
                    </w:rPr>
                    <w:t>1</w:t>
                  </w:r>
                  <w:r>
                    <w:rPr>
                      <w:rFonts w:ascii="Times New Roman"/>
                      <w:szCs w:val="21"/>
                    </w:rPr>
                    <w:t>5000</w:t>
                  </w:r>
                  <w:r>
                    <w:rPr>
                      <w:rFonts w:hint="eastAsia" w:ascii="Times New Roman"/>
                      <w:szCs w:val="21"/>
                    </w:rPr>
                    <w:t>（无量纲）</w:t>
                  </w:r>
                </w:p>
              </w:tc>
              <w:tc>
                <w:tcPr>
                  <w:tcW w:w="2732" w:type="dxa"/>
                  <w:vMerge w:val="continue"/>
                  <w:vAlign w:val="center"/>
                </w:tcPr>
                <w:p w14:paraId="378F0D4F">
                  <w:pPr>
                    <w:pStyle w:val="32"/>
                    <w:spacing w:before="31"/>
                    <w:rPr>
                      <w:rFonts w:ascii="Times New Roman"/>
                      <w:szCs w:val="21"/>
                    </w:rPr>
                  </w:pPr>
                </w:p>
              </w:tc>
            </w:tr>
          </w:tbl>
          <w:p w14:paraId="29676D28">
            <w:pPr>
              <w:adjustRightInd w:val="0"/>
              <w:spacing w:line="360" w:lineRule="auto"/>
              <w:rPr>
                <w:rFonts w:ascii="Times New Roman" w:hAnsi="Times New Roman" w:eastAsia="宋体" w:cs="Times New Roman"/>
                <w:szCs w:val="21"/>
              </w:rPr>
            </w:pPr>
          </w:p>
          <w:p w14:paraId="30F8491D">
            <w:pPr>
              <w:adjustRightInd w:val="0"/>
              <w:spacing w:line="360" w:lineRule="auto"/>
              <w:ind w:firstLine="240" w:firstLineChars="100"/>
              <w:rPr>
                <w:rFonts w:ascii="Times New Roman" w:hAnsi="Times New Roman" w:eastAsia="宋体" w:cs="Times New Roman"/>
                <w:szCs w:val="21"/>
              </w:rPr>
            </w:pPr>
            <w:r>
              <w:rPr>
                <w:rFonts w:hint="eastAsia" w:ascii="Times New Roman" w:hAnsi="Times New Roman" w:eastAsia="宋体" w:cs="Times New Roman"/>
                <w:kern w:val="0"/>
                <w:sz w:val="24"/>
              </w:rPr>
              <w:t>无组织排放的硫化氢、氨气执行《恶臭污染物排放标准》(GB14554-93)表1中二级标准。</w:t>
            </w:r>
          </w:p>
          <w:p w14:paraId="29B536B8">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 xml:space="preserve">表3-9   </w:t>
            </w:r>
            <w:r>
              <w:rPr>
                <w:rFonts w:hint="eastAsia" w:cs="Times New Roman"/>
                <w:b/>
                <w:kern w:val="0"/>
                <w:sz w:val="21"/>
                <w:szCs w:val="21"/>
                <w:lang w:val="zh-CN"/>
              </w:rPr>
              <w:t xml:space="preserve">恶臭污染物厂界标准值 </w:t>
            </w:r>
            <w:r>
              <w:rPr>
                <w:rFonts w:cs="Times New Roman"/>
                <w:b/>
                <w:bCs/>
                <w:kern w:val="0"/>
                <w:sz w:val="21"/>
                <w:szCs w:val="21"/>
              </w:rPr>
              <w:t>单位：mg/m</w:t>
            </w:r>
            <w:r>
              <w:rPr>
                <w:rFonts w:cs="Times New Roman"/>
                <w:b/>
                <w:bCs/>
                <w:kern w:val="0"/>
                <w:sz w:val="21"/>
                <w:szCs w:val="21"/>
                <w:vertAlign w:val="superscript"/>
              </w:rPr>
              <w:t>3</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4"/>
              <w:gridCol w:w="3514"/>
            </w:tblGrid>
            <w:tr w14:paraId="301E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3514" w:type="dxa"/>
                </w:tcPr>
                <w:p w14:paraId="43C3BA94">
                  <w:pPr>
                    <w:pStyle w:val="32"/>
                    <w:spacing w:before="31"/>
                    <w:rPr>
                      <w:rFonts w:ascii="Times New Roman"/>
                      <w:b/>
                      <w:bCs/>
                      <w:szCs w:val="21"/>
                    </w:rPr>
                  </w:pPr>
                  <w:r>
                    <w:rPr>
                      <w:rFonts w:hint="eastAsia" w:ascii="Times New Roman"/>
                      <w:b/>
                      <w:bCs/>
                      <w:szCs w:val="21"/>
                    </w:rPr>
                    <w:t>控制项目</w:t>
                  </w:r>
                </w:p>
              </w:tc>
              <w:tc>
                <w:tcPr>
                  <w:tcW w:w="3514" w:type="dxa"/>
                </w:tcPr>
                <w:p w14:paraId="732EE578">
                  <w:pPr>
                    <w:pStyle w:val="32"/>
                    <w:spacing w:before="31"/>
                    <w:rPr>
                      <w:rFonts w:ascii="Times New Roman"/>
                      <w:b/>
                      <w:bCs/>
                      <w:szCs w:val="21"/>
                    </w:rPr>
                  </w:pPr>
                  <w:r>
                    <w:rPr>
                      <w:rFonts w:hint="eastAsia" w:ascii="Times New Roman"/>
                      <w:b/>
                      <w:bCs/>
                      <w:szCs w:val="21"/>
                    </w:rPr>
                    <w:t>二级标准（无组织排放）</w:t>
                  </w:r>
                </w:p>
              </w:tc>
            </w:tr>
            <w:tr w14:paraId="40B7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40DD8011">
                  <w:pPr>
                    <w:pStyle w:val="32"/>
                    <w:spacing w:before="31"/>
                    <w:rPr>
                      <w:rFonts w:ascii="Times New Roman"/>
                      <w:szCs w:val="21"/>
                    </w:rPr>
                  </w:pPr>
                  <w:r>
                    <w:rPr>
                      <w:rFonts w:hint="eastAsia" w:ascii="Times New Roman"/>
                      <w:szCs w:val="21"/>
                    </w:rPr>
                    <w:t>硫化氢</w:t>
                  </w:r>
                </w:p>
              </w:tc>
              <w:tc>
                <w:tcPr>
                  <w:tcW w:w="3514" w:type="dxa"/>
                </w:tcPr>
                <w:p w14:paraId="1FA16F07">
                  <w:pPr>
                    <w:pStyle w:val="32"/>
                    <w:spacing w:before="31"/>
                    <w:rPr>
                      <w:rFonts w:ascii="Times New Roman"/>
                      <w:szCs w:val="21"/>
                    </w:rPr>
                  </w:pPr>
                  <w:r>
                    <w:rPr>
                      <w:rFonts w:hint="eastAsia" w:ascii="Times New Roman"/>
                      <w:szCs w:val="21"/>
                    </w:rPr>
                    <w:t>0</w:t>
                  </w:r>
                  <w:r>
                    <w:rPr>
                      <w:rFonts w:ascii="Times New Roman"/>
                      <w:szCs w:val="21"/>
                    </w:rPr>
                    <w:t>.06</w:t>
                  </w:r>
                </w:p>
              </w:tc>
            </w:tr>
            <w:tr w14:paraId="6F1F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7EE20A41">
                  <w:pPr>
                    <w:pStyle w:val="32"/>
                    <w:spacing w:before="31"/>
                    <w:rPr>
                      <w:rFonts w:ascii="Times New Roman"/>
                      <w:szCs w:val="21"/>
                    </w:rPr>
                  </w:pPr>
                  <w:r>
                    <w:rPr>
                      <w:rFonts w:hint="eastAsia" w:ascii="Times New Roman"/>
                      <w:szCs w:val="21"/>
                    </w:rPr>
                    <w:t>氨气</w:t>
                  </w:r>
                </w:p>
              </w:tc>
              <w:tc>
                <w:tcPr>
                  <w:tcW w:w="3514" w:type="dxa"/>
                </w:tcPr>
                <w:p w14:paraId="386AA845">
                  <w:pPr>
                    <w:pStyle w:val="32"/>
                    <w:spacing w:before="31"/>
                    <w:rPr>
                      <w:rFonts w:ascii="Times New Roman"/>
                      <w:szCs w:val="21"/>
                    </w:rPr>
                  </w:pPr>
                  <w:r>
                    <w:rPr>
                      <w:rFonts w:hint="eastAsia" w:ascii="Times New Roman"/>
                      <w:szCs w:val="21"/>
                    </w:rPr>
                    <w:t>1</w:t>
                  </w:r>
                  <w:r>
                    <w:rPr>
                      <w:rFonts w:ascii="Times New Roman"/>
                      <w:szCs w:val="21"/>
                    </w:rPr>
                    <w:t>.5</w:t>
                  </w:r>
                </w:p>
              </w:tc>
            </w:tr>
            <w:tr w14:paraId="5442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14" w:type="dxa"/>
                </w:tcPr>
                <w:p w14:paraId="16516CE1">
                  <w:pPr>
                    <w:pStyle w:val="32"/>
                    <w:spacing w:before="31"/>
                    <w:rPr>
                      <w:rFonts w:ascii="Times New Roman"/>
                      <w:szCs w:val="21"/>
                    </w:rPr>
                  </w:pPr>
                  <w:r>
                    <w:rPr>
                      <w:rFonts w:hint="eastAsia" w:ascii="Times New Roman"/>
                      <w:szCs w:val="21"/>
                    </w:rPr>
                    <w:t>臭气浓度</w:t>
                  </w:r>
                </w:p>
              </w:tc>
              <w:tc>
                <w:tcPr>
                  <w:tcW w:w="3514" w:type="dxa"/>
                </w:tcPr>
                <w:p w14:paraId="291C7981">
                  <w:pPr>
                    <w:pStyle w:val="32"/>
                    <w:spacing w:before="31"/>
                    <w:rPr>
                      <w:rFonts w:ascii="Times New Roman"/>
                      <w:szCs w:val="21"/>
                    </w:rPr>
                  </w:pPr>
                  <w:r>
                    <w:rPr>
                      <w:rFonts w:hint="eastAsia" w:ascii="Times New Roman"/>
                      <w:szCs w:val="21"/>
                    </w:rPr>
                    <w:t>2</w:t>
                  </w:r>
                  <w:r>
                    <w:rPr>
                      <w:rFonts w:ascii="Times New Roman"/>
                      <w:szCs w:val="21"/>
                    </w:rPr>
                    <w:t>0</w:t>
                  </w:r>
                  <w:r>
                    <w:rPr>
                      <w:rFonts w:hint="eastAsia" w:ascii="Times New Roman"/>
                      <w:szCs w:val="21"/>
                    </w:rPr>
                    <w:t>（无量纲）</w:t>
                  </w:r>
                </w:p>
              </w:tc>
            </w:tr>
          </w:tbl>
          <w:p w14:paraId="6ACE1C25">
            <w:pPr>
              <w:adjustRightInd w:val="0"/>
              <w:snapToGrid w:val="0"/>
              <w:jc w:val="center"/>
              <w:rPr>
                <w:rFonts w:ascii="Times New Roman" w:hAnsi="Times New Roman" w:eastAsia="宋体" w:cs="Times New Roman"/>
                <w:szCs w:val="21"/>
              </w:rPr>
            </w:pPr>
          </w:p>
          <w:p w14:paraId="72F6F3F4">
            <w:pPr>
              <w:tabs>
                <w:tab w:val="left" w:pos="6"/>
                <w:tab w:val="left" w:pos="33"/>
              </w:tabs>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食堂油烟</w:t>
            </w:r>
          </w:p>
          <w:p w14:paraId="1BE208E8">
            <w:pPr>
              <w:tabs>
                <w:tab w:val="left" w:pos="6"/>
                <w:tab w:val="left" w:pos="33"/>
              </w:tabs>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项目油烟参照执行《饮食业油烟排放标准》（GB18483-2001），本项目厨房灶头数为2个，厨房油烟最高允许排放浓度和油烟净化设施最低去除效率详见表3-10。</w:t>
            </w:r>
          </w:p>
          <w:p w14:paraId="295CC218">
            <w:pPr>
              <w:adjustRightInd w:val="0"/>
              <w:snapToGrid w:val="0"/>
              <w:jc w:val="center"/>
              <w:rPr>
                <w:rFonts w:ascii="Times New Roman" w:hAnsi="Times New Roman" w:cs="Times New Roman"/>
                <w:b/>
                <w:bCs/>
                <w:kern w:val="0"/>
                <w:szCs w:val="21"/>
              </w:rPr>
            </w:pPr>
            <w:r>
              <w:rPr>
                <w:rFonts w:ascii="Times New Roman" w:hAnsi="Times New Roman" w:cs="Times New Roman"/>
                <w:b/>
                <w:bCs/>
                <w:kern w:val="0"/>
                <w:szCs w:val="21"/>
              </w:rPr>
              <w:t>表3-10    饮食业单位排放标准值及油烟最低去除率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38"/>
              <w:gridCol w:w="3599"/>
            </w:tblGrid>
            <w:tr w14:paraId="2688E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38" w:type="dxa"/>
                  <w:vAlign w:val="center"/>
                </w:tcPr>
                <w:p w14:paraId="1BDB6B81">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规</w:t>
                  </w:r>
                  <w:r>
                    <w:rPr>
                      <w:rFonts w:hint="eastAsia" w:ascii="Times New Roman" w:hAnsi="Times New Roman" w:cs="Times New Roman"/>
                      <w:b/>
                      <w:bCs/>
                      <w:szCs w:val="21"/>
                    </w:rPr>
                    <w:t xml:space="preserve"> </w:t>
                  </w:r>
                  <w:r>
                    <w:rPr>
                      <w:rFonts w:ascii="Times New Roman" w:hAnsi="Times New Roman" w:cs="Times New Roman"/>
                      <w:b/>
                      <w:bCs/>
                      <w:szCs w:val="21"/>
                    </w:rPr>
                    <w:t>模</w:t>
                  </w:r>
                </w:p>
              </w:tc>
              <w:tc>
                <w:tcPr>
                  <w:tcW w:w="3599" w:type="dxa"/>
                  <w:vAlign w:val="center"/>
                </w:tcPr>
                <w:p w14:paraId="0E2B1989">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小</w:t>
                  </w:r>
                  <w:r>
                    <w:rPr>
                      <w:rFonts w:hint="eastAsia" w:ascii="Times New Roman" w:hAnsi="Times New Roman" w:cs="Times New Roman"/>
                      <w:b/>
                      <w:bCs/>
                      <w:szCs w:val="21"/>
                    </w:rPr>
                    <w:t xml:space="preserve"> </w:t>
                  </w:r>
                  <w:r>
                    <w:rPr>
                      <w:rFonts w:ascii="Times New Roman" w:hAnsi="Times New Roman" w:cs="Times New Roman"/>
                      <w:b/>
                      <w:bCs/>
                      <w:szCs w:val="21"/>
                    </w:rPr>
                    <w:t>型（灶头数≥1，＜3）</w:t>
                  </w:r>
                </w:p>
              </w:tc>
            </w:tr>
            <w:tr w14:paraId="65199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38" w:type="dxa"/>
                  <w:vAlign w:val="center"/>
                </w:tcPr>
                <w:p w14:paraId="5802DC7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最高允许排放浓度（mg/m</w:t>
                  </w:r>
                  <w:r>
                    <w:rPr>
                      <w:rFonts w:ascii="Times New Roman" w:hAnsi="Times New Roman" w:cs="Times New Roman"/>
                      <w:szCs w:val="21"/>
                      <w:vertAlign w:val="superscript"/>
                    </w:rPr>
                    <w:t>3</w:t>
                  </w:r>
                  <w:r>
                    <w:rPr>
                      <w:rFonts w:ascii="Times New Roman" w:hAnsi="Times New Roman" w:cs="Times New Roman"/>
                      <w:szCs w:val="21"/>
                    </w:rPr>
                    <w:t>）</w:t>
                  </w:r>
                </w:p>
              </w:tc>
              <w:tc>
                <w:tcPr>
                  <w:tcW w:w="3599" w:type="dxa"/>
                  <w:vAlign w:val="center"/>
                </w:tcPr>
                <w:p w14:paraId="7B8FA01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2.0</w:t>
                  </w:r>
                </w:p>
              </w:tc>
            </w:tr>
            <w:tr w14:paraId="67E3F1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38" w:type="dxa"/>
                  <w:vAlign w:val="center"/>
                </w:tcPr>
                <w:p w14:paraId="5F41D59A">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净化设施最低去除效率（%）</w:t>
                  </w:r>
                </w:p>
              </w:tc>
              <w:tc>
                <w:tcPr>
                  <w:tcW w:w="3599" w:type="dxa"/>
                  <w:vAlign w:val="center"/>
                </w:tcPr>
                <w:p w14:paraId="21E33A0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60</w:t>
                  </w:r>
                </w:p>
              </w:tc>
            </w:tr>
          </w:tbl>
          <w:p w14:paraId="44172B8F"/>
          <w:p w14:paraId="256BFCF5">
            <w:pPr>
              <w:pStyle w:val="11"/>
              <w:spacing w:after="0" w:line="360" w:lineRule="auto"/>
              <w:ind w:left="0" w:leftChars="0" w:firstLine="241" w:firstLineChars="100"/>
              <w:jc w:val="left"/>
              <w:rPr>
                <w:rFonts w:ascii="Times New Roman" w:hAnsi="Times New Roman" w:eastAsia="宋体" w:cs="Times New Roman"/>
                <w:b/>
                <w:bCs/>
                <w:kern w:val="0"/>
                <w:sz w:val="24"/>
              </w:rPr>
            </w:pPr>
          </w:p>
          <w:p w14:paraId="6E84844A">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3.7 废水排放标准</w:t>
            </w:r>
          </w:p>
          <w:p w14:paraId="4BBF9133">
            <w:pPr>
              <w:tabs>
                <w:tab w:val="left" w:pos="6"/>
                <w:tab w:val="left" w:pos="33"/>
              </w:tabs>
              <w:adjustRightIn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w:t>
            </w:r>
            <w:r>
              <w:rPr>
                <w:rFonts w:hint="eastAsia" w:ascii="Times New Roman" w:hAnsi="Times New Roman" w:cs="Times New Roman"/>
                <w:sz w:val="24"/>
              </w:rPr>
              <w:t>、运行期</w:t>
            </w:r>
            <w:r>
              <w:rPr>
                <w:rFonts w:ascii="Times New Roman" w:hAnsi="Times New Roman" w:cs="Times New Roman"/>
                <w:sz w:val="24"/>
              </w:rPr>
              <w:t>项目</w:t>
            </w:r>
            <w:r>
              <w:rPr>
                <w:rFonts w:hint="eastAsia" w:ascii="Times New Roman" w:hAnsi="Times New Roman" w:cs="Times New Roman"/>
                <w:sz w:val="24"/>
              </w:rPr>
              <w:t>均</w:t>
            </w:r>
            <w:r>
              <w:rPr>
                <w:rFonts w:ascii="Times New Roman" w:hAnsi="Times New Roman" w:cs="Times New Roman"/>
                <w:sz w:val="24"/>
              </w:rPr>
              <w:t>无污废水外排</w:t>
            </w:r>
            <w:r>
              <w:rPr>
                <w:rFonts w:hint="eastAsia" w:ascii="Times New Roman" w:hAnsi="Times New Roman" w:cs="Times New Roman"/>
                <w:sz w:val="24"/>
              </w:rPr>
              <w:t>，不设排放标准。</w:t>
            </w:r>
          </w:p>
          <w:p w14:paraId="1707CE2F">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 xml:space="preserve">3.8 </w:t>
            </w:r>
            <w:r>
              <w:rPr>
                <w:rFonts w:hint="eastAsia" w:ascii="Times New Roman" w:hAnsi="Times New Roman" w:eastAsia="宋体" w:cs="Times New Roman"/>
                <w:b/>
                <w:bCs/>
                <w:kern w:val="0"/>
                <w:sz w:val="24"/>
              </w:rPr>
              <w:t>噪声</w:t>
            </w:r>
          </w:p>
          <w:p w14:paraId="4FCF483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施工期噪声执行《建筑施工场界环境噪声排放标准》（GB12523-2011），具体标准限值详见表3-11。</w:t>
            </w:r>
          </w:p>
          <w:p w14:paraId="354A247B">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表3-11    建筑施工场界环境噪声排放标准</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595"/>
              <w:gridCol w:w="3578"/>
            </w:tblGrid>
            <w:tr w14:paraId="25A63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1" w:hRule="atLeast"/>
                <w:jc w:val="center"/>
              </w:trPr>
              <w:tc>
                <w:tcPr>
                  <w:tcW w:w="7173" w:type="dxa"/>
                  <w:gridSpan w:val="2"/>
                  <w:vAlign w:val="center"/>
                </w:tcPr>
                <w:p w14:paraId="27EB8E3C">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等效声级[dB(A)]</w:t>
                  </w:r>
                </w:p>
              </w:tc>
            </w:tr>
            <w:tr w14:paraId="2A137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3595" w:type="dxa"/>
                  <w:vAlign w:val="center"/>
                </w:tcPr>
                <w:p w14:paraId="14F5933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昼间</w:t>
                  </w:r>
                </w:p>
              </w:tc>
              <w:tc>
                <w:tcPr>
                  <w:tcW w:w="3578" w:type="dxa"/>
                  <w:vAlign w:val="center"/>
                </w:tcPr>
                <w:p w14:paraId="57780C9A">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夜间</w:t>
                  </w:r>
                </w:p>
              </w:tc>
            </w:tr>
            <w:tr w14:paraId="3B767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3595" w:type="dxa"/>
                  <w:vAlign w:val="center"/>
                </w:tcPr>
                <w:p w14:paraId="0979E4B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70</w:t>
                  </w:r>
                </w:p>
              </w:tc>
              <w:tc>
                <w:tcPr>
                  <w:tcW w:w="3578" w:type="dxa"/>
                  <w:vAlign w:val="center"/>
                </w:tcPr>
                <w:p w14:paraId="229083F3">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55</w:t>
                  </w:r>
                </w:p>
              </w:tc>
            </w:tr>
          </w:tbl>
          <w:p w14:paraId="2FE20886">
            <w:pPr>
              <w:ind w:firstLine="482"/>
              <w:rPr>
                <w:szCs w:val="21"/>
              </w:rPr>
            </w:pPr>
          </w:p>
          <w:p w14:paraId="48B9BBB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运营期厂界噪声执行《工业企业厂界环境噪声排放标准》（GB12348-2008）2类标准。</w:t>
            </w:r>
          </w:p>
          <w:p w14:paraId="214DDE09">
            <w:pPr>
              <w:pStyle w:val="53"/>
              <w:spacing w:before="156" w:beforeLines="50" w:line="240" w:lineRule="auto"/>
              <w:ind w:firstLine="0" w:firstLineChars="0"/>
              <w:jc w:val="center"/>
              <w:rPr>
                <w:rFonts w:cs="Times New Roman"/>
                <w:b/>
                <w:kern w:val="0"/>
                <w:sz w:val="21"/>
                <w:szCs w:val="21"/>
                <w:lang w:val="zh-CN"/>
              </w:rPr>
            </w:pPr>
            <w:r>
              <w:rPr>
                <w:rFonts w:cs="Times New Roman"/>
                <w:b/>
                <w:kern w:val="0"/>
                <w:sz w:val="21"/>
                <w:szCs w:val="21"/>
                <w:lang w:val="zh-CN"/>
              </w:rPr>
              <w:t>表3-12    工业企业厂界环境噪声排放限值  单位：dB(A)</w:t>
            </w:r>
          </w:p>
          <w:tbl>
            <w:tblPr>
              <w:tblStyle w:val="18"/>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1828"/>
              <w:gridCol w:w="1294"/>
              <w:gridCol w:w="1273"/>
            </w:tblGrid>
            <w:tr w14:paraId="1AAE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92" w:type="pct"/>
                  <w:gridSpan w:val="2"/>
                  <w:vMerge w:val="restart"/>
                  <w:vAlign w:val="center"/>
                </w:tcPr>
                <w:p w14:paraId="77030EA9">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厂界外声环境功能区类别</w:t>
                  </w:r>
                </w:p>
              </w:tc>
              <w:tc>
                <w:tcPr>
                  <w:tcW w:w="1708" w:type="pct"/>
                  <w:gridSpan w:val="2"/>
                  <w:vAlign w:val="center"/>
                </w:tcPr>
                <w:p w14:paraId="2E7F126C">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时段</w:t>
                  </w:r>
                </w:p>
              </w:tc>
            </w:tr>
            <w:tr w14:paraId="6A26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92" w:type="pct"/>
                  <w:gridSpan w:val="2"/>
                  <w:vMerge w:val="continue"/>
                  <w:vAlign w:val="center"/>
                </w:tcPr>
                <w:p w14:paraId="340A6ECB">
                  <w:pPr>
                    <w:autoSpaceDE w:val="0"/>
                    <w:autoSpaceDN w:val="0"/>
                    <w:adjustRightInd w:val="0"/>
                    <w:snapToGrid w:val="0"/>
                    <w:jc w:val="center"/>
                    <w:rPr>
                      <w:rFonts w:ascii="Times New Roman" w:hAnsi="Times New Roman" w:cs="Times New Roman"/>
                      <w:b/>
                      <w:bCs/>
                      <w:szCs w:val="21"/>
                    </w:rPr>
                  </w:pPr>
                </w:p>
              </w:tc>
              <w:tc>
                <w:tcPr>
                  <w:tcW w:w="861" w:type="pct"/>
                  <w:vAlign w:val="center"/>
                </w:tcPr>
                <w:p w14:paraId="23ECC289">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昼间</w:t>
                  </w:r>
                </w:p>
              </w:tc>
              <w:tc>
                <w:tcPr>
                  <w:tcW w:w="848" w:type="pct"/>
                  <w:vAlign w:val="center"/>
                </w:tcPr>
                <w:p w14:paraId="313F5A5C">
                  <w:pPr>
                    <w:autoSpaceDE w:val="0"/>
                    <w:autoSpaceDN w:val="0"/>
                    <w:adjustRightInd w:val="0"/>
                    <w:snapToGrid w:val="0"/>
                    <w:jc w:val="center"/>
                    <w:rPr>
                      <w:rFonts w:ascii="Times New Roman" w:hAnsi="Times New Roman" w:cs="Times New Roman"/>
                      <w:b/>
                      <w:bCs/>
                      <w:szCs w:val="21"/>
                    </w:rPr>
                  </w:pPr>
                  <w:r>
                    <w:rPr>
                      <w:rFonts w:ascii="Times New Roman" w:hAnsi="Times New Roman" w:cs="Times New Roman"/>
                      <w:b/>
                      <w:bCs/>
                      <w:szCs w:val="21"/>
                    </w:rPr>
                    <w:t>夜间</w:t>
                  </w:r>
                </w:p>
              </w:tc>
            </w:tr>
            <w:tr w14:paraId="4F98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76" w:type="pct"/>
                  <w:vAlign w:val="center"/>
                </w:tcPr>
                <w:p w14:paraId="2A13193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（GB12348-2008）中2类标准</w:t>
                  </w:r>
                </w:p>
              </w:tc>
              <w:tc>
                <w:tcPr>
                  <w:tcW w:w="1216" w:type="pct"/>
                  <w:vAlign w:val="center"/>
                </w:tcPr>
                <w:p w14:paraId="2F2FBE7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项目厂界四周</w:t>
                  </w:r>
                </w:p>
              </w:tc>
              <w:tc>
                <w:tcPr>
                  <w:tcW w:w="861" w:type="pct"/>
                  <w:vAlign w:val="center"/>
                </w:tcPr>
                <w:p w14:paraId="72A3B2B1">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60</w:t>
                  </w:r>
                </w:p>
              </w:tc>
              <w:tc>
                <w:tcPr>
                  <w:tcW w:w="848" w:type="pct"/>
                  <w:vAlign w:val="center"/>
                </w:tcPr>
                <w:p w14:paraId="0810D883">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50</w:t>
                  </w:r>
                </w:p>
              </w:tc>
            </w:tr>
          </w:tbl>
          <w:p w14:paraId="5987E7E8">
            <w:pPr>
              <w:adjustRightInd w:val="0"/>
              <w:ind w:firstLine="420" w:firstLineChars="200"/>
              <w:rPr>
                <w:rFonts w:ascii="Times New Roman" w:hAnsi="Times New Roman" w:eastAsia="宋体" w:cs="Times New Roman"/>
                <w:szCs w:val="21"/>
              </w:rPr>
            </w:pPr>
          </w:p>
          <w:p w14:paraId="099A681C">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 xml:space="preserve">3.9 </w:t>
            </w:r>
            <w:r>
              <w:rPr>
                <w:rFonts w:hint="eastAsia" w:ascii="Times New Roman" w:hAnsi="Times New Roman" w:eastAsia="宋体" w:cs="Times New Roman"/>
                <w:b/>
                <w:bCs/>
                <w:kern w:val="0"/>
                <w:sz w:val="24"/>
              </w:rPr>
              <w:t>固体废物</w:t>
            </w:r>
          </w:p>
          <w:p w14:paraId="44094DF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一般工业固废排放应依据固废鉴别结果相应执行《一般工业固废固体废物贮存、处置场所污染控制标准》（GB18599-2020）；危险废物执行《危险废物贮存污染控制标准》（GB18597-2001）及2013年修改单中有关要求。</w:t>
            </w:r>
          </w:p>
          <w:p w14:paraId="3A70E630">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3</w:t>
            </w:r>
            <w:r>
              <w:rPr>
                <w:rFonts w:ascii="Times New Roman" w:hAnsi="Times New Roman" w:eastAsia="宋体" w:cs="Times New Roman"/>
                <w:b/>
                <w:bCs/>
                <w:kern w:val="0"/>
                <w:sz w:val="24"/>
              </w:rPr>
              <w:t>.10</w:t>
            </w:r>
            <w:r>
              <w:rPr>
                <w:rFonts w:hint="eastAsia" w:ascii="Times New Roman" w:hAnsi="Times New Roman" w:eastAsia="宋体" w:cs="Times New Roman"/>
                <w:b/>
                <w:bCs/>
                <w:kern w:val="0"/>
                <w:sz w:val="24"/>
              </w:rPr>
              <w:t xml:space="preserve"> 中水回用</w:t>
            </w:r>
          </w:p>
          <w:p w14:paraId="14C8B00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执行</w:t>
            </w:r>
            <w:r>
              <w:rPr>
                <w:rFonts w:ascii="Times New Roman" w:hAnsi="Times New Roman" w:cs="Times New Roman"/>
                <w:sz w:val="24"/>
              </w:rPr>
              <w:t>《农田灌溉水质标准》（GB5084-2021）中的旱地灌溉水质标准</w:t>
            </w:r>
            <w:r>
              <w:rPr>
                <w:rFonts w:hint="eastAsia" w:ascii="Times New Roman" w:hAnsi="Times New Roman" w:cs="Times New Roman"/>
                <w:sz w:val="24"/>
              </w:rPr>
              <w:t>，具体见表</w:t>
            </w:r>
            <w:r>
              <w:rPr>
                <w:rFonts w:ascii="Times New Roman" w:hAnsi="Times New Roman" w:cs="Times New Roman"/>
                <w:sz w:val="24"/>
              </w:rPr>
              <w:t>3-13。</w:t>
            </w:r>
          </w:p>
          <w:p w14:paraId="221338D4">
            <w:pPr>
              <w:pStyle w:val="60"/>
              <w:spacing w:line="240" w:lineRule="auto"/>
              <w:rPr>
                <w:rFonts w:hAnsi="Times New Roman"/>
                <w:color w:val="auto"/>
              </w:rPr>
            </w:pPr>
            <w:r>
              <w:rPr>
                <w:rFonts w:hAnsi="Times New Roman"/>
                <w:color w:val="auto"/>
              </w:rPr>
              <w:t xml:space="preserve">表3-13    </w:t>
            </w:r>
            <w:r>
              <w:rPr>
                <w:rFonts w:hint="eastAsia" w:hAnsi="Times New Roman"/>
                <w:color w:val="auto"/>
              </w:rPr>
              <w:t>农田灌溉水质</w:t>
            </w:r>
            <w:r>
              <w:rPr>
                <w:rFonts w:hAnsi="Times New Roman"/>
                <w:color w:val="auto"/>
              </w:rPr>
              <w:t>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544"/>
              <w:gridCol w:w="3253"/>
            </w:tblGrid>
            <w:tr w14:paraId="7FC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849" w:type="dxa"/>
                </w:tcPr>
                <w:p w14:paraId="16B342AD">
                  <w:pPr>
                    <w:autoSpaceDE w:val="0"/>
                    <w:autoSpaceDN w:val="0"/>
                    <w:adjustRightInd w:val="0"/>
                    <w:snapToGrid w:val="0"/>
                    <w:jc w:val="center"/>
                    <w:rPr>
                      <w:rFonts w:ascii="Times New Roman" w:hAnsi="Times New Roman" w:cs="Times New Roman"/>
                      <w:b/>
                      <w:bCs/>
                      <w:szCs w:val="21"/>
                    </w:rPr>
                  </w:pPr>
                  <w:r>
                    <w:rPr>
                      <w:rFonts w:hint="eastAsia" w:ascii="Times New Roman" w:hAnsi="Times New Roman" w:cs="Times New Roman"/>
                      <w:b/>
                      <w:bCs/>
                      <w:szCs w:val="21"/>
                    </w:rPr>
                    <w:t>序号</w:t>
                  </w:r>
                </w:p>
              </w:tc>
              <w:tc>
                <w:tcPr>
                  <w:tcW w:w="3544" w:type="dxa"/>
                </w:tcPr>
                <w:p w14:paraId="72568952">
                  <w:pPr>
                    <w:autoSpaceDE w:val="0"/>
                    <w:autoSpaceDN w:val="0"/>
                    <w:adjustRightInd w:val="0"/>
                    <w:snapToGrid w:val="0"/>
                    <w:jc w:val="center"/>
                    <w:rPr>
                      <w:rFonts w:ascii="Times New Roman" w:hAnsi="Times New Roman" w:cs="Times New Roman"/>
                      <w:b/>
                      <w:bCs/>
                      <w:szCs w:val="21"/>
                    </w:rPr>
                  </w:pPr>
                  <w:r>
                    <w:rPr>
                      <w:rFonts w:hint="eastAsia" w:ascii="Times New Roman" w:hAnsi="Times New Roman" w:cs="Times New Roman"/>
                      <w:b/>
                      <w:bCs/>
                      <w:szCs w:val="21"/>
                    </w:rPr>
                    <w:t>项 目</w:t>
                  </w:r>
                </w:p>
              </w:tc>
              <w:tc>
                <w:tcPr>
                  <w:tcW w:w="3253" w:type="dxa"/>
                </w:tcPr>
                <w:p w14:paraId="33FA18FC">
                  <w:pPr>
                    <w:autoSpaceDE w:val="0"/>
                    <w:autoSpaceDN w:val="0"/>
                    <w:adjustRightInd w:val="0"/>
                    <w:snapToGrid w:val="0"/>
                    <w:jc w:val="center"/>
                    <w:rPr>
                      <w:rFonts w:ascii="Times New Roman" w:hAnsi="Times New Roman" w:cs="Times New Roman"/>
                      <w:b/>
                      <w:bCs/>
                      <w:szCs w:val="21"/>
                    </w:rPr>
                  </w:pPr>
                  <w:r>
                    <w:rPr>
                      <w:rFonts w:hint="eastAsia" w:ascii="Times New Roman" w:hAnsi="Times New Roman" w:cs="Times New Roman"/>
                      <w:b/>
                      <w:bCs/>
                      <w:szCs w:val="21"/>
                    </w:rPr>
                    <w:t>旱地作物</w:t>
                  </w:r>
                </w:p>
              </w:tc>
            </w:tr>
            <w:tr w14:paraId="1D84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250903A8">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p>
              </w:tc>
              <w:tc>
                <w:tcPr>
                  <w:tcW w:w="3544" w:type="dxa"/>
                </w:tcPr>
                <w:p w14:paraId="5539FC15">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pH</w:t>
                  </w:r>
                </w:p>
              </w:tc>
              <w:tc>
                <w:tcPr>
                  <w:tcW w:w="3253" w:type="dxa"/>
                </w:tcPr>
                <w:p w14:paraId="6FB418C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5.5~8.5</w:t>
                  </w:r>
                </w:p>
              </w:tc>
            </w:tr>
            <w:tr w14:paraId="4B35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05FBBBB9">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2</w:t>
                  </w:r>
                </w:p>
              </w:tc>
              <w:tc>
                <w:tcPr>
                  <w:tcW w:w="3544" w:type="dxa"/>
                </w:tcPr>
                <w:p w14:paraId="7F1A678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水温</w:t>
                  </w:r>
                </w:p>
              </w:tc>
              <w:tc>
                <w:tcPr>
                  <w:tcW w:w="3253" w:type="dxa"/>
                </w:tcPr>
                <w:p w14:paraId="202225D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≤35</w:t>
                  </w:r>
                  <w:r>
                    <w:rPr>
                      <w:rFonts w:hint="eastAsia" w:ascii="Times New Roman" w:hAnsi="Times New Roman" w:cs="Times New Roman"/>
                      <w:szCs w:val="21"/>
                    </w:rPr>
                    <w:t>℃</w:t>
                  </w:r>
                </w:p>
              </w:tc>
            </w:tr>
            <w:tr w14:paraId="16C2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36D33DEB">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3</w:t>
                  </w:r>
                </w:p>
              </w:tc>
              <w:tc>
                <w:tcPr>
                  <w:tcW w:w="3544" w:type="dxa"/>
                </w:tcPr>
                <w:p w14:paraId="33DD24C8">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悬浮物（SS）/（mg/L)</w:t>
                  </w:r>
                </w:p>
              </w:tc>
              <w:tc>
                <w:tcPr>
                  <w:tcW w:w="3253" w:type="dxa"/>
                </w:tcPr>
                <w:p w14:paraId="60AAD27D">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≤100</w:t>
                  </w:r>
                </w:p>
              </w:tc>
            </w:tr>
            <w:tr w14:paraId="0436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1DCC2EDA">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4</w:t>
                  </w:r>
                </w:p>
              </w:tc>
              <w:tc>
                <w:tcPr>
                  <w:tcW w:w="3544" w:type="dxa"/>
                </w:tcPr>
                <w:p w14:paraId="71573A31">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五日生化需氧量（BOD5）/（mg/L)</w:t>
                  </w:r>
                </w:p>
              </w:tc>
              <w:tc>
                <w:tcPr>
                  <w:tcW w:w="3253" w:type="dxa"/>
                </w:tcPr>
                <w:p w14:paraId="2E77284F">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≤100</w:t>
                  </w:r>
                </w:p>
              </w:tc>
            </w:tr>
            <w:tr w14:paraId="1879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638727FB">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5</w:t>
                  </w:r>
                </w:p>
              </w:tc>
              <w:tc>
                <w:tcPr>
                  <w:tcW w:w="3544" w:type="dxa"/>
                </w:tcPr>
                <w:p w14:paraId="13F538B8">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化学需氧量（COD）/（mg/L)</w:t>
                  </w:r>
                </w:p>
              </w:tc>
              <w:tc>
                <w:tcPr>
                  <w:tcW w:w="3253" w:type="dxa"/>
                </w:tcPr>
                <w:p w14:paraId="14D02C5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≤200</w:t>
                  </w:r>
                </w:p>
              </w:tc>
            </w:tr>
            <w:tr w14:paraId="1434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7505F0E0">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6</w:t>
                  </w:r>
                </w:p>
              </w:tc>
              <w:tc>
                <w:tcPr>
                  <w:tcW w:w="3544" w:type="dxa"/>
                </w:tcPr>
                <w:p w14:paraId="4B5EE8D5">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阴离子表面活性剂/（mg/L)</w:t>
                  </w:r>
                </w:p>
              </w:tc>
              <w:tc>
                <w:tcPr>
                  <w:tcW w:w="3253" w:type="dxa"/>
                </w:tcPr>
                <w:p w14:paraId="68BD9594">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≤5</w:t>
                  </w:r>
                </w:p>
              </w:tc>
            </w:tr>
            <w:tr w14:paraId="230D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2C9D53C2">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7</w:t>
                  </w:r>
                </w:p>
              </w:tc>
              <w:tc>
                <w:tcPr>
                  <w:tcW w:w="3544" w:type="dxa"/>
                </w:tcPr>
                <w:p w14:paraId="70D2ACAE">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氯化物（以 Cl -计）/（mg/L)</w:t>
                  </w:r>
                </w:p>
              </w:tc>
              <w:tc>
                <w:tcPr>
                  <w:tcW w:w="3253" w:type="dxa"/>
                </w:tcPr>
                <w:p w14:paraId="63E09C9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≤350</w:t>
                  </w:r>
                </w:p>
              </w:tc>
            </w:tr>
            <w:tr w14:paraId="4E3F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3913F85A">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8</w:t>
                  </w:r>
                </w:p>
              </w:tc>
              <w:tc>
                <w:tcPr>
                  <w:tcW w:w="3544" w:type="dxa"/>
                </w:tcPr>
                <w:p w14:paraId="363FC12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硫化物（以 S 2-计）/（mg/L)</w:t>
                  </w:r>
                </w:p>
              </w:tc>
              <w:tc>
                <w:tcPr>
                  <w:tcW w:w="3253" w:type="dxa"/>
                </w:tcPr>
                <w:p w14:paraId="14C33837">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w:t>
                  </w:r>
                </w:p>
              </w:tc>
            </w:tr>
            <w:tr w14:paraId="4BA9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64D34996">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9</w:t>
                  </w:r>
                </w:p>
              </w:tc>
              <w:tc>
                <w:tcPr>
                  <w:tcW w:w="3544" w:type="dxa"/>
                </w:tcPr>
                <w:p w14:paraId="034F58D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全盐量/（mg/L)</w:t>
                  </w:r>
                </w:p>
              </w:tc>
              <w:tc>
                <w:tcPr>
                  <w:tcW w:w="3253" w:type="dxa"/>
                </w:tcPr>
                <w:p w14:paraId="7366C600">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≤1000（非盐碱土地区）</w:t>
                  </w:r>
                </w:p>
              </w:tc>
            </w:tr>
            <w:tr w14:paraId="1E34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849" w:type="dxa"/>
                </w:tcPr>
                <w:p w14:paraId="393568BC">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3544" w:type="dxa"/>
                </w:tcPr>
                <w:p w14:paraId="76C1F38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总铅/（mg/L)</w:t>
                  </w:r>
                </w:p>
              </w:tc>
              <w:tc>
                <w:tcPr>
                  <w:tcW w:w="3253" w:type="dxa"/>
                </w:tcPr>
                <w:p w14:paraId="5515C79F">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≤0.2</w:t>
                  </w:r>
                </w:p>
              </w:tc>
            </w:tr>
            <w:tr w14:paraId="0D8A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3DBC2C8A">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w:t>
                  </w:r>
                </w:p>
              </w:tc>
              <w:tc>
                <w:tcPr>
                  <w:tcW w:w="3544" w:type="dxa"/>
                </w:tcPr>
                <w:p w14:paraId="644A04BF">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总镉/（mg/L)</w:t>
                  </w:r>
                </w:p>
              </w:tc>
              <w:tc>
                <w:tcPr>
                  <w:tcW w:w="3253" w:type="dxa"/>
                </w:tcPr>
                <w:p w14:paraId="2B2468F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≤0.01</w:t>
                  </w:r>
                </w:p>
              </w:tc>
            </w:tr>
            <w:tr w14:paraId="772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3B3505B4">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w:t>
                  </w:r>
                </w:p>
              </w:tc>
              <w:tc>
                <w:tcPr>
                  <w:tcW w:w="3544" w:type="dxa"/>
                </w:tcPr>
                <w:p w14:paraId="6810A881">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铬（六价）/（mg/L)</w:t>
                  </w:r>
                </w:p>
              </w:tc>
              <w:tc>
                <w:tcPr>
                  <w:tcW w:w="3253" w:type="dxa"/>
                </w:tcPr>
                <w:p w14:paraId="4C93CC2B">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≤0.1</w:t>
                  </w:r>
                </w:p>
              </w:tc>
            </w:tr>
            <w:tr w14:paraId="18DA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399A76AD">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3</w:t>
                  </w:r>
                </w:p>
              </w:tc>
              <w:tc>
                <w:tcPr>
                  <w:tcW w:w="3544" w:type="dxa"/>
                </w:tcPr>
                <w:p w14:paraId="36FA96EA">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总汞/（mg/L)</w:t>
                  </w:r>
                </w:p>
              </w:tc>
              <w:tc>
                <w:tcPr>
                  <w:tcW w:w="3253" w:type="dxa"/>
                </w:tcPr>
                <w:p w14:paraId="6D15191C">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≤0.001</w:t>
                  </w:r>
                </w:p>
              </w:tc>
            </w:tr>
            <w:tr w14:paraId="444F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753C5F92">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4</w:t>
                  </w:r>
                </w:p>
              </w:tc>
              <w:tc>
                <w:tcPr>
                  <w:tcW w:w="3544" w:type="dxa"/>
                </w:tcPr>
                <w:p w14:paraId="46E54CB3">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总砷/（mg/L)</w:t>
                  </w:r>
                </w:p>
              </w:tc>
              <w:tc>
                <w:tcPr>
                  <w:tcW w:w="3253" w:type="dxa"/>
                </w:tcPr>
                <w:p w14:paraId="5887AE7F">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≤0.1</w:t>
                  </w:r>
                </w:p>
              </w:tc>
            </w:tr>
            <w:tr w14:paraId="589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49" w:type="dxa"/>
                </w:tcPr>
                <w:p w14:paraId="5B660907">
                  <w:pPr>
                    <w:autoSpaceDE w:val="0"/>
                    <w:autoSpaceDN w:val="0"/>
                    <w:adjustRightInd w:val="0"/>
                    <w:snapToGrid w:val="0"/>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w:t>
                  </w:r>
                </w:p>
              </w:tc>
              <w:tc>
                <w:tcPr>
                  <w:tcW w:w="3544" w:type="dxa"/>
                </w:tcPr>
                <w:p w14:paraId="2E958E19">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粪大肠菌群数/（个/100mL）</w:t>
                  </w:r>
                </w:p>
              </w:tc>
              <w:tc>
                <w:tcPr>
                  <w:tcW w:w="3253" w:type="dxa"/>
                </w:tcPr>
                <w:p w14:paraId="3A677F49">
                  <w:pPr>
                    <w:autoSpaceDE w:val="0"/>
                    <w:autoSpaceDN w:val="0"/>
                    <w:adjustRightInd w:val="0"/>
                    <w:snapToGrid w:val="0"/>
                    <w:jc w:val="center"/>
                    <w:rPr>
                      <w:rFonts w:ascii="Times New Roman" w:hAnsi="Times New Roman" w:cs="Times New Roman"/>
                      <w:szCs w:val="21"/>
                    </w:rPr>
                  </w:pPr>
                  <w:r>
                    <w:rPr>
                      <w:rFonts w:ascii="Times New Roman" w:hAnsi="Times New Roman" w:cs="Times New Roman"/>
                      <w:szCs w:val="21"/>
                    </w:rPr>
                    <w:t>≤4000</w:t>
                  </w:r>
                </w:p>
              </w:tc>
            </w:tr>
          </w:tbl>
          <w:p w14:paraId="61FD551D">
            <w:pPr>
              <w:pStyle w:val="2"/>
              <w:pBdr>
                <w:bottom w:val="none" w:color="auto" w:sz="0" w:space="0"/>
              </w:pBdr>
            </w:pPr>
          </w:p>
          <w:p w14:paraId="4AE45D71">
            <w:pPr>
              <w:pStyle w:val="2"/>
              <w:pBdr>
                <w:bottom w:val="none" w:color="auto" w:sz="0" w:space="0"/>
              </w:pBdr>
              <w:jc w:val="both"/>
            </w:pPr>
          </w:p>
          <w:p w14:paraId="6C12E414">
            <w:pPr>
              <w:pStyle w:val="2"/>
              <w:jc w:val="both"/>
            </w:pPr>
          </w:p>
        </w:tc>
      </w:tr>
      <w:tr w14:paraId="196A9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75" w:type="dxa"/>
            <w:tcBorders>
              <w:top w:val="single" w:color="auto" w:sz="4" w:space="0"/>
              <w:left w:val="single" w:color="auto" w:sz="8" w:space="0"/>
              <w:bottom w:val="single" w:color="auto" w:sz="8" w:space="0"/>
              <w:right w:val="single" w:color="auto" w:sz="4" w:space="0"/>
            </w:tcBorders>
            <w:shd w:val="clear" w:color="auto" w:fill="auto"/>
            <w:vAlign w:val="center"/>
          </w:tcPr>
          <w:p w14:paraId="7C52F8A6">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总量</w:t>
            </w:r>
          </w:p>
          <w:p w14:paraId="29CB4FF7">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控制</w:t>
            </w:r>
          </w:p>
          <w:p w14:paraId="53CEEBF5">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指标</w:t>
            </w:r>
          </w:p>
        </w:tc>
        <w:tc>
          <w:tcPr>
            <w:tcW w:w="8415" w:type="dxa"/>
            <w:tcBorders>
              <w:top w:val="single" w:color="auto" w:sz="4" w:space="0"/>
              <w:left w:val="single" w:color="auto" w:sz="4" w:space="0"/>
              <w:bottom w:val="single" w:color="auto" w:sz="8" w:space="0"/>
              <w:right w:val="single" w:color="auto" w:sz="8" w:space="0"/>
            </w:tcBorders>
            <w:shd w:val="clear" w:color="auto" w:fill="auto"/>
            <w:vAlign w:val="center"/>
          </w:tcPr>
          <w:p w14:paraId="090E117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根据本项目的排污特征，结合国家污染物排放总量控制原则，列出本项目建议执行的总量控制指标：</w:t>
            </w:r>
          </w:p>
          <w:p w14:paraId="08AE97C2">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大气</w:t>
            </w:r>
          </w:p>
          <w:p w14:paraId="20F2D55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本项目涉及的大气总量控制指标为S</w:t>
            </w:r>
            <w:r>
              <w:rPr>
                <w:rFonts w:ascii="Times New Roman" w:hAnsi="Times New Roman" w:cs="Times New Roman"/>
                <w:sz w:val="24"/>
              </w:rPr>
              <w:t>O</w:t>
            </w:r>
            <w:r>
              <w:rPr>
                <w:rFonts w:ascii="Times New Roman" w:hAnsi="Times New Roman" w:cs="Times New Roman"/>
                <w:sz w:val="24"/>
                <w:vertAlign w:val="subscript"/>
              </w:rPr>
              <w:t>2</w:t>
            </w:r>
            <w:r>
              <w:rPr>
                <w:rFonts w:hint="eastAsia" w:ascii="Times New Roman" w:hAnsi="Times New Roman" w:cs="Times New Roman"/>
                <w:sz w:val="24"/>
              </w:rPr>
              <w:t>、</w:t>
            </w:r>
            <w:r>
              <w:rPr>
                <w:rFonts w:ascii="Times New Roman" w:hAnsi="Times New Roman" w:cs="Times New Roman"/>
                <w:sz w:val="24"/>
              </w:rPr>
              <w:t>NO</w:t>
            </w:r>
            <w:r>
              <w:rPr>
                <w:rFonts w:hint="eastAsia" w:ascii="Times New Roman" w:hAnsi="Times New Roman" w:cs="Times New Roman"/>
                <w:sz w:val="24"/>
              </w:rPr>
              <w:t>x，项目主要大气污染物排放量如下。</w:t>
            </w:r>
          </w:p>
          <w:p w14:paraId="43B0BCA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有组织废气：废气总量2611.25万Nm</w:t>
            </w:r>
            <w:r>
              <w:rPr>
                <w:rFonts w:ascii="Times New Roman" w:hAnsi="Times New Roman" w:cs="Times New Roman"/>
                <w:sz w:val="24"/>
                <w:vertAlign w:val="superscript"/>
              </w:rPr>
              <w:t>3</w:t>
            </w:r>
            <w:r>
              <w:rPr>
                <w:rFonts w:ascii="Times New Roman" w:hAnsi="Times New Roman" w:cs="Times New Roman"/>
                <w:sz w:val="24"/>
              </w:rPr>
              <w:t>/a，SO</w:t>
            </w:r>
            <w:r>
              <w:rPr>
                <w:rFonts w:ascii="Times New Roman" w:hAnsi="Times New Roman" w:cs="Times New Roman"/>
                <w:sz w:val="24"/>
                <w:vertAlign w:val="subscript"/>
              </w:rPr>
              <w:t>2</w:t>
            </w:r>
            <w:r>
              <w:rPr>
                <w:rFonts w:ascii="Times New Roman" w:hAnsi="Times New Roman" w:cs="Times New Roman"/>
                <w:sz w:val="24"/>
              </w:rPr>
              <w:t>排放总量为0.1840t/a，颗粒物 排放总量为0.117t/a，NOx排放总量为2.2129t/a，</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ascii="Times New Roman" w:hAnsi="Times New Roman" w:cs="Times New Roman"/>
                <w:sz w:val="24"/>
              </w:rPr>
              <w:t>排放总量为0.0315t/a，</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S排放量为1.49×10</w:t>
            </w:r>
            <w:r>
              <w:rPr>
                <w:rFonts w:ascii="Times New Roman" w:hAnsi="Times New Roman" w:cs="Times New Roman"/>
                <w:sz w:val="24"/>
                <w:vertAlign w:val="superscript"/>
              </w:rPr>
              <w:t>-4</w:t>
            </w:r>
            <w:r>
              <w:rPr>
                <w:rFonts w:ascii="Times New Roman" w:hAnsi="Times New Roman" w:cs="Times New Roman"/>
                <w:sz w:val="24"/>
              </w:rPr>
              <w:t>t/a。其中，锅炉排气筒（DA001）废气总排放量为1411.25 万Nm</w:t>
            </w:r>
            <w:r>
              <w:rPr>
                <w:rFonts w:ascii="Times New Roman" w:hAnsi="Times New Roman" w:cs="Times New Roman"/>
                <w:sz w:val="24"/>
                <w:vertAlign w:val="superscript"/>
              </w:rPr>
              <w:t>3</w:t>
            </w:r>
            <w:r>
              <w:rPr>
                <w:rFonts w:ascii="Times New Roman" w:hAnsi="Times New Roman" w:cs="Times New Roman"/>
                <w:sz w:val="24"/>
              </w:rPr>
              <w:t>/a，SO</w:t>
            </w:r>
            <w:r>
              <w:rPr>
                <w:rFonts w:ascii="Times New Roman" w:hAnsi="Times New Roman" w:cs="Times New Roman"/>
                <w:sz w:val="24"/>
                <w:vertAlign w:val="subscript"/>
              </w:rPr>
              <w:t>2</w:t>
            </w:r>
            <w:r>
              <w:rPr>
                <w:rFonts w:ascii="Times New Roman" w:hAnsi="Times New Roman" w:cs="Times New Roman"/>
                <w:sz w:val="24"/>
              </w:rPr>
              <w:t>排放量为0.1840t/a，颗粒物排放量为0.117t/a，NOx排放量为2.2129t/a，氨排放量为0.0038t/a，硫化氢排放量为0.1×10</w:t>
            </w:r>
            <w:r>
              <w:rPr>
                <w:rFonts w:ascii="Times New Roman" w:hAnsi="Times New Roman" w:cs="Times New Roman"/>
                <w:sz w:val="24"/>
                <w:vertAlign w:val="superscript"/>
              </w:rPr>
              <w:t>-4</w:t>
            </w:r>
            <w:r>
              <w:rPr>
                <w:rFonts w:hint="eastAsia" w:ascii="Times New Roman" w:hAnsi="Times New Roman" w:cs="Times New Roman"/>
                <w:sz w:val="24"/>
              </w:rPr>
              <w:t>t</w:t>
            </w:r>
            <w:r>
              <w:rPr>
                <w:rFonts w:ascii="Times New Roman" w:hAnsi="Times New Roman" w:cs="Times New Roman"/>
                <w:sz w:val="24"/>
              </w:rPr>
              <w:t>/a；车间废气排气筒（DA002）废气总排放量为1200万Nm</w:t>
            </w:r>
            <w:r>
              <w:rPr>
                <w:rFonts w:ascii="Times New Roman" w:hAnsi="Times New Roman" w:cs="Times New Roman"/>
                <w:sz w:val="24"/>
                <w:vertAlign w:val="superscript"/>
              </w:rPr>
              <w:t>3</w:t>
            </w:r>
            <w:r>
              <w:rPr>
                <w:rFonts w:ascii="Times New Roman" w:hAnsi="Times New Roman" w:cs="Times New Roman"/>
                <w:sz w:val="24"/>
              </w:rPr>
              <w:t>/a，</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ascii="Times New Roman" w:hAnsi="Times New Roman" w:cs="Times New Roman"/>
                <w:sz w:val="24"/>
              </w:rPr>
              <w:t>排放量为</w:t>
            </w:r>
            <w:r>
              <w:rPr>
                <w:rFonts w:hint="eastAsia" w:ascii="Times New Roman" w:hAnsi="Times New Roman" w:cs="Times New Roman"/>
                <w:sz w:val="24"/>
              </w:rPr>
              <w:t>0</w:t>
            </w:r>
            <w:r>
              <w:rPr>
                <w:rFonts w:ascii="Times New Roman" w:hAnsi="Times New Roman" w:cs="Times New Roman"/>
                <w:sz w:val="24"/>
              </w:rPr>
              <w:t>.0172t/a，</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S排放量为 0.54×10</w:t>
            </w:r>
            <w:r>
              <w:rPr>
                <w:rFonts w:ascii="Times New Roman" w:hAnsi="Times New Roman" w:cs="Times New Roman"/>
                <w:sz w:val="24"/>
                <w:vertAlign w:val="superscript"/>
              </w:rPr>
              <w:t>-4</w:t>
            </w:r>
            <w:r>
              <w:rPr>
                <w:rFonts w:ascii="Times New Roman" w:hAnsi="Times New Roman" w:cs="Times New Roman"/>
                <w:sz w:val="24"/>
              </w:rPr>
              <w:t>t/a。</w:t>
            </w:r>
          </w:p>
          <w:p w14:paraId="5080A77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无组织排放废气：</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ascii="Times New Roman" w:hAnsi="Times New Roman" w:cs="Times New Roman"/>
                <w:sz w:val="24"/>
              </w:rPr>
              <w:t xml:space="preserve"> 0.0105t/a</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 0.85×10</w:t>
            </w:r>
            <w:r>
              <w:rPr>
                <w:rFonts w:ascii="Times New Roman" w:hAnsi="Times New Roman" w:cs="Times New Roman"/>
                <w:sz w:val="24"/>
                <w:vertAlign w:val="superscript"/>
              </w:rPr>
              <w:t>-4</w:t>
            </w:r>
            <w:r>
              <w:rPr>
                <w:rFonts w:ascii="Times New Roman" w:hAnsi="Times New Roman" w:cs="Times New Roman"/>
                <w:sz w:val="24"/>
              </w:rPr>
              <w:t>t/</w:t>
            </w:r>
            <w:r>
              <w:rPr>
                <w:rFonts w:hint="eastAsia" w:ascii="Times New Roman" w:hAnsi="Times New Roman" w:cs="Times New Roman"/>
                <w:sz w:val="24"/>
              </w:rPr>
              <w:t>a</w:t>
            </w:r>
          </w:p>
          <w:p w14:paraId="3DF9445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建议总量控制指标为：S</w:t>
            </w:r>
            <w:r>
              <w:rPr>
                <w:rFonts w:ascii="Times New Roman" w:hAnsi="Times New Roman" w:cs="Times New Roman"/>
                <w:sz w:val="24"/>
              </w:rPr>
              <w:t>O</w:t>
            </w:r>
            <w:r>
              <w:rPr>
                <w:rFonts w:ascii="Times New Roman" w:hAnsi="Times New Roman" w:cs="Times New Roman"/>
                <w:sz w:val="24"/>
                <w:vertAlign w:val="subscript"/>
              </w:rPr>
              <w:t>2</w:t>
            </w:r>
            <w:r>
              <w:rPr>
                <w:rFonts w:hint="eastAsia" w:ascii="Times New Roman" w:hAnsi="Times New Roman" w:cs="Times New Roman"/>
                <w:sz w:val="24"/>
              </w:rPr>
              <w:t xml:space="preserve"> </w:t>
            </w:r>
            <w:r>
              <w:rPr>
                <w:rFonts w:ascii="Times New Roman" w:hAnsi="Times New Roman" w:cs="Times New Roman"/>
                <w:sz w:val="24"/>
              </w:rPr>
              <w:t>0.184</w:t>
            </w:r>
            <w:r>
              <w:rPr>
                <w:rFonts w:hint="eastAsia" w:ascii="Times New Roman" w:hAnsi="Times New Roman" w:cs="Times New Roman"/>
                <w:sz w:val="24"/>
              </w:rPr>
              <w:t>t/a、</w:t>
            </w:r>
            <w:r>
              <w:rPr>
                <w:rFonts w:ascii="Times New Roman" w:hAnsi="Times New Roman" w:cs="Times New Roman"/>
                <w:sz w:val="24"/>
              </w:rPr>
              <w:t>NO</w:t>
            </w:r>
            <w:r>
              <w:rPr>
                <w:rFonts w:hint="eastAsia" w:ascii="Times New Roman" w:hAnsi="Times New Roman" w:cs="Times New Roman"/>
                <w:sz w:val="24"/>
              </w:rPr>
              <w:t>x</w:t>
            </w:r>
            <w:r>
              <w:rPr>
                <w:rFonts w:ascii="Times New Roman" w:hAnsi="Times New Roman" w:cs="Times New Roman"/>
                <w:sz w:val="24"/>
              </w:rPr>
              <w:t xml:space="preserve"> 2.2129</w:t>
            </w:r>
            <w:r>
              <w:rPr>
                <w:rFonts w:hint="eastAsia" w:ascii="Times New Roman" w:hAnsi="Times New Roman" w:cs="Times New Roman"/>
                <w:sz w:val="24"/>
              </w:rPr>
              <w:t>t/a。</w:t>
            </w:r>
          </w:p>
          <w:p w14:paraId="2C5D64F0">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废水</w:t>
            </w:r>
          </w:p>
          <w:p w14:paraId="7C4067D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本</w:t>
            </w:r>
            <w:r>
              <w:rPr>
                <w:rFonts w:ascii="Times New Roman" w:hAnsi="Times New Roman" w:cs="Times New Roman"/>
                <w:sz w:val="24"/>
              </w:rPr>
              <w:t>项目无生产废水</w:t>
            </w:r>
            <w:r>
              <w:rPr>
                <w:rFonts w:hint="eastAsia" w:ascii="Times New Roman" w:hAnsi="Times New Roman" w:cs="Times New Roman"/>
                <w:sz w:val="24"/>
              </w:rPr>
              <w:t>和生活污水</w:t>
            </w:r>
            <w:r>
              <w:rPr>
                <w:rFonts w:ascii="Times New Roman" w:hAnsi="Times New Roman" w:cs="Times New Roman"/>
                <w:sz w:val="24"/>
              </w:rPr>
              <w:t>排放；</w:t>
            </w:r>
            <w:r>
              <w:rPr>
                <w:rFonts w:hint="eastAsia" w:ascii="Times New Roman" w:hAnsi="Times New Roman" w:cs="Times New Roman"/>
                <w:sz w:val="24"/>
              </w:rPr>
              <w:t>不建议设总量控制指标。</w:t>
            </w:r>
          </w:p>
          <w:p w14:paraId="603CED54">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固体废物</w:t>
            </w:r>
          </w:p>
          <w:p w14:paraId="4FAA456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本项目</w:t>
            </w:r>
            <w:r>
              <w:rPr>
                <w:rFonts w:ascii="Times New Roman" w:hAnsi="Times New Roman" w:cs="Times New Roman"/>
                <w:sz w:val="24"/>
              </w:rPr>
              <w:t>废油脂</w:t>
            </w:r>
            <w:r>
              <w:rPr>
                <w:rFonts w:hint="eastAsia" w:ascii="Times New Roman" w:hAnsi="Times New Roman" w:cs="Times New Roman"/>
                <w:sz w:val="24"/>
              </w:rPr>
              <w:t>产生量约0</w:t>
            </w:r>
            <w:r>
              <w:rPr>
                <w:rFonts w:ascii="Times New Roman" w:hAnsi="Times New Roman" w:cs="Times New Roman"/>
                <w:sz w:val="24"/>
              </w:rPr>
              <w:t>.05</w:t>
            </w:r>
            <w:r>
              <w:rPr>
                <w:rFonts w:hint="eastAsia" w:ascii="Times New Roman" w:hAnsi="Times New Roman" w:cs="Times New Roman"/>
                <w:sz w:val="24"/>
              </w:rPr>
              <w:t>t/a，</w:t>
            </w:r>
            <w:r>
              <w:rPr>
                <w:rFonts w:ascii="Times New Roman" w:hAnsi="Times New Roman" w:cs="Times New Roman"/>
                <w:sz w:val="24"/>
              </w:rPr>
              <w:t>泔水</w:t>
            </w:r>
            <w:r>
              <w:rPr>
                <w:rFonts w:hint="eastAsia" w:ascii="Times New Roman" w:hAnsi="Times New Roman" w:cs="Times New Roman"/>
                <w:sz w:val="24"/>
              </w:rPr>
              <w:t>产生量约</w:t>
            </w:r>
            <w:r>
              <w:rPr>
                <w:rFonts w:ascii="Times New Roman" w:hAnsi="Times New Roman" w:cs="Times New Roman"/>
                <w:sz w:val="24"/>
              </w:rPr>
              <w:t>1.62</w:t>
            </w:r>
            <w:r>
              <w:rPr>
                <w:rFonts w:hint="eastAsia" w:ascii="Times New Roman" w:hAnsi="Times New Roman" w:cs="Times New Roman"/>
                <w:sz w:val="24"/>
              </w:rPr>
              <w:t>t/a，</w:t>
            </w:r>
            <w:r>
              <w:rPr>
                <w:rFonts w:ascii="Times New Roman" w:hAnsi="Times New Roman" w:cs="Times New Roman"/>
                <w:sz w:val="24"/>
              </w:rPr>
              <w:t>生活垃圾</w:t>
            </w:r>
            <w:r>
              <w:rPr>
                <w:rFonts w:hint="eastAsia" w:ascii="Times New Roman" w:hAnsi="Times New Roman" w:cs="Times New Roman"/>
                <w:sz w:val="24"/>
              </w:rPr>
              <w:t>产生量约</w:t>
            </w:r>
            <w:r>
              <w:rPr>
                <w:rFonts w:ascii="Times New Roman" w:hAnsi="Times New Roman" w:cs="Times New Roman"/>
                <w:sz w:val="24"/>
              </w:rPr>
              <w:t>4.05</w:t>
            </w:r>
            <w:r>
              <w:rPr>
                <w:rFonts w:hint="eastAsia" w:ascii="Times New Roman" w:hAnsi="Times New Roman" w:cs="Times New Roman"/>
                <w:sz w:val="24"/>
              </w:rPr>
              <w:t>t/a，脱硫塔沉渣产生量约</w:t>
            </w:r>
            <w:r>
              <w:rPr>
                <w:rFonts w:ascii="Times New Roman" w:hAnsi="Times New Roman" w:cs="Times New Roman"/>
                <w:sz w:val="24"/>
              </w:rPr>
              <w:t>3.13</w:t>
            </w:r>
            <w:r>
              <w:rPr>
                <w:rFonts w:hint="eastAsia" w:ascii="Times New Roman" w:hAnsi="Times New Roman" w:cs="Times New Roman"/>
                <w:sz w:val="24"/>
              </w:rPr>
              <w:t>t/a，废活性炭产生量约</w:t>
            </w:r>
            <w:r>
              <w:rPr>
                <w:rFonts w:ascii="Times New Roman" w:hAnsi="Times New Roman" w:cs="Times New Roman"/>
                <w:sz w:val="24"/>
              </w:rPr>
              <w:t>1.20</w:t>
            </w:r>
            <w:r>
              <w:rPr>
                <w:rFonts w:hint="eastAsia" w:ascii="Times New Roman" w:hAnsi="Times New Roman" w:cs="Times New Roman"/>
                <w:sz w:val="24"/>
              </w:rPr>
              <w:t>t/a，废包装袋产生量约</w:t>
            </w:r>
            <w:r>
              <w:rPr>
                <w:rFonts w:ascii="Times New Roman" w:hAnsi="Times New Roman" w:cs="Times New Roman"/>
                <w:sz w:val="24"/>
              </w:rPr>
              <w:t>0.10</w:t>
            </w:r>
            <w:r>
              <w:rPr>
                <w:rFonts w:hint="eastAsia" w:ascii="Times New Roman" w:hAnsi="Times New Roman" w:cs="Times New Roman"/>
                <w:sz w:val="24"/>
              </w:rPr>
              <w:t>t/a，锅炉炉渣产生量约</w:t>
            </w:r>
            <w:r>
              <w:rPr>
                <w:rFonts w:ascii="Times New Roman" w:hAnsi="Times New Roman" w:cs="Times New Roman"/>
                <w:sz w:val="24"/>
              </w:rPr>
              <w:t>29.52</w:t>
            </w:r>
            <w:r>
              <w:rPr>
                <w:rFonts w:hint="eastAsia" w:ascii="Times New Roman" w:hAnsi="Times New Roman" w:cs="Times New Roman"/>
                <w:sz w:val="24"/>
              </w:rPr>
              <w:t>t/a，污泥产生量约</w:t>
            </w:r>
            <w:r>
              <w:rPr>
                <w:rFonts w:ascii="Times New Roman" w:hAnsi="Times New Roman" w:cs="Times New Roman"/>
                <w:sz w:val="24"/>
              </w:rPr>
              <w:t>0.59</w:t>
            </w:r>
            <w:r>
              <w:rPr>
                <w:rFonts w:hint="eastAsia" w:ascii="Times New Roman" w:hAnsi="Times New Roman" w:cs="Times New Roman"/>
                <w:sz w:val="24"/>
              </w:rPr>
              <w:t>t/a，废机油产生量约</w:t>
            </w:r>
            <w:r>
              <w:rPr>
                <w:rFonts w:ascii="Times New Roman" w:hAnsi="Times New Roman" w:cs="Times New Roman"/>
                <w:sz w:val="24"/>
              </w:rPr>
              <w:t>0.31</w:t>
            </w:r>
            <w:r>
              <w:rPr>
                <w:rFonts w:hint="eastAsia" w:ascii="Times New Roman" w:hAnsi="Times New Roman" w:cs="Times New Roman"/>
                <w:sz w:val="24"/>
              </w:rPr>
              <w:t>t/a，以上固废均可得到合理处置，</w:t>
            </w:r>
            <w:r>
              <w:rPr>
                <w:rFonts w:ascii="Times New Roman" w:hAnsi="Times New Roman" w:cs="Times New Roman"/>
                <w:sz w:val="24"/>
              </w:rPr>
              <w:t>处置率100%。</w:t>
            </w:r>
          </w:p>
          <w:p w14:paraId="1419A081">
            <w:pPr>
              <w:pStyle w:val="2"/>
              <w:pBdr>
                <w:bottom w:val="none" w:color="auto" w:sz="0" w:space="0"/>
              </w:pBdr>
            </w:pPr>
          </w:p>
          <w:p w14:paraId="40581624">
            <w:pPr>
              <w:pStyle w:val="2"/>
              <w:pBdr>
                <w:bottom w:val="none" w:color="auto" w:sz="0" w:space="0"/>
              </w:pBdr>
            </w:pPr>
          </w:p>
          <w:p w14:paraId="792B622B"/>
        </w:tc>
      </w:tr>
    </w:tbl>
    <w:p w14:paraId="187531D1">
      <w:pPr>
        <w:rPr>
          <w:rFonts w:ascii="黑体" w:hAnsi="宋体" w:eastAsia="黑体" w:cs="Times New Roman"/>
          <w:snapToGrid w:val="0"/>
          <w:sz w:val="30"/>
          <w:szCs w:val="30"/>
          <w:lang w:bidi="ar"/>
        </w:rPr>
        <w:sectPr>
          <w:pgSz w:w="11915" w:h="16840"/>
          <w:pgMar w:top="1702" w:right="1531" w:bottom="1702" w:left="1531" w:header="851" w:footer="851" w:gutter="0"/>
          <w:cols w:space="425" w:num="1"/>
          <w:docGrid w:type="lines" w:linePitch="312" w:charSpace="0"/>
        </w:sectPr>
      </w:pPr>
    </w:p>
    <w:p w14:paraId="6CB9CD1B">
      <w:pPr>
        <w:pStyle w:val="16"/>
        <w:spacing w:before="312" w:beforeLines="100" w:beforeAutospacing="0" w:after="312" w:afterLines="100" w:afterAutospacing="0"/>
        <w:jc w:val="center"/>
        <w:outlineLvl w:val="0"/>
        <w:rPr>
          <w:rFonts w:ascii="黑体" w:eastAsia="黑体" w:cs="黑体"/>
          <w:snapToGrid w:val="0"/>
          <w:sz w:val="30"/>
          <w:szCs w:val="30"/>
        </w:rPr>
      </w:pPr>
      <w:bookmarkStart w:id="64" w:name="_Toc30950"/>
      <w:r>
        <w:rPr>
          <w:rFonts w:ascii="黑体" w:eastAsia="黑体" w:cs="黑体"/>
          <w:snapToGrid w:val="0"/>
          <w:sz w:val="30"/>
          <w:szCs w:val="30"/>
        </w:rPr>
        <w:t>四、主要环境影响和保护措施</w:t>
      </w:r>
      <w:bookmarkEnd w:id="64"/>
    </w:p>
    <w:tbl>
      <w:tblPr>
        <w:tblStyle w:val="1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368"/>
      </w:tblGrid>
      <w:tr w14:paraId="34B36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540"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14:paraId="6B19BC52">
            <w:pPr>
              <w:pStyle w:val="16"/>
              <w:adjustRightInd w:val="0"/>
              <w:snapToGrid w:val="0"/>
              <w:spacing w:beforeAutospacing="0" w:afterAutospacing="0"/>
              <w:jc w:val="center"/>
              <w:rPr>
                <w:rFonts w:cs="宋体"/>
                <w:kern w:val="2"/>
                <w:sz w:val="21"/>
                <w:szCs w:val="21"/>
              </w:rPr>
            </w:pPr>
            <w:r>
              <w:rPr>
                <w:rFonts w:cs="宋体"/>
                <w:kern w:val="2"/>
                <w:sz w:val="21"/>
                <w:szCs w:val="21"/>
              </w:rPr>
              <w:t>施</w:t>
            </w:r>
          </w:p>
          <w:p w14:paraId="2621CCB1">
            <w:pPr>
              <w:pStyle w:val="16"/>
              <w:adjustRightInd w:val="0"/>
              <w:snapToGrid w:val="0"/>
              <w:spacing w:beforeAutospacing="0" w:afterAutospacing="0"/>
              <w:jc w:val="center"/>
              <w:rPr>
                <w:rFonts w:cs="宋体"/>
                <w:kern w:val="2"/>
                <w:sz w:val="21"/>
                <w:szCs w:val="21"/>
              </w:rPr>
            </w:pPr>
            <w:r>
              <w:rPr>
                <w:rFonts w:cs="宋体"/>
                <w:kern w:val="2"/>
                <w:sz w:val="21"/>
                <w:szCs w:val="21"/>
              </w:rPr>
              <w:t>工</w:t>
            </w:r>
          </w:p>
          <w:p w14:paraId="569ADACF">
            <w:pPr>
              <w:pStyle w:val="16"/>
              <w:adjustRightInd w:val="0"/>
              <w:snapToGrid w:val="0"/>
              <w:spacing w:beforeAutospacing="0" w:afterAutospacing="0"/>
              <w:jc w:val="center"/>
              <w:rPr>
                <w:rFonts w:cs="宋体"/>
                <w:kern w:val="2"/>
                <w:sz w:val="21"/>
                <w:szCs w:val="21"/>
              </w:rPr>
            </w:pPr>
            <w:r>
              <w:rPr>
                <w:rFonts w:cs="宋体"/>
                <w:kern w:val="2"/>
                <w:sz w:val="21"/>
                <w:szCs w:val="21"/>
              </w:rPr>
              <w:t>期</w:t>
            </w:r>
          </w:p>
          <w:p w14:paraId="3664D9E6">
            <w:pPr>
              <w:pStyle w:val="16"/>
              <w:adjustRightInd w:val="0"/>
              <w:snapToGrid w:val="0"/>
              <w:spacing w:beforeAutospacing="0" w:afterAutospacing="0"/>
              <w:jc w:val="center"/>
              <w:rPr>
                <w:rFonts w:cs="宋体"/>
                <w:kern w:val="2"/>
                <w:sz w:val="21"/>
                <w:szCs w:val="21"/>
              </w:rPr>
            </w:pPr>
            <w:r>
              <w:rPr>
                <w:rFonts w:cs="宋体"/>
                <w:kern w:val="2"/>
                <w:sz w:val="21"/>
                <w:szCs w:val="21"/>
              </w:rPr>
              <w:t>环</w:t>
            </w:r>
          </w:p>
          <w:p w14:paraId="2A7903F8">
            <w:pPr>
              <w:pStyle w:val="16"/>
              <w:adjustRightInd w:val="0"/>
              <w:snapToGrid w:val="0"/>
              <w:spacing w:beforeAutospacing="0" w:afterAutospacing="0"/>
              <w:jc w:val="center"/>
              <w:rPr>
                <w:rFonts w:cs="宋体"/>
                <w:kern w:val="2"/>
                <w:sz w:val="21"/>
                <w:szCs w:val="21"/>
              </w:rPr>
            </w:pPr>
            <w:r>
              <w:rPr>
                <w:rFonts w:cs="宋体"/>
                <w:kern w:val="2"/>
                <w:sz w:val="21"/>
                <w:szCs w:val="21"/>
              </w:rPr>
              <w:t>境</w:t>
            </w:r>
          </w:p>
          <w:p w14:paraId="4BBBC88B">
            <w:pPr>
              <w:pStyle w:val="16"/>
              <w:adjustRightInd w:val="0"/>
              <w:snapToGrid w:val="0"/>
              <w:spacing w:beforeAutospacing="0" w:afterAutospacing="0"/>
              <w:jc w:val="center"/>
              <w:rPr>
                <w:rFonts w:cs="宋体"/>
                <w:kern w:val="2"/>
                <w:sz w:val="21"/>
                <w:szCs w:val="21"/>
              </w:rPr>
            </w:pPr>
            <w:r>
              <w:rPr>
                <w:rFonts w:cs="宋体"/>
                <w:kern w:val="2"/>
                <w:sz w:val="21"/>
                <w:szCs w:val="21"/>
              </w:rPr>
              <w:t>保</w:t>
            </w:r>
          </w:p>
          <w:p w14:paraId="3D5C3E55">
            <w:pPr>
              <w:pStyle w:val="16"/>
              <w:adjustRightInd w:val="0"/>
              <w:snapToGrid w:val="0"/>
              <w:spacing w:beforeAutospacing="0" w:afterAutospacing="0"/>
              <w:jc w:val="center"/>
              <w:rPr>
                <w:rFonts w:cs="宋体"/>
                <w:kern w:val="2"/>
                <w:sz w:val="21"/>
                <w:szCs w:val="21"/>
              </w:rPr>
            </w:pPr>
            <w:r>
              <w:rPr>
                <w:rFonts w:cs="宋体"/>
                <w:kern w:val="2"/>
                <w:sz w:val="21"/>
                <w:szCs w:val="21"/>
              </w:rPr>
              <w:t>护</w:t>
            </w:r>
          </w:p>
          <w:p w14:paraId="1DC4D880">
            <w:pPr>
              <w:pStyle w:val="16"/>
              <w:adjustRightInd w:val="0"/>
              <w:snapToGrid w:val="0"/>
              <w:spacing w:beforeAutospacing="0" w:afterAutospacing="0"/>
              <w:jc w:val="center"/>
              <w:rPr>
                <w:rFonts w:cs="宋体"/>
                <w:kern w:val="2"/>
                <w:sz w:val="21"/>
                <w:szCs w:val="21"/>
              </w:rPr>
            </w:pPr>
            <w:r>
              <w:rPr>
                <w:rFonts w:cs="宋体"/>
                <w:kern w:val="2"/>
                <w:sz w:val="21"/>
                <w:szCs w:val="21"/>
              </w:rPr>
              <w:t>措</w:t>
            </w:r>
          </w:p>
          <w:p w14:paraId="62FF5350">
            <w:pPr>
              <w:pStyle w:val="16"/>
              <w:adjustRightInd w:val="0"/>
              <w:snapToGrid w:val="0"/>
              <w:spacing w:beforeAutospacing="0" w:afterAutospacing="0"/>
              <w:jc w:val="center"/>
              <w:rPr>
                <w:rFonts w:cs="宋体"/>
                <w:bCs/>
                <w:kern w:val="2"/>
                <w:sz w:val="21"/>
                <w:szCs w:val="21"/>
              </w:rPr>
            </w:pPr>
            <w:r>
              <w:rPr>
                <w:rFonts w:cs="宋体"/>
                <w:kern w:val="2"/>
                <w:sz w:val="21"/>
                <w:szCs w:val="21"/>
              </w:rPr>
              <w:t>施</w:t>
            </w:r>
          </w:p>
        </w:tc>
        <w:tc>
          <w:tcPr>
            <w:tcW w:w="8368" w:type="dxa"/>
            <w:tcBorders>
              <w:top w:val="single" w:color="auto" w:sz="8" w:space="0"/>
              <w:left w:val="single" w:color="auto" w:sz="4" w:space="0"/>
              <w:bottom w:val="single" w:color="auto" w:sz="4" w:space="0"/>
              <w:right w:val="single" w:color="auto" w:sz="8" w:space="0"/>
            </w:tcBorders>
            <w:shd w:val="clear" w:color="auto" w:fill="auto"/>
            <w:vAlign w:val="center"/>
          </w:tcPr>
          <w:p w14:paraId="651CD9CE">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4.1 施工期环境保护措施</w:t>
            </w:r>
          </w:p>
          <w:p w14:paraId="1015A95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本项目</w:t>
            </w:r>
            <w:r>
              <w:rPr>
                <w:rFonts w:hint="eastAsia" w:ascii="Times New Roman" w:hAnsi="Times New Roman" w:cs="Times New Roman"/>
                <w:sz w:val="24"/>
              </w:rPr>
              <w:t>工程量不大，施工期较短，施工期的影响将随着施工期的结束而消除。</w:t>
            </w:r>
          </w:p>
          <w:p w14:paraId="4647ED20">
            <w:pPr>
              <w:tabs>
                <w:tab w:val="left" w:pos="6"/>
                <w:tab w:val="left" w:pos="33"/>
              </w:tabs>
              <w:adjustRightInd w:val="0"/>
              <w:snapToGrid w:val="0"/>
              <w:spacing w:line="360" w:lineRule="auto"/>
              <w:ind w:firstLine="241" w:firstLineChars="100"/>
              <w:rPr>
                <w:rFonts w:ascii="Times New Roman" w:hAnsi="Times New Roman" w:cs="Times New Roman"/>
                <w:b/>
                <w:bCs/>
                <w:sz w:val="24"/>
              </w:rPr>
            </w:pPr>
            <w:r>
              <w:rPr>
                <w:rFonts w:hint="eastAsia" w:ascii="Times New Roman" w:hAnsi="Times New Roman" w:cs="Times New Roman"/>
                <w:b/>
                <w:bCs/>
                <w:sz w:val="24"/>
              </w:rPr>
              <w:t>1、生态</w:t>
            </w:r>
          </w:p>
          <w:p w14:paraId="1B21A1E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项目施工对生态环境影响一般来自工程占地和新增水土流失。</w:t>
            </w:r>
          </w:p>
          <w:p w14:paraId="2B7807D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项目</w:t>
            </w:r>
            <w:r>
              <w:rPr>
                <w:rFonts w:ascii="Times New Roman" w:hAnsi="Times New Roman" w:cs="Times New Roman"/>
                <w:sz w:val="24"/>
              </w:rPr>
              <w:t>占地</w:t>
            </w:r>
            <w:r>
              <w:rPr>
                <w:rFonts w:hint="eastAsia" w:ascii="Times New Roman" w:hAnsi="Times New Roman" w:cs="Times New Roman"/>
                <w:sz w:val="24"/>
              </w:rPr>
              <w:t>小，且均为人工种植的耕地（甘蔗田和菠萝田），对区域生态环境影响小。</w:t>
            </w:r>
          </w:p>
          <w:p w14:paraId="5080160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工程</w:t>
            </w:r>
            <w:r>
              <w:rPr>
                <w:rFonts w:ascii="Times New Roman" w:hAnsi="Times New Roman" w:cs="Times New Roman"/>
                <w:sz w:val="24"/>
              </w:rPr>
              <w:t>施工量小</w:t>
            </w:r>
            <w:r>
              <w:rPr>
                <w:rFonts w:hint="eastAsia" w:ascii="Times New Roman" w:hAnsi="Times New Roman" w:cs="Times New Roman"/>
                <w:sz w:val="24"/>
              </w:rPr>
              <w:t>，</w:t>
            </w:r>
            <w:r>
              <w:rPr>
                <w:rFonts w:ascii="Times New Roman" w:hAnsi="Times New Roman" w:cs="Times New Roman"/>
                <w:sz w:val="24"/>
              </w:rPr>
              <w:t>不</w:t>
            </w:r>
            <w:r>
              <w:rPr>
                <w:rFonts w:hint="eastAsia" w:ascii="Times New Roman" w:hAnsi="Times New Roman" w:cs="Times New Roman"/>
                <w:sz w:val="24"/>
              </w:rPr>
              <w:t>需</w:t>
            </w:r>
            <w:r>
              <w:rPr>
                <w:rFonts w:ascii="Times New Roman" w:hAnsi="Times New Roman" w:cs="Times New Roman"/>
                <w:sz w:val="24"/>
              </w:rPr>
              <w:t>大规模开挖</w:t>
            </w:r>
            <w:r>
              <w:rPr>
                <w:rFonts w:hint="eastAsia" w:ascii="Times New Roman" w:hAnsi="Times New Roman" w:cs="Times New Roman"/>
                <w:sz w:val="24"/>
              </w:rPr>
              <w:t>或</w:t>
            </w:r>
            <w:r>
              <w:rPr>
                <w:rFonts w:ascii="Times New Roman" w:hAnsi="Times New Roman" w:cs="Times New Roman"/>
                <w:sz w:val="24"/>
              </w:rPr>
              <w:t>回填</w:t>
            </w:r>
            <w:r>
              <w:rPr>
                <w:rFonts w:hint="eastAsia" w:ascii="Times New Roman" w:hAnsi="Times New Roman" w:cs="Times New Roman"/>
                <w:sz w:val="24"/>
              </w:rPr>
              <w:t>，</w:t>
            </w:r>
            <w:r>
              <w:rPr>
                <w:rFonts w:ascii="Times New Roman" w:hAnsi="Times New Roman" w:cs="Times New Roman"/>
                <w:sz w:val="24"/>
              </w:rPr>
              <w:t>新增水土流失量小</w:t>
            </w:r>
            <w:r>
              <w:rPr>
                <w:rFonts w:hint="eastAsia" w:ascii="Times New Roman" w:hAnsi="Times New Roman" w:cs="Times New Roman"/>
                <w:sz w:val="24"/>
              </w:rPr>
              <w:t>。</w:t>
            </w:r>
            <w:r>
              <w:rPr>
                <w:rFonts w:ascii="Times New Roman" w:hAnsi="Times New Roman" w:cs="Times New Roman"/>
                <w:sz w:val="24"/>
              </w:rPr>
              <w:t>采取及时清运</w:t>
            </w:r>
            <w:r>
              <w:rPr>
                <w:rFonts w:hint="eastAsia" w:ascii="Times New Roman" w:hAnsi="Times New Roman" w:cs="Times New Roman"/>
                <w:sz w:val="24"/>
              </w:rPr>
              <w:t>、</w:t>
            </w:r>
            <w:r>
              <w:rPr>
                <w:rFonts w:ascii="Times New Roman" w:hAnsi="Times New Roman" w:cs="Times New Roman"/>
                <w:sz w:val="24"/>
              </w:rPr>
              <w:t>遮盖等措施后</w:t>
            </w:r>
            <w:r>
              <w:rPr>
                <w:rFonts w:hint="eastAsia" w:ascii="Times New Roman" w:hAnsi="Times New Roman" w:cs="Times New Roman"/>
                <w:sz w:val="24"/>
              </w:rPr>
              <w:t>水土流失可得到有效控制，不会出现大规模水土流失。</w:t>
            </w:r>
          </w:p>
          <w:p w14:paraId="6446CC27">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根据调查，项目区</w:t>
            </w:r>
            <w:r>
              <w:rPr>
                <w:rFonts w:hint="eastAsia" w:ascii="Times New Roman" w:hAnsi="Times New Roman" w:cs="Times New Roman"/>
                <w:sz w:val="24"/>
              </w:rPr>
              <w:t>周边分布众多耕地，也有少量工业企业分布，人类活动对该区域自然环境干扰强烈，早已无大型野生动物生境存在，区域内</w:t>
            </w:r>
            <w:r>
              <w:rPr>
                <w:rFonts w:ascii="Times New Roman" w:hAnsi="Times New Roman" w:cs="Times New Roman"/>
                <w:sz w:val="24"/>
              </w:rPr>
              <w:t>分布</w:t>
            </w:r>
            <w:r>
              <w:rPr>
                <w:rFonts w:hint="eastAsia" w:ascii="Times New Roman" w:hAnsi="Times New Roman" w:cs="Times New Roman"/>
                <w:sz w:val="24"/>
              </w:rPr>
              <w:t>的</w:t>
            </w:r>
            <w:r>
              <w:rPr>
                <w:rFonts w:ascii="Times New Roman" w:hAnsi="Times New Roman" w:cs="Times New Roman"/>
                <w:sz w:val="24"/>
              </w:rPr>
              <w:t>动物种类主要为伴人居的小型兽类</w:t>
            </w:r>
            <w:r>
              <w:rPr>
                <w:rFonts w:hint="eastAsia" w:ascii="Times New Roman" w:hAnsi="Times New Roman" w:cs="Times New Roman"/>
                <w:sz w:val="24"/>
              </w:rPr>
              <w:t>和</w:t>
            </w:r>
            <w:r>
              <w:rPr>
                <w:rFonts w:ascii="Times New Roman" w:hAnsi="Times New Roman" w:cs="Times New Roman"/>
                <w:sz w:val="24"/>
              </w:rPr>
              <w:t>鸟类</w:t>
            </w:r>
            <w:r>
              <w:rPr>
                <w:rFonts w:hint="eastAsia" w:ascii="Times New Roman" w:hAnsi="Times New Roman" w:cs="Times New Roman"/>
                <w:sz w:val="24"/>
              </w:rPr>
              <w:t>等</w:t>
            </w:r>
            <w:r>
              <w:rPr>
                <w:rFonts w:ascii="Times New Roman" w:hAnsi="Times New Roman" w:cs="Times New Roman"/>
                <w:sz w:val="24"/>
              </w:rPr>
              <w:t>，</w:t>
            </w:r>
            <w:r>
              <w:rPr>
                <w:rFonts w:hint="eastAsia" w:ascii="Times New Roman" w:hAnsi="Times New Roman" w:cs="Times New Roman"/>
                <w:sz w:val="24"/>
              </w:rPr>
              <w:t>以小型啮齿类、小型鸟类为主，均为常见种类，均不属于当地特有的狭域分布种，未发现国家级及省级需要特殊保护的动物种类。它们的活动、分布范围不局限于项目区，而是较广泛</w:t>
            </w:r>
            <w:r>
              <w:rPr>
                <w:rFonts w:ascii="Times New Roman" w:hAnsi="Times New Roman" w:cs="Times New Roman"/>
                <w:sz w:val="24"/>
              </w:rPr>
              <w:t>，</w:t>
            </w:r>
            <w:r>
              <w:rPr>
                <w:rFonts w:hint="eastAsia" w:ascii="Times New Roman" w:hAnsi="Times New Roman" w:cs="Times New Roman"/>
                <w:sz w:val="24"/>
              </w:rPr>
              <w:t>也见于芒市附近地区，甚至见于更广泛的范围。所以，不会因为项目实施影响这些种类的生存和繁衍。这些动物迁移能力一般较强，项目建设</w:t>
            </w:r>
            <w:r>
              <w:rPr>
                <w:rFonts w:ascii="Times New Roman" w:hAnsi="Times New Roman" w:cs="Times New Roman"/>
                <w:sz w:val="24"/>
              </w:rPr>
              <w:t>不会</w:t>
            </w:r>
            <w:r>
              <w:rPr>
                <w:rFonts w:hint="eastAsia" w:ascii="Times New Roman" w:hAnsi="Times New Roman" w:cs="Times New Roman"/>
                <w:sz w:val="24"/>
              </w:rPr>
              <w:t>造成这些动物个体死亡</w:t>
            </w:r>
            <w:r>
              <w:rPr>
                <w:rFonts w:ascii="Times New Roman" w:hAnsi="Times New Roman" w:cs="Times New Roman"/>
                <w:sz w:val="24"/>
              </w:rPr>
              <w:t>。此外</w:t>
            </w:r>
            <w:r>
              <w:rPr>
                <w:rFonts w:hint="eastAsia" w:ascii="Times New Roman" w:hAnsi="Times New Roman" w:cs="Times New Roman"/>
                <w:sz w:val="24"/>
              </w:rPr>
              <w:t>，</w:t>
            </w:r>
            <w:r>
              <w:rPr>
                <w:rFonts w:ascii="Times New Roman" w:hAnsi="Times New Roman" w:cs="Times New Roman"/>
                <w:sz w:val="24"/>
              </w:rPr>
              <w:t>周边野生动物早已适应该生境</w:t>
            </w:r>
            <w:r>
              <w:rPr>
                <w:rFonts w:hint="eastAsia" w:ascii="Times New Roman" w:hAnsi="Times New Roman" w:cs="Times New Roman"/>
                <w:sz w:val="24"/>
              </w:rPr>
              <w:t>，受本项目施工影响轻微。</w:t>
            </w:r>
          </w:p>
          <w:p w14:paraId="3E24ADE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综上所述</w:t>
            </w:r>
            <w:r>
              <w:rPr>
                <w:rFonts w:hint="eastAsia" w:ascii="Times New Roman" w:hAnsi="Times New Roman" w:cs="Times New Roman"/>
                <w:sz w:val="24"/>
              </w:rPr>
              <w:t>，</w:t>
            </w:r>
            <w:r>
              <w:rPr>
                <w:rFonts w:ascii="Times New Roman" w:hAnsi="Times New Roman" w:cs="Times New Roman"/>
                <w:sz w:val="24"/>
              </w:rPr>
              <w:t>工程</w:t>
            </w:r>
            <w:r>
              <w:rPr>
                <w:rFonts w:hint="eastAsia" w:ascii="Times New Roman" w:hAnsi="Times New Roman" w:cs="Times New Roman"/>
                <w:sz w:val="24"/>
              </w:rPr>
              <w:t>建设期</w:t>
            </w:r>
            <w:r>
              <w:rPr>
                <w:rFonts w:ascii="Times New Roman" w:hAnsi="Times New Roman" w:cs="Times New Roman"/>
                <w:sz w:val="24"/>
              </w:rPr>
              <w:t>对生态环境影响小</w:t>
            </w:r>
            <w:r>
              <w:rPr>
                <w:rFonts w:hint="eastAsia" w:ascii="Times New Roman" w:hAnsi="Times New Roman" w:cs="Times New Roman"/>
                <w:sz w:val="24"/>
              </w:rPr>
              <w:t>。</w:t>
            </w:r>
          </w:p>
          <w:p w14:paraId="4E6069F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为保护区域生态环境，建设单位应采取以下生态保护措施：</w:t>
            </w:r>
          </w:p>
          <w:p w14:paraId="71F7293F">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①加强环保宣传，提高施工人员的环保意识，减少对建设范围外的生态环境的破坏。加强对施工人员的宣传教育，禁止砍伐占地以外的植被，做好临时用工人员的管理，防止发生</w:t>
            </w:r>
            <w:bookmarkStart w:id="90" w:name="_GoBack"/>
            <w:bookmarkEnd w:id="90"/>
            <w:r>
              <w:rPr>
                <w:rFonts w:hint="eastAsia" w:ascii="Times New Roman" w:hAnsi="Times New Roman" w:cs="Times New Roman"/>
                <w:sz w:val="24"/>
                <w:lang w:eastAsia="zh-CN"/>
              </w:rPr>
              <w:t>乱砍滥伐</w:t>
            </w:r>
            <w:r>
              <w:rPr>
                <w:rFonts w:hint="eastAsia" w:ascii="Times New Roman" w:hAnsi="Times New Roman" w:cs="Times New Roman"/>
                <w:sz w:val="24"/>
              </w:rPr>
              <w:t>。</w:t>
            </w:r>
          </w:p>
          <w:p w14:paraId="754184F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②工程结束后厂内及厂界应尽快绿化。</w:t>
            </w:r>
          </w:p>
          <w:p w14:paraId="30395F00">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③绿化时建议选择乡土树种为主，注意乔、灌、草的结合，永久建筑物之外的植被恢复尽可能利用自然条件，包括土壤、种子，避免“园林化”恢复倾向。</w:t>
            </w:r>
          </w:p>
          <w:p w14:paraId="23B834B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4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④</w:t>
            </w:r>
            <w:r>
              <w:rPr>
                <w:rFonts w:ascii="Times New Roman" w:hAnsi="Times New Roman" w:cs="Times New Roman"/>
                <w:sz w:val="24"/>
              </w:rPr>
              <w:fldChar w:fldCharType="end"/>
            </w:r>
            <w:r>
              <w:rPr>
                <w:rFonts w:ascii="Times New Roman" w:hAnsi="Times New Roman" w:cs="Times New Roman"/>
                <w:sz w:val="24"/>
              </w:rPr>
              <w:t>按要求</w:t>
            </w:r>
            <w:r>
              <w:rPr>
                <w:rFonts w:hint="eastAsia" w:ascii="Times New Roman" w:hAnsi="Times New Roman" w:cs="Times New Roman"/>
                <w:sz w:val="24"/>
              </w:rPr>
              <w:t>实施临时水土保持措施，减少施工期水土流失。</w:t>
            </w:r>
          </w:p>
          <w:p w14:paraId="1E2B69BC">
            <w:pPr>
              <w:pStyle w:val="2"/>
            </w:pPr>
          </w:p>
          <w:p w14:paraId="420D6507">
            <w:pPr>
              <w:tabs>
                <w:tab w:val="left" w:pos="6"/>
                <w:tab w:val="left" w:pos="33"/>
              </w:tabs>
              <w:adjustRightInd w:val="0"/>
              <w:snapToGrid w:val="0"/>
              <w:spacing w:line="360" w:lineRule="auto"/>
              <w:ind w:firstLine="241" w:firstLineChars="1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、废气</w:t>
            </w:r>
          </w:p>
          <w:p w14:paraId="02189DF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施工期废气主要来源于</w:t>
            </w:r>
            <w:r>
              <w:rPr>
                <w:rFonts w:hint="eastAsia" w:ascii="Times New Roman" w:hAnsi="Times New Roman" w:cs="Times New Roman"/>
                <w:sz w:val="24"/>
              </w:rPr>
              <w:t>基础平整、构筑物建设和</w:t>
            </w:r>
            <w:r>
              <w:rPr>
                <w:rFonts w:ascii="Times New Roman" w:hAnsi="Times New Roman" w:cs="Times New Roman"/>
                <w:sz w:val="24"/>
              </w:rPr>
              <w:t>设备安装阶段产生的</w:t>
            </w:r>
            <w:r>
              <w:rPr>
                <w:rFonts w:hint="eastAsia" w:ascii="Times New Roman" w:hAnsi="Times New Roman" w:cs="Times New Roman"/>
                <w:sz w:val="24"/>
              </w:rPr>
              <w:t>扬尘、</w:t>
            </w:r>
            <w:r>
              <w:rPr>
                <w:rFonts w:ascii="Times New Roman" w:hAnsi="Times New Roman" w:cs="Times New Roman"/>
                <w:sz w:val="24"/>
              </w:rPr>
              <w:t>粉尘</w:t>
            </w:r>
            <w:r>
              <w:rPr>
                <w:rFonts w:hint="eastAsia" w:ascii="Times New Roman" w:hAnsi="Times New Roman" w:cs="Times New Roman"/>
                <w:sz w:val="24"/>
              </w:rPr>
              <w:t>和汽车尾气</w:t>
            </w:r>
            <w:r>
              <w:rPr>
                <w:rFonts w:ascii="Times New Roman" w:hAnsi="Times New Roman" w:cs="Times New Roman"/>
                <w:sz w:val="24"/>
              </w:rPr>
              <w:t>等，</w:t>
            </w:r>
            <w:r>
              <w:rPr>
                <w:rFonts w:hint="eastAsia" w:ascii="Times New Roman" w:hAnsi="Times New Roman" w:cs="Times New Roman"/>
                <w:sz w:val="24"/>
              </w:rPr>
              <w:t>均</w:t>
            </w:r>
            <w:r>
              <w:rPr>
                <w:rFonts w:ascii="Times New Roman" w:hAnsi="Times New Roman" w:cs="Times New Roman"/>
                <w:sz w:val="24"/>
              </w:rPr>
              <w:t>呈无组织排放</w:t>
            </w:r>
            <w:r>
              <w:rPr>
                <w:rFonts w:hint="eastAsia" w:ascii="Times New Roman" w:hAnsi="Times New Roman" w:cs="Times New Roman"/>
                <w:sz w:val="24"/>
              </w:rPr>
              <w:t>，其产生强度和产生量均较小，对环境影响较小，对帕当坝村影响也不大。</w:t>
            </w:r>
          </w:p>
          <w:p w14:paraId="2DA0F73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（1）施工扬尘</w:t>
            </w:r>
          </w:p>
          <w:p w14:paraId="48DA8848">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以施工扬尘的产生量较大、影响范围也较广。在施工场地的挖填土石方、建筑材料堆场、运输汽车的行驶均会产生扬尘，扬尘随风飘散而影响区域的环境空气，其产生量与施工方式、施工地点、施工时间和天气状况等因素相关。一般而言，大面积施工、高处施工、旱季施工和有风条件下施工，将产生较多扬尘、且对环境的影响较明显。据有关资料显示，施工工地的扬尘60%以上是汽车运输材料引起的道路扬尘。道路扬尘量的大小与车速、车型、车流量、风速、道路表面积尘量等多种因素有关。一般情况下，在自然风作用下，道路扬尘影响范围在100m以内；在大风天气，影响距离可达200m远。</w:t>
            </w:r>
          </w:p>
          <w:p w14:paraId="0444D9F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项目最近保护目标为</w:t>
            </w:r>
            <w:r>
              <w:rPr>
                <w:rFonts w:hint="eastAsia" w:ascii="Times New Roman" w:hAnsi="Times New Roman" w:cs="Times New Roman"/>
                <w:sz w:val="24"/>
              </w:rPr>
              <w:t>东北</w:t>
            </w:r>
            <w:r>
              <w:rPr>
                <w:rFonts w:ascii="Times New Roman" w:hAnsi="Times New Roman" w:cs="Times New Roman"/>
                <w:sz w:val="24"/>
              </w:rPr>
              <w:t>面220m处的</w:t>
            </w:r>
            <w:r>
              <w:rPr>
                <w:rFonts w:hint="eastAsia" w:ascii="Times New Roman" w:hAnsi="Times New Roman" w:cs="Times New Roman"/>
                <w:sz w:val="24"/>
              </w:rPr>
              <w:t>帕当坝村</w:t>
            </w:r>
            <w:r>
              <w:rPr>
                <w:rFonts w:ascii="Times New Roman" w:hAnsi="Times New Roman" w:cs="Times New Roman"/>
                <w:sz w:val="24"/>
              </w:rPr>
              <w:t>，施工期对其影响较小。项目经过洒水降尘和大气的扩散、稀释，项目施工期产生的扬尘对环境保护目标的影响可以大大降低。同时，项目施工期</w:t>
            </w:r>
            <w:r>
              <w:rPr>
                <w:rFonts w:hint="eastAsia" w:ascii="Times New Roman" w:hAnsi="Times New Roman" w:cs="Times New Roman"/>
                <w:sz w:val="24"/>
              </w:rPr>
              <w:t>不长</w:t>
            </w:r>
            <w:r>
              <w:rPr>
                <w:rFonts w:ascii="Times New Roman" w:hAnsi="Times New Roman" w:cs="Times New Roman"/>
                <w:sz w:val="24"/>
              </w:rPr>
              <w:t>，大气污染物的产生量较少，所以施工期产生的</w:t>
            </w:r>
            <w:r>
              <w:rPr>
                <w:rFonts w:hint="eastAsia" w:ascii="Times New Roman" w:hAnsi="Times New Roman" w:cs="Times New Roman"/>
                <w:sz w:val="24"/>
              </w:rPr>
              <w:t>扬尘</w:t>
            </w:r>
            <w:r>
              <w:rPr>
                <w:rFonts w:ascii="Times New Roman" w:hAnsi="Times New Roman" w:cs="Times New Roman"/>
                <w:sz w:val="24"/>
              </w:rPr>
              <w:t>对当地环境空气质量的影响较小。</w:t>
            </w:r>
          </w:p>
          <w:p w14:paraId="70A0F23E">
            <w:pPr>
              <w:tabs>
                <w:tab w:val="left" w:pos="6"/>
                <w:tab w:val="left" w:pos="33"/>
              </w:tabs>
              <w:adjustRightInd w:val="0"/>
              <w:snapToGrid w:val="0"/>
              <w:spacing w:line="360" w:lineRule="auto"/>
              <w:ind w:firstLine="240" w:firstLineChars="100"/>
            </w:pPr>
            <w:r>
              <w:rPr>
                <w:rFonts w:ascii="Times New Roman" w:hAnsi="Times New Roman" w:cs="Times New Roman"/>
                <w:sz w:val="24"/>
              </w:rPr>
              <w:t>在采取上述措施治理后，扬尘可以得到有效控制，对周边环境影响较小。同 时，施工期产生的扬尘污染是短期的，随着施工活动的结束，施工扬尘对环境空气的影响也就随之结束。综上，项目产生的扬尘对周围环境影响较小</w:t>
            </w:r>
            <w:r>
              <w:rPr>
                <w:rFonts w:hint="eastAsia" w:ascii="Times New Roman" w:hAnsi="Times New Roman" w:cs="Times New Roman"/>
                <w:sz w:val="24"/>
              </w:rPr>
              <w:t>。</w:t>
            </w:r>
          </w:p>
          <w:p w14:paraId="1510BAE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施工机械废气对外环境影响</w:t>
            </w:r>
          </w:p>
          <w:p w14:paraId="1C98294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项目的施工期对空气环境的影响还有载重汽车、柴油动力机械等燃油机械，排放的污染物主要有一氧化碳、二氧化氮、</w:t>
            </w:r>
            <w:r>
              <w:rPr>
                <w:rFonts w:hint="eastAsia" w:ascii="Times New Roman" w:hAnsi="Times New Roman" w:cs="Times New Roman"/>
                <w:sz w:val="24"/>
              </w:rPr>
              <w:t>碳氢化合物等</w:t>
            </w:r>
            <w:r>
              <w:rPr>
                <w:rFonts w:ascii="Times New Roman" w:hAnsi="Times New Roman" w:cs="Times New Roman"/>
                <w:sz w:val="24"/>
              </w:rPr>
              <w:t>。</w:t>
            </w:r>
            <w:r>
              <w:rPr>
                <w:rFonts w:hint="eastAsia" w:ascii="Times New Roman" w:hAnsi="Times New Roman" w:cs="Times New Roman"/>
                <w:sz w:val="24"/>
              </w:rPr>
              <w:t>项目施工量不大，所用</w:t>
            </w:r>
            <w:r>
              <w:rPr>
                <w:rFonts w:ascii="Times New Roman" w:hAnsi="Times New Roman" w:cs="Times New Roman"/>
                <w:sz w:val="24"/>
              </w:rPr>
              <w:t>施工机械</w:t>
            </w:r>
            <w:r>
              <w:rPr>
                <w:rFonts w:hint="eastAsia" w:ascii="Times New Roman" w:hAnsi="Times New Roman" w:cs="Times New Roman"/>
                <w:sz w:val="24"/>
              </w:rPr>
              <w:t>不多</w:t>
            </w:r>
            <w:r>
              <w:rPr>
                <w:rFonts w:ascii="Times New Roman" w:hAnsi="Times New Roman" w:cs="Times New Roman"/>
                <w:sz w:val="24"/>
              </w:rPr>
              <w:t>，且较分散，其</w:t>
            </w:r>
            <w:r>
              <w:rPr>
                <w:rFonts w:hint="eastAsia" w:ascii="Times New Roman" w:hAnsi="Times New Roman" w:cs="Times New Roman"/>
                <w:sz w:val="24"/>
              </w:rPr>
              <w:t>污染物产生量和产生强度均不大，</w:t>
            </w:r>
            <w:r>
              <w:rPr>
                <w:rFonts w:ascii="Times New Roman" w:hAnsi="Times New Roman" w:cs="Times New Roman"/>
                <w:sz w:val="24"/>
              </w:rPr>
              <w:t>污染程度较轻，施工机械废气对外环境影响小。</w:t>
            </w:r>
          </w:p>
          <w:p w14:paraId="782D7272">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项目施工过程中采取以下措施：</w:t>
            </w:r>
          </w:p>
          <w:p w14:paraId="7AC5996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①</w:t>
            </w:r>
            <w:r>
              <w:rPr>
                <w:rFonts w:ascii="Times New Roman" w:hAnsi="Times New Roman" w:cs="Times New Roman"/>
                <w:sz w:val="24"/>
              </w:rPr>
              <w:t>施工中土方挖掘及堆放、施工垃圾的清理等扬尘较多的工序应尽量选择在无大风的天气进行，拌料场地、原材料堆放处最好固定，以便采取防尘措施；</w:t>
            </w:r>
          </w:p>
          <w:p w14:paraId="75085A16">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②</w:t>
            </w:r>
            <w:r>
              <w:rPr>
                <w:rFonts w:ascii="Times New Roman" w:hAnsi="Times New Roman" w:cs="Times New Roman"/>
                <w:sz w:val="24"/>
              </w:rPr>
              <w:t>遇到连续的晴好天气又起风的情况下，对弃土表面及产生扬尘较大的工序可增加洒水次数，减少扬尘；</w:t>
            </w:r>
          </w:p>
          <w:p w14:paraId="638EF47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③</w:t>
            </w:r>
            <w:r>
              <w:rPr>
                <w:rFonts w:ascii="Times New Roman" w:hAnsi="Times New Roman" w:cs="Times New Roman"/>
                <w:sz w:val="24"/>
              </w:rPr>
              <w:t>施工单位要按照弃土处理计划，及时运走弃土，并在装运的过程中采取有效遮盖，并避免超载所造成的洒泄现象；</w:t>
            </w:r>
          </w:p>
          <w:p w14:paraId="03BC3CE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④</w:t>
            </w:r>
            <w:r>
              <w:rPr>
                <w:rFonts w:ascii="Times New Roman" w:hAnsi="Times New Roman" w:cs="Times New Roman"/>
                <w:sz w:val="24"/>
              </w:rPr>
              <w:t>施工场地内的车辆驶出工地前应将轮子的泥土去除干净，防止沿程弃土满地，影响环境整洁，同时施工者应对工地门前的道路实行保洁制度，一旦有弃土、建材撒落应及时清扫；</w:t>
            </w:r>
          </w:p>
          <w:p w14:paraId="2EBD7F8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⑤</w:t>
            </w:r>
            <w:r>
              <w:rPr>
                <w:rFonts w:ascii="Times New Roman" w:hAnsi="Times New Roman" w:cs="Times New Roman"/>
                <w:sz w:val="24"/>
              </w:rPr>
              <w:t>在施工时采取建立防护网及防护墙、实行封闭施工，尽量减少对周围居民 的影响；</w:t>
            </w:r>
          </w:p>
          <w:p w14:paraId="003D639C">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⑥</w:t>
            </w:r>
            <w:r>
              <w:rPr>
                <w:rFonts w:ascii="Times New Roman" w:hAnsi="Times New Roman" w:cs="Times New Roman"/>
                <w:sz w:val="24"/>
              </w:rPr>
              <w:t>施工物料运输和卸载应避免在大风天气时进行；</w:t>
            </w:r>
          </w:p>
          <w:p w14:paraId="1498BF3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7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⑦</w:t>
            </w:r>
            <w:r>
              <w:rPr>
                <w:rFonts w:ascii="Times New Roman" w:hAnsi="Times New Roman" w:cs="Times New Roman"/>
                <w:sz w:val="24"/>
              </w:rPr>
              <w:fldChar w:fldCharType="end"/>
            </w:r>
            <w:r>
              <w:rPr>
                <w:rFonts w:ascii="Times New Roman" w:hAnsi="Times New Roman" w:cs="Times New Roman"/>
                <w:sz w:val="24"/>
              </w:rPr>
              <w:t>散料应进行围隔和覆盖，施工垃圾应及时清运，适量洒水，减少扬尘</w:t>
            </w:r>
            <w:r>
              <w:rPr>
                <w:rFonts w:hint="eastAsia" w:ascii="Times New Roman" w:hAnsi="Times New Roman" w:cs="Times New Roman"/>
                <w:sz w:val="24"/>
              </w:rPr>
              <w:t>；</w:t>
            </w:r>
          </w:p>
          <w:p w14:paraId="50D352A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8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⑧</w:t>
            </w:r>
            <w:r>
              <w:rPr>
                <w:rFonts w:ascii="Times New Roman" w:hAnsi="Times New Roman" w:cs="Times New Roman"/>
                <w:sz w:val="24"/>
              </w:rPr>
              <w:fldChar w:fldCharType="end"/>
            </w:r>
            <w:r>
              <w:rPr>
                <w:rFonts w:hint="eastAsia" w:ascii="Times New Roman" w:hAnsi="Times New Roman" w:cs="Times New Roman"/>
                <w:sz w:val="24"/>
              </w:rPr>
              <w:t>合理安排施工进度，尽可能减少施工时间。</w:t>
            </w:r>
          </w:p>
          <w:p w14:paraId="1B2561F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9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⑨</w:t>
            </w:r>
            <w:r>
              <w:rPr>
                <w:rFonts w:ascii="Times New Roman" w:hAnsi="Times New Roman" w:cs="Times New Roman"/>
                <w:sz w:val="24"/>
              </w:rPr>
              <w:fldChar w:fldCharType="end"/>
            </w:r>
            <w:r>
              <w:rPr>
                <w:rFonts w:hint="eastAsia" w:ascii="Times New Roman" w:hAnsi="Times New Roman" w:cs="Times New Roman"/>
                <w:sz w:val="24"/>
              </w:rPr>
              <w:t>禁止在施工场地内燃烧塑料、油毡等固废和废油。</w:t>
            </w:r>
          </w:p>
          <w:p w14:paraId="6FB28B06">
            <w:pPr>
              <w:tabs>
                <w:tab w:val="left" w:pos="6"/>
                <w:tab w:val="left" w:pos="33"/>
              </w:tabs>
              <w:adjustRightInd w:val="0"/>
              <w:snapToGrid w:val="0"/>
              <w:spacing w:line="360" w:lineRule="auto"/>
              <w:ind w:firstLine="241" w:firstLineChars="100"/>
              <w:rPr>
                <w:rFonts w:ascii="Times New Roman" w:hAnsi="Times New Roman" w:cs="Times New Roman"/>
                <w:b/>
                <w:bCs/>
                <w:sz w:val="24"/>
              </w:rPr>
            </w:pPr>
            <w:r>
              <w:rPr>
                <w:rFonts w:ascii="Times New Roman" w:hAnsi="Times New Roman" w:cs="Times New Roman"/>
                <w:b/>
                <w:bCs/>
                <w:sz w:val="24"/>
              </w:rPr>
              <w:t>3</w:t>
            </w:r>
            <w:r>
              <w:rPr>
                <w:rFonts w:hint="eastAsia" w:ascii="Times New Roman" w:hAnsi="Times New Roman" w:cs="Times New Roman"/>
                <w:b/>
                <w:bCs/>
                <w:sz w:val="24"/>
              </w:rPr>
              <w:t>、废水</w:t>
            </w:r>
          </w:p>
          <w:p w14:paraId="54433D1B">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施工期废水主要为</w:t>
            </w:r>
            <w:r>
              <w:rPr>
                <w:rFonts w:hint="eastAsia" w:ascii="Times New Roman" w:hAnsi="Times New Roman" w:cs="Times New Roman"/>
                <w:sz w:val="24"/>
              </w:rPr>
              <w:t>冲洗</w:t>
            </w:r>
            <w:r>
              <w:rPr>
                <w:rFonts w:ascii="Times New Roman" w:hAnsi="Times New Roman" w:cs="Times New Roman"/>
                <w:sz w:val="24"/>
              </w:rPr>
              <w:t>废水</w:t>
            </w:r>
            <w:r>
              <w:rPr>
                <w:rFonts w:hint="eastAsia" w:ascii="Times New Roman" w:hAnsi="Times New Roman" w:cs="Times New Roman"/>
                <w:sz w:val="24"/>
              </w:rPr>
              <w:t>和</w:t>
            </w:r>
            <w:r>
              <w:rPr>
                <w:rFonts w:ascii="Times New Roman" w:hAnsi="Times New Roman" w:cs="Times New Roman"/>
                <w:sz w:val="24"/>
              </w:rPr>
              <w:t>生活污水。</w:t>
            </w:r>
            <w:r>
              <w:rPr>
                <w:rFonts w:hint="eastAsia" w:ascii="Times New Roman" w:hAnsi="Times New Roman" w:cs="Times New Roman"/>
                <w:sz w:val="24"/>
              </w:rPr>
              <w:t>冲洗废水中主要污染物为S</w:t>
            </w:r>
            <w:r>
              <w:rPr>
                <w:rFonts w:ascii="Times New Roman" w:hAnsi="Times New Roman" w:cs="Times New Roman"/>
                <w:sz w:val="24"/>
              </w:rPr>
              <w:t>S</w:t>
            </w:r>
            <w:r>
              <w:rPr>
                <w:rFonts w:hint="eastAsia" w:ascii="Times New Roman" w:hAnsi="Times New Roman" w:cs="Times New Roman"/>
                <w:bCs/>
              </w:rPr>
              <w:t>、</w:t>
            </w:r>
            <w:r>
              <w:rPr>
                <w:rFonts w:ascii="Times New Roman" w:hAnsi="Times New Roman" w:cs="Times New Roman"/>
                <w:bCs/>
              </w:rPr>
              <w:t>石油类</w:t>
            </w:r>
            <w:r>
              <w:rPr>
                <w:rFonts w:hint="eastAsia" w:ascii="Times New Roman" w:hAnsi="Times New Roman" w:cs="Times New Roman"/>
                <w:bCs/>
              </w:rPr>
              <w:t>等</w:t>
            </w:r>
            <w:r>
              <w:rPr>
                <w:rFonts w:hint="eastAsia" w:ascii="Times New Roman" w:hAnsi="Times New Roman" w:cs="Times New Roman"/>
                <w:sz w:val="24"/>
              </w:rPr>
              <w:t>，生活污水中主要污染物为C</w:t>
            </w:r>
            <w:r>
              <w:rPr>
                <w:rFonts w:ascii="Times New Roman" w:hAnsi="Times New Roman" w:cs="Times New Roman"/>
                <w:sz w:val="24"/>
              </w:rPr>
              <w:t>OD</w:t>
            </w:r>
            <w:r>
              <w:rPr>
                <w:rFonts w:hint="eastAsia" w:ascii="Times New Roman" w:hAnsi="Times New Roman" w:cs="Times New Roman"/>
                <w:sz w:val="24"/>
              </w:rPr>
              <w:t>cr、B</w:t>
            </w:r>
            <w:r>
              <w:rPr>
                <w:rFonts w:ascii="Times New Roman" w:hAnsi="Times New Roman" w:cs="Times New Roman"/>
                <w:sz w:val="24"/>
              </w:rPr>
              <w:t>OD</w:t>
            </w:r>
            <w:r>
              <w:rPr>
                <w:rFonts w:ascii="Times New Roman" w:hAnsi="Times New Roman" w:cs="Times New Roman"/>
                <w:sz w:val="24"/>
                <w:vertAlign w:val="subscript"/>
              </w:rPr>
              <w:t>5</w:t>
            </w:r>
            <w:r>
              <w:rPr>
                <w:rFonts w:hint="eastAsia" w:ascii="Times New Roman" w:hAnsi="Times New Roman" w:cs="Times New Roman"/>
                <w:sz w:val="24"/>
              </w:rPr>
              <w:t>、S</w:t>
            </w:r>
            <w:r>
              <w:rPr>
                <w:rFonts w:ascii="Times New Roman" w:hAnsi="Times New Roman" w:cs="Times New Roman"/>
                <w:sz w:val="24"/>
              </w:rPr>
              <w:t>S</w:t>
            </w:r>
            <w:r>
              <w:rPr>
                <w:rFonts w:hint="eastAsia" w:ascii="Times New Roman" w:hAnsi="Times New Roman" w:cs="Times New Roman"/>
                <w:sz w:val="24"/>
              </w:rPr>
              <w:t>、氨氮等。</w:t>
            </w:r>
          </w:p>
          <w:p w14:paraId="43C940F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施工废水</w:t>
            </w:r>
          </w:p>
          <w:p w14:paraId="17938D6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bCs/>
              </w:rPr>
              <w:t>本项目施工期施工废水主要来自于少量</w:t>
            </w:r>
            <w:r>
              <w:rPr>
                <w:rFonts w:hint="eastAsia" w:ascii="Times New Roman" w:hAnsi="Times New Roman" w:cs="Times New Roman"/>
                <w:bCs/>
              </w:rPr>
              <w:t>砂</w:t>
            </w:r>
            <w:r>
              <w:rPr>
                <w:rFonts w:ascii="Times New Roman" w:hAnsi="Times New Roman" w:cs="Times New Roman"/>
                <w:bCs/>
              </w:rPr>
              <w:t>石料拌合、机械设备和工具清洗过程中产生的废水</w:t>
            </w:r>
            <w:r>
              <w:rPr>
                <w:rFonts w:hint="eastAsia" w:ascii="Times New Roman" w:hAnsi="Times New Roman" w:cs="Times New Roman"/>
                <w:bCs/>
              </w:rPr>
              <w:t>，主要含有S</w:t>
            </w:r>
            <w:r>
              <w:rPr>
                <w:rFonts w:ascii="Times New Roman" w:hAnsi="Times New Roman" w:cs="Times New Roman"/>
                <w:bCs/>
              </w:rPr>
              <w:t>S</w:t>
            </w:r>
            <w:r>
              <w:rPr>
                <w:rFonts w:hint="eastAsia" w:ascii="Times New Roman" w:hAnsi="Times New Roman" w:cs="Times New Roman"/>
                <w:bCs/>
              </w:rPr>
              <w:t>、</w:t>
            </w:r>
            <w:r>
              <w:rPr>
                <w:rFonts w:ascii="Times New Roman" w:hAnsi="Times New Roman" w:cs="Times New Roman"/>
                <w:bCs/>
              </w:rPr>
              <w:t>石油类</w:t>
            </w:r>
            <w:r>
              <w:rPr>
                <w:rFonts w:hint="eastAsia" w:ascii="Times New Roman" w:hAnsi="Times New Roman" w:cs="Times New Roman"/>
                <w:bCs/>
              </w:rPr>
              <w:t>等</w:t>
            </w:r>
            <w:r>
              <w:rPr>
                <w:rFonts w:ascii="Times New Roman" w:hAnsi="Times New Roman" w:cs="Times New Roman"/>
                <w:bCs/>
              </w:rPr>
              <w:t>，产生量约0.1m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rPr>
              <w:t>不定时</w:t>
            </w:r>
            <w:r>
              <w:rPr>
                <w:rFonts w:hint="eastAsia" w:ascii="Times New Roman" w:hAnsi="Times New Roman" w:cs="Times New Roman"/>
              </w:rPr>
              <w:t>产生。</w:t>
            </w:r>
            <w:r>
              <w:rPr>
                <w:rFonts w:hint="eastAsia" w:ascii="Times New Roman" w:hAnsi="Times New Roman" w:cs="Times New Roman"/>
                <w:bCs/>
              </w:rPr>
              <w:t>在施工机械相对集中处设1m</w:t>
            </w:r>
            <w:r>
              <w:rPr>
                <w:rFonts w:hint="eastAsia" w:ascii="Times New Roman" w:hAnsi="Times New Roman" w:cs="Times New Roman"/>
                <w:bCs/>
                <w:vertAlign w:val="superscript"/>
              </w:rPr>
              <w:t>3</w:t>
            </w:r>
            <w:r>
              <w:rPr>
                <w:rFonts w:hint="eastAsia" w:ascii="Times New Roman" w:hAnsi="Times New Roman" w:cs="Times New Roman"/>
                <w:bCs/>
              </w:rPr>
              <w:t>简易沉淀池，</w:t>
            </w:r>
            <w:r>
              <w:rPr>
                <w:rFonts w:ascii="Times New Roman" w:hAnsi="Times New Roman" w:cs="Times New Roman"/>
                <w:bCs/>
              </w:rPr>
              <w:t>施工废水引入沉淀池中，然后回用于施工场地洒水降尘等，不外排</w:t>
            </w:r>
            <w:r>
              <w:rPr>
                <w:rFonts w:ascii="Times New Roman" w:hAnsi="Times New Roman" w:cs="Times New Roman"/>
              </w:rPr>
              <w:t>，对</w:t>
            </w:r>
            <w:r>
              <w:rPr>
                <w:rFonts w:hint="eastAsia" w:ascii="Times New Roman" w:hAnsi="Times New Roman" w:cs="Times New Roman"/>
              </w:rPr>
              <w:t>区域</w:t>
            </w:r>
            <w:r>
              <w:rPr>
                <w:rFonts w:ascii="Times New Roman" w:hAnsi="Times New Roman" w:cs="Times New Roman"/>
              </w:rPr>
              <w:t>地表水</w:t>
            </w:r>
            <w:r>
              <w:rPr>
                <w:rFonts w:hint="eastAsia" w:ascii="Times New Roman" w:hAnsi="Times New Roman" w:cs="Times New Roman"/>
              </w:rPr>
              <w:t>环境影响轻微</w:t>
            </w:r>
            <w:r>
              <w:rPr>
                <w:rFonts w:ascii="Times New Roman" w:hAnsi="Times New Roman" w:cs="Times New Roman"/>
              </w:rPr>
              <w:t>。</w:t>
            </w:r>
          </w:p>
          <w:p w14:paraId="30DA960E">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生活污水</w:t>
            </w:r>
          </w:p>
          <w:p w14:paraId="1894E51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项目</w:t>
            </w:r>
            <w:r>
              <w:rPr>
                <w:rFonts w:hint="eastAsia" w:ascii="Times New Roman" w:hAnsi="Times New Roman" w:cs="Times New Roman"/>
                <w:sz w:val="24"/>
              </w:rPr>
              <w:t>施工人员主要来自附近村庄，</w:t>
            </w:r>
            <w:r>
              <w:rPr>
                <w:rFonts w:ascii="Times New Roman" w:hAnsi="Times New Roman" w:cs="Times New Roman"/>
                <w:sz w:val="24"/>
              </w:rPr>
              <w:t>均不在项目区食宿，</w:t>
            </w:r>
            <w:r>
              <w:rPr>
                <w:rFonts w:hint="eastAsia" w:ascii="Times New Roman" w:hAnsi="Times New Roman" w:cs="Times New Roman"/>
                <w:sz w:val="24"/>
              </w:rPr>
              <w:t>施工区</w:t>
            </w:r>
            <w:r>
              <w:rPr>
                <w:rFonts w:ascii="Times New Roman" w:hAnsi="Times New Roman" w:cs="Times New Roman"/>
                <w:sz w:val="24"/>
              </w:rPr>
              <w:t>不设施工营地</w:t>
            </w:r>
            <w:r>
              <w:rPr>
                <w:rFonts w:hint="eastAsia" w:ascii="Times New Roman" w:hAnsi="Times New Roman" w:cs="Times New Roman"/>
                <w:sz w:val="24"/>
              </w:rPr>
              <w:t>。</w:t>
            </w:r>
            <w:r>
              <w:rPr>
                <w:rFonts w:ascii="Times New Roman" w:hAnsi="Times New Roman" w:cs="Times New Roman"/>
                <w:sz w:val="24"/>
              </w:rPr>
              <w:t>施工过程中平均每天的施工人员数量约为20人，施工人员的用水量按每人 40L/d计算，则用水量为0.8m</w:t>
            </w:r>
            <w:r>
              <w:rPr>
                <w:rFonts w:ascii="Times New Roman" w:hAnsi="Times New Roman" w:cs="Times New Roman"/>
                <w:sz w:val="24"/>
                <w:vertAlign w:val="superscript"/>
              </w:rPr>
              <w:t>3</w:t>
            </w:r>
            <w:r>
              <w:rPr>
                <w:rFonts w:ascii="Times New Roman" w:hAnsi="Times New Roman" w:cs="Times New Roman"/>
                <w:sz w:val="24"/>
              </w:rPr>
              <w:t>/d</w:t>
            </w:r>
            <w:r>
              <w:rPr>
                <w:rFonts w:hint="eastAsia" w:ascii="Times New Roman" w:hAnsi="Times New Roman" w:cs="Times New Roman"/>
                <w:sz w:val="24"/>
              </w:rPr>
              <w:t>，污水</w:t>
            </w:r>
            <w:r>
              <w:rPr>
                <w:rFonts w:ascii="Times New Roman" w:hAnsi="Times New Roman" w:cs="Times New Roman"/>
                <w:sz w:val="24"/>
              </w:rPr>
              <w:t>产生量</w:t>
            </w:r>
            <w:r>
              <w:rPr>
                <w:rFonts w:hint="eastAsia" w:ascii="Times New Roman" w:hAnsi="Times New Roman" w:cs="Times New Roman"/>
                <w:sz w:val="24"/>
              </w:rPr>
              <w:t>约</w:t>
            </w:r>
            <w:r>
              <w:rPr>
                <w:rFonts w:ascii="Times New Roman" w:hAnsi="Times New Roman" w:cs="Times New Roman"/>
                <w:sz w:val="24"/>
              </w:rPr>
              <w:t>为0.64m</w:t>
            </w:r>
            <w:r>
              <w:rPr>
                <w:rFonts w:ascii="Times New Roman" w:hAnsi="Times New Roman" w:cs="Times New Roman"/>
                <w:sz w:val="24"/>
                <w:vertAlign w:val="superscript"/>
              </w:rPr>
              <w:t>3</w:t>
            </w:r>
            <w:r>
              <w:rPr>
                <w:rFonts w:ascii="Times New Roman" w:hAnsi="Times New Roman" w:cs="Times New Roman"/>
                <w:sz w:val="24"/>
              </w:rPr>
              <w:t>/d</w:t>
            </w:r>
            <w:r>
              <w:rPr>
                <w:rFonts w:hint="eastAsia" w:ascii="Times New Roman" w:hAnsi="Times New Roman" w:cs="Times New Roman"/>
                <w:sz w:val="24"/>
              </w:rPr>
              <w:t>，污水量不大，水质简单，</w:t>
            </w:r>
            <w:r>
              <w:rPr>
                <w:rFonts w:ascii="Times New Roman" w:hAnsi="Times New Roman" w:cs="Times New Roman"/>
                <w:sz w:val="24"/>
              </w:rPr>
              <w:t>主要含有SS、BOD</w:t>
            </w:r>
            <w:r>
              <w:rPr>
                <w:rFonts w:ascii="Times New Roman" w:hAnsi="Times New Roman" w:cs="Times New Roman"/>
                <w:sz w:val="24"/>
                <w:vertAlign w:val="subscript"/>
              </w:rPr>
              <w:t>5</w:t>
            </w:r>
            <w:r>
              <w:rPr>
                <w:rFonts w:ascii="Times New Roman" w:hAnsi="Times New Roman" w:cs="Times New Roman"/>
                <w:sz w:val="24"/>
              </w:rPr>
              <w:t>、COD</w:t>
            </w:r>
            <w:r>
              <w:rPr>
                <w:rFonts w:hint="eastAsia" w:ascii="Times New Roman" w:hAnsi="Times New Roman" w:cs="Times New Roman"/>
                <w:sz w:val="24"/>
              </w:rPr>
              <w:t>cr</w:t>
            </w:r>
            <w:r>
              <w:rPr>
                <w:rFonts w:ascii="Times New Roman" w:hAnsi="Times New Roman" w:cs="Times New Roman"/>
                <w:sz w:val="24"/>
              </w:rPr>
              <w:t>等污染物。</w:t>
            </w:r>
          </w:p>
          <w:p w14:paraId="07EAC555">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设简易收集池收集，经自然降解、沉淀澄清后回用降尘等，不排放</w:t>
            </w:r>
            <w:r>
              <w:rPr>
                <w:rFonts w:ascii="Times New Roman" w:hAnsi="Times New Roman" w:cs="Times New Roman"/>
                <w:sz w:val="24"/>
              </w:rPr>
              <w:t>，对</w:t>
            </w:r>
            <w:r>
              <w:rPr>
                <w:rFonts w:hint="eastAsia" w:ascii="Times New Roman" w:hAnsi="Times New Roman" w:cs="Times New Roman"/>
                <w:sz w:val="24"/>
              </w:rPr>
              <w:t>区域</w:t>
            </w:r>
            <w:r>
              <w:rPr>
                <w:rFonts w:ascii="Times New Roman" w:hAnsi="Times New Roman" w:cs="Times New Roman"/>
                <w:sz w:val="24"/>
              </w:rPr>
              <w:t>地表水</w:t>
            </w:r>
            <w:r>
              <w:rPr>
                <w:rFonts w:hint="eastAsia" w:ascii="Times New Roman" w:hAnsi="Times New Roman" w:cs="Times New Roman"/>
                <w:sz w:val="24"/>
              </w:rPr>
              <w:t>环境影响轻微</w:t>
            </w:r>
            <w:r>
              <w:rPr>
                <w:rFonts w:ascii="Times New Roman" w:hAnsi="Times New Roman" w:cs="Times New Roman"/>
                <w:sz w:val="24"/>
              </w:rPr>
              <w:t>。</w:t>
            </w:r>
          </w:p>
          <w:p w14:paraId="36DC317D">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可见，施工期污废水对环境影响较小。</w:t>
            </w:r>
          </w:p>
          <w:p w14:paraId="6B382BC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施工期</w:t>
            </w:r>
            <w:r>
              <w:rPr>
                <w:rFonts w:ascii="Times New Roman" w:hAnsi="Times New Roman" w:cs="Times New Roman"/>
                <w:sz w:val="24"/>
              </w:rPr>
              <w:t>采取</w:t>
            </w:r>
            <w:r>
              <w:rPr>
                <w:rFonts w:hint="eastAsia" w:ascii="Times New Roman" w:hAnsi="Times New Roman" w:cs="Times New Roman"/>
                <w:sz w:val="24"/>
              </w:rPr>
              <w:t>的污废水处理</w:t>
            </w:r>
            <w:r>
              <w:rPr>
                <w:rFonts w:ascii="Times New Roman" w:hAnsi="Times New Roman" w:cs="Times New Roman"/>
                <w:sz w:val="24"/>
              </w:rPr>
              <w:t>措施</w:t>
            </w:r>
            <w:r>
              <w:rPr>
                <w:rFonts w:hint="eastAsia" w:ascii="Times New Roman" w:hAnsi="Times New Roman" w:cs="Times New Roman"/>
                <w:sz w:val="24"/>
              </w:rPr>
              <w:t>如下：</w:t>
            </w:r>
          </w:p>
          <w:p w14:paraId="491C1E23">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ascii="Times New Roman" w:hAnsi="Times New Roman" w:cs="Times New Roman"/>
                <w:sz w:val="24"/>
              </w:rPr>
              <w:t>施工用水</w:t>
            </w:r>
            <w:r>
              <w:rPr>
                <w:rFonts w:hint="eastAsia" w:ascii="Times New Roman" w:hAnsi="Times New Roman" w:cs="Times New Roman"/>
                <w:sz w:val="24"/>
              </w:rPr>
              <w:t>本着“</w:t>
            </w:r>
            <w:r>
              <w:rPr>
                <w:rFonts w:ascii="Times New Roman" w:hAnsi="Times New Roman" w:cs="Times New Roman"/>
                <w:sz w:val="24"/>
              </w:rPr>
              <w:t>用多少</w:t>
            </w:r>
            <w:r>
              <w:rPr>
                <w:rFonts w:hint="eastAsia" w:ascii="Times New Roman" w:hAnsi="Times New Roman" w:cs="Times New Roman"/>
                <w:sz w:val="24"/>
              </w:rPr>
              <w:t>，取</w:t>
            </w:r>
            <w:r>
              <w:rPr>
                <w:rFonts w:ascii="Times New Roman" w:hAnsi="Times New Roman" w:cs="Times New Roman"/>
                <w:sz w:val="24"/>
              </w:rPr>
              <w:t>多少</w:t>
            </w:r>
            <w:r>
              <w:rPr>
                <w:rFonts w:hint="eastAsia" w:ascii="Times New Roman" w:hAnsi="Times New Roman" w:cs="Times New Roman"/>
                <w:sz w:val="24"/>
              </w:rPr>
              <w:t>”的原则取水，</w:t>
            </w:r>
            <w:r>
              <w:rPr>
                <w:rFonts w:ascii="Times New Roman" w:hAnsi="Times New Roman" w:cs="Times New Roman"/>
                <w:sz w:val="24"/>
              </w:rPr>
              <w:t>避免废水的产生。若有少量施工废水产生</w:t>
            </w:r>
            <w:r>
              <w:rPr>
                <w:rFonts w:hint="eastAsia" w:ascii="Times New Roman" w:hAnsi="Times New Roman" w:cs="Times New Roman"/>
                <w:sz w:val="24"/>
              </w:rPr>
              <w:t>，可设1</w:t>
            </w:r>
            <w:r>
              <w:rPr>
                <w:rFonts w:ascii="Times New Roman" w:hAnsi="Times New Roman" w:cs="Times New Roman"/>
                <w:sz w:val="24"/>
              </w:rPr>
              <w:t>.0</w:t>
            </w:r>
            <w:r>
              <w:rPr>
                <w:rFonts w:hint="eastAsia" w:ascii="Times New Roman" w:hAnsi="Times New Roman" w:cs="Times New Roman"/>
                <w:sz w:val="24"/>
              </w:rPr>
              <w:t>m</w:t>
            </w:r>
            <w:r>
              <w:rPr>
                <w:rFonts w:hint="eastAsia" w:ascii="Times New Roman" w:hAnsi="Times New Roman" w:cs="Times New Roman"/>
                <w:sz w:val="24"/>
                <w:vertAlign w:val="superscript"/>
              </w:rPr>
              <w:t>3</w:t>
            </w:r>
            <w:r>
              <w:rPr>
                <w:rFonts w:hint="eastAsia" w:ascii="Times New Roman" w:hAnsi="Times New Roman" w:cs="Times New Roman"/>
                <w:sz w:val="24"/>
              </w:rPr>
              <w:t>简易</w:t>
            </w:r>
            <w:r>
              <w:rPr>
                <w:rFonts w:ascii="Times New Roman" w:hAnsi="Times New Roman" w:cs="Times New Roman"/>
                <w:sz w:val="24"/>
              </w:rPr>
              <w:t>沉淀池收集</w:t>
            </w:r>
            <w:r>
              <w:rPr>
                <w:rFonts w:hint="eastAsia" w:ascii="Times New Roman" w:hAnsi="Times New Roman" w:cs="Times New Roman"/>
                <w:sz w:val="24"/>
              </w:rPr>
              <w:t>、</w:t>
            </w:r>
            <w:r>
              <w:rPr>
                <w:rFonts w:ascii="Times New Roman" w:hAnsi="Times New Roman" w:cs="Times New Roman"/>
                <w:sz w:val="24"/>
              </w:rPr>
              <w:t>处理</w:t>
            </w:r>
            <w:r>
              <w:rPr>
                <w:rFonts w:hint="eastAsia" w:ascii="Times New Roman" w:hAnsi="Times New Roman" w:cs="Times New Roman"/>
                <w:sz w:val="24"/>
              </w:rPr>
              <w:t>，</w:t>
            </w:r>
            <w:r>
              <w:rPr>
                <w:rFonts w:ascii="Times New Roman" w:hAnsi="Times New Roman" w:cs="Times New Roman"/>
                <w:sz w:val="24"/>
              </w:rPr>
              <w:t>然后</w:t>
            </w:r>
            <w:r>
              <w:rPr>
                <w:rFonts w:hint="eastAsia" w:ascii="Times New Roman" w:hAnsi="Times New Roman" w:cs="Times New Roman"/>
                <w:sz w:val="24"/>
              </w:rPr>
              <w:t>全部</w:t>
            </w:r>
            <w:r>
              <w:rPr>
                <w:rFonts w:ascii="Times New Roman" w:hAnsi="Times New Roman" w:cs="Times New Roman"/>
                <w:sz w:val="24"/>
              </w:rPr>
              <w:t>回用于</w:t>
            </w:r>
            <w:r>
              <w:rPr>
                <w:rFonts w:hint="eastAsia" w:ascii="Times New Roman" w:hAnsi="Times New Roman" w:cs="Times New Roman"/>
                <w:sz w:val="24"/>
              </w:rPr>
              <w:t>施工或</w:t>
            </w:r>
            <w:r>
              <w:rPr>
                <w:rFonts w:ascii="Times New Roman" w:hAnsi="Times New Roman" w:cs="Times New Roman"/>
                <w:sz w:val="24"/>
              </w:rPr>
              <w:t>场地洒水</w:t>
            </w:r>
            <w:r>
              <w:rPr>
                <w:rFonts w:hint="eastAsia" w:ascii="Times New Roman" w:hAnsi="Times New Roman" w:cs="Times New Roman"/>
                <w:sz w:val="24"/>
              </w:rPr>
              <w:t>降尘等，不排放。</w:t>
            </w:r>
          </w:p>
          <w:p w14:paraId="418F38B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rPr>
              <w:t>设1m</w:t>
            </w:r>
            <w:r>
              <w:rPr>
                <w:rFonts w:hint="eastAsia" w:ascii="Times New Roman" w:hAnsi="Times New Roman" w:cs="Times New Roman"/>
                <w:vertAlign w:val="superscript"/>
              </w:rPr>
              <w:t>3</w:t>
            </w:r>
            <w:r>
              <w:rPr>
                <w:rFonts w:hint="eastAsia" w:ascii="Times New Roman" w:hAnsi="Times New Roman" w:cs="Times New Roman"/>
                <w:bCs/>
              </w:rPr>
              <w:t>简易收集池收集</w:t>
            </w:r>
            <w:r>
              <w:rPr>
                <w:rFonts w:ascii="Times New Roman" w:hAnsi="Times New Roman" w:cs="Times New Roman"/>
              </w:rPr>
              <w:t>生活污水</w:t>
            </w:r>
            <w:r>
              <w:rPr>
                <w:rFonts w:hint="eastAsia" w:ascii="Times New Roman" w:hAnsi="Times New Roman" w:cs="Times New Roman"/>
              </w:rPr>
              <w:t>，</w:t>
            </w:r>
            <w:r>
              <w:rPr>
                <w:rFonts w:hint="eastAsia" w:ascii="Times New Roman" w:hAnsi="Times New Roman" w:cs="Times New Roman"/>
                <w:bCs/>
              </w:rPr>
              <w:t>经自然降解、沉淀澄清后回用降尘等，不排放。</w:t>
            </w:r>
          </w:p>
          <w:p w14:paraId="78E99378">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设施工场地截排水设施，同时</w:t>
            </w:r>
            <w:r>
              <w:rPr>
                <w:rFonts w:ascii="Times New Roman" w:hAnsi="Times New Roman" w:cs="Times New Roman"/>
                <w:sz w:val="24"/>
              </w:rPr>
              <w:t>合理安排施工程序，加快施工进度，缩短施工时间。</w:t>
            </w:r>
          </w:p>
          <w:p w14:paraId="1130547F">
            <w:pPr>
              <w:tabs>
                <w:tab w:val="left" w:pos="6"/>
                <w:tab w:val="left" w:pos="33"/>
              </w:tabs>
              <w:adjustRightInd w:val="0"/>
              <w:snapToGrid w:val="0"/>
              <w:spacing w:line="440" w:lineRule="exact"/>
              <w:ind w:firstLine="241" w:firstLineChars="100"/>
              <w:rPr>
                <w:rFonts w:ascii="Times New Roman" w:hAnsi="Times New Roman" w:cs="Times New Roman"/>
                <w:b/>
                <w:bCs/>
                <w:sz w:val="24"/>
              </w:rPr>
            </w:pPr>
            <w:r>
              <w:rPr>
                <w:rFonts w:ascii="Times New Roman" w:hAnsi="Times New Roman" w:cs="Times New Roman"/>
                <w:b/>
                <w:bCs/>
                <w:sz w:val="24"/>
              </w:rPr>
              <w:t>4</w:t>
            </w:r>
            <w:r>
              <w:rPr>
                <w:rFonts w:hint="eastAsia" w:ascii="Times New Roman" w:hAnsi="Times New Roman" w:cs="Times New Roman"/>
                <w:b/>
                <w:bCs/>
                <w:sz w:val="24"/>
              </w:rPr>
              <w:t>、噪声</w:t>
            </w:r>
          </w:p>
          <w:p w14:paraId="6FB2EDB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施工机械在露天条件下作业，产生的声能量按自由声场形式向四周传播，其声能量也随着衰减，根据噪声衰减公式：</w:t>
            </w:r>
          </w:p>
          <w:p w14:paraId="5CE36E83">
            <w:pPr>
              <w:pStyle w:val="10"/>
              <w:spacing w:line="360" w:lineRule="auto"/>
              <w:ind w:left="0" w:right="105" w:rightChars="50"/>
              <w:jc w:val="center"/>
              <w:rPr>
                <w:rFonts w:ascii="Times New Roman" w:hAnsi="Times New Roman" w:cs="Times New Roman"/>
                <w:lang w:val="en-US"/>
              </w:rPr>
            </w:pPr>
            <w:r>
              <w:rPr>
                <w:rFonts w:ascii="Times New Roman" w:hAnsi="Times New Roman" w:cs="Times New Roman"/>
                <w:lang w:val="en-US"/>
              </w:rPr>
              <w:t>L</w:t>
            </w:r>
            <w:r>
              <w:rPr>
                <w:rFonts w:ascii="Times New Roman" w:hAnsi="Times New Roman" w:cs="Times New Roman"/>
                <w:vertAlign w:val="subscript"/>
                <w:lang w:val="en-US"/>
              </w:rPr>
              <w:t xml:space="preserve"> A(r)</w:t>
            </w:r>
            <w:r>
              <w:rPr>
                <w:rFonts w:ascii="Times New Roman" w:hAnsi="Times New Roman" w:cs="Times New Roman"/>
                <w:lang w:val="en-US"/>
              </w:rPr>
              <w:t xml:space="preserve">= L </w:t>
            </w:r>
            <w:r>
              <w:rPr>
                <w:rFonts w:ascii="Times New Roman" w:hAnsi="Times New Roman" w:cs="Times New Roman"/>
                <w:vertAlign w:val="subscript"/>
                <w:lang w:val="en-US"/>
              </w:rPr>
              <w:t>A(r0)</w:t>
            </w:r>
            <w:r>
              <w:rPr>
                <w:rFonts w:hint="eastAsia" w:ascii="Times New Roman" w:hAnsi="Times New Roman" w:cs="Times New Roman"/>
                <w:lang w:val="en-US"/>
              </w:rPr>
              <w:t>-</w:t>
            </w:r>
            <w:r>
              <w:rPr>
                <w:rFonts w:ascii="Times New Roman" w:hAnsi="Times New Roman" w:cs="Times New Roman"/>
                <w:lang w:val="en-US"/>
              </w:rPr>
              <w:t>20lg(r/r</w:t>
            </w:r>
            <w:r>
              <w:rPr>
                <w:rFonts w:ascii="Times New Roman" w:hAnsi="Times New Roman" w:cs="Times New Roman"/>
                <w:vertAlign w:val="subscript"/>
                <w:lang w:val="en-US"/>
              </w:rPr>
              <w:t>0</w:t>
            </w:r>
            <w:r>
              <w:rPr>
                <w:rFonts w:ascii="Times New Roman" w:hAnsi="Times New Roman" w:cs="Times New Roman"/>
                <w:lang w:val="en-US"/>
              </w:rPr>
              <w:t>)-</w:t>
            </w:r>
            <w:r>
              <w:rPr>
                <w:rFonts w:hint="eastAsia" w:ascii="Times New Roman" w:hAnsi="Times New Roman" w:cs="Times New Roman"/>
                <w:lang w:val="en-US"/>
              </w:rPr>
              <w:t>△</w:t>
            </w:r>
            <w:r>
              <w:rPr>
                <w:rFonts w:ascii="Times New Roman" w:hAnsi="Times New Roman" w:cs="Times New Roman"/>
                <w:lang w:val="en-US"/>
              </w:rPr>
              <w:t>L</w:t>
            </w:r>
          </w:p>
          <w:p w14:paraId="444978B1">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rPr>
              <w:t>式中</w:t>
            </w:r>
            <w:r>
              <w:rPr>
                <w:rFonts w:ascii="Times New Roman" w:hAnsi="Times New Roman" w:cs="Times New Roman"/>
                <w:lang w:val="en-US"/>
              </w:rPr>
              <w:t>：L</w:t>
            </w:r>
            <w:r>
              <w:rPr>
                <w:rFonts w:ascii="Times New Roman" w:hAnsi="Times New Roman" w:cs="Times New Roman"/>
                <w:vertAlign w:val="subscript"/>
                <w:lang w:val="en-US"/>
              </w:rPr>
              <w:t>A（r）</w:t>
            </w:r>
            <w:r>
              <w:rPr>
                <w:rFonts w:ascii="Times New Roman" w:hAnsi="Times New Roman" w:cs="Times New Roman"/>
                <w:lang w:val="en-US"/>
              </w:rPr>
              <w:t>——</w:t>
            </w:r>
            <w:r>
              <w:rPr>
                <w:rFonts w:ascii="Times New Roman" w:hAnsi="Times New Roman" w:cs="Times New Roman"/>
              </w:rPr>
              <w:t>距离声源</w:t>
            </w:r>
            <w:r>
              <w:rPr>
                <w:rFonts w:ascii="Times New Roman" w:hAnsi="Times New Roman" w:cs="Times New Roman"/>
                <w:lang w:val="en-US"/>
              </w:rPr>
              <w:t>r</w:t>
            </w:r>
            <w:r>
              <w:rPr>
                <w:rFonts w:ascii="Times New Roman" w:hAnsi="Times New Roman" w:cs="Times New Roman"/>
              </w:rPr>
              <w:t>处的</w:t>
            </w:r>
            <w:r>
              <w:rPr>
                <w:rFonts w:ascii="Times New Roman" w:hAnsi="Times New Roman" w:cs="Times New Roman"/>
                <w:lang w:val="en-US"/>
              </w:rPr>
              <w:t>A</w:t>
            </w:r>
            <w:r>
              <w:rPr>
                <w:rFonts w:ascii="Times New Roman" w:hAnsi="Times New Roman" w:cs="Times New Roman"/>
              </w:rPr>
              <w:t>声级</w:t>
            </w:r>
            <w:r>
              <w:rPr>
                <w:rFonts w:ascii="Times New Roman" w:hAnsi="Times New Roman" w:cs="Times New Roman"/>
                <w:lang w:val="en-US"/>
              </w:rPr>
              <w:t>，dB(A)；</w:t>
            </w:r>
          </w:p>
          <w:p w14:paraId="0BF01F0E">
            <w:pPr>
              <w:pStyle w:val="10"/>
              <w:spacing w:line="360" w:lineRule="auto"/>
              <w:ind w:left="0" w:right="105" w:rightChars="50" w:firstLine="960" w:firstLineChars="400"/>
              <w:rPr>
                <w:rFonts w:ascii="Times New Roman" w:hAnsi="Times New Roman" w:cs="Times New Roman"/>
                <w:lang w:val="en-US"/>
              </w:rPr>
            </w:pPr>
            <w:r>
              <w:rPr>
                <w:rFonts w:ascii="Times New Roman" w:hAnsi="Times New Roman" w:cs="Times New Roman"/>
                <w:lang w:val="en-US"/>
              </w:rPr>
              <w:t>L</w:t>
            </w:r>
            <w:r>
              <w:rPr>
                <w:rFonts w:ascii="Times New Roman" w:hAnsi="Times New Roman" w:cs="Times New Roman"/>
                <w:vertAlign w:val="subscript"/>
                <w:lang w:val="en-US"/>
              </w:rPr>
              <w:t>A（ro）</w:t>
            </w:r>
            <w:r>
              <w:rPr>
                <w:rFonts w:ascii="Times New Roman" w:hAnsi="Times New Roman" w:cs="Times New Roman"/>
                <w:lang w:val="en-US"/>
              </w:rPr>
              <w:t>——</w:t>
            </w:r>
            <w:r>
              <w:rPr>
                <w:rFonts w:ascii="Times New Roman" w:hAnsi="Times New Roman" w:cs="Times New Roman"/>
              </w:rPr>
              <w:t>距声源</w:t>
            </w:r>
            <w:r>
              <w:rPr>
                <w:rFonts w:ascii="Times New Roman" w:hAnsi="Times New Roman" w:cs="Times New Roman"/>
                <w:lang w:val="en-US"/>
              </w:rPr>
              <w:t>ro</w:t>
            </w:r>
            <w:r>
              <w:rPr>
                <w:rFonts w:ascii="Times New Roman" w:hAnsi="Times New Roman" w:cs="Times New Roman"/>
              </w:rPr>
              <w:t>处的</w:t>
            </w:r>
            <w:r>
              <w:rPr>
                <w:rFonts w:ascii="Times New Roman" w:hAnsi="Times New Roman" w:cs="Times New Roman"/>
                <w:lang w:val="en-US"/>
              </w:rPr>
              <w:t>A</w:t>
            </w:r>
            <w:r>
              <w:rPr>
                <w:rFonts w:ascii="Times New Roman" w:hAnsi="Times New Roman" w:cs="Times New Roman"/>
              </w:rPr>
              <w:t>声级</w:t>
            </w:r>
            <w:r>
              <w:rPr>
                <w:rFonts w:ascii="Times New Roman" w:hAnsi="Times New Roman" w:cs="Times New Roman"/>
                <w:lang w:val="en-US"/>
              </w:rPr>
              <w:t>，dB(A)；</w:t>
            </w:r>
          </w:p>
          <w:p w14:paraId="401BC2CE">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o</w:t>
            </w:r>
            <w:r>
              <w:rPr>
                <w:rFonts w:ascii="Times New Roman" w:hAnsi="Times New Roman" w:cs="Times New Roman"/>
              </w:rPr>
              <w:t>、r——距声源的距离，m；</w:t>
            </w:r>
          </w:p>
          <w:p w14:paraId="52AC9B04">
            <w:pPr>
              <w:pStyle w:val="10"/>
              <w:spacing w:line="360" w:lineRule="auto"/>
              <w:ind w:left="0" w:right="105" w:rightChars="50" w:firstLine="960" w:firstLineChars="4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L——其它衰减因子，dB(A)。</w:t>
            </w:r>
          </w:p>
          <w:p w14:paraId="025A149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对各种设备声源在不同距离的衰减计算结果见表4-1。</w:t>
            </w:r>
          </w:p>
          <w:p w14:paraId="413248BE">
            <w:pPr>
              <w:pStyle w:val="60"/>
              <w:spacing w:line="240" w:lineRule="auto"/>
              <w:rPr>
                <w:rFonts w:hAnsi="Times New Roman"/>
                <w:color w:val="auto"/>
              </w:rPr>
            </w:pPr>
            <w:r>
              <w:rPr>
                <w:rFonts w:hAnsi="Times New Roman"/>
                <w:color w:val="auto"/>
              </w:rPr>
              <w:t>表4-1    各种噪声源在不同距离处的噪声贡献值</w:t>
            </w:r>
          </w:p>
          <w:tbl>
            <w:tblPr>
              <w:tblStyle w:val="18"/>
              <w:tblpPr w:leftFromText="180" w:rightFromText="180" w:vertAnchor="text" w:horzAnchor="page" w:tblpXSpec="center" w:tblpY="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39"/>
              <w:gridCol w:w="752"/>
              <w:gridCol w:w="752"/>
              <w:gridCol w:w="752"/>
              <w:gridCol w:w="753"/>
              <w:gridCol w:w="752"/>
              <w:gridCol w:w="752"/>
              <w:gridCol w:w="752"/>
              <w:gridCol w:w="753"/>
            </w:tblGrid>
            <w:tr w14:paraId="66AE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22" w:type="dxa"/>
                  <w:gridSpan w:val="2"/>
                  <w:vAlign w:val="center"/>
                </w:tcPr>
                <w:p w14:paraId="73ED030F">
                  <w:pPr>
                    <w:jc w:val="center"/>
                    <w:rPr>
                      <w:rFonts w:ascii="Times New Roman" w:hAnsi="Times New Roman" w:cs="Times New Roman"/>
                      <w:b/>
                      <w:bCs/>
                      <w:szCs w:val="21"/>
                    </w:rPr>
                  </w:pPr>
                  <w:r>
                    <w:rPr>
                      <w:rFonts w:ascii="Times New Roman" w:hAnsi="Times New Roman" w:cs="Times New Roman"/>
                      <w:b/>
                      <w:bCs/>
                      <w:szCs w:val="21"/>
                    </w:rPr>
                    <w:t>距离声源距离(m)</w:t>
                  </w:r>
                </w:p>
              </w:tc>
              <w:tc>
                <w:tcPr>
                  <w:tcW w:w="752" w:type="dxa"/>
                  <w:vAlign w:val="center"/>
                </w:tcPr>
                <w:p w14:paraId="64BE1EDF">
                  <w:pPr>
                    <w:jc w:val="center"/>
                    <w:rPr>
                      <w:rFonts w:ascii="Times New Roman" w:hAnsi="Times New Roman" w:cs="Times New Roman"/>
                      <w:b/>
                      <w:bCs/>
                      <w:szCs w:val="21"/>
                    </w:rPr>
                  </w:pPr>
                  <w:r>
                    <w:rPr>
                      <w:rFonts w:ascii="Times New Roman" w:hAnsi="Times New Roman" w:cs="Times New Roman"/>
                      <w:b/>
                      <w:bCs/>
                      <w:szCs w:val="21"/>
                    </w:rPr>
                    <w:t>1</w:t>
                  </w:r>
                </w:p>
              </w:tc>
              <w:tc>
                <w:tcPr>
                  <w:tcW w:w="752" w:type="dxa"/>
                  <w:vAlign w:val="center"/>
                </w:tcPr>
                <w:p w14:paraId="5FB4CD7C">
                  <w:pPr>
                    <w:jc w:val="center"/>
                    <w:rPr>
                      <w:rFonts w:ascii="Times New Roman" w:hAnsi="Times New Roman" w:cs="Times New Roman"/>
                      <w:b/>
                      <w:bCs/>
                      <w:szCs w:val="21"/>
                    </w:rPr>
                  </w:pPr>
                  <w:r>
                    <w:rPr>
                      <w:rFonts w:ascii="Times New Roman" w:hAnsi="Times New Roman" w:cs="Times New Roman"/>
                      <w:b/>
                      <w:bCs/>
                      <w:szCs w:val="21"/>
                    </w:rPr>
                    <w:t>10</w:t>
                  </w:r>
                </w:p>
              </w:tc>
              <w:tc>
                <w:tcPr>
                  <w:tcW w:w="752" w:type="dxa"/>
                  <w:vAlign w:val="center"/>
                </w:tcPr>
                <w:p w14:paraId="2FC27F79">
                  <w:pPr>
                    <w:jc w:val="center"/>
                    <w:rPr>
                      <w:rFonts w:ascii="Times New Roman" w:hAnsi="Times New Roman" w:cs="Times New Roman"/>
                      <w:b/>
                      <w:bCs/>
                      <w:szCs w:val="21"/>
                    </w:rPr>
                  </w:pPr>
                  <w:r>
                    <w:rPr>
                      <w:rFonts w:ascii="Times New Roman" w:hAnsi="Times New Roman" w:cs="Times New Roman"/>
                      <w:b/>
                      <w:bCs/>
                      <w:szCs w:val="21"/>
                    </w:rPr>
                    <w:t>30</w:t>
                  </w:r>
                </w:p>
              </w:tc>
              <w:tc>
                <w:tcPr>
                  <w:tcW w:w="753" w:type="dxa"/>
                  <w:vAlign w:val="center"/>
                </w:tcPr>
                <w:p w14:paraId="3A0EEE42">
                  <w:pPr>
                    <w:jc w:val="center"/>
                    <w:rPr>
                      <w:rFonts w:ascii="Times New Roman" w:hAnsi="Times New Roman" w:cs="Times New Roman"/>
                      <w:b/>
                      <w:bCs/>
                      <w:szCs w:val="21"/>
                    </w:rPr>
                  </w:pPr>
                  <w:r>
                    <w:rPr>
                      <w:rFonts w:ascii="Times New Roman" w:hAnsi="Times New Roman" w:cs="Times New Roman"/>
                      <w:b/>
                      <w:bCs/>
                      <w:szCs w:val="21"/>
                    </w:rPr>
                    <w:t>50</w:t>
                  </w:r>
                </w:p>
              </w:tc>
              <w:tc>
                <w:tcPr>
                  <w:tcW w:w="752" w:type="dxa"/>
                  <w:vAlign w:val="center"/>
                </w:tcPr>
                <w:p w14:paraId="2A504CE5">
                  <w:pPr>
                    <w:jc w:val="center"/>
                    <w:rPr>
                      <w:rFonts w:ascii="Times New Roman" w:hAnsi="Times New Roman" w:cs="Times New Roman"/>
                      <w:b/>
                      <w:bCs/>
                      <w:szCs w:val="21"/>
                    </w:rPr>
                  </w:pPr>
                  <w:r>
                    <w:rPr>
                      <w:rFonts w:ascii="Times New Roman" w:hAnsi="Times New Roman" w:cs="Times New Roman"/>
                      <w:b/>
                      <w:bCs/>
                      <w:szCs w:val="21"/>
                    </w:rPr>
                    <w:t>100</w:t>
                  </w:r>
                </w:p>
              </w:tc>
              <w:tc>
                <w:tcPr>
                  <w:tcW w:w="752" w:type="dxa"/>
                  <w:vAlign w:val="center"/>
                </w:tcPr>
                <w:p w14:paraId="667CEF1D">
                  <w:pPr>
                    <w:jc w:val="center"/>
                    <w:rPr>
                      <w:rFonts w:ascii="Times New Roman" w:hAnsi="Times New Roman" w:cs="Times New Roman"/>
                      <w:b/>
                      <w:bCs/>
                      <w:szCs w:val="21"/>
                    </w:rPr>
                  </w:pPr>
                  <w:r>
                    <w:rPr>
                      <w:rFonts w:ascii="Times New Roman" w:hAnsi="Times New Roman" w:cs="Times New Roman"/>
                      <w:b/>
                      <w:bCs/>
                      <w:szCs w:val="21"/>
                    </w:rPr>
                    <w:t>150</w:t>
                  </w:r>
                </w:p>
              </w:tc>
              <w:tc>
                <w:tcPr>
                  <w:tcW w:w="752" w:type="dxa"/>
                  <w:vAlign w:val="center"/>
                </w:tcPr>
                <w:p w14:paraId="03B18E2C">
                  <w:pPr>
                    <w:jc w:val="center"/>
                    <w:rPr>
                      <w:rFonts w:ascii="Times New Roman" w:hAnsi="Times New Roman" w:cs="Times New Roman"/>
                      <w:b/>
                      <w:bCs/>
                      <w:szCs w:val="21"/>
                    </w:rPr>
                  </w:pPr>
                  <w:r>
                    <w:rPr>
                      <w:rFonts w:ascii="Times New Roman" w:hAnsi="Times New Roman" w:cs="Times New Roman"/>
                      <w:b/>
                      <w:bCs/>
                      <w:szCs w:val="21"/>
                    </w:rPr>
                    <w:t>200</w:t>
                  </w:r>
                </w:p>
              </w:tc>
              <w:tc>
                <w:tcPr>
                  <w:tcW w:w="753" w:type="dxa"/>
                  <w:vAlign w:val="center"/>
                </w:tcPr>
                <w:p w14:paraId="00A62A48">
                  <w:pPr>
                    <w:jc w:val="center"/>
                    <w:rPr>
                      <w:rFonts w:ascii="Times New Roman" w:hAnsi="Times New Roman" w:cs="Times New Roman"/>
                      <w:b/>
                      <w:bCs/>
                      <w:szCs w:val="21"/>
                    </w:rPr>
                  </w:pPr>
                  <w:r>
                    <w:rPr>
                      <w:rFonts w:ascii="Times New Roman" w:hAnsi="Times New Roman" w:cs="Times New Roman"/>
                      <w:b/>
                      <w:bCs/>
                      <w:szCs w:val="21"/>
                    </w:rPr>
                    <w:t>250</w:t>
                  </w:r>
                </w:p>
              </w:tc>
            </w:tr>
            <w:tr w14:paraId="0BE8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683" w:type="dxa"/>
                  <w:vMerge w:val="restart"/>
                  <w:vAlign w:val="center"/>
                </w:tcPr>
                <w:p w14:paraId="35D4E635">
                  <w:pPr>
                    <w:jc w:val="center"/>
                    <w:rPr>
                      <w:rFonts w:ascii="Times New Roman" w:hAnsi="Times New Roman" w:cs="Times New Roman"/>
                      <w:szCs w:val="21"/>
                    </w:rPr>
                  </w:pPr>
                  <w:r>
                    <w:rPr>
                      <w:rFonts w:ascii="Times New Roman" w:hAnsi="Times New Roman" w:cs="Times New Roman"/>
                      <w:szCs w:val="21"/>
                    </w:rPr>
                    <w:t>施工机械</w:t>
                  </w:r>
                </w:p>
              </w:tc>
              <w:tc>
                <w:tcPr>
                  <w:tcW w:w="1439" w:type="dxa"/>
                  <w:vAlign w:val="center"/>
                </w:tcPr>
                <w:p w14:paraId="0EDF6AD1">
                  <w:pPr>
                    <w:jc w:val="center"/>
                    <w:rPr>
                      <w:rFonts w:ascii="Times New Roman" w:hAnsi="Times New Roman" w:cs="Times New Roman"/>
                      <w:szCs w:val="21"/>
                    </w:rPr>
                  </w:pPr>
                  <w:r>
                    <w:rPr>
                      <w:rFonts w:hint="eastAsia" w:ascii="Times New Roman" w:hAnsi="Times New Roman" w:cs="Times New Roman"/>
                      <w:szCs w:val="21"/>
                    </w:rPr>
                    <w:t>切割机</w:t>
                  </w:r>
                </w:p>
              </w:tc>
              <w:tc>
                <w:tcPr>
                  <w:tcW w:w="752" w:type="dxa"/>
                  <w:vAlign w:val="center"/>
                </w:tcPr>
                <w:p w14:paraId="762D2388">
                  <w:pPr>
                    <w:jc w:val="center"/>
                    <w:rPr>
                      <w:rFonts w:ascii="Times New Roman" w:hAnsi="Times New Roman" w:cs="Times New Roman"/>
                      <w:szCs w:val="21"/>
                    </w:rPr>
                  </w:pPr>
                  <w:r>
                    <w:rPr>
                      <w:rFonts w:ascii="Times New Roman" w:hAnsi="Times New Roman" w:cs="Times New Roman"/>
                      <w:szCs w:val="21"/>
                    </w:rPr>
                    <w:t>95</w:t>
                  </w:r>
                </w:p>
              </w:tc>
              <w:tc>
                <w:tcPr>
                  <w:tcW w:w="752" w:type="dxa"/>
                  <w:vAlign w:val="center"/>
                </w:tcPr>
                <w:p w14:paraId="2B5CB00D">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5.0</w:t>
                  </w:r>
                </w:p>
              </w:tc>
              <w:tc>
                <w:tcPr>
                  <w:tcW w:w="752" w:type="dxa"/>
                  <w:vAlign w:val="center"/>
                </w:tcPr>
                <w:p w14:paraId="5D8901C3">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5.5</w:t>
                  </w:r>
                </w:p>
              </w:tc>
              <w:tc>
                <w:tcPr>
                  <w:tcW w:w="753" w:type="dxa"/>
                  <w:vAlign w:val="center"/>
                </w:tcPr>
                <w:p w14:paraId="6869D5D0">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1.0</w:t>
                  </w:r>
                </w:p>
              </w:tc>
              <w:tc>
                <w:tcPr>
                  <w:tcW w:w="752" w:type="dxa"/>
                  <w:vAlign w:val="center"/>
                </w:tcPr>
                <w:p w14:paraId="25048B36">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5.0</w:t>
                  </w:r>
                </w:p>
              </w:tc>
              <w:tc>
                <w:tcPr>
                  <w:tcW w:w="752" w:type="dxa"/>
                  <w:vAlign w:val="center"/>
                </w:tcPr>
                <w:p w14:paraId="5705740E">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1.5</w:t>
                  </w:r>
                </w:p>
              </w:tc>
              <w:tc>
                <w:tcPr>
                  <w:tcW w:w="752" w:type="dxa"/>
                  <w:vAlign w:val="center"/>
                </w:tcPr>
                <w:p w14:paraId="240A1DB3">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9.0</w:t>
                  </w:r>
                </w:p>
              </w:tc>
              <w:tc>
                <w:tcPr>
                  <w:tcW w:w="753" w:type="dxa"/>
                  <w:vAlign w:val="center"/>
                </w:tcPr>
                <w:p w14:paraId="77022ABA">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7.0</w:t>
                  </w:r>
                </w:p>
              </w:tc>
            </w:tr>
            <w:tr w14:paraId="3B48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2B9EAA82">
                  <w:pPr>
                    <w:jc w:val="center"/>
                    <w:rPr>
                      <w:rFonts w:ascii="Times New Roman" w:hAnsi="Times New Roman" w:cs="Times New Roman"/>
                      <w:szCs w:val="21"/>
                    </w:rPr>
                  </w:pPr>
                </w:p>
              </w:tc>
              <w:tc>
                <w:tcPr>
                  <w:tcW w:w="1439" w:type="dxa"/>
                  <w:vAlign w:val="center"/>
                </w:tcPr>
                <w:p w14:paraId="0303D2E0">
                  <w:pPr>
                    <w:jc w:val="center"/>
                    <w:rPr>
                      <w:rFonts w:ascii="Times New Roman" w:hAnsi="Times New Roman" w:cs="Times New Roman"/>
                      <w:szCs w:val="21"/>
                    </w:rPr>
                  </w:pPr>
                  <w:r>
                    <w:rPr>
                      <w:rFonts w:hint="eastAsia" w:ascii="Times New Roman" w:hAnsi="Times New Roman" w:cs="Times New Roman"/>
                      <w:szCs w:val="21"/>
                    </w:rPr>
                    <w:t>搅拌机</w:t>
                  </w:r>
                </w:p>
              </w:tc>
              <w:tc>
                <w:tcPr>
                  <w:tcW w:w="752" w:type="dxa"/>
                  <w:vAlign w:val="center"/>
                </w:tcPr>
                <w:p w14:paraId="53C0EC4F">
                  <w:pPr>
                    <w:jc w:val="center"/>
                    <w:rPr>
                      <w:rFonts w:ascii="Times New Roman" w:hAnsi="Times New Roman" w:cs="Times New Roman"/>
                      <w:szCs w:val="21"/>
                    </w:rPr>
                  </w:pPr>
                  <w:r>
                    <w:rPr>
                      <w:rFonts w:ascii="Times New Roman" w:hAnsi="Times New Roman" w:cs="Times New Roman"/>
                      <w:szCs w:val="21"/>
                    </w:rPr>
                    <w:t>85</w:t>
                  </w:r>
                </w:p>
              </w:tc>
              <w:tc>
                <w:tcPr>
                  <w:tcW w:w="752" w:type="dxa"/>
                  <w:vAlign w:val="center"/>
                </w:tcPr>
                <w:p w14:paraId="5B301CEE">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5.0</w:t>
                  </w:r>
                </w:p>
              </w:tc>
              <w:tc>
                <w:tcPr>
                  <w:tcW w:w="752" w:type="dxa"/>
                  <w:vAlign w:val="center"/>
                </w:tcPr>
                <w:p w14:paraId="4DA2E7DD">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5.5</w:t>
                  </w:r>
                </w:p>
              </w:tc>
              <w:tc>
                <w:tcPr>
                  <w:tcW w:w="753" w:type="dxa"/>
                  <w:vAlign w:val="center"/>
                </w:tcPr>
                <w:p w14:paraId="76F480A0">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1.0</w:t>
                  </w:r>
                </w:p>
              </w:tc>
              <w:tc>
                <w:tcPr>
                  <w:tcW w:w="752" w:type="dxa"/>
                  <w:vAlign w:val="center"/>
                </w:tcPr>
                <w:p w14:paraId="0701AC0F">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5.0</w:t>
                  </w:r>
                </w:p>
              </w:tc>
              <w:tc>
                <w:tcPr>
                  <w:tcW w:w="752" w:type="dxa"/>
                  <w:vAlign w:val="center"/>
                </w:tcPr>
                <w:p w14:paraId="06DC0960">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1.5</w:t>
                  </w:r>
                </w:p>
              </w:tc>
              <w:tc>
                <w:tcPr>
                  <w:tcW w:w="752" w:type="dxa"/>
                  <w:vAlign w:val="center"/>
                </w:tcPr>
                <w:p w14:paraId="7B440936">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9.0</w:t>
                  </w:r>
                </w:p>
              </w:tc>
              <w:tc>
                <w:tcPr>
                  <w:tcW w:w="753" w:type="dxa"/>
                  <w:vAlign w:val="center"/>
                </w:tcPr>
                <w:p w14:paraId="6D2EA717">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7.0</w:t>
                  </w:r>
                </w:p>
              </w:tc>
            </w:tr>
            <w:tr w14:paraId="49A8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71E9E0FA">
                  <w:pPr>
                    <w:jc w:val="center"/>
                    <w:rPr>
                      <w:rFonts w:ascii="Times New Roman" w:hAnsi="Times New Roman" w:cs="Times New Roman"/>
                      <w:szCs w:val="21"/>
                    </w:rPr>
                  </w:pPr>
                </w:p>
              </w:tc>
              <w:tc>
                <w:tcPr>
                  <w:tcW w:w="1439" w:type="dxa"/>
                  <w:vAlign w:val="center"/>
                </w:tcPr>
                <w:p w14:paraId="6EC3653F">
                  <w:pPr>
                    <w:jc w:val="center"/>
                    <w:rPr>
                      <w:rFonts w:ascii="Times New Roman" w:hAnsi="Times New Roman" w:cs="Times New Roman"/>
                      <w:szCs w:val="21"/>
                    </w:rPr>
                  </w:pPr>
                  <w:r>
                    <w:rPr>
                      <w:rFonts w:ascii="Times New Roman" w:hAnsi="Times New Roman" w:cs="Times New Roman"/>
                      <w:szCs w:val="21"/>
                    </w:rPr>
                    <w:t>电钻</w:t>
                  </w:r>
                </w:p>
              </w:tc>
              <w:tc>
                <w:tcPr>
                  <w:tcW w:w="752" w:type="dxa"/>
                  <w:vAlign w:val="center"/>
                </w:tcPr>
                <w:p w14:paraId="611B6F68">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5</w:t>
                  </w:r>
                </w:p>
              </w:tc>
              <w:tc>
                <w:tcPr>
                  <w:tcW w:w="752" w:type="dxa"/>
                  <w:vAlign w:val="center"/>
                </w:tcPr>
                <w:p w14:paraId="50B32AE6">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5.0</w:t>
                  </w:r>
                </w:p>
              </w:tc>
              <w:tc>
                <w:tcPr>
                  <w:tcW w:w="752" w:type="dxa"/>
                  <w:vAlign w:val="center"/>
                </w:tcPr>
                <w:p w14:paraId="5BAD176B">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5.5</w:t>
                  </w:r>
                </w:p>
              </w:tc>
              <w:tc>
                <w:tcPr>
                  <w:tcW w:w="753" w:type="dxa"/>
                  <w:vAlign w:val="center"/>
                </w:tcPr>
                <w:p w14:paraId="373DC8C9">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1.0</w:t>
                  </w:r>
                </w:p>
              </w:tc>
              <w:tc>
                <w:tcPr>
                  <w:tcW w:w="752" w:type="dxa"/>
                  <w:vAlign w:val="center"/>
                </w:tcPr>
                <w:p w14:paraId="340B89C1">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5.0</w:t>
                  </w:r>
                </w:p>
              </w:tc>
              <w:tc>
                <w:tcPr>
                  <w:tcW w:w="752" w:type="dxa"/>
                  <w:vAlign w:val="center"/>
                </w:tcPr>
                <w:p w14:paraId="5E09628D">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1.5</w:t>
                  </w:r>
                </w:p>
              </w:tc>
              <w:tc>
                <w:tcPr>
                  <w:tcW w:w="752" w:type="dxa"/>
                  <w:vAlign w:val="center"/>
                </w:tcPr>
                <w:p w14:paraId="5A58E396">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9.0</w:t>
                  </w:r>
                </w:p>
              </w:tc>
              <w:tc>
                <w:tcPr>
                  <w:tcW w:w="753" w:type="dxa"/>
                  <w:vAlign w:val="center"/>
                </w:tcPr>
                <w:p w14:paraId="5026911F">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7.0</w:t>
                  </w:r>
                </w:p>
              </w:tc>
            </w:tr>
            <w:tr w14:paraId="38FD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49FB7459">
                  <w:pPr>
                    <w:jc w:val="center"/>
                    <w:rPr>
                      <w:rFonts w:ascii="Times New Roman" w:hAnsi="Times New Roman" w:cs="Times New Roman"/>
                      <w:szCs w:val="21"/>
                    </w:rPr>
                  </w:pPr>
                </w:p>
              </w:tc>
              <w:tc>
                <w:tcPr>
                  <w:tcW w:w="1439" w:type="dxa"/>
                  <w:vAlign w:val="center"/>
                </w:tcPr>
                <w:p w14:paraId="6340FA93">
                  <w:pPr>
                    <w:jc w:val="center"/>
                    <w:rPr>
                      <w:rFonts w:ascii="Times New Roman" w:hAnsi="Times New Roman" w:cs="Times New Roman"/>
                      <w:szCs w:val="21"/>
                    </w:rPr>
                  </w:pPr>
                  <w:r>
                    <w:rPr>
                      <w:rFonts w:ascii="Times New Roman" w:hAnsi="Times New Roman" w:cs="Times New Roman"/>
                      <w:szCs w:val="21"/>
                    </w:rPr>
                    <w:t>轻型载重车</w:t>
                  </w:r>
                </w:p>
              </w:tc>
              <w:tc>
                <w:tcPr>
                  <w:tcW w:w="752" w:type="dxa"/>
                  <w:vAlign w:val="center"/>
                </w:tcPr>
                <w:p w14:paraId="1C400751">
                  <w:pPr>
                    <w:jc w:val="center"/>
                    <w:rPr>
                      <w:rFonts w:ascii="Times New Roman" w:hAnsi="Times New Roman" w:cs="Times New Roman"/>
                      <w:szCs w:val="21"/>
                    </w:rPr>
                  </w:pPr>
                  <w:r>
                    <w:rPr>
                      <w:rFonts w:ascii="Times New Roman" w:hAnsi="Times New Roman" w:cs="Times New Roman"/>
                      <w:szCs w:val="21"/>
                    </w:rPr>
                    <w:t>75</w:t>
                  </w:r>
                </w:p>
              </w:tc>
              <w:tc>
                <w:tcPr>
                  <w:tcW w:w="752" w:type="dxa"/>
                  <w:vAlign w:val="center"/>
                </w:tcPr>
                <w:p w14:paraId="199DE39F">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5.0</w:t>
                  </w:r>
                </w:p>
              </w:tc>
              <w:tc>
                <w:tcPr>
                  <w:tcW w:w="752" w:type="dxa"/>
                  <w:vAlign w:val="center"/>
                </w:tcPr>
                <w:p w14:paraId="56BBAD62">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5.5</w:t>
                  </w:r>
                </w:p>
              </w:tc>
              <w:tc>
                <w:tcPr>
                  <w:tcW w:w="753" w:type="dxa"/>
                  <w:vAlign w:val="center"/>
                </w:tcPr>
                <w:p w14:paraId="4D277E80">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1.0</w:t>
                  </w:r>
                </w:p>
              </w:tc>
              <w:tc>
                <w:tcPr>
                  <w:tcW w:w="752" w:type="dxa"/>
                  <w:vAlign w:val="center"/>
                </w:tcPr>
                <w:p w14:paraId="421D54A0">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5.0</w:t>
                  </w:r>
                </w:p>
              </w:tc>
              <w:tc>
                <w:tcPr>
                  <w:tcW w:w="752" w:type="dxa"/>
                  <w:vAlign w:val="center"/>
                </w:tcPr>
                <w:p w14:paraId="7156C794">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1.5</w:t>
                  </w:r>
                </w:p>
              </w:tc>
              <w:tc>
                <w:tcPr>
                  <w:tcW w:w="752" w:type="dxa"/>
                  <w:vAlign w:val="center"/>
                </w:tcPr>
                <w:p w14:paraId="2341F2B0">
                  <w:pPr>
                    <w:jc w:val="center"/>
                    <w:rPr>
                      <w:rFonts w:ascii="Times New Roman" w:hAnsi="Times New Roman" w:cs="Times New Roman"/>
                      <w:szCs w:val="21"/>
                    </w:rPr>
                  </w:pPr>
                  <w:r>
                    <w:rPr>
                      <w:rFonts w:ascii="Times New Roman" w:hAnsi="Times New Roman" w:cs="Times New Roman"/>
                      <w:szCs w:val="21"/>
                    </w:rPr>
                    <w:t>29.0</w:t>
                  </w:r>
                </w:p>
              </w:tc>
              <w:tc>
                <w:tcPr>
                  <w:tcW w:w="753" w:type="dxa"/>
                  <w:vAlign w:val="center"/>
                </w:tcPr>
                <w:p w14:paraId="6939CED0">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7.0</w:t>
                  </w:r>
                </w:p>
              </w:tc>
            </w:tr>
            <w:tr w14:paraId="0414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167C0026">
                  <w:pPr>
                    <w:jc w:val="center"/>
                    <w:rPr>
                      <w:rFonts w:ascii="Times New Roman" w:hAnsi="Times New Roman" w:cs="Times New Roman"/>
                      <w:szCs w:val="21"/>
                    </w:rPr>
                  </w:pPr>
                </w:p>
              </w:tc>
              <w:tc>
                <w:tcPr>
                  <w:tcW w:w="1439" w:type="dxa"/>
                  <w:vAlign w:val="center"/>
                </w:tcPr>
                <w:p w14:paraId="091095F0">
                  <w:pPr>
                    <w:jc w:val="center"/>
                    <w:rPr>
                      <w:rFonts w:ascii="Times New Roman" w:hAnsi="Times New Roman" w:cs="Times New Roman"/>
                      <w:szCs w:val="21"/>
                    </w:rPr>
                  </w:pPr>
                  <w:r>
                    <w:rPr>
                      <w:rFonts w:ascii="Times New Roman" w:hAnsi="Times New Roman" w:cs="Times New Roman"/>
                      <w:szCs w:val="21"/>
                    </w:rPr>
                    <w:t>推土机</w:t>
                  </w:r>
                </w:p>
              </w:tc>
              <w:tc>
                <w:tcPr>
                  <w:tcW w:w="752" w:type="dxa"/>
                  <w:vAlign w:val="center"/>
                </w:tcPr>
                <w:p w14:paraId="6B502246">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752" w:type="dxa"/>
                  <w:vAlign w:val="center"/>
                </w:tcPr>
                <w:p w14:paraId="7020B5EF">
                  <w:pPr>
                    <w:pStyle w:val="65"/>
                    <w:spacing w:before="0"/>
                    <w:rPr>
                      <w:rFonts w:ascii="Times New Roman" w:hAnsi="Times New Roman"/>
                    </w:rPr>
                  </w:pPr>
                  <w:r>
                    <w:rPr>
                      <w:rFonts w:hint="eastAsia" w:ascii="Times New Roman" w:hAnsi="Times New Roman"/>
                    </w:rPr>
                    <w:t>6</w:t>
                  </w:r>
                  <w:r>
                    <w:rPr>
                      <w:rFonts w:ascii="Times New Roman" w:hAnsi="Times New Roman"/>
                    </w:rPr>
                    <w:t>0.0</w:t>
                  </w:r>
                </w:p>
              </w:tc>
              <w:tc>
                <w:tcPr>
                  <w:tcW w:w="752" w:type="dxa"/>
                  <w:vAlign w:val="center"/>
                </w:tcPr>
                <w:p w14:paraId="7A241EC4">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c>
                <w:tcPr>
                  <w:tcW w:w="753" w:type="dxa"/>
                  <w:vAlign w:val="center"/>
                </w:tcPr>
                <w:p w14:paraId="636A01C7">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752" w:type="dxa"/>
                  <w:vAlign w:val="center"/>
                </w:tcPr>
                <w:p w14:paraId="5BECF06D">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0.0</w:t>
                  </w:r>
                </w:p>
              </w:tc>
              <w:tc>
                <w:tcPr>
                  <w:tcW w:w="752" w:type="dxa"/>
                  <w:vAlign w:val="center"/>
                </w:tcPr>
                <w:p w14:paraId="02801C5C">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6.5</w:t>
                  </w:r>
                </w:p>
              </w:tc>
              <w:tc>
                <w:tcPr>
                  <w:tcW w:w="752" w:type="dxa"/>
                  <w:vAlign w:val="center"/>
                </w:tcPr>
                <w:p w14:paraId="64BAE0F7">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4.0</w:t>
                  </w:r>
                </w:p>
              </w:tc>
              <w:tc>
                <w:tcPr>
                  <w:tcW w:w="753" w:type="dxa"/>
                  <w:vAlign w:val="center"/>
                </w:tcPr>
                <w:p w14:paraId="170B474C">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r>
            <w:tr w14:paraId="155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54DADB49">
                  <w:pPr>
                    <w:jc w:val="center"/>
                    <w:rPr>
                      <w:rFonts w:ascii="Times New Roman" w:hAnsi="Times New Roman" w:cs="Times New Roman"/>
                      <w:szCs w:val="21"/>
                    </w:rPr>
                  </w:pPr>
                </w:p>
              </w:tc>
              <w:tc>
                <w:tcPr>
                  <w:tcW w:w="1439" w:type="dxa"/>
                  <w:vAlign w:val="center"/>
                </w:tcPr>
                <w:p w14:paraId="6109CDE8">
                  <w:pPr>
                    <w:jc w:val="center"/>
                    <w:rPr>
                      <w:rFonts w:ascii="Times New Roman" w:hAnsi="Times New Roman" w:cs="Times New Roman"/>
                      <w:szCs w:val="21"/>
                    </w:rPr>
                  </w:pPr>
                  <w:r>
                    <w:rPr>
                      <w:rFonts w:ascii="Times New Roman" w:hAnsi="Times New Roman" w:cs="Times New Roman"/>
                      <w:szCs w:val="21"/>
                    </w:rPr>
                    <w:t>挖掘机</w:t>
                  </w:r>
                </w:p>
              </w:tc>
              <w:tc>
                <w:tcPr>
                  <w:tcW w:w="752" w:type="dxa"/>
                  <w:vAlign w:val="center"/>
                </w:tcPr>
                <w:p w14:paraId="7B796AB1">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752" w:type="dxa"/>
                  <w:vAlign w:val="center"/>
                </w:tcPr>
                <w:p w14:paraId="54B974CF">
                  <w:pPr>
                    <w:pStyle w:val="65"/>
                    <w:spacing w:before="0"/>
                    <w:rPr>
                      <w:rFonts w:ascii="Times New Roman" w:hAnsi="Times New Roman"/>
                    </w:rPr>
                  </w:pPr>
                  <w:r>
                    <w:rPr>
                      <w:rFonts w:hint="eastAsia" w:ascii="Times New Roman" w:hAnsi="Times New Roman"/>
                    </w:rPr>
                    <w:t>6</w:t>
                  </w:r>
                  <w:r>
                    <w:rPr>
                      <w:rFonts w:ascii="Times New Roman" w:hAnsi="Times New Roman"/>
                    </w:rPr>
                    <w:t>0.0</w:t>
                  </w:r>
                </w:p>
              </w:tc>
              <w:tc>
                <w:tcPr>
                  <w:tcW w:w="752" w:type="dxa"/>
                  <w:vAlign w:val="center"/>
                </w:tcPr>
                <w:p w14:paraId="7260EA6E">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c>
                <w:tcPr>
                  <w:tcW w:w="753" w:type="dxa"/>
                  <w:vAlign w:val="center"/>
                </w:tcPr>
                <w:p w14:paraId="6B7BB25B">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752" w:type="dxa"/>
                  <w:vAlign w:val="center"/>
                </w:tcPr>
                <w:p w14:paraId="264BEACB">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0.0</w:t>
                  </w:r>
                </w:p>
              </w:tc>
              <w:tc>
                <w:tcPr>
                  <w:tcW w:w="752" w:type="dxa"/>
                  <w:vAlign w:val="center"/>
                </w:tcPr>
                <w:p w14:paraId="4DAD1789">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6.5</w:t>
                  </w:r>
                </w:p>
              </w:tc>
              <w:tc>
                <w:tcPr>
                  <w:tcW w:w="752" w:type="dxa"/>
                  <w:vAlign w:val="center"/>
                </w:tcPr>
                <w:p w14:paraId="2C1DF090">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4.0</w:t>
                  </w:r>
                </w:p>
              </w:tc>
              <w:tc>
                <w:tcPr>
                  <w:tcW w:w="753" w:type="dxa"/>
                  <w:vAlign w:val="center"/>
                </w:tcPr>
                <w:p w14:paraId="14BF0019">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r>
            <w:tr w14:paraId="505F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83" w:type="dxa"/>
                  <w:vMerge w:val="continue"/>
                  <w:vAlign w:val="center"/>
                </w:tcPr>
                <w:p w14:paraId="24D939A8">
                  <w:pPr>
                    <w:jc w:val="center"/>
                    <w:rPr>
                      <w:rFonts w:ascii="Times New Roman" w:hAnsi="Times New Roman" w:cs="Times New Roman"/>
                      <w:szCs w:val="21"/>
                    </w:rPr>
                  </w:pPr>
                </w:p>
              </w:tc>
              <w:tc>
                <w:tcPr>
                  <w:tcW w:w="1439" w:type="dxa"/>
                  <w:vAlign w:val="center"/>
                </w:tcPr>
                <w:p w14:paraId="293E75DE">
                  <w:pPr>
                    <w:jc w:val="center"/>
                    <w:rPr>
                      <w:rFonts w:ascii="Times New Roman" w:hAnsi="Times New Roman" w:cs="Times New Roman"/>
                      <w:szCs w:val="21"/>
                    </w:rPr>
                  </w:pPr>
                  <w:r>
                    <w:rPr>
                      <w:rFonts w:ascii="Times New Roman" w:hAnsi="Times New Roman" w:cs="Times New Roman"/>
                      <w:szCs w:val="21"/>
                    </w:rPr>
                    <w:t>装载机</w:t>
                  </w:r>
                </w:p>
              </w:tc>
              <w:tc>
                <w:tcPr>
                  <w:tcW w:w="752" w:type="dxa"/>
                  <w:vAlign w:val="center"/>
                </w:tcPr>
                <w:p w14:paraId="1C30DA7E">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752" w:type="dxa"/>
                  <w:vAlign w:val="center"/>
                </w:tcPr>
                <w:p w14:paraId="1DB1D3D5">
                  <w:pPr>
                    <w:pStyle w:val="65"/>
                    <w:spacing w:before="0"/>
                    <w:rPr>
                      <w:rFonts w:ascii="Times New Roman" w:hAnsi="Times New Roman"/>
                    </w:rPr>
                  </w:pPr>
                  <w:r>
                    <w:rPr>
                      <w:rFonts w:hint="eastAsia" w:ascii="Times New Roman" w:hAnsi="Times New Roman"/>
                    </w:rPr>
                    <w:t>6</w:t>
                  </w:r>
                  <w:r>
                    <w:rPr>
                      <w:rFonts w:ascii="Times New Roman" w:hAnsi="Times New Roman"/>
                    </w:rPr>
                    <w:t>0.0</w:t>
                  </w:r>
                </w:p>
              </w:tc>
              <w:tc>
                <w:tcPr>
                  <w:tcW w:w="752" w:type="dxa"/>
                  <w:vAlign w:val="center"/>
                </w:tcPr>
                <w:p w14:paraId="1C3ECFF7">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c>
                <w:tcPr>
                  <w:tcW w:w="753" w:type="dxa"/>
                  <w:vAlign w:val="center"/>
                </w:tcPr>
                <w:p w14:paraId="07405ED3">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752" w:type="dxa"/>
                  <w:vAlign w:val="center"/>
                </w:tcPr>
                <w:p w14:paraId="68DAB0DD">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0.0</w:t>
                  </w:r>
                </w:p>
              </w:tc>
              <w:tc>
                <w:tcPr>
                  <w:tcW w:w="752" w:type="dxa"/>
                  <w:vAlign w:val="center"/>
                </w:tcPr>
                <w:p w14:paraId="779BBB4F">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6.5</w:t>
                  </w:r>
                </w:p>
              </w:tc>
              <w:tc>
                <w:tcPr>
                  <w:tcW w:w="752" w:type="dxa"/>
                  <w:vAlign w:val="center"/>
                </w:tcPr>
                <w:p w14:paraId="268FD8D7">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4.0</w:t>
                  </w:r>
                </w:p>
              </w:tc>
              <w:tc>
                <w:tcPr>
                  <w:tcW w:w="753" w:type="dxa"/>
                  <w:vAlign w:val="center"/>
                </w:tcPr>
                <w:p w14:paraId="23C30581">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2.0</w:t>
                  </w:r>
                </w:p>
              </w:tc>
            </w:tr>
          </w:tbl>
          <w:p w14:paraId="72091FAF">
            <w:pPr>
              <w:tabs>
                <w:tab w:val="left" w:pos="6"/>
                <w:tab w:val="left" w:pos="33"/>
              </w:tabs>
              <w:adjustRightInd w:val="0"/>
              <w:snapToGrid w:val="0"/>
              <w:ind w:firstLine="210" w:firstLineChars="100"/>
              <w:rPr>
                <w:rFonts w:ascii="Times New Roman" w:hAnsi="Times New Roman" w:cs="Times New Roman"/>
                <w:szCs w:val="21"/>
              </w:rPr>
            </w:pPr>
          </w:p>
          <w:p w14:paraId="0E4205D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根据噪声叠加公式：</w:t>
            </w:r>
          </w:p>
          <w:p w14:paraId="39EBFF37">
            <w:pPr>
              <w:pStyle w:val="10"/>
              <w:spacing w:line="360" w:lineRule="auto"/>
              <w:ind w:left="0" w:right="105" w:rightChars="50"/>
              <w:jc w:val="center"/>
              <w:rPr>
                <w:rFonts w:ascii="Times New Roman" w:hAnsi="Times New Roman" w:cs="Times New Roman"/>
              </w:rPr>
            </w:pPr>
            <w:r>
              <w:rPr>
                <w:rFonts w:ascii="Times New Roman" w:hAnsi="Times New Roman" w:cs="Times New Roman"/>
              </w:rPr>
              <w:t>Leq＝10lg∑（10</w:t>
            </w:r>
            <w:r>
              <w:rPr>
                <w:rFonts w:ascii="Times New Roman" w:hAnsi="Times New Roman" w:cs="Times New Roman"/>
                <w:vertAlign w:val="superscript"/>
              </w:rPr>
              <w:t>0.1L1</w:t>
            </w:r>
            <w:r>
              <w:rPr>
                <w:rFonts w:ascii="Times New Roman" w:hAnsi="Times New Roman" w:cs="Times New Roman"/>
              </w:rPr>
              <w:t>+10</w:t>
            </w:r>
            <w:r>
              <w:rPr>
                <w:rFonts w:ascii="Times New Roman" w:hAnsi="Times New Roman" w:cs="Times New Roman"/>
                <w:vertAlign w:val="superscript"/>
              </w:rPr>
              <w:t>0.1L2</w:t>
            </w:r>
            <w:r>
              <w:rPr>
                <w:rFonts w:ascii="Times New Roman" w:hAnsi="Times New Roman" w:cs="Times New Roman"/>
              </w:rPr>
              <w:t>+…10</w:t>
            </w:r>
            <w:r>
              <w:rPr>
                <w:rFonts w:ascii="Times New Roman" w:hAnsi="Times New Roman" w:cs="Times New Roman"/>
                <w:vertAlign w:val="superscript"/>
              </w:rPr>
              <w:t>0.1Lｉ</w:t>
            </w:r>
            <w:r>
              <w:rPr>
                <w:rFonts w:ascii="Times New Roman" w:hAnsi="Times New Roman" w:cs="Times New Roman"/>
              </w:rPr>
              <w:t>）</w:t>
            </w:r>
          </w:p>
          <w:p w14:paraId="39A2528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式中：L</w:t>
            </w:r>
            <w:r>
              <w:rPr>
                <w:rFonts w:ascii="Times New Roman" w:hAnsi="Times New Roman" w:cs="Times New Roman"/>
                <w:vertAlign w:val="subscript"/>
              </w:rPr>
              <w:t>i</w:t>
            </w:r>
            <w:r>
              <w:rPr>
                <w:rFonts w:ascii="Times New Roman" w:hAnsi="Times New Roman" w:cs="Times New Roman"/>
              </w:rPr>
              <w:t>——其中单个噪声源的声级数，dB（A）</w:t>
            </w:r>
          </w:p>
          <w:p w14:paraId="043BC5E6">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Leq——噪声源叠加后的值</w:t>
            </w:r>
          </w:p>
          <w:p w14:paraId="57F6091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根据噪声叠加公示计算后各距离噪声叠加后的值见表4-2。</w:t>
            </w:r>
          </w:p>
          <w:p w14:paraId="0DB1E69E">
            <w:pPr>
              <w:pStyle w:val="60"/>
              <w:spacing w:line="240" w:lineRule="auto"/>
              <w:rPr>
                <w:rFonts w:hAnsi="Times New Roman"/>
                <w:color w:val="auto"/>
              </w:rPr>
            </w:pPr>
            <w:r>
              <w:rPr>
                <w:rFonts w:hAnsi="Times New Roman"/>
                <w:color w:val="auto"/>
              </w:rPr>
              <w:t>表4-2    经过叠加后噪声源强表</w:t>
            </w:r>
          </w:p>
          <w:tbl>
            <w:tblPr>
              <w:tblStyle w:val="18"/>
              <w:tblpPr w:leftFromText="180" w:rightFromText="180" w:vertAnchor="text" w:horzAnchor="page" w:tblpXSpec="center" w:tblpY="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95"/>
              <w:gridCol w:w="528"/>
              <w:gridCol w:w="748"/>
              <w:gridCol w:w="748"/>
              <w:gridCol w:w="749"/>
              <w:gridCol w:w="749"/>
              <w:gridCol w:w="749"/>
              <w:gridCol w:w="749"/>
              <w:gridCol w:w="654"/>
            </w:tblGrid>
            <w:tr w14:paraId="455A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54" w:type="dxa"/>
                  <w:vAlign w:val="center"/>
                </w:tcPr>
                <w:p w14:paraId="794AC834">
                  <w:pPr>
                    <w:jc w:val="center"/>
                    <w:rPr>
                      <w:rFonts w:ascii="Times New Roman" w:hAnsi="Times New Roman" w:cs="Times New Roman"/>
                      <w:szCs w:val="21"/>
                    </w:rPr>
                  </w:pPr>
                  <w:r>
                    <w:rPr>
                      <w:rFonts w:ascii="Times New Roman" w:hAnsi="Times New Roman" w:cs="Times New Roman"/>
                      <w:szCs w:val="21"/>
                    </w:rPr>
                    <w:t>距离(m)</w:t>
                  </w:r>
                </w:p>
              </w:tc>
              <w:tc>
                <w:tcPr>
                  <w:tcW w:w="595" w:type="dxa"/>
                  <w:vAlign w:val="center"/>
                </w:tcPr>
                <w:p w14:paraId="6F6BAB9C">
                  <w:pPr>
                    <w:jc w:val="center"/>
                    <w:rPr>
                      <w:rFonts w:ascii="Times New Roman" w:hAnsi="Times New Roman" w:cs="Times New Roman"/>
                      <w:szCs w:val="21"/>
                    </w:rPr>
                  </w:pPr>
                  <w:r>
                    <w:rPr>
                      <w:rFonts w:ascii="Times New Roman" w:hAnsi="Times New Roman" w:cs="Times New Roman"/>
                      <w:szCs w:val="21"/>
                    </w:rPr>
                    <w:t>10</w:t>
                  </w:r>
                </w:p>
              </w:tc>
              <w:tc>
                <w:tcPr>
                  <w:tcW w:w="528" w:type="dxa"/>
                  <w:vAlign w:val="center"/>
                </w:tcPr>
                <w:p w14:paraId="5B285EAE">
                  <w:pPr>
                    <w:jc w:val="center"/>
                    <w:rPr>
                      <w:rFonts w:ascii="Times New Roman" w:hAnsi="Times New Roman" w:cs="Times New Roman"/>
                      <w:b/>
                      <w:bCs/>
                      <w:szCs w:val="21"/>
                    </w:rPr>
                  </w:pPr>
                  <w:r>
                    <w:rPr>
                      <w:rFonts w:hint="eastAsia" w:ascii="Times New Roman" w:hAnsi="Times New Roman" w:cs="Times New Roman"/>
                      <w:b/>
                      <w:bCs/>
                      <w:szCs w:val="21"/>
                    </w:rPr>
                    <w:t>2</w:t>
                  </w:r>
                  <w:r>
                    <w:rPr>
                      <w:rFonts w:ascii="Times New Roman" w:hAnsi="Times New Roman" w:cs="Times New Roman"/>
                      <w:b/>
                      <w:bCs/>
                      <w:szCs w:val="21"/>
                    </w:rPr>
                    <w:t>7</w:t>
                  </w:r>
                </w:p>
              </w:tc>
              <w:tc>
                <w:tcPr>
                  <w:tcW w:w="748" w:type="dxa"/>
                  <w:vAlign w:val="center"/>
                </w:tcPr>
                <w:p w14:paraId="650729C6">
                  <w:pPr>
                    <w:jc w:val="center"/>
                    <w:rPr>
                      <w:rFonts w:ascii="Times New Roman" w:hAnsi="Times New Roman" w:cs="Times New Roman"/>
                      <w:szCs w:val="21"/>
                    </w:rPr>
                  </w:pPr>
                  <w:r>
                    <w:rPr>
                      <w:rFonts w:ascii="Times New Roman" w:hAnsi="Times New Roman" w:cs="Times New Roman"/>
                      <w:szCs w:val="21"/>
                    </w:rPr>
                    <w:t>30</w:t>
                  </w:r>
                </w:p>
              </w:tc>
              <w:tc>
                <w:tcPr>
                  <w:tcW w:w="748" w:type="dxa"/>
                  <w:vAlign w:val="center"/>
                </w:tcPr>
                <w:p w14:paraId="077385EA">
                  <w:pPr>
                    <w:jc w:val="center"/>
                    <w:rPr>
                      <w:rFonts w:ascii="Times New Roman" w:hAnsi="Times New Roman" w:cs="Times New Roman"/>
                      <w:szCs w:val="21"/>
                    </w:rPr>
                  </w:pPr>
                  <w:r>
                    <w:rPr>
                      <w:rFonts w:ascii="Times New Roman" w:hAnsi="Times New Roman" w:cs="Times New Roman"/>
                      <w:szCs w:val="21"/>
                    </w:rPr>
                    <w:t>50</w:t>
                  </w:r>
                </w:p>
              </w:tc>
              <w:tc>
                <w:tcPr>
                  <w:tcW w:w="749" w:type="dxa"/>
                  <w:vAlign w:val="center"/>
                </w:tcPr>
                <w:p w14:paraId="59C8CE49">
                  <w:pPr>
                    <w:jc w:val="center"/>
                    <w:rPr>
                      <w:rFonts w:ascii="Times New Roman" w:hAnsi="Times New Roman" w:cs="Times New Roman"/>
                      <w:szCs w:val="21"/>
                    </w:rPr>
                  </w:pPr>
                  <w:r>
                    <w:rPr>
                      <w:rFonts w:ascii="Times New Roman" w:hAnsi="Times New Roman" w:cs="Times New Roman"/>
                      <w:szCs w:val="21"/>
                    </w:rPr>
                    <w:t>100</w:t>
                  </w:r>
                </w:p>
              </w:tc>
              <w:tc>
                <w:tcPr>
                  <w:tcW w:w="749" w:type="dxa"/>
                </w:tcPr>
                <w:p w14:paraId="736B907B">
                  <w:pPr>
                    <w:jc w:val="center"/>
                    <w:rPr>
                      <w:rFonts w:ascii="Times New Roman" w:hAnsi="Times New Roman" w:cs="Times New Roman"/>
                      <w:b/>
                      <w:bCs/>
                      <w:szCs w:val="21"/>
                    </w:rPr>
                  </w:pPr>
                  <w:r>
                    <w:rPr>
                      <w:rFonts w:hint="eastAsia" w:ascii="Times New Roman" w:hAnsi="Times New Roman" w:cs="Times New Roman"/>
                      <w:b/>
                      <w:bCs/>
                      <w:szCs w:val="21"/>
                    </w:rPr>
                    <w:t>1</w:t>
                  </w:r>
                  <w:r>
                    <w:rPr>
                      <w:rFonts w:ascii="Times New Roman" w:hAnsi="Times New Roman" w:cs="Times New Roman"/>
                      <w:b/>
                      <w:bCs/>
                      <w:szCs w:val="21"/>
                    </w:rPr>
                    <w:t>47</w:t>
                  </w:r>
                </w:p>
              </w:tc>
              <w:tc>
                <w:tcPr>
                  <w:tcW w:w="749" w:type="dxa"/>
                  <w:vAlign w:val="center"/>
                </w:tcPr>
                <w:p w14:paraId="3E254DF2">
                  <w:pPr>
                    <w:jc w:val="center"/>
                    <w:rPr>
                      <w:rFonts w:ascii="Times New Roman" w:hAnsi="Times New Roman" w:cs="Times New Roman"/>
                      <w:szCs w:val="21"/>
                    </w:rPr>
                  </w:pPr>
                  <w:r>
                    <w:rPr>
                      <w:rFonts w:ascii="Times New Roman" w:hAnsi="Times New Roman" w:cs="Times New Roman"/>
                      <w:szCs w:val="21"/>
                    </w:rPr>
                    <w:t>150</w:t>
                  </w:r>
                </w:p>
              </w:tc>
              <w:tc>
                <w:tcPr>
                  <w:tcW w:w="749" w:type="dxa"/>
                  <w:vAlign w:val="center"/>
                </w:tcPr>
                <w:p w14:paraId="0531C97D">
                  <w:pPr>
                    <w:jc w:val="center"/>
                    <w:rPr>
                      <w:rFonts w:ascii="Times New Roman" w:hAnsi="Times New Roman" w:cs="Times New Roman"/>
                      <w:szCs w:val="21"/>
                    </w:rPr>
                  </w:pPr>
                  <w:r>
                    <w:rPr>
                      <w:rFonts w:ascii="Times New Roman" w:hAnsi="Times New Roman" w:cs="Times New Roman"/>
                      <w:szCs w:val="21"/>
                    </w:rPr>
                    <w:t>200</w:t>
                  </w:r>
                </w:p>
              </w:tc>
              <w:tc>
                <w:tcPr>
                  <w:tcW w:w="654" w:type="dxa"/>
                  <w:vAlign w:val="center"/>
                </w:tcPr>
                <w:p w14:paraId="55F280A8">
                  <w:pPr>
                    <w:jc w:val="center"/>
                    <w:rPr>
                      <w:rFonts w:ascii="Times New Roman" w:hAnsi="Times New Roman" w:cs="Times New Roman"/>
                      <w:szCs w:val="21"/>
                    </w:rPr>
                  </w:pPr>
                  <w:r>
                    <w:rPr>
                      <w:rFonts w:ascii="Times New Roman" w:hAnsi="Times New Roman" w:cs="Times New Roman"/>
                      <w:szCs w:val="21"/>
                    </w:rPr>
                    <w:t>250</w:t>
                  </w:r>
                </w:p>
              </w:tc>
            </w:tr>
            <w:tr w14:paraId="633D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54" w:type="dxa"/>
                  <w:vAlign w:val="center"/>
                </w:tcPr>
                <w:p w14:paraId="177B3771">
                  <w:pPr>
                    <w:jc w:val="center"/>
                    <w:rPr>
                      <w:rFonts w:ascii="Times New Roman" w:hAnsi="Times New Roman" w:cs="Times New Roman"/>
                      <w:szCs w:val="21"/>
                    </w:rPr>
                  </w:pPr>
                  <w:r>
                    <w:rPr>
                      <w:rFonts w:ascii="Times New Roman" w:hAnsi="Times New Roman" w:cs="Times New Roman"/>
                      <w:szCs w:val="21"/>
                    </w:rPr>
                    <w:t>Leq(dB(A))</w:t>
                  </w:r>
                </w:p>
              </w:tc>
              <w:tc>
                <w:tcPr>
                  <w:tcW w:w="595" w:type="dxa"/>
                  <w:vAlign w:val="center"/>
                </w:tcPr>
                <w:p w14:paraId="30B5DBF4">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8.4</w:t>
                  </w:r>
                </w:p>
              </w:tc>
              <w:tc>
                <w:tcPr>
                  <w:tcW w:w="528" w:type="dxa"/>
                  <w:vAlign w:val="center"/>
                </w:tcPr>
                <w:p w14:paraId="6D996DFA">
                  <w:pPr>
                    <w:jc w:val="center"/>
                    <w:rPr>
                      <w:rFonts w:ascii="Times New Roman" w:hAnsi="Times New Roman" w:cs="Times New Roman"/>
                      <w:b/>
                      <w:bCs/>
                      <w:szCs w:val="21"/>
                    </w:rPr>
                  </w:pPr>
                  <w:r>
                    <w:rPr>
                      <w:rFonts w:hint="eastAsia" w:ascii="Times New Roman" w:hAnsi="Times New Roman" w:cs="Times New Roman"/>
                      <w:b/>
                      <w:bCs/>
                      <w:szCs w:val="21"/>
                    </w:rPr>
                    <w:t>7</w:t>
                  </w:r>
                  <w:r>
                    <w:rPr>
                      <w:rFonts w:ascii="Times New Roman" w:hAnsi="Times New Roman" w:cs="Times New Roman"/>
                      <w:b/>
                      <w:bCs/>
                      <w:szCs w:val="21"/>
                    </w:rPr>
                    <w:t>0</w:t>
                  </w:r>
                </w:p>
              </w:tc>
              <w:tc>
                <w:tcPr>
                  <w:tcW w:w="748" w:type="dxa"/>
                  <w:vAlign w:val="center"/>
                </w:tcPr>
                <w:p w14:paraId="597EA4EA">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8.9</w:t>
                  </w:r>
                </w:p>
              </w:tc>
              <w:tc>
                <w:tcPr>
                  <w:tcW w:w="748" w:type="dxa"/>
                  <w:vAlign w:val="center"/>
                </w:tcPr>
                <w:p w14:paraId="2860FFA2">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4.5</w:t>
                  </w:r>
                </w:p>
              </w:tc>
              <w:tc>
                <w:tcPr>
                  <w:tcW w:w="749" w:type="dxa"/>
                  <w:vAlign w:val="center"/>
                </w:tcPr>
                <w:p w14:paraId="2B4B26AD">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8.4</w:t>
                  </w:r>
                </w:p>
              </w:tc>
              <w:tc>
                <w:tcPr>
                  <w:tcW w:w="749" w:type="dxa"/>
                </w:tcPr>
                <w:p w14:paraId="0B5FDD4C">
                  <w:pPr>
                    <w:jc w:val="center"/>
                    <w:rPr>
                      <w:rFonts w:ascii="Times New Roman" w:hAnsi="Times New Roman"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5</w:t>
                  </w:r>
                </w:p>
              </w:tc>
              <w:tc>
                <w:tcPr>
                  <w:tcW w:w="749" w:type="dxa"/>
                  <w:vAlign w:val="center"/>
                </w:tcPr>
                <w:p w14:paraId="7E69429E">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4.9</w:t>
                  </w:r>
                </w:p>
              </w:tc>
              <w:tc>
                <w:tcPr>
                  <w:tcW w:w="749" w:type="dxa"/>
                  <w:vAlign w:val="center"/>
                </w:tcPr>
                <w:p w14:paraId="1A5A0CC8">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2.4</w:t>
                  </w:r>
                </w:p>
              </w:tc>
              <w:tc>
                <w:tcPr>
                  <w:tcW w:w="654" w:type="dxa"/>
                  <w:vAlign w:val="center"/>
                </w:tcPr>
                <w:p w14:paraId="36226E50">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0.5</w:t>
                  </w:r>
                </w:p>
              </w:tc>
            </w:tr>
          </w:tbl>
          <w:p w14:paraId="62621667">
            <w:pPr>
              <w:tabs>
                <w:tab w:val="left" w:pos="6"/>
                <w:tab w:val="left" w:pos="33"/>
              </w:tabs>
              <w:adjustRightInd w:val="0"/>
              <w:snapToGrid w:val="0"/>
              <w:ind w:firstLine="210" w:firstLineChars="100"/>
              <w:rPr>
                <w:rFonts w:ascii="Times New Roman" w:hAnsi="Times New Roman" w:cs="Times New Roman"/>
                <w:szCs w:val="21"/>
              </w:rPr>
            </w:pPr>
          </w:p>
          <w:p w14:paraId="1C8391A8">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由表4-2噪声叠加结果可以看出，</w:t>
            </w:r>
            <w:r>
              <w:rPr>
                <w:rFonts w:hint="eastAsia" w:ascii="Times New Roman" w:hAnsi="Times New Roman" w:cs="Times New Roman"/>
                <w:sz w:val="24"/>
              </w:rPr>
              <w:t>在全部机械同时施工的理论计算条件下，</w:t>
            </w:r>
            <w:r>
              <w:rPr>
                <w:rFonts w:ascii="Times New Roman" w:hAnsi="Times New Roman" w:cs="Times New Roman"/>
                <w:sz w:val="24"/>
              </w:rPr>
              <w:t>施工机械噪声在距施工点100m内的噪声级较大，对环境噪声质量可形成较明显的影响；但随着距离的加大，</w:t>
            </w:r>
            <w:r>
              <w:rPr>
                <w:rFonts w:hint="eastAsia" w:ascii="Times New Roman" w:hAnsi="Times New Roman" w:cs="Times New Roman"/>
                <w:sz w:val="24"/>
              </w:rPr>
              <w:t>噪声</w:t>
            </w:r>
            <w:r>
              <w:rPr>
                <w:rFonts w:ascii="Times New Roman" w:hAnsi="Times New Roman" w:cs="Times New Roman"/>
                <w:sz w:val="24"/>
              </w:rPr>
              <w:t>均有明显的衰减</w:t>
            </w:r>
            <w:r>
              <w:rPr>
                <w:rFonts w:hint="eastAsia" w:ascii="Times New Roman" w:hAnsi="Times New Roman" w:cs="Times New Roman"/>
                <w:sz w:val="24"/>
              </w:rPr>
              <w:t>。经计算，</w:t>
            </w:r>
            <w:r>
              <w:rPr>
                <w:rFonts w:ascii="Times New Roman" w:hAnsi="Times New Roman" w:cs="Times New Roman"/>
                <w:sz w:val="24"/>
              </w:rPr>
              <w:t>距离</w:t>
            </w:r>
            <w:r>
              <w:rPr>
                <w:rFonts w:hint="eastAsia" w:ascii="Times New Roman" w:hAnsi="Times New Roman" w:cs="Times New Roman"/>
                <w:sz w:val="24"/>
              </w:rPr>
              <w:t>达到2</w:t>
            </w:r>
            <w:r>
              <w:rPr>
                <w:rFonts w:ascii="Times New Roman" w:hAnsi="Times New Roman" w:cs="Times New Roman"/>
                <w:sz w:val="24"/>
              </w:rPr>
              <w:t>7m时，</w:t>
            </w:r>
            <w:r>
              <w:rPr>
                <w:rFonts w:hint="eastAsia" w:ascii="Times New Roman" w:hAnsi="Times New Roman" w:cs="Times New Roman"/>
                <w:sz w:val="24"/>
              </w:rPr>
              <w:t>昼间</w:t>
            </w:r>
            <w:r>
              <w:rPr>
                <w:rFonts w:ascii="Times New Roman" w:hAnsi="Times New Roman" w:cs="Times New Roman"/>
                <w:sz w:val="24"/>
              </w:rPr>
              <w:t>噪声值</w:t>
            </w:r>
            <w:r>
              <w:rPr>
                <w:rFonts w:hint="eastAsia" w:ascii="Times New Roman" w:hAnsi="Times New Roman" w:cs="Times New Roman"/>
                <w:sz w:val="24"/>
              </w:rPr>
              <w:t>达到</w:t>
            </w:r>
            <w:r>
              <w:rPr>
                <w:rFonts w:ascii="Times New Roman" w:hAnsi="Times New Roman" w:cs="Times New Roman"/>
                <w:sz w:val="24"/>
              </w:rPr>
              <w:t>建筑施工场界噪声限值，至250m</w:t>
            </w:r>
            <w:r>
              <w:rPr>
                <w:rFonts w:hint="eastAsia" w:ascii="Times New Roman" w:hAnsi="Times New Roman" w:cs="Times New Roman"/>
                <w:sz w:val="24"/>
              </w:rPr>
              <w:t>外</w:t>
            </w:r>
            <w:r>
              <w:rPr>
                <w:rFonts w:ascii="Times New Roman" w:hAnsi="Times New Roman" w:cs="Times New Roman"/>
                <w:sz w:val="24"/>
              </w:rPr>
              <w:t>的噪声值</w:t>
            </w:r>
            <w:r>
              <w:rPr>
                <w:rFonts w:hint="eastAsia" w:ascii="Times New Roman" w:hAnsi="Times New Roman" w:cs="Times New Roman"/>
                <w:sz w:val="24"/>
              </w:rPr>
              <w:t>降低至</w:t>
            </w:r>
            <w:r>
              <w:rPr>
                <w:rFonts w:ascii="Times New Roman" w:hAnsi="Times New Roman" w:cs="Times New Roman"/>
                <w:sz w:val="24"/>
              </w:rPr>
              <w:t>50dB(A)以下。</w:t>
            </w:r>
            <w:r>
              <w:rPr>
                <w:rFonts w:hint="eastAsia" w:ascii="Times New Roman" w:hAnsi="Times New Roman" w:cs="Times New Roman"/>
                <w:sz w:val="24"/>
              </w:rPr>
              <w:t>本项目夜间不施工。需要特别指出的是，以上叠加预测是考虑所有机械同时施工条件下的预测结果，且未考虑地形、建筑、植物等阻隔作用。但项目实际施工是分阶段、分工区进行的，同时施工的设备数量不多，其噪声影响程度将远小于以上预测结果。</w:t>
            </w:r>
          </w:p>
          <w:p w14:paraId="3CCC6D90">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经预测分析，</w:t>
            </w:r>
            <w:r>
              <w:rPr>
                <w:rFonts w:ascii="Times New Roman" w:hAnsi="Times New Roman" w:cs="Times New Roman"/>
                <w:sz w:val="24"/>
              </w:rPr>
              <w:t>施工噪声对</w:t>
            </w:r>
            <w:r>
              <w:rPr>
                <w:rFonts w:hint="eastAsia" w:ascii="Times New Roman" w:hAnsi="Times New Roman" w:cs="Times New Roman"/>
                <w:sz w:val="24"/>
              </w:rPr>
              <w:t>距离最近的帕当坝村影响将小于5</w:t>
            </w:r>
            <w:r>
              <w:rPr>
                <w:rFonts w:ascii="Times New Roman" w:hAnsi="Times New Roman" w:cs="Times New Roman"/>
                <w:sz w:val="24"/>
              </w:rPr>
              <w:t>2.4</w:t>
            </w:r>
            <w:r>
              <w:rPr>
                <w:rFonts w:hint="eastAsia" w:ascii="Times New Roman" w:hAnsi="Times New Roman" w:cs="Times New Roman"/>
                <w:sz w:val="24"/>
              </w:rPr>
              <w:t>d</w:t>
            </w:r>
            <w:r>
              <w:rPr>
                <w:rFonts w:ascii="Times New Roman" w:hAnsi="Times New Roman" w:cs="Times New Roman"/>
                <w:sz w:val="24"/>
              </w:rPr>
              <w:t>B</w:t>
            </w:r>
            <w:r>
              <w:rPr>
                <w:rFonts w:hint="eastAsia" w:ascii="Times New Roman" w:hAnsi="Times New Roman" w:cs="Times New Roman"/>
                <w:sz w:val="24"/>
              </w:rPr>
              <w:t>（A），其它居民点受影响则更小。</w:t>
            </w:r>
          </w:p>
          <w:p w14:paraId="1938986C">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为控制施工噪声的产生和排放，</w:t>
            </w:r>
            <w:r>
              <w:rPr>
                <w:rFonts w:ascii="Times New Roman" w:hAnsi="Times New Roman" w:cs="Times New Roman"/>
                <w:sz w:val="24"/>
              </w:rPr>
              <w:t>环评</w:t>
            </w:r>
            <w:r>
              <w:rPr>
                <w:rFonts w:hint="eastAsia" w:ascii="Times New Roman" w:hAnsi="Times New Roman" w:cs="Times New Roman"/>
                <w:sz w:val="24"/>
              </w:rPr>
              <w:t>要求</w:t>
            </w:r>
            <w:r>
              <w:rPr>
                <w:rFonts w:ascii="Times New Roman" w:hAnsi="Times New Roman" w:cs="Times New Roman"/>
                <w:sz w:val="24"/>
              </w:rPr>
              <w:t>采取如下措施</w:t>
            </w:r>
            <w:r>
              <w:rPr>
                <w:rFonts w:hint="eastAsia" w:ascii="Times New Roman" w:hAnsi="Times New Roman" w:cs="Times New Roman"/>
                <w:sz w:val="24"/>
              </w:rPr>
              <w:t>：</w:t>
            </w:r>
          </w:p>
          <w:p w14:paraId="2370F56F">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ascii="Times New Roman" w:hAnsi="Times New Roman" w:cs="Times New Roman"/>
                <w:sz w:val="24"/>
              </w:rPr>
              <w:t>按《建筑施工场界环境噪声排放标准》进行施工时间、施工噪声的控制。</w:t>
            </w:r>
          </w:p>
          <w:p w14:paraId="007D2929">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施工时尽量使用低噪声机械设备，同时对设备进行定期保养和维护，严格按操作规范使用各类机械。</w:t>
            </w:r>
          </w:p>
          <w:p w14:paraId="2F9B477C">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合理安排运输车辆运输时间，</w:t>
            </w:r>
            <w:r>
              <w:rPr>
                <w:rFonts w:ascii="Times New Roman" w:hAnsi="Times New Roman" w:cs="Times New Roman"/>
                <w:sz w:val="24"/>
              </w:rPr>
              <w:t>应禁止夜间运输，并避开</w:t>
            </w:r>
            <w:r>
              <w:rPr>
                <w:rFonts w:hint="eastAsia" w:ascii="Times New Roman" w:hAnsi="Times New Roman" w:cs="Times New Roman"/>
                <w:sz w:val="24"/>
              </w:rPr>
              <w:t>早晨</w:t>
            </w:r>
            <w:r>
              <w:rPr>
                <w:rFonts w:ascii="Times New Roman" w:hAnsi="Times New Roman" w:cs="Times New Roman"/>
                <w:sz w:val="24"/>
              </w:rPr>
              <w:t>、中午等休息时段</w:t>
            </w:r>
            <w:r>
              <w:rPr>
                <w:rFonts w:hint="eastAsia" w:ascii="Times New Roman" w:hAnsi="Times New Roman" w:cs="Times New Roman"/>
                <w:sz w:val="24"/>
              </w:rPr>
              <w:t>，</w:t>
            </w:r>
            <w:r>
              <w:rPr>
                <w:rFonts w:ascii="Times New Roman" w:hAnsi="Times New Roman" w:cs="Times New Roman"/>
                <w:sz w:val="24"/>
              </w:rPr>
              <w:t>尽可能避开</w:t>
            </w:r>
            <w:r>
              <w:rPr>
                <w:rFonts w:hint="eastAsia" w:ascii="Times New Roman" w:hAnsi="Times New Roman" w:cs="Times New Roman"/>
                <w:sz w:val="24"/>
              </w:rPr>
              <w:t>村镇。车辆经过村庄附近时应限速和禁止鸣笛</w:t>
            </w:r>
            <w:r>
              <w:rPr>
                <w:rFonts w:ascii="Times New Roman" w:hAnsi="Times New Roman" w:cs="Times New Roman"/>
                <w:sz w:val="24"/>
              </w:rPr>
              <w:t>。</w:t>
            </w:r>
          </w:p>
          <w:p w14:paraId="76AEBDC9">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4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④</w:t>
            </w:r>
            <w:r>
              <w:rPr>
                <w:rFonts w:ascii="Times New Roman" w:hAnsi="Times New Roman" w:cs="Times New Roman"/>
                <w:sz w:val="24"/>
              </w:rPr>
              <w:fldChar w:fldCharType="end"/>
            </w:r>
            <w:r>
              <w:rPr>
                <w:rFonts w:ascii="Times New Roman" w:hAnsi="Times New Roman" w:cs="Times New Roman"/>
                <w:sz w:val="24"/>
              </w:rPr>
              <w:t>合理安排施工时间</w:t>
            </w:r>
            <w:r>
              <w:rPr>
                <w:rFonts w:hint="eastAsia" w:ascii="Times New Roman" w:hAnsi="Times New Roman" w:cs="Times New Roman"/>
                <w:sz w:val="24"/>
              </w:rPr>
              <w:t>，禁止夜间施工，并</w:t>
            </w:r>
            <w:r>
              <w:rPr>
                <w:rFonts w:ascii="Times New Roman" w:hAnsi="Times New Roman" w:cs="Times New Roman"/>
                <w:sz w:val="24"/>
              </w:rPr>
              <w:t>避开早晨</w:t>
            </w:r>
            <w:r>
              <w:rPr>
                <w:rFonts w:hint="eastAsia" w:ascii="Times New Roman" w:hAnsi="Times New Roman" w:cs="Times New Roman"/>
                <w:sz w:val="24"/>
              </w:rPr>
              <w:t>、</w:t>
            </w:r>
            <w:r>
              <w:rPr>
                <w:rFonts w:ascii="Times New Roman" w:hAnsi="Times New Roman" w:cs="Times New Roman"/>
                <w:sz w:val="24"/>
              </w:rPr>
              <w:t>中午等休息时段。</w:t>
            </w:r>
          </w:p>
          <w:p w14:paraId="4ACF1318">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5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⑤</w:t>
            </w:r>
            <w:r>
              <w:rPr>
                <w:rFonts w:ascii="Times New Roman" w:hAnsi="Times New Roman" w:cs="Times New Roman"/>
                <w:sz w:val="24"/>
              </w:rPr>
              <w:fldChar w:fldCharType="end"/>
            </w:r>
            <w:r>
              <w:rPr>
                <w:rFonts w:ascii="Times New Roman" w:hAnsi="Times New Roman" w:cs="Times New Roman"/>
                <w:sz w:val="24"/>
              </w:rPr>
              <w:t>加强对施工场地的噪声管理</w:t>
            </w:r>
            <w:r>
              <w:rPr>
                <w:rFonts w:hint="eastAsia" w:ascii="Times New Roman" w:hAnsi="Times New Roman" w:cs="Times New Roman"/>
                <w:sz w:val="24"/>
              </w:rPr>
              <w:t>，避免人为增大施工噪声强度</w:t>
            </w:r>
            <w:r>
              <w:rPr>
                <w:rFonts w:ascii="Times New Roman" w:hAnsi="Times New Roman" w:cs="Times New Roman"/>
                <w:sz w:val="24"/>
              </w:rPr>
              <w:t>。</w:t>
            </w:r>
          </w:p>
          <w:p w14:paraId="2EFABA43">
            <w:pPr>
              <w:tabs>
                <w:tab w:val="left" w:pos="6"/>
                <w:tab w:val="left" w:pos="33"/>
              </w:tabs>
              <w:adjustRightInd w:val="0"/>
              <w:snapToGrid w:val="0"/>
              <w:spacing w:line="440" w:lineRule="exact"/>
              <w:ind w:firstLine="241" w:firstLineChars="100"/>
              <w:rPr>
                <w:rFonts w:ascii="Times New Roman" w:hAnsi="Times New Roman" w:cs="Times New Roman"/>
                <w:b/>
                <w:bCs/>
                <w:sz w:val="24"/>
              </w:rPr>
            </w:pPr>
            <w:r>
              <w:rPr>
                <w:rFonts w:hint="eastAsia" w:ascii="Times New Roman" w:hAnsi="Times New Roman" w:cs="Times New Roman"/>
                <w:b/>
                <w:bCs/>
                <w:sz w:val="24"/>
              </w:rPr>
              <w:t>5、固废</w:t>
            </w:r>
          </w:p>
          <w:p w14:paraId="1664959F">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施工产生的固体废物主要有生活垃圾、</w:t>
            </w:r>
            <w:r>
              <w:rPr>
                <w:rFonts w:hint="eastAsia" w:ascii="Times New Roman" w:hAnsi="Times New Roman" w:cs="Times New Roman"/>
                <w:sz w:val="24"/>
              </w:rPr>
              <w:t>废包装材料和建筑垃圾</w:t>
            </w:r>
            <w:r>
              <w:rPr>
                <w:rFonts w:ascii="Times New Roman" w:hAnsi="Times New Roman" w:cs="Times New Roman"/>
                <w:sz w:val="24"/>
              </w:rPr>
              <w:t>等。</w:t>
            </w:r>
          </w:p>
          <w:p w14:paraId="5E8C4917">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建筑垃圾</w:t>
            </w:r>
          </w:p>
          <w:p w14:paraId="246F4334">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施工期产生的建筑垃圾包括废弃的砂土石、水泥、废弃钢架、弃砖、水泥袋、纤维、塑料泡沫、碎玻璃、废金属、废瓷砖等。建筑垃圾分类处理，如砂土石、水泥、弃砖可粉碎后用于场地平整；水泥袋、废金属、钢架等可</w:t>
            </w:r>
            <w:r>
              <w:rPr>
                <w:rFonts w:hint="eastAsia" w:ascii="Times New Roman" w:hAnsi="Times New Roman" w:cs="Times New Roman"/>
                <w:sz w:val="24"/>
              </w:rPr>
              <w:t>外售</w:t>
            </w:r>
            <w:r>
              <w:rPr>
                <w:rFonts w:ascii="Times New Roman" w:hAnsi="Times New Roman" w:cs="Times New Roman"/>
                <w:sz w:val="24"/>
              </w:rPr>
              <w:t>；不能回收外卖的，在项目内集中收集后</w:t>
            </w:r>
            <w:r>
              <w:rPr>
                <w:rFonts w:hint="eastAsia" w:ascii="Times New Roman" w:hAnsi="Times New Roman" w:cs="Times New Roman"/>
                <w:bCs/>
                <w:sz w:val="24"/>
              </w:rPr>
              <w:t>按三台山乡管理部门要求处置</w:t>
            </w:r>
            <w:r>
              <w:rPr>
                <w:rFonts w:hint="eastAsia" w:ascii="Times New Roman" w:hAnsi="Times New Roman" w:cs="Times New Roman"/>
                <w:sz w:val="24"/>
              </w:rPr>
              <w:t>，</w:t>
            </w:r>
            <w:r>
              <w:rPr>
                <w:rFonts w:ascii="Times New Roman" w:hAnsi="Times New Roman" w:cs="Times New Roman"/>
                <w:sz w:val="24"/>
              </w:rPr>
              <w:t>对环境的影响较小。</w:t>
            </w:r>
          </w:p>
          <w:p w14:paraId="2031C347">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生活垃圾</w:t>
            </w:r>
          </w:p>
          <w:p w14:paraId="698AD95E">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施工期工人生活垃圾</w:t>
            </w:r>
            <w:r>
              <w:rPr>
                <w:rFonts w:hint="eastAsia" w:ascii="Times New Roman" w:hAnsi="Times New Roman" w:cs="Times New Roman"/>
                <w:sz w:val="24"/>
              </w:rPr>
              <w:t>产生量</w:t>
            </w:r>
            <w:r>
              <w:rPr>
                <w:rFonts w:ascii="Times New Roman" w:hAnsi="Times New Roman" w:cs="Times New Roman"/>
                <w:sz w:val="24"/>
              </w:rPr>
              <w:t>约为10.0kg/d</w:t>
            </w:r>
            <w:r>
              <w:rPr>
                <w:rFonts w:hint="eastAsia" w:ascii="Times New Roman" w:hAnsi="Times New Roman" w:cs="Times New Roman"/>
                <w:sz w:val="24"/>
              </w:rPr>
              <w:t>，</w:t>
            </w:r>
            <w:r>
              <w:rPr>
                <w:rFonts w:ascii="Times New Roman" w:hAnsi="Times New Roman" w:cs="Times New Roman"/>
                <w:sz w:val="24"/>
              </w:rPr>
              <w:t>在场地内设垃圾桶统一收集，</w:t>
            </w:r>
            <w:r>
              <w:rPr>
                <w:rFonts w:hint="eastAsia" w:ascii="Times New Roman" w:hAnsi="Times New Roman" w:cs="Times New Roman"/>
                <w:sz w:val="24"/>
              </w:rPr>
              <w:t>并委托三台山乡环卫部门处置</w:t>
            </w:r>
            <w:r>
              <w:rPr>
                <w:rFonts w:ascii="Times New Roman" w:hAnsi="Times New Roman" w:cs="Times New Roman"/>
                <w:sz w:val="24"/>
              </w:rPr>
              <w:t>，对环境影响较小。</w:t>
            </w:r>
          </w:p>
          <w:p w14:paraId="5B0077E0">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采取以上措施后，施工期产生的固体废弃物可以得到合理处置，不会</w:t>
            </w:r>
            <w:r>
              <w:rPr>
                <w:rFonts w:ascii="Times New Roman" w:hAnsi="Times New Roman" w:cs="Times New Roman"/>
                <w:sz w:val="24"/>
              </w:rPr>
              <w:t>对周围环境产生二次污染</w:t>
            </w:r>
            <w:r>
              <w:rPr>
                <w:sz w:val="24"/>
              </w:rPr>
              <w:t>，对周围环境影响不大。</w:t>
            </w:r>
          </w:p>
          <w:p w14:paraId="6057A43D">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hint="eastAsia" w:ascii="Times New Roman" w:hAnsi="Times New Roman" w:cs="Times New Roman"/>
                <w:sz w:val="24"/>
              </w:rPr>
              <w:t>施工期应采取以下固废处置措施：</w:t>
            </w:r>
          </w:p>
          <w:p w14:paraId="66C6C083">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hint="eastAsia" w:ascii="Times New Roman" w:hAnsi="Times New Roman" w:cs="Times New Roman"/>
                <w:sz w:val="24"/>
              </w:rPr>
              <w:t>设</w:t>
            </w:r>
            <w:r>
              <w:rPr>
                <w:rFonts w:ascii="Times New Roman" w:hAnsi="Times New Roman" w:cs="Times New Roman"/>
                <w:sz w:val="24"/>
              </w:rPr>
              <w:t>垃圾桶收集生活垃圾，</w:t>
            </w:r>
            <w:r>
              <w:rPr>
                <w:rFonts w:hint="eastAsia" w:ascii="Times New Roman" w:hAnsi="Times New Roman" w:cs="Times New Roman"/>
                <w:sz w:val="24"/>
              </w:rPr>
              <w:t>并委托三台山乡环卫部门处置。</w:t>
            </w:r>
          </w:p>
          <w:p w14:paraId="398D66AE">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施工期的建筑垃圾应进行分类集中堆存，能回收利用的部分</w:t>
            </w:r>
            <w:r>
              <w:rPr>
                <w:rFonts w:hint="eastAsia" w:ascii="Times New Roman" w:hAnsi="Times New Roman" w:cs="Times New Roman"/>
                <w:sz w:val="24"/>
              </w:rPr>
              <w:t>经过分拣、剔除后回收利用，剩余部分应按</w:t>
            </w:r>
            <w:r>
              <w:rPr>
                <w:rFonts w:ascii="Times New Roman" w:hAnsi="Times New Roman" w:eastAsia="宋体" w:cs="Times New Roman"/>
                <w:kern w:val="0"/>
                <w:sz w:val="24"/>
              </w:rPr>
              <w:t>《城市建筑垃圾管理办法》</w:t>
            </w:r>
            <w:r>
              <w:rPr>
                <w:rFonts w:hint="eastAsia" w:ascii="Times New Roman" w:hAnsi="Times New Roman" w:cs="Times New Roman"/>
                <w:sz w:val="24"/>
              </w:rPr>
              <w:t>的要求，委托有资质单位清运处置。</w:t>
            </w:r>
            <w:r>
              <w:rPr>
                <w:rFonts w:ascii="Times New Roman" w:hAnsi="Times New Roman" w:cs="Times New Roman"/>
                <w:sz w:val="24"/>
              </w:rPr>
              <w:t>禁止与生活垃圾混合处置，禁止随意丢弃</w:t>
            </w:r>
            <w:r>
              <w:rPr>
                <w:rFonts w:hint="eastAsia" w:ascii="Times New Roman" w:hAnsi="Times New Roman" w:cs="Times New Roman"/>
                <w:sz w:val="24"/>
              </w:rPr>
              <w:t>。</w:t>
            </w:r>
          </w:p>
          <w:p w14:paraId="3683096A">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ascii="Times New Roman" w:hAnsi="Times New Roman" w:cs="Times New Roman"/>
                <w:sz w:val="24"/>
              </w:rPr>
              <w:t>加强施工期管理，规范运输，不得随路洒落和随意抛弃</w:t>
            </w:r>
            <w:r>
              <w:rPr>
                <w:rFonts w:hint="eastAsia" w:ascii="Times New Roman" w:hAnsi="Times New Roman" w:cs="Times New Roman"/>
                <w:sz w:val="24"/>
              </w:rPr>
              <w:t>建筑材料</w:t>
            </w:r>
            <w:r>
              <w:rPr>
                <w:rFonts w:ascii="Times New Roman" w:hAnsi="Times New Roman" w:cs="Times New Roman"/>
                <w:sz w:val="24"/>
              </w:rPr>
              <w:t>。</w:t>
            </w:r>
          </w:p>
          <w:p w14:paraId="25D09A9B">
            <w:pPr>
              <w:tabs>
                <w:tab w:val="left" w:pos="6"/>
                <w:tab w:val="left" w:pos="33"/>
              </w:tabs>
              <w:adjustRightInd w:val="0"/>
              <w:snapToGrid w:val="0"/>
              <w:spacing w:line="440" w:lineRule="exact"/>
              <w:ind w:firstLine="240" w:firstLineChars="100"/>
              <w:rPr>
                <w:rFonts w:ascii="Times New Roman" w:hAnsi="Times New Roman" w:cs="Times New Roman"/>
                <w:sz w:val="24"/>
              </w:rPr>
            </w:pPr>
            <w:r>
              <w:rPr>
                <w:rFonts w:ascii="Times New Roman" w:hAnsi="Times New Roman" w:cs="Times New Roman"/>
                <w:sz w:val="24"/>
              </w:rPr>
              <w:t>综上，施工期间，企业将认真落实、加强施工过程中的粉尘、噪声、废水和建筑垃圾等管理，通过采取上述措施后，施工过程基本不会对周边环境造成</w:t>
            </w:r>
            <w:r>
              <w:rPr>
                <w:rFonts w:hint="eastAsia" w:ascii="Times New Roman" w:hAnsi="Times New Roman" w:cs="Times New Roman"/>
                <w:sz w:val="24"/>
              </w:rPr>
              <w:t>大的不利</w:t>
            </w:r>
            <w:r>
              <w:rPr>
                <w:rFonts w:ascii="Times New Roman" w:hAnsi="Times New Roman" w:cs="Times New Roman"/>
                <w:sz w:val="24"/>
              </w:rPr>
              <w:t>影响</w:t>
            </w:r>
            <w:r>
              <w:rPr>
                <w:rFonts w:hint="eastAsia" w:ascii="Times New Roman" w:hAnsi="Times New Roman" w:cs="Times New Roman"/>
                <w:sz w:val="24"/>
              </w:rPr>
              <w:t>。</w:t>
            </w:r>
            <w:r>
              <w:rPr>
                <w:rFonts w:ascii="Times New Roman" w:hAnsi="Times New Roman" w:cs="Times New Roman"/>
                <w:sz w:val="24"/>
              </w:rPr>
              <w:t>项目施工期较短，上述污染</w:t>
            </w:r>
            <w:r>
              <w:rPr>
                <w:rFonts w:hint="eastAsia" w:ascii="Times New Roman" w:hAnsi="Times New Roman" w:cs="Times New Roman"/>
                <w:sz w:val="24"/>
              </w:rPr>
              <w:t>将</w:t>
            </w:r>
            <w:r>
              <w:rPr>
                <w:rFonts w:ascii="Times New Roman" w:hAnsi="Times New Roman" w:cs="Times New Roman"/>
                <w:sz w:val="24"/>
              </w:rPr>
              <w:t>随着施工期的结束而消失。</w:t>
            </w:r>
          </w:p>
          <w:p w14:paraId="5F75533A">
            <w:pPr>
              <w:adjustRightInd w:val="0"/>
              <w:spacing w:line="360" w:lineRule="auto"/>
              <w:ind w:firstLine="420" w:firstLineChars="200"/>
              <w:rPr>
                <w:rFonts w:ascii="宋体" w:hAnsi="宋体" w:eastAsia="宋体" w:cs="宋体"/>
                <w:bCs/>
                <w:szCs w:val="21"/>
              </w:rPr>
            </w:pPr>
          </w:p>
          <w:p w14:paraId="2205513C">
            <w:pPr>
              <w:pStyle w:val="2"/>
              <w:pBdr>
                <w:bottom w:val="none" w:color="auto" w:sz="0" w:space="0"/>
              </w:pBdr>
            </w:pPr>
          </w:p>
          <w:p w14:paraId="56A5A127"/>
          <w:p w14:paraId="4D1D49F1">
            <w:pPr>
              <w:pStyle w:val="2"/>
              <w:pBdr>
                <w:bottom w:val="none" w:color="auto" w:sz="0" w:space="0"/>
              </w:pBdr>
            </w:pPr>
          </w:p>
          <w:p w14:paraId="27353DB1"/>
          <w:p w14:paraId="36792027">
            <w:pPr>
              <w:pStyle w:val="2"/>
              <w:pBdr>
                <w:bottom w:val="none" w:color="auto" w:sz="0" w:space="0"/>
              </w:pBdr>
            </w:pPr>
          </w:p>
          <w:p w14:paraId="505C2F60"/>
          <w:p w14:paraId="0B3C3D4F">
            <w:pPr>
              <w:pStyle w:val="2"/>
              <w:pBdr>
                <w:bottom w:val="none" w:color="auto" w:sz="0" w:space="0"/>
              </w:pBdr>
            </w:pPr>
          </w:p>
          <w:p w14:paraId="6FAF434B"/>
          <w:p w14:paraId="743660BE">
            <w:pPr>
              <w:pStyle w:val="2"/>
              <w:pBdr>
                <w:bottom w:val="none" w:color="auto" w:sz="0" w:space="0"/>
              </w:pBdr>
            </w:pPr>
          </w:p>
          <w:p w14:paraId="31A91072"/>
          <w:p w14:paraId="488CBB62">
            <w:pPr>
              <w:pStyle w:val="2"/>
              <w:pBdr>
                <w:bottom w:val="none" w:color="auto" w:sz="0" w:space="0"/>
              </w:pBdr>
            </w:pPr>
          </w:p>
          <w:p w14:paraId="51281142"/>
          <w:p w14:paraId="3772020C">
            <w:pPr>
              <w:pStyle w:val="2"/>
              <w:pBdr>
                <w:bottom w:val="none" w:color="auto" w:sz="0" w:space="0"/>
              </w:pBdr>
            </w:pPr>
          </w:p>
          <w:p w14:paraId="3A3E799F"/>
          <w:p w14:paraId="6AA0A6E3">
            <w:pPr>
              <w:pStyle w:val="2"/>
              <w:pBdr>
                <w:bottom w:val="none" w:color="auto" w:sz="0" w:space="0"/>
              </w:pBdr>
            </w:pPr>
          </w:p>
          <w:p w14:paraId="30740F6A"/>
          <w:p w14:paraId="6A31FF94">
            <w:pPr>
              <w:pStyle w:val="2"/>
              <w:pBdr>
                <w:bottom w:val="none" w:color="auto" w:sz="0" w:space="0"/>
              </w:pBdr>
            </w:pPr>
          </w:p>
          <w:p w14:paraId="5E1BE3A9"/>
          <w:p w14:paraId="04691C96">
            <w:pPr>
              <w:pStyle w:val="2"/>
              <w:pBdr>
                <w:bottom w:val="none" w:color="auto" w:sz="0" w:space="0"/>
              </w:pBdr>
            </w:pPr>
          </w:p>
          <w:p w14:paraId="3F146BB0"/>
          <w:p w14:paraId="62DB0C04">
            <w:pPr>
              <w:pStyle w:val="2"/>
              <w:pBdr>
                <w:bottom w:val="none" w:color="auto" w:sz="0" w:space="0"/>
              </w:pBdr>
            </w:pPr>
          </w:p>
          <w:p w14:paraId="3FA4DC8C"/>
          <w:p w14:paraId="41F65D0A">
            <w:pPr>
              <w:pStyle w:val="2"/>
            </w:pPr>
          </w:p>
        </w:tc>
      </w:tr>
    </w:tbl>
    <w:p w14:paraId="19098C17">
      <w:pPr>
        <w:adjustRightInd w:val="0"/>
        <w:snapToGrid w:val="0"/>
        <w:jc w:val="center"/>
        <w:rPr>
          <w:rFonts w:ascii="宋体" w:hAnsi="宋体" w:eastAsia="宋体" w:cs="宋体"/>
          <w:bCs/>
          <w:szCs w:val="21"/>
          <w:lang w:bidi="ar"/>
        </w:rPr>
        <w:sectPr>
          <w:pgSz w:w="11915" w:h="16840"/>
          <w:pgMar w:top="1702" w:right="1531" w:bottom="1702" w:left="1531" w:header="851" w:footer="851" w:gutter="0"/>
          <w:cols w:space="425" w:num="1"/>
          <w:docGrid w:type="lines" w:linePitch="312" w:charSpace="0"/>
        </w:sectPr>
      </w:pPr>
    </w:p>
    <w:tbl>
      <w:tblPr>
        <w:tblStyle w:val="19"/>
        <w:tblW w:w="13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119"/>
      </w:tblGrid>
      <w:tr w14:paraId="0B29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1FB64554">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运</w:t>
            </w:r>
          </w:p>
          <w:p w14:paraId="70DE6A7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营</w:t>
            </w:r>
          </w:p>
          <w:p w14:paraId="1B8B98A7">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期</w:t>
            </w:r>
          </w:p>
          <w:p w14:paraId="0F591F3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环</w:t>
            </w:r>
          </w:p>
          <w:p w14:paraId="28FDD3F5">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境</w:t>
            </w:r>
          </w:p>
          <w:p w14:paraId="5350E33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影</w:t>
            </w:r>
          </w:p>
          <w:p w14:paraId="30658AAF">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响</w:t>
            </w:r>
          </w:p>
          <w:p w14:paraId="1327104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和</w:t>
            </w:r>
          </w:p>
          <w:p w14:paraId="655B6807">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保</w:t>
            </w:r>
          </w:p>
          <w:p w14:paraId="77EA792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护</w:t>
            </w:r>
          </w:p>
          <w:p w14:paraId="1144BF73">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措</w:t>
            </w:r>
          </w:p>
          <w:p w14:paraId="4B5D0F1C">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施</w:t>
            </w:r>
          </w:p>
        </w:tc>
        <w:tc>
          <w:tcPr>
            <w:tcW w:w="13119" w:type="dxa"/>
            <w:vAlign w:val="center"/>
          </w:tcPr>
          <w:p w14:paraId="747464D7">
            <w:pPr>
              <w:pStyle w:val="11"/>
              <w:spacing w:after="0" w:line="360" w:lineRule="auto"/>
              <w:ind w:left="0" w:leftChars="0"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4.2 运营期环境影响和保护措施</w:t>
            </w:r>
          </w:p>
          <w:p w14:paraId="7870CFBF">
            <w:pPr>
              <w:adjustRightInd w:val="0"/>
              <w:spacing w:line="360" w:lineRule="auto"/>
              <w:ind w:firstLine="241" w:firstLineChars="100"/>
              <w:rPr>
                <w:rFonts w:ascii="Times New Roman" w:hAnsi="Times New Roman" w:eastAsia="宋体" w:cs="Times New Roman"/>
                <w:b/>
                <w:sz w:val="24"/>
              </w:rPr>
            </w:pPr>
            <w:r>
              <w:rPr>
                <w:rFonts w:ascii="Times New Roman" w:hAnsi="Times New Roman" w:eastAsia="宋体" w:cs="Times New Roman"/>
                <w:b/>
                <w:sz w:val="24"/>
              </w:rPr>
              <w:t>4.2.1 大气环境</w:t>
            </w:r>
          </w:p>
          <w:p w14:paraId="660804CD">
            <w:pPr>
              <w:pStyle w:val="2"/>
              <w:pBdr>
                <w:bottom w:val="none" w:color="auto" w:sz="0" w:space="0"/>
              </w:pBdr>
              <w:spacing w:line="360" w:lineRule="auto"/>
              <w:ind w:firstLine="240" w:firstLineChars="100"/>
              <w:jc w:val="both"/>
            </w:pPr>
            <w:r>
              <w:rPr>
                <w:rFonts w:hint="eastAsia" w:ascii="Times New Roman" w:hAnsi="Times New Roman" w:cs="Times New Roman"/>
                <w:sz w:val="24"/>
              </w:rPr>
              <w:t>本项</w:t>
            </w:r>
            <w:r>
              <w:rPr>
                <w:rFonts w:hint="eastAsia" w:ascii="Times New Roman" w:hAnsi="Times New Roman" w:cs="Times New Roman"/>
                <w:sz w:val="24"/>
                <w:szCs w:val="24"/>
              </w:rPr>
              <w:t>目排放的废气污染物主要为</w:t>
            </w:r>
            <w:r>
              <w:rPr>
                <w:rFonts w:hint="eastAsia" w:ascii="Times New Roman" w:hAnsi="Times New Roman" w:cs="Times New Roman"/>
                <w:sz w:val="24"/>
              </w:rPr>
              <w:t>颗粒物</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、NOx</w:t>
            </w:r>
            <w:r>
              <w:rPr>
                <w:rFonts w:hint="eastAsia" w:ascii="Times New Roman" w:hAnsi="Times New Roman" w:cs="Times New Roman"/>
                <w:sz w:val="24"/>
              </w:rPr>
              <w:t>，还有少量H</w:t>
            </w:r>
            <w:r>
              <w:rPr>
                <w:rFonts w:ascii="Times New Roman" w:hAnsi="Times New Roman" w:cs="Times New Roman"/>
                <w:sz w:val="24"/>
                <w:vertAlign w:val="subscript"/>
              </w:rPr>
              <w:t>2</w:t>
            </w:r>
            <w:r>
              <w:rPr>
                <w:rFonts w:ascii="Times New Roman" w:hAnsi="Times New Roman" w:cs="Times New Roman"/>
                <w:sz w:val="24"/>
              </w:rPr>
              <w:t>S</w:t>
            </w:r>
            <w:r>
              <w:rPr>
                <w:rFonts w:hint="eastAsia" w:ascii="Times New Roman" w:hAnsi="Times New Roman" w:cs="Times New Roman"/>
                <w:sz w:val="24"/>
              </w:rPr>
              <w:t>、</w:t>
            </w:r>
            <w:r>
              <w:rPr>
                <w:rFonts w:ascii="Times New Roman" w:hAnsi="Times New Roman" w:cs="Times New Roman"/>
                <w:sz w:val="24"/>
              </w:rPr>
              <w:t>NH</w:t>
            </w:r>
            <w:r>
              <w:rPr>
                <w:rFonts w:ascii="Times New Roman" w:hAnsi="Times New Roman" w:cs="Times New Roman"/>
                <w:sz w:val="24"/>
                <w:vertAlign w:val="subscript"/>
              </w:rPr>
              <w:t>3</w:t>
            </w:r>
            <w:r>
              <w:rPr>
                <w:rFonts w:hint="eastAsia" w:ascii="Times New Roman" w:hAnsi="Times New Roman" w:cs="Times New Roman"/>
                <w:sz w:val="24"/>
              </w:rPr>
              <w:t>等，不含有毒有害废气和</w:t>
            </w:r>
            <w:r>
              <w:rPr>
                <w:rFonts w:ascii="Times New Roman" w:hAnsi="Times New Roman" w:cs="Times New Roman"/>
                <w:sz w:val="24"/>
              </w:rPr>
              <w:t>二噁英、苯并[a]芘、氰化物、氯气</w:t>
            </w:r>
            <w:r>
              <w:rPr>
                <w:rFonts w:hint="eastAsia" w:ascii="Times New Roman" w:hAnsi="Times New Roman" w:cs="Times New Roman"/>
                <w:sz w:val="24"/>
              </w:rPr>
              <w:t>，故不设大气影响专项评价。</w:t>
            </w:r>
          </w:p>
          <w:p w14:paraId="2ED7A219">
            <w:pPr>
              <w:tabs>
                <w:tab w:val="left" w:pos="6"/>
                <w:tab w:val="left" w:pos="33"/>
              </w:tabs>
              <w:adjustRightInd w:val="0"/>
              <w:snapToGrid w:val="0"/>
              <w:spacing w:line="360" w:lineRule="auto"/>
              <w:ind w:firstLine="240" w:firstLineChars="1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污染物产排情况</w:t>
            </w:r>
          </w:p>
          <w:p w14:paraId="6877EF4F">
            <w:pPr>
              <w:pStyle w:val="10"/>
              <w:snapToGrid w:val="0"/>
              <w:spacing w:line="360" w:lineRule="auto"/>
              <w:ind w:left="0" w:right="105" w:rightChars="50" w:firstLine="240" w:firstLineChars="100"/>
              <w:rPr>
                <w:rFonts w:ascii="Times New Roman" w:hAnsi="Times New Roman" w:cs="Times New Roman" w:eastAsiaTheme="minorEastAsia"/>
              </w:rPr>
            </w:pPr>
            <w:r>
              <w:rPr>
                <w:rFonts w:hint="eastAsia" w:ascii="Times New Roman" w:hAnsi="Times New Roman" w:cs="Times New Roman"/>
                <w:bCs/>
              </w:rPr>
              <w:t>项目</w:t>
            </w:r>
            <w:r>
              <w:rPr>
                <w:rFonts w:ascii="Times New Roman" w:hAnsi="Times New Roman" w:cs="Times New Roman"/>
                <w:bCs/>
              </w:rPr>
              <w:t>运营期有生产废气和生活废气产生。生产废气主要为</w:t>
            </w:r>
            <w:r>
              <w:rPr>
                <w:rFonts w:hint="eastAsia" w:ascii="Times New Roman" w:hAnsi="Times New Roman" w:cs="Times New Roman"/>
                <w:bCs/>
              </w:rPr>
              <w:t>锅炉燃烧废气、</w:t>
            </w:r>
            <w:r>
              <w:rPr>
                <w:rFonts w:ascii="Times New Roman" w:hAnsi="Times New Roman" w:cs="Times New Roman"/>
                <w:bCs/>
              </w:rPr>
              <w:t>病死动物无害化处理废</w:t>
            </w:r>
            <w:r>
              <w:rPr>
                <w:rFonts w:hint="eastAsia" w:ascii="Times New Roman" w:hAnsi="Times New Roman" w:cs="Times New Roman"/>
                <w:bCs/>
              </w:rPr>
              <w:t>气、</w:t>
            </w:r>
            <w:r>
              <w:rPr>
                <w:rFonts w:ascii="Times New Roman" w:hAnsi="Times New Roman" w:cs="Times New Roman"/>
                <w:bCs/>
              </w:rPr>
              <w:t>车间</w:t>
            </w:r>
            <w:r>
              <w:rPr>
                <w:rFonts w:hint="eastAsia" w:ascii="Times New Roman" w:hAnsi="Times New Roman" w:cs="Times New Roman"/>
                <w:bCs/>
              </w:rPr>
              <w:t>臭气、处理站臭气及车辆尾气</w:t>
            </w:r>
            <w:r>
              <w:rPr>
                <w:rFonts w:ascii="Times New Roman" w:hAnsi="Times New Roman" w:cs="Times New Roman" w:eastAsiaTheme="minorEastAsia"/>
              </w:rPr>
              <w:t>。生活废气主要为食堂油烟。</w:t>
            </w:r>
          </w:p>
          <w:p w14:paraId="11F4815E">
            <w:pPr>
              <w:snapToGrid w:val="0"/>
              <w:jc w:val="center"/>
              <w:rPr>
                <w:rFonts w:ascii="Times New Roman" w:hAnsi="Times New Roman" w:eastAsia="宋体" w:cs="Times New Roman"/>
                <w:b/>
                <w:szCs w:val="21"/>
              </w:rPr>
            </w:pPr>
            <w:r>
              <w:rPr>
                <w:rFonts w:ascii="Times New Roman" w:hAnsi="Times New Roman" w:eastAsia="宋体" w:cs="Times New Roman"/>
                <w:b/>
                <w:szCs w:val="21"/>
              </w:rPr>
              <w:t>表4-3    废气污染源源强核算结果一览表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014"/>
              <w:gridCol w:w="851"/>
              <w:gridCol w:w="850"/>
              <w:gridCol w:w="955"/>
              <w:gridCol w:w="1088"/>
              <w:gridCol w:w="887"/>
              <w:gridCol w:w="854"/>
              <w:gridCol w:w="824"/>
              <w:gridCol w:w="847"/>
              <w:gridCol w:w="1066"/>
              <w:gridCol w:w="992"/>
              <w:gridCol w:w="1104"/>
              <w:gridCol w:w="700"/>
            </w:tblGrid>
            <w:tr w14:paraId="3CC8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restart"/>
                  <w:vAlign w:val="center"/>
                </w:tcPr>
                <w:p w14:paraId="268144EF">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工序</w:t>
                  </w:r>
                </w:p>
              </w:tc>
              <w:tc>
                <w:tcPr>
                  <w:tcW w:w="1014" w:type="dxa"/>
                  <w:vMerge w:val="restart"/>
                  <w:vAlign w:val="center"/>
                </w:tcPr>
                <w:p w14:paraId="0709A37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污染源</w:t>
                  </w:r>
                </w:p>
              </w:tc>
              <w:tc>
                <w:tcPr>
                  <w:tcW w:w="851" w:type="dxa"/>
                  <w:vMerge w:val="restart"/>
                  <w:vAlign w:val="center"/>
                </w:tcPr>
                <w:p w14:paraId="5C55BD89">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w:t>
                  </w:r>
                </w:p>
              </w:tc>
              <w:tc>
                <w:tcPr>
                  <w:tcW w:w="3780" w:type="dxa"/>
                  <w:gridSpan w:val="4"/>
                  <w:vAlign w:val="center"/>
                </w:tcPr>
                <w:p w14:paraId="1F017244">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污染物产生</w:t>
                  </w:r>
                </w:p>
              </w:tc>
              <w:tc>
                <w:tcPr>
                  <w:tcW w:w="1678" w:type="dxa"/>
                  <w:gridSpan w:val="2"/>
                  <w:vAlign w:val="center"/>
                </w:tcPr>
                <w:p w14:paraId="08FBA538">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治理措施</w:t>
                  </w:r>
                </w:p>
              </w:tc>
              <w:tc>
                <w:tcPr>
                  <w:tcW w:w="4009" w:type="dxa"/>
                  <w:gridSpan w:val="4"/>
                  <w:vAlign w:val="center"/>
                </w:tcPr>
                <w:p w14:paraId="3655F76A">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污染物排放</w:t>
                  </w:r>
                </w:p>
              </w:tc>
              <w:tc>
                <w:tcPr>
                  <w:tcW w:w="700" w:type="dxa"/>
                  <w:vMerge w:val="restart"/>
                  <w:vAlign w:val="center"/>
                </w:tcPr>
                <w:p w14:paraId="5A4BDD4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排放时间h/a</w:t>
                  </w:r>
                </w:p>
              </w:tc>
            </w:tr>
            <w:tr w14:paraId="6247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continue"/>
                  <w:vAlign w:val="center"/>
                </w:tcPr>
                <w:p w14:paraId="26E4BB78">
                  <w:pPr>
                    <w:adjustRightInd w:val="0"/>
                    <w:jc w:val="center"/>
                    <w:rPr>
                      <w:rFonts w:ascii="Times New Roman" w:hAnsi="Times New Roman" w:eastAsia="宋体" w:cs="Times New Roman"/>
                      <w:bCs/>
                      <w:sz w:val="18"/>
                      <w:szCs w:val="18"/>
                    </w:rPr>
                  </w:pPr>
                </w:p>
              </w:tc>
              <w:tc>
                <w:tcPr>
                  <w:tcW w:w="1014" w:type="dxa"/>
                  <w:vMerge w:val="continue"/>
                  <w:vAlign w:val="center"/>
                </w:tcPr>
                <w:p w14:paraId="77087007">
                  <w:pPr>
                    <w:adjustRightInd w:val="0"/>
                    <w:jc w:val="center"/>
                    <w:rPr>
                      <w:rFonts w:ascii="Times New Roman" w:hAnsi="Times New Roman" w:eastAsia="宋体" w:cs="Times New Roman"/>
                      <w:bCs/>
                      <w:sz w:val="18"/>
                      <w:szCs w:val="18"/>
                    </w:rPr>
                  </w:pPr>
                </w:p>
              </w:tc>
              <w:tc>
                <w:tcPr>
                  <w:tcW w:w="851" w:type="dxa"/>
                  <w:vMerge w:val="continue"/>
                  <w:vAlign w:val="center"/>
                </w:tcPr>
                <w:p w14:paraId="6AF59D3B">
                  <w:pPr>
                    <w:adjustRightInd w:val="0"/>
                    <w:jc w:val="center"/>
                    <w:rPr>
                      <w:rFonts w:ascii="Times New Roman" w:hAnsi="Times New Roman" w:eastAsia="宋体" w:cs="Times New Roman"/>
                      <w:bCs/>
                      <w:sz w:val="18"/>
                      <w:szCs w:val="18"/>
                    </w:rPr>
                  </w:pPr>
                </w:p>
              </w:tc>
              <w:tc>
                <w:tcPr>
                  <w:tcW w:w="850" w:type="dxa"/>
                  <w:vAlign w:val="center"/>
                </w:tcPr>
                <w:p w14:paraId="76A11C9B">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核算</w:t>
                  </w:r>
                </w:p>
                <w:p w14:paraId="4533F589">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方法</w:t>
                  </w:r>
                </w:p>
              </w:tc>
              <w:tc>
                <w:tcPr>
                  <w:tcW w:w="955" w:type="dxa"/>
                  <w:vAlign w:val="center"/>
                </w:tcPr>
                <w:p w14:paraId="3C59FDCA">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废气产生量m</w:t>
                  </w:r>
                  <w:r>
                    <w:rPr>
                      <w:rFonts w:ascii="Times New Roman" w:hAnsi="Times New Roman" w:eastAsia="宋体" w:cs="Times New Roman"/>
                      <w:b/>
                      <w:sz w:val="18"/>
                      <w:szCs w:val="18"/>
                      <w:vertAlign w:val="superscript"/>
                    </w:rPr>
                    <w:t>3</w:t>
                  </w:r>
                  <w:r>
                    <w:rPr>
                      <w:rFonts w:ascii="Times New Roman" w:hAnsi="Times New Roman" w:eastAsia="宋体" w:cs="Times New Roman"/>
                      <w:b/>
                      <w:sz w:val="18"/>
                      <w:szCs w:val="18"/>
                    </w:rPr>
                    <w:t>/h</w:t>
                  </w:r>
                </w:p>
              </w:tc>
              <w:tc>
                <w:tcPr>
                  <w:tcW w:w="1088" w:type="dxa"/>
                  <w:vAlign w:val="center"/>
                </w:tcPr>
                <w:p w14:paraId="2DE0F788">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产生浓度mg/m</w:t>
                  </w:r>
                  <w:r>
                    <w:rPr>
                      <w:rFonts w:ascii="Times New Roman" w:hAnsi="Times New Roman" w:eastAsia="宋体" w:cs="Times New Roman"/>
                      <w:b/>
                      <w:sz w:val="18"/>
                      <w:szCs w:val="18"/>
                      <w:vertAlign w:val="superscript"/>
                    </w:rPr>
                    <w:t>3</w:t>
                  </w:r>
                </w:p>
              </w:tc>
              <w:tc>
                <w:tcPr>
                  <w:tcW w:w="887" w:type="dxa"/>
                  <w:vAlign w:val="center"/>
                </w:tcPr>
                <w:p w14:paraId="180CC77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产生量t/a</w:t>
                  </w:r>
                </w:p>
              </w:tc>
              <w:tc>
                <w:tcPr>
                  <w:tcW w:w="854" w:type="dxa"/>
                  <w:vAlign w:val="center"/>
                </w:tcPr>
                <w:p w14:paraId="73186B28">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工艺</w:t>
                  </w:r>
                </w:p>
              </w:tc>
              <w:tc>
                <w:tcPr>
                  <w:tcW w:w="824" w:type="dxa"/>
                  <w:vAlign w:val="center"/>
                </w:tcPr>
                <w:p w14:paraId="4608E4B0">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效率</w:t>
                  </w:r>
                </w:p>
                <w:p w14:paraId="5B936299">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w:t>
                  </w:r>
                </w:p>
              </w:tc>
              <w:tc>
                <w:tcPr>
                  <w:tcW w:w="847" w:type="dxa"/>
                  <w:vAlign w:val="center"/>
                </w:tcPr>
                <w:p w14:paraId="54680BB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核算</w:t>
                  </w:r>
                </w:p>
                <w:p w14:paraId="22397B83">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方法</w:t>
                  </w:r>
                </w:p>
              </w:tc>
              <w:tc>
                <w:tcPr>
                  <w:tcW w:w="1066" w:type="dxa"/>
                  <w:vAlign w:val="center"/>
                </w:tcPr>
                <w:p w14:paraId="0B0256A7">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废气排放量m</w:t>
                  </w:r>
                  <w:r>
                    <w:rPr>
                      <w:rFonts w:ascii="Times New Roman" w:hAnsi="Times New Roman" w:eastAsia="宋体" w:cs="Times New Roman"/>
                      <w:b/>
                      <w:sz w:val="18"/>
                      <w:szCs w:val="18"/>
                      <w:vertAlign w:val="superscript"/>
                    </w:rPr>
                    <w:t>3</w:t>
                  </w:r>
                  <w:r>
                    <w:rPr>
                      <w:rFonts w:ascii="Times New Roman" w:hAnsi="Times New Roman" w:eastAsia="宋体" w:cs="Times New Roman"/>
                      <w:b/>
                      <w:sz w:val="18"/>
                      <w:szCs w:val="18"/>
                    </w:rPr>
                    <w:t>/h</w:t>
                  </w:r>
                </w:p>
              </w:tc>
              <w:tc>
                <w:tcPr>
                  <w:tcW w:w="992" w:type="dxa"/>
                  <w:vAlign w:val="center"/>
                </w:tcPr>
                <w:p w14:paraId="5E1B309B">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排放浓度mg/m</w:t>
                  </w:r>
                  <w:r>
                    <w:rPr>
                      <w:rFonts w:ascii="Times New Roman" w:hAnsi="Times New Roman" w:eastAsia="宋体" w:cs="Times New Roman"/>
                      <w:b/>
                      <w:sz w:val="18"/>
                      <w:szCs w:val="18"/>
                      <w:vertAlign w:val="superscript"/>
                    </w:rPr>
                    <w:t>3</w:t>
                  </w:r>
                </w:p>
              </w:tc>
              <w:tc>
                <w:tcPr>
                  <w:tcW w:w="1104" w:type="dxa"/>
                  <w:vAlign w:val="center"/>
                </w:tcPr>
                <w:p w14:paraId="601A0342">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排放量t/a</w:t>
                  </w:r>
                </w:p>
              </w:tc>
              <w:tc>
                <w:tcPr>
                  <w:tcW w:w="700" w:type="dxa"/>
                  <w:vMerge w:val="continue"/>
                  <w:vAlign w:val="center"/>
                </w:tcPr>
                <w:p w14:paraId="4520525D">
                  <w:pPr>
                    <w:adjustRightInd w:val="0"/>
                    <w:jc w:val="center"/>
                    <w:rPr>
                      <w:rFonts w:ascii="Times New Roman" w:hAnsi="Times New Roman" w:eastAsia="宋体" w:cs="Times New Roman"/>
                      <w:bCs/>
                      <w:sz w:val="18"/>
                      <w:szCs w:val="18"/>
                    </w:rPr>
                  </w:pPr>
                </w:p>
              </w:tc>
            </w:tr>
            <w:tr w14:paraId="75A5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1" w:type="dxa"/>
                  <w:vMerge w:val="restart"/>
                  <w:vAlign w:val="center"/>
                </w:tcPr>
                <w:p w14:paraId="576F96BB">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锅炉烟气处理</w:t>
                  </w:r>
                </w:p>
              </w:tc>
              <w:tc>
                <w:tcPr>
                  <w:tcW w:w="1014" w:type="dxa"/>
                  <w:vMerge w:val="restart"/>
                  <w:vAlign w:val="center"/>
                </w:tcPr>
                <w:p w14:paraId="09E77982">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锅炉</w:t>
                  </w:r>
                  <w:r>
                    <w:rPr>
                      <w:rFonts w:ascii="Times New Roman" w:hAnsi="Times New Roman" w:eastAsia="宋体" w:cs="Times New Roman"/>
                      <w:kern w:val="0"/>
                      <w:sz w:val="18"/>
                      <w:szCs w:val="18"/>
                      <w:lang w:bidi="ar"/>
                    </w:rPr>
                    <w:t>排</w:t>
                  </w:r>
                </w:p>
                <w:p w14:paraId="7E6CCD61">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气筒</w:t>
                  </w:r>
                  <w:r>
                    <w:rPr>
                      <w:rFonts w:hint="eastAsia" w:ascii="Times New Roman" w:hAnsi="Times New Roman" w:eastAsia="宋体" w:cs="Times New Roman"/>
                      <w:kern w:val="0"/>
                      <w:sz w:val="18"/>
                      <w:szCs w:val="18"/>
                      <w:lang w:bidi="ar"/>
                    </w:rPr>
                    <w:t>D</w:t>
                  </w:r>
                  <w:r>
                    <w:rPr>
                      <w:rFonts w:ascii="Times New Roman" w:hAnsi="Times New Roman" w:eastAsia="宋体" w:cs="Times New Roman"/>
                      <w:kern w:val="0"/>
                      <w:sz w:val="18"/>
                      <w:szCs w:val="18"/>
                      <w:lang w:bidi="ar"/>
                    </w:rPr>
                    <w:t>A001</w:t>
                  </w:r>
                </w:p>
              </w:tc>
              <w:tc>
                <w:tcPr>
                  <w:tcW w:w="851" w:type="dxa"/>
                  <w:vAlign w:val="center"/>
                </w:tcPr>
                <w:p w14:paraId="3EAF0CCB">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烟尘</w:t>
                  </w:r>
                </w:p>
              </w:tc>
              <w:tc>
                <w:tcPr>
                  <w:tcW w:w="850" w:type="dxa"/>
                  <w:vMerge w:val="restart"/>
                  <w:vAlign w:val="center"/>
                </w:tcPr>
                <w:p w14:paraId="5F99A7AA">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63B353B0">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5880.21</w:t>
                  </w:r>
                </w:p>
              </w:tc>
              <w:tc>
                <w:tcPr>
                  <w:tcW w:w="1088" w:type="dxa"/>
                  <w:vAlign w:val="center"/>
                </w:tcPr>
                <w:p w14:paraId="77EA02F4">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63.7732</w:t>
                  </w:r>
                </w:p>
              </w:tc>
              <w:tc>
                <w:tcPr>
                  <w:tcW w:w="887" w:type="dxa"/>
                  <w:vAlign w:val="center"/>
                </w:tcPr>
                <w:p w14:paraId="508D2DE0">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0.9000</w:t>
                  </w:r>
                </w:p>
              </w:tc>
              <w:tc>
                <w:tcPr>
                  <w:tcW w:w="1678" w:type="dxa"/>
                  <w:gridSpan w:val="2"/>
                  <w:vMerge w:val="restart"/>
                  <w:vAlign w:val="center"/>
                </w:tcPr>
                <w:p w14:paraId="29C121AA">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设</w:t>
                  </w:r>
                  <w:r>
                    <w:rPr>
                      <w:rFonts w:ascii="Times New Roman" w:hAnsi="Times New Roman" w:cs="Times New Roman"/>
                      <w:sz w:val="18"/>
                      <w:szCs w:val="18"/>
                    </w:rPr>
                    <w:t>1</w:t>
                  </w:r>
                  <w:r>
                    <w:rPr>
                      <w:rFonts w:hint="eastAsia" w:ascii="Times New Roman" w:hAnsi="Times New Roman" w:cs="Times New Roman"/>
                      <w:sz w:val="18"/>
                      <w:szCs w:val="18"/>
                    </w:rPr>
                    <w:t>套“双碱法脱硫除尘”系统，烟尘处理效率</w:t>
                  </w:r>
                  <w:r>
                    <w:rPr>
                      <w:rFonts w:ascii="Times New Roman" w:hAnsi="Times New Roman" w:cs="Times New Roman"/>
                      <w:sz w:val="18"/>
                      <w:szCs w:val="18"/>
                    </w:rPr>
                    <w:t>87</w:t>
                  </w:r>
                  <w:r>
                    <w:rPr>
                      <w:rFonts w:hint="eastAsia" w:ascii="Times New Roman" w:hAnsi="Times New Roman" w:cs="Times New Roman"/>
                      <w:sz w:val="18"/>
                      <w:szCs w:val="18"/>
                    </w:rPr>
                    <w:t>%，</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cs="Times New Roman"/>
                      <w:sz w:val="18"/>
                      <w:szCs w:val="18"/>
                    </w:rPr>
                    <w:t>处理效率</w:t>
                  </w:r>
                  <w:r>
                    <w:rPr>
                      <w:rFonts w:ascii="Times New Roman" w:hAnsi="Times New Roman" w:cs="Times New Roman"/>
                      <w:sz w:val="18"/>
                      <w:szCs w:val="18"/>
                    </w:rPr>
                    <w:t>80</w:t>
                  </w:r>
                  <w:r>
                    <w:rPr>
                      <w:rFonts w:hint="eastAsia" w:ascii="Times New Roman" w:hAnsi="Times New Roman" w:cs="Times New Roman"/>
                      <w:sz w:val="18"/>
                      <w:szCs w:val="18"/>
                    </w:rPr>
                    <w:t>%，</w:t>
                  </w:r>
                  <w:r>
                    <w:rPr>
                      <w:rFonts w:ascii="Times New Roman" w:hAnsi="Times New Roman" w:cs="Times New Roman"/>
                      <w:sz w:val="18"/>
                      <w:szCs w:val="18"/>
                    </w:rPr>
                    <w:t>NOx</w:t>
                  </w:r>
                  <w:r>
                    <w:rPr>
                      <w:rFonts w:hint="eastAsia" w:ascii="Times New Roman" w:hAnsi="Times New Roman" w:cs="Times New Roman"/>
                      <w:sz w:val="18"/>
                      <w:szCs w:val="18"/>
                    </w:rPr>
                    <w:t>处理效率</w:t>
                  </w:r>
                  <w:r>
                    <w:rPr>
                      <w:rFonts w:ascii="Times New Roman" w:hAnsi="Times New Roman" w:cs="Times New Roman"/>
                      <w:sz w:val="18"/>
                      <w:szCs w:val="18"/>
                    </w:rPr>
                    <w:t>20</w:t>
                  </w:r>
                  <w:r>
                    <w:rPr>
                      <w:rFonts w:hint="eastAsia" w:ascii="Times New Roman" w:hAnsi="Times New Roman" w:cs="Times New Roman"/>
                      <w:sz w:val="18"/>
                      <w:szCs w:val="18"/>
                    </w:rPr>
                    <w:t>%，</w:t>
                  </w:r>
                  <w:r>
                    <w:rPr>
                      <w:rFonts w:ascii="Times New Roman" w:hAnsi="Times New Roman" w:cs="Times New Roman"/>
                      <w:sz w:val="18"/>
                      <w:szCs w:val="18"/>
                    </w:rPr>
                    <w:t>NH</w:t>
                  </w:r>
                  <w:r>
                    <w:rPr>
                      <w:rFonts w:ascii="Times New Roman" w:hAnsi="Times New Roman" w:cs="Times New Roman"/>
                      <w:sz w:val="18"/>
                      <w:szCs w:val="18"/>
                      <w:vertAlign w:val="subscript"/>
                    </w:rPr>
                    <w:t>3</w:t>
                  </w:r>
                  <w:r>
                    <w:rPr>
                      <w:rFonts w:hint="eastAsia" w:ascii="Times New Roman" w:hAnsi="Times New Roman" w:cs="Times New Roman"/>
                      <w:sz w:val="18"/>
                      <w:szCs w:val="18"/>
                    </w:rPr>
                    <w:t>和</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处理效率</w:t>
                  </w:r>
                  <w:r>
                    <w:rPr>
                      <w:rFonts w:ascii="Times New Roman" w:hAnsi="Times New Roman" w:cs="Times New Roman"/>
                      <w:sz w:val="18"/>
                      <w:szCs w:val="18"/>
                    </w:rPr>
                    <w:t>90</w:t>
                  </w:r>
                  <w:r>
                    <w:rPr>
                      <w:rFonts w:hint="eastAsia" w:ascii="Times New Roman" w:hAnsi="Times New Roman" w:cs="Times New Roman"/>
                      <w:sz w:val="18"/>
                      <w:szCs w:val="18"/>
                    </w:rPr>
                    <w:t>%。</w:t>
                  </w:r>
                </w:p>
              </w:tc>
              <w:tc>
                <w:tcPr>
                  <w:tcW w:w="847" w:type="dxa"/>
                  <w:vMerge w:val="restart"/>
                  <w:vAlign w:val="center"/>
                </w:tcPr>
                <w:p w14:paraId="6C2E2D72">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排污系数法</w:t>
                  </w:r>
                </w:p>
              </w:tc>
              <w:tc>
                <w:tcPr>
                  <w:tcW w:w="1066" w:type="dxa"/>
                  <w:vMerge w:val="restart"/>
                  <w:vAlign w:val="center"/>
                </w:tcPr>
                <w:p w14:paraId="154AD43F">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5880.21</w:t>
                  </w:r>
                </w:p>
              </w:tc>
              <w:tc>
                <w:tcPr>
                  <w:tcW w:w="992" w:type="dxa"/>
                  <w:vAlign w:val="center"/>
                </w:tcPr>
                <w:p w14:paraId="7F06008C">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8</w:t>
                  </w:r>
                  <w:r>
                    <w:rPr>
                      <w:rFonts w:ascii="Times New Roman" w:hAnsi="Times New Roman" w:cs="Times New Roman"/>
                      <w:sz w:val="18"/>
                      <w:szCs w:val="18"/>
                    </w:rPr>
                    <w:t>.2905</w:t>
                  </w:r>
                </w:p>
              </w:tc>
              <w:tc>
                <w:tcPr>
                  <w:tcW w:w="1104" w:type="dxa"/>
                  <w:vAlign w:val="center"/>
                </w:tcPr>
                <w:p w14:paraId="636B23A2">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.1170</w:t>
                  </w:r>
                </w:p>
              </w:tc>
              <w:tc>
                <w:tcPr>
                  <w:tcW w:w="700" w:type="dxa"/>
                  <w:vMerge w:val="restart"/>
                  <w:vAlign w:val="center"/>
                </w:tcPr>
                <w:p w14:paraId="7DD58DD4">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72D8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1" w:type="dxa"/>
                  <w:vMerge w:val="continue"/>
                  <w:vAlign w:val="center"/>
                </w:tcPr>
                <w:p w14:paraId="3655C7F3">
                  <w:pPr>
                    <w:adjustRightInd w:val="0"/>
                    <w:jc w:val="center"/>
                    <w:rPr>
                      <w:rFonts w:ascii="Times New Roman" w:hAnsi="Times New Roman" w:eastAsia="宋体" w:cs="Times New Roman"/>
                      <w:bCs/>
                      <w:sz w:val="18"/>
                      <w:szCs w:val="18"/>
                    </w:rPr>
                  </w:pPr>
                </w:p>
              </w:tc>
              <w:tc>
                <w:tcPr>
                  <w:tcW w:w="1014" w:type="dxa"/>
                  <w:vMerge w:val="continue"/>
                  <w:vAlign w:val="center"/>
                </w:tcPr>
                <w:p w14:paraId="1685B81A">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0B9171C2">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850" w:type="dxa"/>
                  <w:vMerge w:val="continue"/>
                  <w:vAlign w:val="center"/>
                </w:tcPr>
                <w:p w14:paraId="1871A228">
                  <w:pPr>
                    <w:adjustRightInd w:val="0"/>
                    <w:jc w:val="center"/>
                    <w:rPr>
                      <w:rFonts w:ascii="Times New Roman" w:hAnsi="Times New Roman" w:eastAsia="宋体" w:cs="Times New Roman"/>
                      <w:bCs/>
                      <w:sz w:val="18"/>
                      <w:szCs w:val="18"/>
                    </w:rPr>
                  </w:pPr>
                </w:p>
              </w:tc>
              <w:tc>
                <w:tcPr>
                  <w:tcW w:w="955" w:type="dxa"/>
                  <w:vMerge w:val="continue"/>
                  <w:vAlign w:val="center"/>
                </w:tcPr>
                <w:p w14:paraId="78EBE652">
                  <w:pPr>
                    <w:widowControl/>
                    <w:jc w:val="center"/>
                    <w:textAlignment w:val="center"/>
                    <w:rPr>
                      <w:rFonts w:ascii="Times New Roman" w:hAnsi="Times New Roman" w:eastAsia="宋体" w:cs="Times New Roman"/>
                      <w:bCs/>
                      <w:sz w:val="18"/>
                      <w:szCs w:val="18"/>
                    </w:rPr>
                  </w:pPr>
                </w:p>
              </w:tc>
              <w:tc>
                <w:tcPr>
                  <w:tcW w:w="1088" w:type="dxa"/>
                  <w:vAlign w:val="center"/>
                </w:tcPr>
                <w:p w14:paraId="6CD7BF2A">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65.2017</w:t>
                  </w:r>
                </w:p>
              </w:tc>
              <w:tc>
                <w:tcPr>
                  <w:tcW w:w="887" w:type="dxa"/>
                  <w:vAlign w:val="center"/>
                </w:tcPr>
                <w:p w14:paraId="65B9F3A1">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0.9201</w:t>
                  </w:r>
                </w:p>
              </w:tc>
              <w:tc>
                <w:tcPr>
                  <w:tcW w:w="1678" w:type="dxa"/>
                  <w:gridSpan w:val="2"/>
                  <w:vMerge w:val="continue"/>
                  <w:vAlign w:val="center"/>
                </w:tcPr>
                <w:p w14:paraId="569BCABB">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2E2995D5">
                  <w:pPr>
                    <w:adjustRightInd w:val="0"/>
                    <w:jc w:val="center"/>
                    <w:rPr>
                      <w:rFonts w:ascii="Times New Roman" w:hAnsi="Times New Roman" w:eastAsia="宋体" w:cs="Times New Roman"/>
                      <w:bCs/>
                      <w:sz w:val="18"/>
                      <w:szCs w:val="18"/>
                    </w:rPr>
                  </w:pPr>
                </w:p>
              </w:tc>
              <w:tc>
                <w:tcPr>
                  <w:tcW w:w="1066" w:type="dxa"/>
                  <w:vMerge w:val="continue"/>
                  <w:vAlign w:val="center"/>
                </w:tcPr>
                <w:p w14:paraId="4D10CA28">
                  <w:pPr>
                    <w:widowControl/>
                    <w:jc w:val="center"/>
                    <w:textAlignment w:val="center"/>
                    <w:rPr>
                      <w:rFonts w:ascii="Times New Roman" w:hAnsi="Times New Roman" w:eastAsia="宋体" w:cs="Times New Roman"/>
                      <w:bCs/>
                      <w:sz w:val="18"/>
                      <w:szCs w:val="18"/>
                    </w:rPr>
                  </w:pPr>
                </w:p>
              </w:tc>
              <w:tc>
                <w:tcPr>
                  <w:tcW w:w="992" w:type="dxa"/>
                  <w:vAlign w:val="center"/>
                </w:tcPr>
                <w:p w14:paraId="2CFE8344">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1</w:t>
                  </w:r>
                  <w:r>
                    <w:rPr>
                      <w:rFonts w:ascii="Times New Roman" w:hAnsi="Times New Roman" w:cs="Times New Roman"/>
                      <w:sz w:val="18"/>
                      <w:szCs w:val="18"/>
                    </w:rPr>
                    <w:t>3.0403</w:t>
                  </w:r>
                </w:p>
              </w:tc>
              <w:tc>
                <w:tcPr>
                  <w:tcW w:w="1104" w:type="dxa"/>
                  <w:vAlign w:val="center"/>
                </w:tcPr>
                <w:p w14:paraId="7FDF66D6">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.1840</w:t>
                  </w:r>
                </w:p>
              </w:tc>
              <w:tc>
                <w:tcPr>
                  <w:tcW w:w="700" w:type="dxa"/>
                  <w:vMerge w:val="continue"/>
                  <w:vAlign w:val="center"/>
                </w:tcPr>
                <w:p w14:paraId="5A308E30">
                  <w:pPr>
                    <w:widowControl/>
                    <w:jc w:val="center"/>
                    <w:textAlignment w:val="center"/>
                    <w:rPr>
                      <w:rFonts w:ascii="Times New Roman" w:hAnsi="Times New Roman" w:eastAsia="宋体" w:cs="Times New Roman"/>
                      <w:bCs/>
                      <w:sz w:val="18"/>
                      <w:szCs w:val="18"/>
                    </w:rPr>
                  </w:pPr>
                </w:p>
              </w:tc>
            </w:tr>
            <w:tr w14:paraId="4827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861" w:type="dxa"/>
                  <w:vMerge w:val="continue"/>
                  <w:vAlign w:val="center"/>
                </w:tcPr>
                <w:p w14:paraId="54960885">
                  <w:pPr>
                    <w:adjustRightInd w:val="0"/>
                    <w:jc w:val="center"/>
                    <w:rPr>
                      <w:rFonts w:ascii="Times New Roman" w:hAnsi="Times New Roman" w:eastAsia="宋体" w:cs="Times New Roman"/>
                      <w:bCs/>
                      <w:sz w:val="18"/>
                      <w:szCs w:val="18"/>
                    </w:rPr>
                  </w:pPr>
                </w:p>
              </w:tc>
              <w:tc>
                <w:tcPr>
                  <w:tcW w:w="1014" w:type="dxa"/>
                  <w:vMerge w:val="continue"/>
                  <w:vAlign w:val="center"/>
                </w:tcPr>
                <w:p w14:paraId="3501A2C1">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283A05A7">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850" w:type="dxa"/>
                  <w:vMerge w:val="continue"/>
                  <w:vAlign w:val="center"/>
                </w:tcPr>
                <w:p w14:paraId="066C21B0">
                  <w:pPr>
                    <w:adjustRightInd w:val="0"/>
                    <w:jc w:val="center"/>
                    <w:rPr>
                      <w:rFonts w:ascii="Times New Roman" w:hAnsi="Times New Roman" w:eastAsia="宋体" w:cs="Times New Roman"/>
                      <w:bCs/>
                      <w:sz w:val="18"/>
                      <w:szCs w:val="18"/>
                    </w:rPr>
                  </w:pPr>
                </w:p>
              </w:tc>
              <w:tc>
                <w:tcPr>
                  <w:tcW w:w="955" w:type="dxa"/>
                  <w:vMerge w:val="continue"/>
                  <w:vAlign w:val="center"/>
                </w:tcPr>
                <w:p w14:paraId="56DF38D3">
                  <w:pPr>
                    <w:widowControl/>
                    <w:jc w:val="center"/>
                    <w:textAlignment w:val="center"/>
                    <w:rPr>
                      <w:rFonts w:ascii="Times New Roman" w:hAnsi="Times New Roman" w:eastAsia="宋体" w:cs="Times New Roman"/>
                      <w:bCs/>
                      <w:sz w:val="18"/>
                      <w:szCs w:val="18"/>
                    </w:rPr>
                  </w:pPr>
                </w:p>
              </w:tc>
              <w:tc>
                <w:tcPr>
                  <w:tcW w:w="1088" w:type="dxa"/>
                  <w:vAlign w:val="center"/>
                </w:tcPr>
                <w:p w14:paraId="27B5F7B2">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1</w:t>
                  </w:r>
                  <w:r>
                    <w:rPr>
                      <w:rFonts w:ascii="Times New Roman" w:hAnsi="Times New Roman" w:cs="Times New Roman"/>
                      <w:sz w:val="18"/>
                      <w:szCs w:val="18"/>
                    </w:rPr>
                    <w:t>96.0304</w:t>
                  </w:r>
                </w:p>
              </w:tc>
              <w:tc>
                <w:tcPr>
                  <w:tcW w:w="887" w:type="dxa"/>
                  <w:vAlign w:val="center"/>
                </w:tcPr>
                <w:p w14:paraId="46A5B8A3">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2.7661</w:t>
                  </w:r>
                </w:p>
              </w:tc>
              <w:tc>
                <w:tcPr>
                  <w:tcW w:w="1678" w:type="dxa"/>
                  <w:gridSpan w:val="2"/>
                  <w:vMerge w:val="continue"/>
                  <w:vAlign w:val="center"/>
                </w:tcPr>
                <w:p w14:paraId="14349FCB">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4B643CCB">
                  <w:pPr>
                    <w:adjustRightInd w:val="0"/>
                    <w:jc w:val="center"/>
                    <w:rPr>
                      <w:rFonts w:ascii="Times New Roman" w:hAnsi="Times New Roman" w:eastAsia="宋体" w:cs="Times New Roman"/>
                      <w:bCs/>
                      <w:sz w:val="18"/>
                      <w:szCs w:val="18"/>
                    </w:rPr>
                  </w:pPr>
                </w:p>
              </w:tc>
              <w:tc>
                <w:tcPr>
                  <w:tcW w:w="1066" w:type="dxa"/>
                  <w:vMerge w:val="continue"/>
                  <w:vAlign w:val="center"/>
                </w:tcPr>
                <w:p w14:paraId="114E84EE">
                  <w:pPr>
                    <w:widowControl/>
                    <w:jc w:val="center"/>
                    <w:textAlignment w:val="center"/>
                    <w:rPr>
                      <w:rFonts w:ascii="Times New Roman" w:hAnsi="Times New Roman" w:eastAsia="宋体" w:cs="Times New Roman"/>
                      <w:bCs/>
                      <w:sz w:val="18"/>
                      <w:szCs w:val="18"/>
                    </w:rPr>
                  </w:pPr>
                </w:p>
              </w:tc>
              <w:tc>
                <w:tcPr>
                  <w:tcW w:w="992" w:type="dxa"/>
                  <w:vAlign w:val="center"/>
                </w:tcPr>
                <w:p w14:paraId="3C27C0DC">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1</w:t>
                  </w:r>
                  <w:r>
                    <w:rPr>
                      <w:rFonts w:ascii="Times New Roman" w:hAnsi="Times New Roman" w:cs="Times New Roman"/>
                      <w:sz w:val="18"/>
                      <w:szCs w:val="18"/>
                    </w:rPr>
                    <w:t>56.8243</w:t>
                  </w:r>
                </w:p>
              </w:tc>
              <w:tc>
                <w:tcPr>
                  <w:tcW w:w="1104" w:type="dxa"/>
                  <w:vAlign w:val="center"/>
                </w:tcPr>
                <w:p w14:paraId="4341ADB0">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2</w:t>
                  </w:r>
                  <w:r>
                    <w:rPr>
                      <w:rFonts w:ascii="Times New Roman" w:hAnsi="Times New Roman" w:cs="Times New Roman"/>
                      <w:sz w:val="18"/>
                      <w:szCs w:val="18"/>
                    </w:rPr>
                    <w:t>.2129</w:t>
                  </w:r>
                </w:p>
              </w:tc>
              <w:tc>
                <w:tcPr>
                  <w:tcW w:w="700" w:type="dxa"/>
                  <w:vMerge w:val="continue"/>
                  <w:vAlign w:val="center"/>
                </w:tcPr>
                <w:p w14:paraId="26C8007B">
                  <w:pPr>
                    <w:widowControl/>
                    <w:jc w:val="center"/>
                    <w:textAlignment w:val="center"/>
                    <w:rPr>
                      <w:rFonts w:ascii="Times New Roman" w:hAnsi="Times New Roman" w:eastAsia="宋体" w:cs="Times New Roman"/>
                      <w:bCs/>
                      <w:sz w:val="18"/>
                      <w:szCs w:val="18"/>
                    </w:rPr>
                  </w:pPr>
                </w:p>
              </w:tc>
            </w:tr>
            <w:tr w14:paraId="5138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1" w:type="dxa"/>
                  <w:vMerge w:val="continue"/>
                  <w:vAlign w:val="center"/>
                </w:tcPr>
                <w:p w14:paraId="5BB34566">
                  <w:pPr>
                    <w:adjustRightInd w:val="0"/>
                    <w:jc w:val="center"/>
                    <w:rPr>
                      <w:rFonts w:ascii="Times New Roman" w:hAnsi="Times New Roman" w:eastAsia="宋体" w:cs="Times New Roman"/>
                      <w:bCs/>
                      <w:sz w:val="18"/>
                      <w:szCs w:val="18"/>
                    </w:rPr>
                  </w:pPr>
                </w:p>
              </w:tc>
              <w:tc>
                <w:tcPr>
                  <w:tcW w:w="1014" w:type="dxa"/>
                  <w:vMerge w:val="continue"/>
                  <w:vAlign w:val="center"/>
                </w:tcPr>
                <w:p w14:paraId="7DDEA373">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42F71AC6">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continue"/>
                  <w:vAlign w:val="center"/>
                </w:tcPr>
                <w:p w14:paraId="7071EDA2">
                  <w:pPr>
                    <w:adjustRightInd w:val="0"/>
                    <w:jc w:val="center"/>
                    <w:rPr>
                      <w:rFonts w:ascii="Times New Roman" w:hAnsi="Times New Roman" w:eastAsia="宋体" w:cs="Times New Roman"/>
                      <w:bCs/>
                      <w:sz w:val="18"/>
                      <w:szCs w:val="18"/>
                    </w:rPr>
                  </w:pPr>
                </w:p>
              </w:tc>
              <w:tc>
                <w:tcPr>
                  <w:tcW w:w="955" w:type="dxa"/>
                  <w:vMerge w:val="continue"/>
                  <w:vAlign w:val="center"/>
                </w:tcPr>
                <w:p w14:paraId="545E30F6">
                  <w:pPr>
                    <w:widowControl/>
                    <w:jc w:val="center"/>
                    <w:textAlignment w:val="center"/>
                    <w:rPr>
                      <w:rFonts w:ascii="Times New Roman" w:hAnsi="Times New Roman" w:eastAsia="宋体" w:cs="Times New Roman"/>
                      <w:bCs/>
                      <w:sz w:val="18"/>
                      <w:szCs w:val="18"/>
                    </w:rPr>
                  </w:pPr>
                </w:p>
              </w:tc>
              <w:tc>
                <w:tcPr>
                  <w:tcW w:w="1088" w:type="dxa"/>
                  <w:vAlign w:val="center"/>
                </w:tcPr>
                <w:p w14:paraId="39562A6F">
                  <w:pPr>
                    <w:widowControl/>
                    <w:jc w:val="center"/>
                    <w:textAlignment w:val="center"/>
                    <w:rPr>
                      <w:rFonts w:ascii="Times New Roman" w:hAnsi="Times New Roman" w:eastAsia="宋体" w:cs="Times New Roman"/>
                      <w:bCs/>
                      <w:sz w:val="18"/>
                      <w:szCs w:val="18"/>
                    </w:rPr>
                  </w:pPr>
                  <w:r>
                    <w:rPr>
                      <w:rFonts w:ascii="Times New Roman" w:hAnsi="Times New Roman" w:cs="Times New Roman"/>
                      <w:sz w:val="18"/>
                      <w:szCs w:val="18"/>
                    </w:rPr>
                    <w:t>2.7000</w:t>
                  </w:r>
                </w:p>
              </w:tc>
              <w:tc>
                <w:tcPr>
                  <w:tcW w:w="887" w:type="dxa"/>
                  <w:vAlign w:val="center"/>
                </w:tcPr>
                <w:p w14:paraId="2523E580">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.0383</w:t>
                  </w:r>
                </w:p>
              </w:tc>
              <w:tc>
                <w:tcPr>
                  <w:tcW w:w="1678" w:type="dxa"/>
                  <w:gridSpan w:val="2"/>
                  <w:vMerge w:val="continue"/>
                  <w:vAlign w:val="center"/>
                </w:tcPr>
                <w:p w14:paraId="2F3AF3BA">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63B523A2">
                  <w:pPr>
                    <w:adjustRightInd w:val="0"/>
                    <w:jc w:val="center"/>
                    <w:rPr>
                      <w:rFonts w:ascii="Times New Roman" w:hAnsi="Times New Roman" w:eastAsia="宋体" w:cs="Times New Roman"/>
                      <w:bCs/>
                      <w:sz w:val="18"/>
                      <w:szCs w:val="18"/>
                    </w:rPr>
                  </w:pPr>
                </w:p>
              </w:tc>
              <w:tc>
                <w:tcPr>
                  <w:tcW w:w="1066" w:type="dxa"/>
                  <w:vMerge w:val="continue"/>
                  <w:vAlign w:val="center"/>
                </w:tcPr>
                <w:p w14:paraId="252825A1">
                  <w:pPr>
                    <w:widowControl/>
                    <w:jc w:val="center"/>
                    <w:textAlignment w:val="center"/>
                    <w:rPr>
                      <w:rFonts w:ascii="Times New Roman" w:hAnsi="Times New Roman" w:eastAsia="宋体" w:cs="Times New Roman"/>
                      <w:bCs/>
                      <w:sz w:val="18"/>
                      <w:szCs w:val="18"/>
                    </w:rPr>
                  </w:pPr>
                </w:p>
              </w:tc>
              <w:tc>
                <w:tcPr>
                  <w:tcW w:w="992" w:type="dxa"/>
                  <w:vAlign w:val="center"/>
                </w:tcPr>
                <w:p w14:paraId="3B2ABB33">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.5400</w:t>
                  </w:r>
                </w:p>
              </w:tc>
              <w:tc>
                <w:tcPr>
                  <w:tcW w:w="1104" w:type="dxa"/>
                  <w:vAlign w:val="center"/>
                </w:tcPr>
                <w:p w14:paraId="4C57390D">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.0077</w:t>
                  </w:r>
                </w:p>
              </w:tc>
              <w:tc>
                <w:tcPr>
                  <w:tcW w:w="700" w:type="dxa"/>
                  <w:vMerge w:val="continue"/>
                  <w:vAlign w:val="center"/>
                </w:tcPr>
                <w:p w14:paraId="4CFC4130">
                  <w:pPr>
                    <w:widowControl/>
                    <w:jc w:val="center"/>
                    <w:textAlignment w:val="center"/>
                    <w:rPr>
                      <w:rFonts w:ascii="Times New Roman" w:hAnsi="Times New Roman" w:eastAsia="宋体" w:cs="Times New Roman"/>
                      <w:bCs/>
                      <w:sz w:val="18"/>
                      <w:szCs w:val="18"/>
                    </w:rPr>
                  </w:pPr>
                </w:p>
              </w:tc>
            </w:tr>
            <w:tr w14:paraId="2EFE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1" w:type="dxa"/>
                  <w:vMerge w:val="continue"/>
                  <w:vAlign w:val="center"/>
                </w:tcPr>
                <w:p w14:paraId="29A6EE08">
                  <w:pPr>
                    <w:adjustRightInd w:val="0"/>
                    <w:jc w:val="center"/>
                    <w:rPr>
                      <w:rFonts w:ascii="Times New Roman" w:hAnsi="Times New Roman" w:eastAsia="宋体" w:cs="Times New Roman"/>
                      <w:bCs/>
                      <w:sz w:val="18"/>
                      <w:szCs w:val="18"/>
                    </w:rPr>
                  </w:pPr>
                </w:p>
              </w:tc>
              <w:tc>
                <w:tcPr>
                  <w:tcW w:w="1014" w:type="dxa"/>
                  <w:vMerge w:val="continue"/>
                  <w:vAlign w:val="center"/>
                </w:tcPr>
                <w:p w14:paraId="145AAB44">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5F332E79">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1B82A9B9">
                  <w:pPr>
                    <w:adjustRightInd w:val="0"/>
                    <w:jc w:val="center"/>
                    <w:rPr>
                      <w:rFonts w:ascii="Times New Roman" w:hAnsi="Times New Roman" w:eastAsia="宋体" w:cs="Times New Roman"/>
                      <w:bCs/>
                      <w:sz w:val="18"/>
                      <w:szCs w:val="18"/>
                    </w:rPr>
                  </w:pPr>
                </w:p>
              </w:tc>
              <w:tc>
                <w:tcPr>
                  <w:tcW w:w="955" w:type="dxa"/>
                  <w:vMerge w:val="continue"/>
                  <w:vAlign w:val="center"/>
                </w:tcPr>
                <w:p w14:paraId="0CA526F4">
                  <w:pPr>
                    <w:widowControl/>
                    <w:jc w:val="center"/>
                    <w:textAlignment w:val="center"/>
                    <w:rPr>
                      <w:rFonts w:ascii="Times New Roman" w:hAnsi="Times New Roman" w:eastAsia="宋体" w:cs="Times New Roman"/>
                      <w:bCs/>
                      <w:sz w:val="18"/>
                      <w:szCs w:val="18"/>
                    </w:rPr>
                  </w:pPr>
                </w:p>
              </w:tc>
              <w:tc>
                <w:tcPr>
                  <w:tcW w:w="1088" w:type="dxa"/>
                  <w:vAlign w:val="center"/>
                </w:tcPr>
                <w:p w14:paraId="49D17E40">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.0071</w:t>
                  </w:r>
                </w:p>
              </w:tc>
              <w:tc>
                <w:tcPr>
                  <w:tcW w:w="887" w:type="dxa"/>
                  <w:vAlign w:val="center"/>
                </w:tcPr>
                <w:p w14:paraId="1C9AF678">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.0001</w:t>
                  </w:r>
                </w:p>
              </w:tc>
              <w:tc>
                <w:tcPr>
                  <w:tcW w:w="1678" w:type="dxa"/>
                  <w:gridSpan w:val="2"/>
                  <w:vMerge w:val="continue"/>
                  <w:vAlign w:val="center"/>
                </w:tcPr>
                <w:p w14:paraId="0858D920">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363741E8">
                  <w:pPr>
                    <w:adjustRightInd w:val="0"/>
                    <w:jc w:val="center"/>
                    <w:rPr>
                      <w:rFonts w:ascii="Times New Roman" w:hAnsi="Times New Roman" w:eastAsia="宋体" w:cs="Times New Roman"/>
                      <w:bCs/>
                      <w:sz w:val="18"/>
                      <w:szCs w:val="18"/>
                    </w:rPr>
                  </w:pPr>
                </w:p>
              </w:tc>
              <w:tc>
                <w:tcPr>
                  <w:tcW w:w="1066" w:type="dxa"/>
                  <w:vMerge w:val="continue"/>
                  <w:vAlign w:val="center"/>
                </w:tcPr>
                <w:p w14:paraId="63DEAB88">
                  <w:pPr>
                    <w:widowControl/>
                    <w:jc w:val="center"/>
                    <w:textAlignment w:val="center"/>
                    <w:rPr>
                      <w:rFonts w:ascii="Times New Roman" w:hAnsi="Times New Roman" w:eastAsia="宋体" w:cs="Times New Roman"/>
                      <w:bCs/>
                      <w:sz w:val="18"/>
                      <w:szCs w:val="18"/>
                    </w:rPr>
                  </w:pPr>
                </w:p>
              </w:tc>
              <w:tc>
                <w:tcPr>
                  <w:tcW w:w="992" w:type="dxa"/>
                  <w:vAlign w:val="center"/>
                </w:tcPr>
                <w:p w14:paraId="58FB28AE">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.0014</w:t>
                  </w:r>
                </w:p>
              </w:tc>
              <w:tc>
                <w:tcPr>
                  <w:tcW w:w="1104" w:type="dxa"/>
                  <w:vAlign w:val="center"/>
                </w:tcPr>
                <w:p w14:paraId="4F1F45CE">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.20×10</w:t>
                  </w:r>
                  <w:r>
                    <w:rPr>
                      <w:rFonts w:ascii="Times New Roman" w:hAnsi="Times New Roman" w:cs="Times New Roman"/>
                      <w:sz w:val="18"/>
                      <w:szCs w:val="18"/>
                      <w:vertAlign w:val="superscript"/>
                    </w:rPr>
                    <w:t>-4</w:t>
                  </w:r>
                </w:p>
              </w:tc>
              <w:tc>
                <w:tcPr>
                  <w:tcW w:w="700" w:type="dxa"/>
                  <w:vMerge w:val="continue"/>
                  <w:vAlign w:val="center"/>
                </w:tcPr>
                <w:p w14:paraId="7B9F6F48">
                  <w:pPr>
                    <w:widowControl/>
                    <w:jc w:val="center"/>
                    <w:textAlignment w:val="center"/>
                    <w:rPr>
                      <w:rFonts w:ascii="Times New Roman" w:hAnsi="Times New Roman" w:eastAsia="宋体" w:cs="Times New Roman"/>
                      <w:bCs/>
                      <w:sz w:val="18"/>
                      <w:szCs w:val="18"/>
                    </w:rPr>
                  </w:pPr>
                </w:p>
              </w:tc>
            </w:tr>
            <w:tr w14:paraId="34A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1" w:type="dxa"/>
                  <w:vMerge w:val="restart"/>
                  <w:vAlign w:val="center"/>
                </w:tcPr>
                <w:p w14:paraId="37A62644">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车间臭气处理</w:t>
                  </w:r>
                </w:p>
              </w:tc>
              <w:tc>
                <w:tcPr>
                  <w:tcW w:w="1014" w:type="dxa"/>
                  <w:vMerge w:val="restart"/>
                  <w:vAlign w:val="center"/>
                </w:tcPr>
                <w:p w14:paraId="0E39E8C2">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活性炭吸附排气筒D</w:t>
                  </w:r>
                  <w:r>
                    <w:rPr>
                      <w:rFonts w:ascii="Times New Roman" w:hAnsi="Times New Roman" w:eastAsia="宋体" w:cs="Times New Roman"/>
                      <w:kern w:val="0"/>
                      <w:sz w:val="18"/>
                      <w:szCs w:val="18"/>
                      <w:lang w:bidi="ar"/>
                    </w:rPr>
                    <w:t>A002</w:t>
                  </w:r>
                </w:p>
              </w:tc>
              <w:tc>
                <w:tcPr>
                  <w:tcW w:w="851" w:type="dxa"/>
                  <w:vAlign w:val="center"/>
                </w:tcPr>
                <w:p w14:paraId="035CDAFB">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restart"/>
                  <w:vAlign w:val="center"/>
                </w:tcPr>
                <w:p w14:paraId="216F9A71">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6E3A348A">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000</w:t>
                  </w:r>
                </w:p>
              </w:tc>
              <w:tc>
                <w:tcPr>
                  <w:tcW w:w="1088" w:type="dxa"/>
                  <w:vAlign w:val="center"/>
                </w:tcPr>
                <w:p w14:paraId="66544B9E">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.1800</w:t>
                  </w:r>
                </w:p>
              </w:tc>
              <w:tc>
                <w:tcPr>
                  <w:tcW w:w="887" w:type="dxa"/>
                  <w:vAlign w:val="center"/>
                </w:tcPr>
                <w:p w14:paraId="07447FDE">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0.0861</w:t>
                  </w:r>
                </w:p>
              </w:tc>
              <w:tc>
                <w:tcPr>
                  <w:tcW w:w="1678" w:type="dxa"/>
                  <w:gridSpan w:val="2"/>
                  <w:vMerge w:val="restart"/>
                  <w:vAlign w:val="center"/>
                </w:tcPr>
                <w:p w14:paraId="53CDDBDE">
                  <w:pPr>
                    <w:widowControl/>
                    <w:jc w:val="center"/>
                    <w:textAlignment w:val="center"/>
                    <w:rPr>
                      <w:rFonts w:ascii="Times New Roman" w:hAnsi="Times New Roman" w:eastAsia="宋体" w:cs="Times New Roman"/>
                      <w:bCs/>
                      <w:sz w:val="18"/>
                      <w:szCs w:val="18"/>
                    </w:rPr>
                  </w:pPr>
                  <w:r>
                    <w:rPr>
                      <w:rFonts w:hint="eastAsia" w:ascii="Times New Roman" w:hAnsi="Times New Roman" w:cs="Times New Roman"/>
                      <w:sz w:val="18"/>
                      <w:szCs w:val="18"/>
                    </w:rPr>
                    <w:t>设1套二级活性炭+过滤处理系统，处理效率8</w:t>
                  </w:r>
                  <w:r>
                    <w:rPr>
                      <w:rFonts w:ascii="Times New Roman" w:hAnsi="Times New Roman" w:cs="Times New Roman"/>
                      <w:sz w:val="18"/>
                      <w:szCs w:val="18"/>
                    </w:rPr>
                    <w:t>0</w:t>
                  </w:r>
                  <w:r>
                    <w:rPr>
                      <w:rFonts w:hint="eastAsia" w:ascii="Times New Roman" w:hAnsi="Times New Roman" w:cs="Times New Roman"/>
                      <w:sz w:val="18"/>
                      <w:szCs w:val="18"/>
                    </w:rPr>
                    <w:t>%</w:t>
                  </w:r>
                </w:p>
              </w:tc>
              <w:tc>
                <w:tcPr>
                  <w:tcW w:w="847" w:type="dxa"/>
                  <w:vMerge w:val="restart"/>
                  <w:vAlign w:val="center"/>
                </w:tcPr>
                <w:p w14:paraId="777DF14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排污系数法</w:t>
                  </w:r>
                </w:p>
              </w:tc>
              <w:tc>
                <w:tcPr>
                  <w:tcW w:w="1066" w:type="dxa"/>
                  <w:vMerge w:val="restart"/>
                  <w:vAlign w:val="center"/>
                </w:tcPr>
                <w:p w14:paraId="0DBE584E">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000</w:t>
                  </w:r>
                </w:p>
              </w:tc>
              <w:tc>
                <w:tcPr>
                  <w:tcW w:w="992" w:type="dxa"/>
                  <w:vAlign w:val="center"/>
                </w:tcPr>
                <w:p w14:paraId="30C49802">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.4400</w:t>
                  </w:r>
                </w:p>
              </w:tc>
              <w:tc>
                <w:tcPr>
                  <w:tcW w:w="1104" w:type="dxa"/>
                  <w:vAlign w:val="center"/>
                </w:tcPr>
                <w:p w14:paraId="13D2428F">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.0172</w:t>
                  </w:r>
                </w:p>
              </w:tc>
              <w:tc>
                <w:tcPr>
                  <w:tcW w:w="700" w:type="dxa"/>
                  <w:vMerge w:val="restart"/>
                  <w:vAlign w:val="center"/>
                </w:tcPr>
                <w:p w14:paraId="7CFE32EA">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2388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1" w:type="dxa"/>
                  <w:vMerge w:val="continue"/>
                  <w:vAlign w:val="center"/>
                </w:tcPr>
                <w:p w14:paraId="629CEA17">
                  <w:pPr>
                    <w:adjustRightInd w:val="0"/>
                    <w:jc w:val="center"/>
                    <w:rPr>
                      <w:rFonts w:ascii="Times New Roman" w:hAnsi="Times New Roman" w:eastAsia="宋体" w:cs="Times New Roman"/>
                      <w:bCs/>
                      <w:sz w:val="18"/>
                      <w:szCs w:val="18"/>
                    </w:rPr>
                  </w:pPr>
                </w:p>
              </w:tc>
              <w:tc>
                <w:tcPr>
                  <w:tcW w:w="1014" w:type="dxa"/>
                  <w:vMerge w:val="continue"/>
                  <w:vAlign w:val="center"/>
                </w:tcPr>
                <w:p w14:paraId="0A996A2B">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0B867317">
                  <w:pPr>
                    <w:adjustRightInd w:val="0"/>
                    <w:jc w:val="center"/>
                    <w:rPr>
                      <w:rFonts w:ascii="Times New Roman" w:hAnsi="Times New Roman"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05B6BEB2">
                  <w:pPr>
                    <w:adjustRightInd w:val="0"/>
                    <w:jc w:val="center"/>
                    <w:rPr>
                      <w:rFonts w:ascii="Times New Roman" w:hAnsi="Times New Roman" w:eastAsia="宋体" w:cs="Times New Roman"/>
                      <w:bCs/>
                      <w:sz w:val="18"/>
                      <w:szCs w:val="18"/>
                    </w:rPr>
                  </w:pPr>
                </w:p>
              </w:tc>
              <w:tc>
                <w:tcPr>
                  <w:tcW w:w="955" w:type="dxa"/>
                  <w:vMerge w:val="continue"/>
                  <w:vAlign w:val="center"/>
                </w:tcPr>
                <w:p w14:paraId="3B98757B">
                  <w:pPr>
                    <w:widowControl/>
                    <w:jc w:val="center"/>
                    <w:textAlignment w:val="center"/>
                    <w:rPr>
                      <w:rFonts w:ascii="Times New Roman" w:hAnsi="Times New Roman" w:eastAsia="宋体" w:cs="Times New Roman"/>
                      <w:bCs/>
                      <w:sz w:val="18"/>
                      <w:szCs w:val="18"/>
                    </w:rPr>
                  </w:pPr>
                </w:p>
              </w:tc>
              <w:tc>
                <w:tcPr>
                  <w:tcW w:w="1088" w:type="dxa"/>
                  <w:vAlign w:val="center"/>
                </w:tcPr>
                <w:p w14:paraId="3ED4C955">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.0200</w:t>
                  </w:r>
                </w:p>
              </w:tc>
              <w:tc>
                <w:tcPr>
                  <w:tcW w:w="887" w:type="dxa"/>
                  <w:vAlign w:val="center"/>
                </w:tcPr>
                <w:p w14:paraId="10C08FD1">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0.000</w:t>
                  </w:r>
                  <w:r>
                    <w:rPr>
                      <w:rFonts w:ascii="Times New Roman" w:hAnsi="Times New Roman" w:cs="Times New Roman"/>
                      <w:sz w:val="18"/>
                      <w:szCs w:val="18"/>
                    </w:rPr>
                    <w:t>3</w:t>
                  </w:r>
                </w:p>
              </w:tc>
              <w:tc>
                <w:tcPr>
                  <w:tcW w:w="1678" w:type="dxa"/>
                  <w:gridSpan w:val="2"/>
                  <w:vMerge w:val="continue"/>
                  <w:vAlign w:val="center"/>
                </w:tcPr>
                <w:p w14:paraId="6329CB43">
                  <w:pPr>
                    <w:widowControl/>
                    <w:jc w:val="center"/>
                    <w:textAlignment w:val="center"/>
                    <w:rPr>
                      <w:rFonts w:ascii="Times New Roman" w:hAnsi="Times New Roman" w:eastAsia="宋体" w:cs="Times New Roman"/>
                      <w:bCs/>
                      <w:sz w:val="18"/>
                      <w:szCs w:val="18"/>
                    </w:rPr>
                  </w:pPr>
                </w:p>
              </w:tc>
              <w:tc>
                <w:tcPr>
                  <w:tcW w:w="847" w:type="dxa"/>
                  <w:vMerge w:val="continue"/>
                  <w:vAlign w:val="center"/>
                </w:tcPr>
                <w:p w14:paraId="1F4C9386">
                  <w:pPr>
                    <w:adjustRightInd w:val="0"/>
                    <w:jc w:val="center"/>
                    <w:rPr>
                      <w:rFonts w:ascii="Times New Roman" w:hAnsi="Times New Roman" w:eastAsia="宋体" w:cs="Times New Roman"/>
                      <w:bCs/>
                      <w:sz w:val="18"/>
                      <w:szCs w:val="18"/>
                    </w:rPr>
                  </w:pPr>
                </w:p>
              </w:tc>
              <w:tc>
                <w:tcPr>
                  <w:tcW w:w="1066" w:type="dxa"/>
                  <w:vMerge w:val="continue"/>
                  <w:vAlign w:val="center"/>
                </w:tcPr>
                <w:p w14:paraId="7BB988E4">
                  <w:pPr>
                    <w:widowControl/>
                    <w:jc w:val="center"/>
                    <w:textAlignment w:val="center"/>
                    <w:rPr>
                      <w:rFonts w:ascii="Times New Roman" w:hAnsi="Times New Roman" w:eastAsia="宋体" w:cs="Times New Roman"/>
                      <w:bCs/>
                      <w:sz w:val="18"/>
                      <w:szCs w:val="18"/>
                    </w:rPr>
                  </w:pPr>
                </w:p>
              </w:tc>
              <w:tc>
                <w:tcPr>
                  <w:tcW w:w="992" w:type="dxa"/>
                  <w:vAlign w:val="center"/>
                </w:tcPr>
                <w:p w14:paraId="5468FB75">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.0036</w:t>
                  </w:r>
                </w:p>
              </w:tc>
              <w:tc>
                <w:tcPr>
                  <w:tcW w:w="1104" w:type="dxa"/>
                  <w:vAlign w:val="center"/>
                </w:tcPr>
                <w:p w14:paraId="12749506">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0.54×</w:t>
                  </w:r>
                </w:p>
                <w:p w14:paraId="629912BF">
                  <w:pPr>
                    <w:widowControl/>
                    <w:jc w:val="center"/>
                    <w:textAlignment w:val="center"/>
                    <w:rPr>
                      <w:rFonts w:ascii="Times New Roman" w:hAnsi="Times New Roman" w:cs="Times New Roman"/>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700" w:type="dxa"/>
                  <w:vMerge w:val="continue"/>
                  <w:vAlign w:val="center"/>
                </w:tcPr>
                <w:p w14:paraId="0BB5F607">
                  <w:pPr>
                    <w:widowControl/>
                    <w:jc w:val="center"/>
                    <w:textAlignment w:val="center"/>
                    <w:rPr>
                      <w:rFonts w:ascii="Times New Roman" w:hAnsi="Times New Roman" w:eastAsia="宋体" w:cs="Times New Roman"/>
                      <w:bCs/>
                      <w:sz w:val="18"/>
                      <w:szCs w:val="18"/>
                    </w:rPr>
                  </w:pPr>
                </w:p>
              </w:tc>
            </w:tr>
            <w:tr w14:paraId="1622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restart"/>
                  <w:vAlign w:val="center"/>
                </w:tcPr>
                <w:p w14:paraId="3C26C236">
                  <w:pPr>
                    <w:adjustRightIn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生产</w:t>
                  </w:r>
                </w:p>
                <w:p w14:paraId="45610A37">
                  <w:pPr>
                    <w:adjustRightInd w:val="0"/>
                    <w:jc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车间</w:t>
                  </w:r>
                </w:p>
              </w:tc>
              <w:tc>
                <w:tcPr>
                  <w:tcW w:w="1014" w:type="dxa"/>
                  <w:vMerge w:val="restart"/>
                  <w:vAlign w:val="center"/>
                </w:tcPr>
                <w:p w14:paraId="43493F93">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无组织</w:t>
                  </w:r>
                </w:p>
              </w:tc>
              <w:tc>
                <w:tcPr>
                  <w:tcW w:w="851" w:type="dxa"/>
                  <w:vAlign w:val="center"/>
                </w:tcPr>
                <w:p w14:paraId="6DD0CCAD">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restart"/>
                  <w:vAlign w:val="center"/>
                </w:tcPr>
                <w:p w14:paraId="45A090E8">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6C8B5C8C">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1088" w:type="dxa"/>
                  <w:vMerge w:val="restart"/>
                  <w:vAlign w:val="center"/>
                </w:tcPr>
                <w:p w14:paraId="0EEC0185">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887" w:type="dxa"/>
                  <w:vAlign w:val="center"/>
                </w:tcPr>
                <w:p w14:paraId="2B7318EB">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0.0096</w:t>
                  </w:r>
                </w:p>
              </w:tc>
              <w:tc>
                <w:tcPr>
                  <w:tcW w:w="1678" w:type="dxa"/>
                  <w:gridSpan w:val="2"/>
                  <w:vMerge w:val="restart"/>
                  <w:vAlign w:val="center"/>
                </w:tcPr>
                <w:p w14:paraId="7B31D3E5">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847" w:type="dxa"/>
                  <w:vMerge w:val="restart"/>
                  <w:vAlign w:val="center"/>
                </w:tcPr>
                <w:p w14:paraId="5F9B8E00">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Merge w:val="restart"/>
                  <w:vAlign w:val="center"/>
                </w:tcPr>
                <w:p w14:paraId="1FC0282D">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992" w:type="dxa"/>
                  <w:vAlign w:val="center"/>
                </w:tcPr>
                <w:p w14:paraId="7CE8238F">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c>
                <w:tcPr>
                  <w:tcW w:w="1104" w:type="dxa"/>
                  <w:vAlign w:val="center"/>
                </w:tcPr>
                <w:p w14:paraId="4E7A95C0">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0.0096</w:t>
                  </w:r>
                </w:p>
              </w:tc>
              <w:tc>
                <w:tcPr>
                  <w:tcW w:w="700" w:type="dxa"/>
                  <w:vMerge w:val="restart"/>
                  <w:vAlign w:val="center"/>
                </w:tcPr>
                <w:p w14:paraId="6E05627F">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09FF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continue"/>
                  <w:vAlign w:val="center"/>
                </w:tcPr>
                <w:p w14:paraId="43974302">
                  <w:pPr>
                    <w:adjustRightInd w:val="0"/>
                    <w:jc w:val="center"/>
                    <w:rPr>
                      <w:rFonts w:ascii="Times New Roman" w:hAnsi="Times New Roman" w:eastAsia="宋体" w:cs="Times New Roman"/>
                      <w:kern w:val="0"/>
                      <w:sz w:val="18"/>
                      <w:szCs w:val="18"/>
                      <w:lang w:bidi="ar"/>
                    </w:rPr>
                  </w:pPr>
                </w:p>
              </w:tc>
              <w:tc>
                <w:tcPr>
                  <w:tcW w:w="1014" w:type="dxa"/>
                  <w:vMerge w:val="continue"/>
                  <w:vAlign w:val="center"/>
                </w:tcPr>
                <w:p w14:paraId="4C9F2308">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4AA63C47">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2D619537">
                  <w:pPr>
                    <w:adjustRightInd w:val="0"/>
                    <w:jc w:val="center"/>
                    <w:rPr>
                      <w:rFonts w:ascii="Times New Roman" w:hAnsi="Times New Roman" w:eastAsia="宋体" w:cs="Times New Roman"/>
                      <w:bCs/>
                      <w:sz w:val="18"/>
                      <w:szCs w:val="18"/>
                    </w:rPr>
                  </w:pPr>
                </w:p>
              </w:tc>
              <w:tc>
                <w:tcPr>
                  <w:tcW w:w="955" w:type="dxa"/>
                  <w:vMerge w:val="continue"/>
                  <w:vAlign w:val="center"/>
                </w:tcPr>
                <w:p w14:paraId="4BA7555B">
                  <w:pPr>
                    <w:adjustRightInd w:val="0"/>
                    <w:jc w:val="center"/>
                    <w:rPr>
                      <w:rFonts w:ascii="Times New Roman" w:hAnsi="Times New Roman" w:eastAsia="宋体" w:cs="Times New Roman"/>
                      <w:bCs/>
                      <w:sz w:val="18"/>
                      <w:szCs w:val="18"/>
                    </w:rPr>
                  </w:pPr>
                </w:p>
              </w:tc>
              <w:tc>
                <w:tcPr>
                  <w:tcW w:w="1088" w:type="dxa"/>
                  <w:vMerge w:val="continue"/>
                  <w:vAlign w:val="center"/>
                </w:tcPr>
                <w:p w14:paraId="2839BDB1">
                  <w:pPr>
                    <w:adjustRightInd w:val="0"/>
                    <w:jc w:val="center"/>
                    <w:rPr>
                      <w:rFonts w:ascii="Times New Roman" w:hAnsi="Times New Roman" w:eastAsia="宋体" w:cs="Times New Roman"/>
                      <w:bCs/>
                      <w:sz w:val="18"/>
                      <w:szCs w:val="18"/>
                    </w:rPr>
                  </w:pPr>
                </w:p>
              </w:tc>
              <w:tc>
                <w:tcPr>
                  <w:tcW w:w="887" w:type="dxa"/>
                  <w:vAlign w:val="center"/>
                </w:tcPr>
                <w:p w14:paraId="609A8888">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w:t>
                  </w:r>
                </w:p>
                <w:p w14:paraId="19F6731B">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10</w:t>
                  </w:r>
                  <w:r>
                    <w:rPr>
                      <w:rFonts w:ascii="Times New Roman" w:hAnsi="Times New Roman" w:cs="Times New Roman"/>
                      <w:bCs/>
                      <w:sz w:val="18"/>
                      <w:szCs w:val="18"/>
                      <w:vertAlign w:val="superscript"/>
                    </w:rPr>
                    <w:t>-4</w:t>
                  </w:r>
                </w:p>
              </w:tc>
              <w:tc>
                <w:tcPr>
                  <w:tcW w:w="1678" w:type="dxa"/>
                  <w:gridSpan w:val="2"/>
                  <w:vMerge w:val="continue"/>
                  <w:vAlign w:val="center"/>
                </w:tcPr>
                <w:p w14:paraId="6E6C25AE">
                  <w:pPr>
                    <w:adjustRightInd w:val="0"/>
                    <w:jc w:val="center"/>
                    <w:rPr>
                      <w:rFonts w:ascii="Times New Roman" w:hAnsi="Times New Roman" w:eastAsia="宋体" w:cs="Times New Roman"/>
                      <w:bCs/>
                      <w:sz w:val="18"/>
                      <w:szCs w:val="18"/>
                    </w:rPr>
                  </w:pPr>
                </w:p>
              </w:tc>
              <w:tc>
                <w:tcPr>
                  <w:tcW w:w="847" w:type="dxa"/>
                  <w:vMerge w:val="continue"/>
                  <w:vAlign w:val="center"/>
                </w:tcPr>
                <w:p w14:paraId="0E343701">
                  <w:pPr>
                    <w:adjustRightInd w:val="0"/>
                    <w:jc w:val="center"/>
                    <w:rPr>
                      <w:rFonts w:ascii="Times New Roman" w:hAnsi="Times New Roman" w:eastAsia="宋体" w:cs="Times New Roman"/>
                      <w:bCs/>
                      <w:sz w:val="18"/>
                      <w:szCs w:val="18"/>
                    </w:rPr>
                  </w:pPr>
                </w:p>
              </w:tc>
              <w:tc>
                <w:tcPr>
                  <w:tcW w:w="1066" w:type="dxa"/>
                  <w:vMerge w:val="continue"/>
                  <w:vAlign w:val="center"/>
                </w:tcPr>
                <w:p w14:paraId="3BCBF70F">
                  <w:pPr>
                    <w:adjustRightInd w:val="0"/>
                    <w:jc w:val="center"/>
                    <w:rPr>
                      <w:rFonts w:ascii="Times New Roman" w:hAnsi="Times New Roman" w:eastAsia="宋体" w:cs="Times New Roman"/>
                      <w:bCs/>
                      <w:sz w:val="18"/>
                      <w:szCs w:val="18"/>
                    </w:rPr>
                  </w:pPr>
                </w:p>
              </w:tc>
              <w:tc>
                <w:tcPr>
                  <w:tcW w:w="992" w:type="dxa"/>
                  <w:vAlign w:val="center"/>
                </w:tcPr>
                <w:p w14:paraId="56B5576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51990D5D">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0.30×10</w:t>
                  </w:r>
                  <w:r>
                    <w:rPr>
                      <w:rFonts w:ascii="Times New Roman" w:hAnsi="Times New Roman" w:cs="Times New Roman"/>
                      <w:bCs/>
                      <w:sz w:val="18"/>
                      <w:szCs w:val="18"/>
                      <w:vertAlign w:val="superscript"/>
                    </w:rPr>
                    <w:t>-4</w:t>
                  </w:r>
                </w:p>
              </w:tc>
              <w:tc>
                <w:tcPr>
                  <w:tcW w:w="700" w:type="dxa"/>
                  <w:vMerge w:val="continue"/>
                  <w:vAlign w:val="center"/>
                </w:tcPr>
                <w:p w14:paraId="0E5B647E">
                  <w:pPr>
                    <w:adjustRightInd w:val="0"/>
                    <w:jc w:val="center"/>
                    <w:rPr>
                      <w:rFonts w:ascii="Times New Roman" w:hAnsi="Times New Roman" w:eastAsia="宋体" w:cs="Times New Roman"/>
                      <w:bCs/>
                      <w:sz w:val="18"/>
                      <w:szCs w:val="18"/>
                    </w:rPr>
                  </w:pPr>
                </w:p>
              </w:tc>
            </w:tr>
            <w:tr w14:paraId="6791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restart"/>
                  <w:vAlign w:val="center"/>
                </w:tcPr>
                <w:p w14:paraId="3115C2C4">
                  <w:pPr>
                    <w:adjustRightIn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bCs/>
                      <w:sz w:val="18"/>
                      <w:szCs w:val="18"/>
                    </w:rPr>
                    <w:t>污水处理站</w:t>
                  </w:r>
                </w:p>
              </w:tc>
              <w:tc>
                <w:tcPr>
                  <w:tcW w:w="1014" w:type="dxa"/>
                  <w:vMerge w:val="restart"/>
                  <w:vAlign w:val="center"/>
                </w:tcPr>
                <w:p w14:paraId="6D35BD5C">
                  <w:pPr>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无组织臭气</w:t>
                  </w:r>
                </w:p>
              </w:tc>
              <w:tc>
                <w:tcPr>
                  <w:tcW w:w="851" w:type="dxa"/>
                  <w:vAlign w:val="center"/>
                </w:tcPr>
                <w:p w14:paraId="3E4CF59D">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850" w:type="dxa"/>
                  <w:vMerge w:val="restart"/>
                  <w:vAlign w:val="center"/>
                </w:tcPr>
                <w:p w14:paraId="552233AD">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Merge w:val="restart"/>
                  <w:vAlign w:val="center"/>
                </w:tcPr>
                <w:p w14:paraId="36F767C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088" w:type="dxa"/>
                  <w:vMerge w:val="restart"/>
                  <w:vAlign w:val="center"/>
                </w:tcPr>
                <w:p w14:paraId="296D7CCE">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87" w:type="dxa"/>
                  <w:vAlign w:val="center"/>
                </w:tcPr>
                <w:p w14:paraId="6A0D1ECE">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rPr>
                    <w:t>0.0119</w:t>
                  </w:r>
                </w:p>
              </w:tc>
              <w:tc>
                <w:tcPr>
                  <w:tcW w:w="1678" w:type="dxa"/>
                  <w:gridSpan w:val="2"/>
                  <w:vMerge w:val="restart"/>
                  <w:vAlign w:val="center"/>
                </w:tcPr>
                <w:p w14:paraId="4921947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47" w:type="dxa"/>
                  <w:vMerge w:val="restart"/>
                  <w:vAlign w:val="center"/>
                </w:tcPr>
                <w:p w14:paraId="14AFBCB0">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Merge w:val="restart"/>
                  <w:vAlign w:val="center"/>
                </w:tcPr>
                <w:p w14:paraId="6A04082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992" w:type="dxa"/>
                  <w:vAlign w:val="center"/>
                </w:tcPr>
                <w:p w14:paraId="7FC1B17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4B7E0DBD">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lang w:val="en-US"/>
                    </w:rPr>
                    <w:t>0.0009</w:t>
                  </w:r>
                </w:p>
              </w:tc>
              <w:tc>
                <w:tcPr>
                  <w:tcW w:w="700" w:type="dxa"/>
                  <w:vMerge w:val="restart"/>
                  <w:vAlign w:val="center"/>
                </w:tcPr>
                <w:p w14:paraId="48A006A1">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78B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Merge w:val="continue"/>
                  <w:vAlign w:val="center"/>
                </w:tcPr>
                <w:p w14:paraId="6872537A">
                  <w:pPr>
                    <w:adjustRightInd w:val="0"/>
                    <w:jc w:val="center"/>
                    <w:rPr>
                      <w:rFonts w:ascii="Times New Roman" w:hAnsi="Times New Roman" w:eastAsia="宋体" w:cs="Times New Roman"/>
                      <w:bCs/>
                      <w:sz w:val="18"/>
                      <w:szCs w:val="18"/>
                    </w:rPr>
                  </w:pPr>
                </w:p>
              </w:tc>
              <w:tc>
                <w:tcPr>
                  <w:tcW w:w="1014" w:type="dxa"/>
                  <w:vMerge w:val="continue"/>
                  <w:vAlign w:val="center"/>
                </w:tcPr>
                <w:p w14:paraId="77F48139">
                  <w:pPr>
                    <w:widowControl/>
                    <w:jc w:val="center"/>
                    <w:textAlignment w:val="center"/>
                    <w:rPr>
                      <w:rFonts w:ascii="Times New Roman" w:hAnsi="Times New Roman" w:eastAsia="宋体" w:cs="Times New Roman"/>
                      <w:kern w:val="0"/>
                      <w:sz w:val="18"/>
                      <w:szCs w:val="18"/>
                      <w:lang w:bidi="ar"/>
                    </w:rPr>
                  </w:pPr>
                </w:p>
              </w:tc>
              <w:tc>
                <w:tcPr>
                  <w:tcW w:w="851" w:type="dxa"/>
                  <w:vAlign w:val="center"/>
                </w:tcPr>
                <w:p w14:paraId="0E2B1318">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850" w:type="dxa"/>
                  <w:vMerge w:val="continue"/>
                  <w:vAlign w:val="center"/>
                </w:tcPr>
                <w:p w14:paraId="3F55199D">
                  <w:pPr>
                    <w:adjustRightInd w:val="0"/>
                    <w:jc w:val="center"/>
                    <w:rPr>
                      <w:rFonts w:ascii="Times New Roman" w:hAnsi="Times New Roman" w:eastAsia="宋体" w:cs="Times New Roman"/>
                      <w:bCs/>
                      <w:sz w:val="18"/>
                      <w:szCs w:val="18"/>
                    </w:rPr>
                  </w:pPr>
                </w:p>
              </w:tc>
              <w:tc>
                <w:tcPr>
                  <w:tcW w:w="955" w:type="dxa"/>
                  <w:vMerge w:val="continue"/>
                  <w:vAlign w:val="center"/>
                </w:tcPr>
                <w:p w14:paraId="6F805308">
                  <w:pPr>
                    <w:adjustRightInd w:val="0"/>
                    <w:jc w:val="center"/>
                    <w:rPr>
                      <w:rFonts w:ascii="Times New Roman" w:hAnsi="Times New Roman" w:eastAsia="宋体" w:cs="Times New Roman"/>
                      <w:bCs/>
                      <w:sz w:val="18"/>
                      <w:szCs w:val="18"/>
                    </w:rPr>
                  </w:pPr>
                </w:p>
              </w:tc>
              <w:tc>
                <w:tcPr>
                  <w:tcW w:w="1088" w:type="dxa"/>
                  <w:vMerge w:val="continue"/>
                  <w:vAlign w:val="center"/>
                </w:tcPr>
                <w:p w14:paraId="3975B027">
                  <w:pPr>
                    <w:adjustRightInd w:val="0"/>
                    <w:jc w:val="center"/>
                    <w:rPr>
                      <w:rFonts w:ascii="Times New Roman" w:hAnsi="Times New Roman" w:eastAsia="宋体" w:cs="Times New Roman"/>
                      <w:bCs/>
                      <w:sz w:val="18"/>
                      <w:szCs w:val="18"/>
                    </w:rPr>
                  </w:pPr>
                </w:p>
              </w:tc>
              <w:tc>
                <w:tcPr>
                  <w:tcW w:w="887" w:type="dxa"/>
                  <w:vAlign w:val="center"/>
                </w:tcPr>
                <w:p w14:paraId="629BC357">
                  <w:pPr>
                    <w:adjustRightInd w:val="0"/>
                    <w:jc w:val="center"/>
                    <w:rPr>
                      <w:rFonts w:ascii="Times New Roman" w:hAnsi="Times New Roman" w:eastAsia="宋体" w:cs="Times New Roman"/>
                      <w:bCs/>
                      <w:sz w:val="18"/>
                      <w:szCs w:val="18"/>
                    </w:rPr>
                  </w:pPr>
                  <w:r>
                    <w:rPr>
                      <w:rFonts w:ascii="Times New Roman" w:hAnsi="Times New Roman" w:cs="Times New Roman"/>
                      <w:bCs/>
                      <w:sz w:val="18"/>
                      <w:szCs w:val="18"/>
                    </w:rPr>
                    <w:t>0.0005</w:t>
                  </w:r>
                </w:p>
              </w:tc>
              <w:tc>
                <w:tcPr>
                  <w:tcW w:w="1678" w:type="dxa"/>
                  <w:gridSpan w:val="2"/>
                  <w:vMerge w:val="continue"/>
                  <w:vAlign w:val="center"/>
                </w:tcPr>
                <w:p w14:paraId="0541E725">
                  <w:pPr>
                    <w:adjustRightInd w:val="0"/>
                    <w:jc w:val="center"/>
                    <w:rPr>
                      <w:rFonts w:ascii="Times New Roman" w:hAnsi="Times New Roman" w:eastAsia="宋体" w:cs="Times New Roman"/>
                      <w:bCs/>
                      <w:sz w:val="18"/>
                      <w:szCs w:val="18"/>
                    </w:rPr>
                  </w:pPr>
                </w:p>
              </w:tc>
              <w:tc>
                <w:tcPr>
                  <w:tcW w:w="847" w:type="dxa"/>
                  <w:vMerge w:val="continue"/>
                  <w:vAlign w:val="center"/>
                </w:tcPr>
                <w:p w14:paraId="17693F99">
                  <w:pPr>
                    <w:adjustRightInd w:val="0"/>
                    <w:jc w:val="center"/>
                    <w:rPr>
                      <w:rFonts w:ascii="Times New Roman" w:hAnsi="Times New Roman" w:eastAsia="宋体" w:cs="Times New Roman"/>
                      <w:bCs/>
                      <w:sz w:val="18"/>
                      <w:szCs w:val="18"/>
                    </w:rPr>
                  </w:pPr>
                </w:p>
              </w:tc>
              <w:tc>
                <w:tcPr>
                  <w:tcW w:w="1066" w:type="dxa"/>
                  <w:vMerge w:val="continue"/>
                  <w:vAlign w:val="center"/>
                </w:tcPr>
                <w:p w14:paraId="732BC302">
                  <w:pPr>
                    <w:adjustRightInd w:val="0"/>
                    <w:jc w:val="center"/>
                    <w:rPr>
                      <w:rFonts w:ascii="Times New Roman" w:hAnsi="Times New Roman" w:eastAsia="宋体" w:cs="Times New Roman"/>
                      <w:bCs/>
                      <w:sz w:val="18"/>
                      <w:szCs w:val="18"/>
                    </w:rPr>
                  </w:pPr>
                </w:p>
              </w:tc>
              <w:tc>
                <w:tcPr>
                  <w:tcW w:w="992" w:type="dxa"/>
                  <w:vAlign w:val="center"/>
                </w:tcPr>
                <w:p w14:paraId="16CB7CD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4A0CD3A8">
                  <w:pPr>
                    <w:pStyle w:val="10"/>
                    <w:snapToGrid w:val="0"/>
                    <w:ind w:left="0" w:right="105" w:rightChars="50"/>
                    <w:jc w:val="center"/>
                    <w:rPr>
                      <w:rFonts w:ascii="Times New Roman" w:hAnsi="Times New Roman" w:cs="Times New Roman"/>
                      <w:bCs/>
                      <w:sz w:val="18"/>
                      <w:szCs w:val="18"/>
                    </w:rPr>
                  </w:pPr>
                  <w:r>
                    <w:rPr>
                      <w:rFonts w:ascii="Times New Roman" w:hAnsi="Times New Roman" w:cs="Times New Roman"/>
                      <w:bCs/>
                      <w:sz w:val="18"/>
                      <w:szCs w:val="18"/>
                      <w:lang w:val="en-US"/>
                    </w:rPr>
                    <w:t>0.55×10</w:t>
                  </w:r>
                  <w:r>
                    <w:rPr>
                      <w:rFonts w:ascii="Times New Roman" w:hAnsi="Times New Roman" w:cs="Times New Roman"/>
                      <w:bCs/>
                      <w:sz w:val="18"/>
                      <w:szCs w:val="18"/>
                      <w:vertAlign w:val="superscript"/>
                      <w:lang w:val="en-US"/>
                    </w:rPr>
                    <w:t>-4</w:t>
                  </w:r>
                </w:p>
              </w:tc>
              <w:tc>
                <w:tcPr>
                  <w:tcW w:w="700" w:type="dxa"/>
                  <w:vMerge w:val="continue"/>
                  <w:vAlign w:val="center"/>
                </w:tcPr>
                <w:p w14:paraId="40D2A1F0">
                  <w:pPr>
                    <w:adjustRightInd w:val="0"/>
                    <w:jc w:val="center"/>
                    <w:rPr>
                      <w:rFonts w:ascii="Times New Roman" w:hAnsi="Times New Roman" w:eastAsia="宋体" w:cs="Times New Roman"/>
                      <w:bCs/>
                      <w:sz w:val="18"/>
                      <w:szCs w:val="18"/>
                    </w:rPr>
                  </w:pPr>
                </w:p>
              </w:tc>
            </w:tr>
            <w:tr w14:paraId="1EC9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Align w:val="center"/>
                </w:tcPr>
                <w:p w14:paraId="044CE732">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车辆</w:t>
                  </w:r>
                </w:p>
                <w:p w14:paraId="41DCF40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运行</w:t>
                  </w:r>
                </w:p>
              </w:tc>
              <w:tc>
                <w:tcPr>
                  <w:tcW w:w="1014" w:type="dxa"/>
                  <w:vAlign w:val="center"/>
                </w:tcPr>
                <w:p w14:paraId="6FB3FCAA">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无组织</w:t>
                  </w:r>
                  <w:r>
                    <w:rPr>
                      <w:rFonts w:hint="eastAsia" w:ascii="Times New Roman" w:hAnsi="Times New Roman" w:eastAsia="宋体" w:cs="Times New Roman"/>
                      <w:kern w:val="0"/>
                      <w:sz w:val="18"/>
                      <w:szCs w:val="18"/>
                      <w:lang w:bidi="ar"/>
                    </w:rPr>
                    <w:t>尾气</w:t>
                  </w:r>
                </w:p>
              </w:tc>
              <w:tc>
                <w:tcPr>
                  <w:tcW w:w="851" w:type="dxa"/>
                  <w:vAlign w:val="center"/>
                </w:tcPr>
                <w:p w14:paraId="537B5692">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碳氢化合物、C</w:t>
                  </w:r>
                  <w:r>
                    <w:rPr>
                      <w:rFonts w:ascii="Times New Roman" w:hAnsi="Times New Roman" w:eastAsia="宋体" w:cs="Times New Roman"/>
                      <w:bCs/>
                      <w:sz w:val="18"/>
                      <w:szCs w:val="18"/>
                    </w:rPr>
                    <w:t>O</w:t>
                  </w:r>
                  <w:r>
                    <w:rPr>
                      <w:rFonts w:hint="eastAsia" w:ascii="Times New Roman" w:hAnsi="Times New Roman" w:eastAsia="宋体" w:cs="Times New Roman"/>
                      <w:bCs/>
                      <w:sz w:val="18"/>
                      <w:szCs w:val="18"/>
                    </w:rPr>
                    <w:t>、</w:t>
                  </w:r>
                  <w:r>
                    <w:rPr>
                      <w:rFonts w:ascii="Times New Roman" w:hAnsi="Times New Roman" w:cs="Times New Roman"/>
                      <w:sz w:val="18"/>
                      <w:szCs w:val="18"/>
                    </w:rPr>
                    <w:t>NO</w:t>
                  </w:r>
                  <w:r>
                    <w:rPr>
                      <w:rFonts w:hint="eastAsia" w:ascii="Times New Roman" w:hAnsi="Times New Roman" w:cs="Times New Roman"/>
                      <w:sz w:val="18"/>
                      <w:szCs w:val="18"/>
                    </w:rPr>
                    <w:t>x等</w:t>
                  </w:r>
                </w:p>
              </w:tc>
              <w:tc>
                <w:tcPr>
                  <w:tcW w:w="850" w:type="dxa"/>
                  <w:vAlign w:val="center"/>
                </w:tcPr>
                <w:p w14:paraId="030A8C53">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Align w:val="center"/>
                </w:tcPr>
                <w:p w14:paraId="7E847157">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088" w:type="dxa"/>
                  <w:vAlign w:val="center"/>
                </w:tcPr>
                <w:p w14:paraId="5D054AD8">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87" w:type="dxa"/>
                  <w:vAlign w:val="center"/>
                </w:tcPr>
                <w:p w14:paraId="35EA8C4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少量</w:t>
                  </w:r>
                </w:p>
              </w:tc>
              <w:tc>
                <w:tcPr>
                  <w:tcW w:w="854" w:type="dxa"/>
                  <w:vAlign w:val="center"/>
                </w:tcPr>
                <w:p w14:paraId="72437196">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24" w:type="dxa"/>
                  <w:vAlign w:val="center"/>
                </w:tcPr>
                <w:p w14:paraId="497662D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47" w:type="dxa"/>
                  <w:vAlign w:val="center"/>
                </w:tcPr>
                <w:p w14:paraId="1CF07F75">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Align w:val="center"/>
                </w:tcPr>
                <w:p w14:paraId="36D1B44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992" w:type="dxa"/>
                  <w:vAlign w:val="center"/>
                </w:tcPr>
                <w:p w14:paraId="40D4F62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1A24C92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少量</w:t>
                  </w:r>
                </w:p>
              </w:tc>
              <w:tc>
                <w:tcPr>
                  <w:tcW w:w="700" w:type="dxa"/>
                  <w:vAlign w:val="center"/>
                </w:tcPr>
                <w:p w14:paraId="0DE485C7">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2400</w:t>
                  </w:r>
                </w:p>
              </w:tc>
            </w:tr>
            <w:tr w14:paraId="0BF5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dxa"/>
                  <w:vAlign w:val="center"/>
                </w:tcPr>
                <w:p w14:paraId="3817778B">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食堂</w:t>
                  </w:r>
                </w:p>
              </w:tc>
              <w:tc>
                <w:tcPr>
                  <w:tcW w:w="1014" w:type="dxa"/>
                  <w:vAlign w:val="center"/>
                </w:tcPr>
                <w:p w14:paraId="392E7827">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油烟</w:t>
                  </w:r>
                  <w:r>
                    <w:rPr>
                      <w:rFonts w:ascii="Times New Roman" w:hAnsi="Times New Roman" w:eastAsia="宋体" w:cs="Times New Roman"/>
                      <w:kern w:val="0"/>
                      <w:sz w:val="18"/>
                      <w:szCs w:val="18"/>
                      <w:lang w:bidi="ar"/>
                    </w:rPr>
                    <w:t>（无组织）</w:t>
                  </w:r>
                </w:p>
              </w:tc>
              <w:tc>
                <w:tcPr>
                  <w:tcW w:w="851" w:type="dxa"/>
                  <w:vAlign w:val="center"/>
                </w:tcPr>
                <w:p w14:paraId="6A9B68EE">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颗粒物</w:t>
                  </w:r>
                </w:p>
              </w:tc>
              <w:tc>
                <w:tcPr>
                  <w:tcW w:w="850" w:type="dxa"/>
                  <w:vAlign w:val="center"/>
                </w:tcPr>
                <w:p w14:paraId="4E33659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955" w:type="dxa"/>
                  <w:vAlign w:val="center"/>
                </w:tcPr>
                <w:p w14:paraId="11B18E0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088" w:type="dxa"/>
                  <w:vAlign w:val="center"/>
                </w:tcPr>
                <w:p w14:paraId="7A69D0CE">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87" w:type="dxa"/>
                  <w:vAlign w:val="center"/>
                </w:tcPr>
                <w:p w14:paraId="659197AF">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.0069</w:t>
                  </w:r>
                </w:p>
              </w:tc>
              <w:tc>
                <w:tcPr>
                  <w:tcW w:w="854" w:type="dxa"/>
                  <w:vAlign w:val="center"/>
                </w:tcPr>
                <w:p w14:paraId="403683AE">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24" w:type="dxa"/>
                  <w:vAlign w:val="center"/>
                </w:tcPr>
                <w:p w14:paraId="4DD1EB5A">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847" w:type="dxa"/>
                  <w:vAlign w:val="center"/>
                </w:tcPr>
                <w:p w14:paraId="0F7DA74E">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产污系数法</w:t>
                  </w:r>
                </w:p>
              </w:tc>
              <w:tc>
                <w:tcPr>
                  <w:tcW w:w="1066" w:type="dxa"/>
                  <w:vAlign w:val="center"/>
                </w:tcPr>
                <w:p w14:paraId="453CAB30">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992" w:type="dxa"/>
                  <w:vAlign w:val="center"/>
                </w:tcPr>
                <w:p w14:paraId="273AB95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104" w:type="dxa"/>
                  <w:vAlign w:val="center"/>
                </w:tcPr>
                <w:p w14:paraId="48C46C24">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0</w:t>
                  </w:r>
                  <w:r>
                    <w:rPr>
                      <w:rFonts w:ascii="Times New Roman" w:hAnsi="Times New Roman" w:cs="Times New Roman"/>
                      <w:sz w:val="18"/>
                      <w:szCs w:val="18"/>
                    </w:rPr>
                    <w:t>.0028</w:t>
                  </w:r>
                </w:p>
              </w:tc>
              <w:tc>
                <w:tcPr>
                  <w:tcW w:w="700" w:type="dxa"/>
                  <w:vAlign w:val="center"/>
                </w:tcPr>
                <w:p w14:paraId="0FBFEA3F">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p>
              </w:tc>
            </w:tr>
          </w:tbl>
          <w:p w14:paraId="58BA5533">
            <w:pPr>
              <w:snapToGrid w:val="0"/>
              <w:jc w:val="center"/>
              <w:rPr>
                <w:rFonts w:ascii="Times New Roman" w:hAnsi="Times New Roman" w:eastAsia="宋体" w:cs="Times New Roman"/>
                <w:b/>
                <w:szCs w:val="21"/>
              </w:rPr>
            </w:pPr>
          </w:p>
          <w:p w14:paraId="5D9C1F64">
            <w:pPr>
              <w:pStyle w:val="2"/>
              <w:pBdr>
                <w:bottom w:val="none" w:color="auto" w:sz="0" w:space="0"/>
              </w:pBdr>
              <w:spacing w:before="156" w:beforeLines="50"/>
              <w:rPr>
                <w:sz w:val="21"/>
                <w:szCs w:val="21"/>
              </w:rPr>
            </w:pPr>
            <w:r>
              <w:rPr>
                <w:rFonts w:ascii="Times New Roman" w:hAnsi="Times New Roman" w:eastAsia="宋体" w:cs="Times New Roman"/>
                <w:b/>
                <w:sz w:val="21"/>
                <w:szCs w:val="21"/>
              </w:rPr>
              <w:t>表4-4    排放口基本情况一览表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98"/>
              <w:gridCol w:w="1100"/>
              <w:gridCol w:w="678"/>
              <w:gridCol w:w="678"/>
              <w:gridCol w:w="690"/>
              <w:gridCol w:w="667"/>
              <w:gridCol w:w="900"/>
              <w:gridCol w:w="896"/>
              <w:gridCol w:w="1600"/>
              <w:gridCol w:w="800"/>
              <w:gridCol w:w="829"/>
              <w:gridCol w:w="714"/>
              <w:gridCol w:w="1594"/>
            </w:tblGrid>
            <w:tr w14:paraId="2E51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restart"/>
                  <w:vAlign w:val="center"/>
                </w:tcPr>
                <w:p w14:paraId="79E8C229">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工序</w:t>
                  </w:r>
                </w:p>
              </w:tc>
              <w:tc>
                <w:tcPr>
                  <w:tcW w:w="1098" w:type="dxa"/>
                  <w:vMerge w:val="restart"/>
                  <w:vAlign w:val="center"/>
                </w:tcPr>
                <w:p w14:paraId="618E8F80">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污染源</w:t>
                  </w:r>
                </w:p>
              </w:tc>
              <w:tc>
                <w:tcPr>
                  <w:tcW w:w="1100" w:type="dxa"/>
                  <w:vMerge w:val="restart"/>
                  <w:vAlign w:val="center"/>
                </w:tcPr>
                <w:p w14:paraId="2CBB9B85">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污染物</w:t>
                  </w:r>
                </w:p>
              </w:tc>
              <w:tc>
                <w:tcPr>
                  <w:tcW w:w="6909" w:type="dxa"/>
                  <w:gridSpan w:val="8"/>
                  <w:vAlign w:val="center"/>
                </w:tcPr>
                <w:p w14:paraId="0FA5ED5A">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排气筒</w:t>
                  </w:r>
                </w:p>
              </w:tc>
              <w:tc>
                <w:tcPr>
                  <w:tcW w:w="3137" w:type="dxa"/>
                  <w:gridSpan w:val="3"/>
                  <w:vAlign w:val="center"/>
                </w:tcPr>
                <w:p w14:paraId="1BE53826">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排放标准</w:t>
                  </w:r>
                </w:p>
              </w:tc>
            </w:tr>
            <w:tr w14:paraId="3B9D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607A9A17">
                  <w:pPr>
                    <w:adjustRightInd w:val="0"/>
                    <w:jc w:val="center"/>
                    <w:rPr>
                      <w:rFonts w:ascii="Times New Roman" w:hAnsi="Times New Roman" w:eastAsia="宋体" w:cs="Times New Roman"/>
                      <w:bCs/>
                      <w:sz w:val="18"/>
                      <w:szCs w:val="18"/>
                    </w:rPr>
                  </w:pPr>
                </w:p>
              </w:tc>
              <w:tc>
                <w:tcPr>
                  <w:tcW w:w="1098" w:type="dxa"/>
                  <w:vMerge w:val="continue"/>
                  <w:vAlign w:val="center"/>
                </w:tcPr>
                <w:p w14:paraId="7130D8EA">
                  <w:pPr>
                    <w:adjustRightInd w:val="0"/>
                    <w:jc w:val="center"/>
                    <w:rPr>
                      <w:rFonts w:ascii="Times New Roman" w:hAnsi="Times New Roman" w:eastAsia="宋体" w:cs="Times New Roman"/>
                      <w:bCs/>
                      <w:sz w:val="18"/>
                      <w:szCs w:val="18"/>
                    </w:rPr>
                  </w:pPr>
                </w:p>
              </w:tc>
              <w:tc>
                <w:tcPr>
                  <w:tcW w:w="1100" w:type="dxa"/>
                  <w:vMerge w:val="continue"/>
                  <w:vAlign w:val="center"/>
                </w:tcPr>
                <w:p w14:paraId="57290CD9">
                  <w:pPr>
                    <w:adjustRightInd w:val="0"/>
                    <w:jc w:val="center"/>
                    <w:rPr>
                      <w:rFonts w:ascii="Times New Roman" w:hAnsi="Times New Roman" w:eastAsia="宋体" w:cs="Times New Roman"/>
                      <w:bCs/>
                      <w:sz w:val="18"/>
                      <w:szCs w:val="18"/>
                    </w:rPr>
                  </w:pPr>
                </w:p>
              </w:tc>
              <w:tc>
                <w:tcPr>
                  <w:tcW w:w="678" w:type="dxa"/>
                  <w:vAlign w:val="center"/>
                </w:tcPr>
                <w:p w14:paraId="4A0F5132">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高度m</w:t>
                  </w:r>
                </w:p>
              </w:tc>
              <w:tc>
                <w:tcPr>
                  <w:tcW w:w="678" w:type="dxa"/>
                  <w:vAlign w:val="center"/>
                </w:tcPr>
                <w:p w14:paraId="63154EB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内径m</w:t>
                  </w:r>
                </w:p>
              </w:tc>
              <w:tc>
                <w:tcPr>
                  <w:tcW w:w="690" w:type="dxa"/>
                  <w:vAlign w:val="center"/>
                </w:tcPr>
                <w:p w14:paraId="0E18C395">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温度</w:t>
                  </w:r>
                </w:p>
                <w:p w14:paraId="396EC6AB">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w:t>
                  </w:r>
                </w:p>
              </w:tc>
              <w:tc>
                <w:tcPr>
                  <w:tcW w:w="667" w:type="dxa"/>
                  <w:vAlign w:val="center"/>
                </w:tcPr>
                <w:p w14:paraId="1069B6C7">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速率m/s</w:t>
                  </w:r>
                </w:p>
              </w:tc>
              <w:tc>
                <w:tcPr>
                  <w:tcW w:w="900" w:type="dxa"/>
                  <w:vAlign w:val="center"/>
                </w:tcPr>
                <w:p w14:paraId="354648BE">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编号</w:t>
                  </w:r>
                </w:p>
              </w:tc>
              <w:tc>
                <w:tcPr>
                  <w:tcW w:w="896" w:type="dxa"/>
                  <w:vAlign w:val="center"/>
                </w:tcPr>
                <w:p w14:paraId="62D65F20">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名称</w:t>
                  </w:r>
                </w:p>
              </w:tc>
              <w:tc>
                <w:tcPr>
                  <w:tcW w:w="1600" w:type="dxa"/>
                  <w:vAlign w:val="center"/>
                </w:tcPr>
                <w:p w14:paraId="67682744">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地理坐标</w:t>
                  </w:r>
                </w:p>
              </w:tc>
              <w:tc>
                <w:tcPr>
                  <w:tcW w:w="800" w:type="dxa"/>
                  <w:vAlign w:val="center"/>
                </w:tcPr>
                <w:p w14:paraId="1BE57FC2">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类型</w:t>
                  </w:r>
                </w:p>
              </w:tc>
              <w:tc>
                <w:tcPr>
                  <w:tcW w:w="829" w:type="dxa"/>
                  <w:vAlign w:val="center"/>
                </w:tcPr>
                <w:p w14:paraId="3475E44D">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浓度mg/m</w:t>
                  </w:r>
                  <w:r>
                    <w:rPr>
                      <w:rFonts w:ascii="Times New Roman" w:hAnsi="Times New Roman" w:eastAsia="宋体" w:cs="Times New Roman"/>
                      <w:b/>
                      <w:sz w:val="18"/>
                      <w:szCs w:val="18"/>
                      <w:vertAlign w:val="superscript"/>
                    </w:rPr>
                    <w:t>3</w:t>
                  </w:r>
                </w:p>
              </w:tc>
              <w:tc>
                <w:tcPr>
                  <w:tcW w:w="714" w:type="dxa"/>
                  <w:vAlign w:val="center"/>
                </w:tcPr>
                <w:p w14:paraId="2FC4930A">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速率kg/h</w:t>
                  </w:r>
                </w:p>
              </w:tc>
              <w:tc>
                <w:tcPr>
                  <w:tcW w:w="1594" w:type="dxa"/>
                  <w:vAlign w:val="center"/>
                </w:tcPr>
                <w:p w14:paraId="1338C6E7">
                  <w:pPr>
                    <w:adjustRightInd w:val="0"/>
                    <w:jc w:val="center"/>
                    <w:rPr>
                      <w:rFonts w:ascii="Times New Roman" w:hAnsi="Times New Roman" w:eastAsia="宋体" w:cs="Times New Roman"/>
                      <w:b/>
                      <w:sz w:val="18"/>
                      <w:szCs w:val="18"/>
                    </w:rPr>
                  </w:pPr>
                  <w:r>
                    <w:rPr>
                      <w:rFonts w:ascii="Times New Roman" w:hAnsi="Times New Roman" w:eastAsia="宋体" w:cs="Times New Roman"/>
                      <w:b/>
                      <w:sz w:val="18"/>
                      <w:szCs w:val="18"/>
                    </w:rPr>
                    <w:t>执行标准</w:t>
                  </w:r>
                </w:p>
              </w:tc>
            </w:tr>
            <w:tr w14:paraId="580E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restart"/>
                  <w:vAlign w:val="center"/>
                </w:tcPr>
                <w:p w14:paraId="3EF431EE">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锅炉烟气处理</w:t>
                  </w:r>
                </w:p>
              </w:tc>
              <w:tc>
                <w:tcPr>
                  <w:tcW w:w="1098" w:type="dxa"/>
                  <w:vMerge w:val="restart"/>
                  <w:vAlign w:val="center"/>
                </w:tcPr>
                <w:p w14:paraId="3B99E88B">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锅炉</w:t>
                  </w:r>
                  <w:r>
                    <w:rPr>
                      <w:rFonts w:ascii="Times New Roman" w:hAnsi="Times New Roman" w:eastAsia="宋体" w:cs="Times New Roman"/>
                      <w:kern w:val="0"/>
                      <w:sz w:val="18"/>
                      <w:szCs w:val="18"/>
                      <w:lang w:bidi="ar"/>
                    </w:rPr>
                    <w:t>排</w:t>
                  </w:r>
                </w:p>
                <w:p w14:paraId="27EF19C5">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气筒</w:t>
                  </w:r>
                </w:p>
              </w:tc>
              <w:tc>
                <w:tcPr>
                  <w:tcW w:w="1100" w:type="dxa"/>
                  <w:vAlign w:val="center"/>
                </w:tcPr>
                <w:p w14:paraId="0302EFA8">
                  <w:pPr>
                    <w:adjustRightInd w:val="0"/>
                    <w:jc w:val="center"/>
                    <w:rPr>
                      <w:rFonts w:ascii="Times New Roman" w:hAnsi="Times New Roman" w:eastAsia="宋体" w:cs="Times New Roman"/>
                      <w:bCs/>
                      <w:sz w:val="18"/>
                      <w:szCs w:val="18"/>
                    </w:rPr>
                  </w:pPr>
                  <w:r>
                    <w:rPr>
                      <w:rFonts w:ascii="Times New Roman" w:hAnsi="Times New Roman" w:cs="Times New Roman"/>
                      <w:sz w:val="18"/>
                      <w:szCs w:val="18"/>
                    </w:rPr>
                    <w:t>烟尘</w:t>
                  </w:r>
                </w:p>
              </w:tc>
              <w:tc>
                <w:tcPr>
                  <w:tcW w:w="678" w:type="dxa"/>
                  <w:vMerge w:val="restart"/>
                  <w:vAlign w:val="center"/>
                </w:tcPr>
                <w:p w14:paraId="4D402D4B">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35</w:t>
                  </w:r>
                </w:p>
              </w:tc>
              <w:tc>
                <w:tcPr>
                  <w:tcW w:w="678" w:type="dxa"/>
                  <w:vMerge w:val="restart"/>
                  <w:vAlign w:val="center"/>
                </w:tcPr>
                <w:p w14:paraId="6C65625E">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0.4</w:t>
                  </w:r>
                </w:p>
              </w:tc>
              <w:tc>
                <w:tcPr>
                  <w:tcW w:w="690" w:type="dxa"/>
                  <w:vMerge w:val="restart"/>
                  <w:vAlign w:val="center"/>
                </w:tcPr>
                <w:p w14:paraId="61833685">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60</w:t>
                  </w:r>
                </w:p>
              </w:tc>
              <w:tc>
                <w:tcPr>
                  <w:tcW w:w="667" w:type="dxa"/>
                  <w:vMerge w:val="restart"/>
                  <w:vAlign w:val="center"/>
                </w:tcPr>
                <w:p w14:paraId="09D306A3">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w:t>
                  </w:r>
                  <w:r>
                    <w:rPr>
                      <w:rFonts w:ascii="Times New Roman" w:hAnsi="Times New Roman" w:eastAsia="宋体" w:cs="Times New Roman"/>
                      <w:bCs/>
                      <w:sz w:val="18"/>
                      <w:szCs w:val="18"/>
                    </w:rPr>
                    <w:t>3.00</w:t>
                  </w:r>
                </w:p>
              </w:tc>
              <w:tc>
                <w:tcPr>
                  <w:tcW w:w="900" w:type="dxa"/>
                  <w:vMerge w:val="restart"/>
                  <w:vAlign w:val="center"/>
                </w:tcPr>
                <w:p w14:paraId="10ECDE69">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DA001</w:t>
                  </w:r>
                </w:p>
              </w:tc>
              <w:tc>
                <w:tcPr>
                  <w:tcW w:w="896" w:type="dxa"/>
                  <w:vMerge w:val="restart"/>
                  <w:vAlign w:val="center"/>
                </w:tcPr>
                <w:p w14:paraId="31DECC87">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烟气脱硫除尘塔排气筒</w:t>
                  </w:r>
                </w:p>
              </w:tc>
              <w:tc>
                <w:tcPr>
                  <w:tcW w:w="1600" w:type="dxa"/>
                  <w:vMerge w:val="restart"/>
                  <w:vAlign w:val="center"/>
                </w:tcPr>
                <w:p w14:paraId="0032059D">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E98°23′56.72″</w:t>
                  </w:r>
                </w:p>
                <w:p w14:paraId="2498E0F1">
                  <w:pPr>
                    <w:widowControl/>
                    <w:jc w:val="center"/>
                    <w:rPr>
                      <w:rFonts w:ascii="Times New Roman" w:hAnsi="Times New Roman" w:eastAsia="宋体" w:cs="Times New Roman"/>
                      <w:bCs/>
                      <w:sz w:val="18"/>
                      <w:szCs w:val="18"/>
                    </w:rPr>
                  </w:pPr>
                  <w:r>
                    <w:rPr>
                      <w:rFonts w:ascii="Times New Roman" w:hAnsi="Times New Roman" w:eastAsia="宋体" w:cs="Times New Roman"/>
                      <w:kern w:val="0"/>
                      <w:sz w:val="18"/>
                      <w:szCs w:val="18"/>
                      <w:lang w:bidi="ar"/>
                    </w:rPr>
                    <w:t>N24°22′33.97″</w:t>
                  </w:r>
                </w:p>
              </w:tc>
              <w:tc>
                <w:tcPr>
                  <w:tcW w:w="800" w:type="dxa"/>
                  <w:vMerge w:val="restart"/>
                  <w:vAlign w:val="center"/>
                </w:tcPr>
                <w:p w14:paraId="37F0EAC6">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一般</w:t>
                  </w:r>
                </w:p>
                <w:p w14:paraId="15851730">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排放口</w:t>
                  </w:r>
                </w:p>
              </w:tc>
              <w:tc>
                <w:tcPr>
                  <w:tcW w:w="829" w:type="dxa"/>
                  <w:vAlign w:val="center"/>
                </w:tcPr>
                <w:p w14:paraId="4DB074A4">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w:t>
                  </w:r>
                </w:p>
              </w:tc>
              <w:tc>
                <w:tcPr>
                  <w:tcW w:w="714" w:type="dxa"/>
                  <w:vAlign w:val="center"/>
                </w:tcPr>
                <w:p w14:paraId="4ADC97B1">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594" w:type="dxa"/>
                  <w:vMerge w:val="restart"/>
                  <w:vAlign w:val="center"/>
                </w:tcPr>
                <w:p w14:paraId="7E7A1401">
                  <w:pPr>
                    <w:widowControl/>
                    <w:snapToGrid w:val="0"/>
                    <w:jc w:val="center"/>
                    <w:textAlignment w:val="center"/>
                    <w:rPr>
                      <w:rFonts w:ascii="Times New Roman" w:hAnsi="Times New Roman" w:eastAsia="宋体" w:cs="Times New Roman"/>
                      <w:sz w:val="18"/>
                      <w:szCs w:val="18"/>
                      <w:lang w:bidi="ar"/>
                    </w:rPr>
                  </w:pPr>
                  <w:r>
                    <w:rPr>
                      <w:rFonts w:hint="eastAsia" w:ascii="Times New Roman" w:hAnsi="Times New Roman" w:eastAsia="宋体" w:cs="Times New Roman"/>
                      <w:bCs/>
                      <w:sz w:val="18"/>
                      <w:szCs w:val="18"/>
                    </w:rPr>
                    <w:t>烟尘、</w:t>
                  </w:r>
                  <w:r>
                    <w:rPr>
                      <w:rFonts w:ascii="Times New Roman" w:hAnsi="Times New Roman" w:cs="Times New Roman"/>
                      <w:sz w:val="18"/>
                      <w:szCs w:val="18"/>
                    </w:rPr>
                    <w:t>SO</w:t>
                  </w:r>
                  <w:r>
                    <w:rPr>
                      <w:rFonts w:ascii="Times New Roman" w:hAnsi="Times New Roman" w:cs="Times New Roman"/>
                      <w:sz w:val="18"/>
                      <w:szCs w:val="18"/>
                      <w:vertAlign w:val="subscript"/>
                    </w:rPr>
                    <w:t>2</w:t>
                  </w:r>
                  <w:r>
                    <w:rPr>
                      <w:rFonts w:hint="eastAsia" w:ascii="Times New Roman" w:hAnsi="Times New Roman" w:eastAsia="宋体" w:cs="Times New Roman"/>
                      <w:bCs/>
                      <w:sz w:val="18"/>
                      <w:szCs w:val="18"/>
                    </w:rPr>
                    <w:t>、</w:t>
                  </w:r>
                  <w:r>
                    <w:rPr>
                      <w:rFonts w:ascii="Times New Roman" w:hAnsi="Times New Roman" w:cs="Times New Roman"/>
                      <w:sz w:val="18"/>
                      <w:szCs w:val="18"/>
                    </w:rPr>
                    <w:t>NO</w:t>
                  </w:r>
                  <w:r>
                    <w:rPr>
                      <w:rFonts w:hint="eastAsia" w:ascii="Times New Roman" w:hAnsi="Times New Roman" w:cs="Times New Roman"/>
                      <w:sz w:val="18"/>
                      <w:szCs w:val="18"/>
                    </w:rPr>
                    <w:t>x执行</w:t>
                  </w:r>
                  <w:r>
                    <w:rPr>
                      <w:rFonts w:ascii="Times New Roman" w:hAnsi="Times New Roman" w:eastAsia="宋体" w:cs="Times New Roman"/>
                      <w:bCs/>
                      <w:sz w:val="18"/>
                      <w:szCs w:val="18"/>
                    </w:rPr>
                    <w:t>《锅炉大气污染物排放标准》（GB13271-2014）</w:t>
                  </w:r>
                  <w:r>
                    <w:rPr>
                      <w:rFonts w:hint="eastAsia" w:ascii="Times New Roman" w:hAnsi="Times New Roman" w:eastAsia="宋体" w:cs="Times New Roman"/>
                      <w:bCs/>
                      <w:sz w:val="18"/>
                      <w:szCs w:val="18"/>
                    </w:rPr>
                    <w:t>表2中</w:t>
                  </w:r>
                  <w:r>
                    <w:rPr>
                      <w:rFonts w:ascii="Times New Roman" w:hAnsi="Times New Roman" w:eastAsia="宋体" w:cs="Times New Roman"/>
                      <w:bCs/>
                      <w:sz w:val="18"/>
                      <w:szCs w:val="18"/>
                    </w:rPr>
                    <w:t>燃</w:t>
                  </w:r>
                  <w:r>
                    <w:rPr>
                      <w:rFonts w:hint="eastAsia" w:ascii="Times New Roman" w:hAnsi="Times New Roman" w:eastAsia="宋体" w:cs="Times New Roman"/>
                      <w:bCs/>
                      <w:sz w:val="18"/>
                      <w:szCs w:val="18"/>
                    </w:rPr>
                    <w:t>煤</w:t>
                  </w:r>
                  <w:r>
                    <w:rPr>
                      <w:rFonts w:ascii="Times New Roman" w:hAnsi="Times New Roman" w:eastAsia="宋体" w:cs="Times New Roman"/>
                      <w:bCs/>
                      <w:sz w:val="18"/>
                      <w:szCs w:val="18"/>
                    </w:rPr>
                    <w:t>锅炉排放限值</w:t>
                  </w:r>
                  <w:r>
                    <w:rPr>
                      <w:rFonts w:hint="eastAsia" w:ascii="Times New Roman" w:hAnsi="Times New Roman" w:eastAsia="宋体" w:cs="Times New Roman"/>
                      <w:bCs/>
                      <w:sz w:val="18"/>
                      <w:szCs w:val="18"/>
                    </w:rPr>
                    <w:t>，</w:t>
                  </w: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r>
                    <w:rPr>
                      <w:rFonts w:hint="eastAsia" w:ascii="Times New Roman" w:hAnsi="Times New Roman" w:eastAsia="宋体" w:cs="Times New Roman"/>
                      <w:bCs/>
                      <w:sz w:val="18"/>
                      <w:szCs w:val="18"/>
                    </w:rPr>
                    <w:t>、</w:t>
                  </w: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r>
                    <w:rPr>
                      <w:rFonts w:hint="eastAsia" w:ascii="Times New Roman" w:hAnsi="Times New Roman" w:cs="Times New Roman"/>
                      <w:sz w:val="18"/>
                      <w:szCs w:val="18"/>
                    </w:rPr>
                    <w:t>执行</w:t>
                  </w:r>
                  <w:r>
                    <w:rPr>
                      <w:rFonts w:hint="eastAsia" w:ascii="Times New Roman" w:hAnsi="Times New Roman" w:eastAsia="宋体" w:cs="Times New Roman"/>
                      <w:bCs/>
                      <w:sz w:val="18"/>
                      <w:szCs w:val="18"/>
                    </w:rPr>
                    <w:t>《恶臭污染物排放标准》(GB14554-93）表2中相应标准</w:t>
                  </w:r>
                </w:p>
              </w:tc>
            </w:tr>
            <w:tr w14:paraId="5290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74E049B6">
                  <w:pPr>
                    <w:adjustRightInd w:val="0"/>
                    <w:jc w:val="center"/>
                    <w:rPr>
                      <w:rFonts w:ascii="Times New Roman" w:hAnsi="Times New Roman" w:eastAsia="宋体" w:cs="Times New Roman"/>
                      <w:bCs/>
                      <w:sz w:val="18"/>
                      <w:szCs w:val="18"/>
                    </w:rPr>
                  </w:pPr>
                </w:p>
              </w:tc>
              <w:tc>
                <w:tcPr>
                  <w:tcW w:w="1098" w:type="dxa"/>
                  <w:vMerge w:val="continue"/>
                  <w:vAlign w:val="center"/>
                </w:tcPr>
                <w:p w14:paraId="67A44254">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7C5DA090">
                  <w:pPr>
                    <w:adjustRightInd w:val="0"/>
                    <w:jc w:val="center"/>
                    <w:rPr>
                      <w:rFonts w:ascii="Times New Roman" w:hAnsi="Times New Roman" w:cs="Times New Roman"/>
                      <w:sz w:val="18"/>
                      <w:szCs w:val="18"/>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678" w:type="dxa"/>
                  <w:vMerge w:val="continue"/>
                  <w:vAlign w:val="center"/>
                </w:tcPr>
                <w:p w14:paraId="12FEAC22">
                  <w:pPr>
                    <w:adjustRightInd w:val="0"/>
                    <w:jc w:val="center"/>
                    <w:rPr>
                      <w:rFonts w:ascii="Times New Roman" w:hAnsi="Times New Roman" w:eastAsia="宋体" w:cs="Times New Roman"/>
                      <w:bCs/>
                      <w:sz w:val="18"/>
                      <w:szCs w:val="18"/>
                    </w:rPr>
                  </w:pPr>
                </w:p>
              </w:tc>
              <w:tc>
                <w:tcPr>
                  <w:tcW w:w="678" w:type="dxa"/>
                  <w:vMerge w:val="continue"/>
                  <w:vAlign w:val="center"/>
                </w:tcPr>
                <w:p w14:paraId="275F7255">
                  <w:pPr>
                    <w:adjustRightInd w:val="0"/>
                    <w:jc w:val="center"/>
                    <w:rPr>
                      <w:rFonts w:ascii="Times New Roman" w:hAnsi="Times New Roman" w:eastAsia="宋体" w:cs="Times New Roman"/>
                      <w:bCs/>
                      <w:sz w:val="18"/>
                      <w:szCs w:val="18"/>
                    </w:rPr>
                  </w:pPr>
                </w:p>
              </w:tc>
              <w:tc>
                <w:tcPr>
                  <w:tcW w:w="690" w:type="dxa"/>
                  <w:vMerge w:val="continue"/>
                  <w:vAlign w:val="center"/>
                </w:tcPr>
                <w:p w14:paraId="1FC9119A">
                  <w:pPr>
                    <w:adjustRightInd w:val="0"/>
                    <w:jc w:val="center"/>
                    <w:rPr>
                      <w:rFonts w:ascii="Times New Roman" w:hAnsi="Times New Roman" w:eastAsia="宋体" w:cs="Times New Roman"/>
                      <w:bCs/>
                      <w:sz w:val="18"/>
                      <w:szCs w:val="18"/>
                    </w:rPr>
                  </w:pPr>
                </w:p>
              </w:tc>
              <w:tc>
                <w:tcPr>
                  <w:tcW w:w="667" w:type="dxa"/>
                  <w:vMerge w:val="continue"/>
                  <w:vAlign w:val="center"/>
                </w:tcPr>
                <w:p w14:paraId="38898275">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5B7010A2">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7A2F9B67">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21EC64B1">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735B6557">
                  <w:pPr>
                    <w:adjustRightInd w:val="0"/>
                    <w:jc w:val="center"/>
                    <w:rPr>
                      <w:rFonts w:ascii="Times New Roman" w:hAnsi="Times New Roman" w:eastAsia="宋体" w:cs="Times New Roman"/>
                      <w:bCs/>
                      <w:sz w:val="18"/>
                      <w:szCs w:val="18"/>
                    </w:rPr>
                  </w:pPr>
                </w:p>
              </w:tc>
              <w:tc>
                <w:tcPr>
                  <w:tcW w:w="829" w:type="dxa"/>
                  <w:vAlign w:val="center"/>
                </w:tcPr>
                <w:p w14:paraId="79C45F1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3</w:t>
                  </w:r>
                  <w:r>
                    <w:rPr>
                      <w:rFonts w:ascii="Times New Roman" w:hAnsi="Times New Roman" w:eastAsia="宋体" w:cs="Times New Roman"/>
                      <w:bCs/>
                      <w:sz w:val="18"/>
                      <w:szCs w:val="18"/>
                    </w:rPr>
                    <w:t>00</w:t>
                  </w:r>
                </w:p>
              </w:tc>
              <w:tc>
                <w:tcPr>
                  <w:tcW w:w="714" w:type="dxa"/>
                  <w:vAlign w:val="center"/>
                </w:tcPr>
                <w:p w14:paraId="3E563DA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594" w:type="dxa"/>
                  <w:vMerge w:val="continue"/>
                  <w:vAlign w:val="center"/>
                </w:tcPr>
                <w:p w14:paraId="0E922EE0">
                  <w:pPr>
                    <w:adjustRightInd w:val="0"/>
                    <w:jc w:val="center"/>
                    <w:rPr>
                      <w:rFonts w:ascii="Times New Roman" w:hAnsi="Times New Roman" w:eastAsia="宋体" w:cs="Times New Roman"/>
                      <w:sz w:val="18"/>
                      <w:szCs w:val="18"/>
                      <w:lang w:bidi="ar"/>
                    </w:rPr>
                  </w:pPr>
                </w:p>
              </w:tc>
            </w:tr>
            <w:tr w14:paraId="220D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24D12269">
                  <w:pPr>
                    <w:adjustRightInd w:val="0"/>
                    <w:jc w:val="center"/>
                    <w:rPr>
                      <w:rFonts w:ascii="Times New Roman" w:hAnsi="Times New Roman" w:eastAsia="宋体" w:cs="Times New Roman"/>
                      <w:bCs/>
                      <w:sz w:val="18"/>
                      <w:szCs w:val="18"/>
                    </w:rPr>
                  </w:pPr>
                </w:p>
              </w:tc>
              <w:tc>
                <w:tcPr>
                  <w:tcW w:w="1098" w:type="dxa"/>
                  <w:vMerge w:val="continue"/>
                  <w:vAlign w:val="center"/>
                </w:tcPr>
                <w:p w14:paraId="455BF63A">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5135D0AB">
                  <w:pPr>
                    <w:adjustRightInd w:val="0"/>
                    <w:jc w:val="center"/>
                    <w:rPr>
                      <w:rFonts w:ascii="Times New Roman" w:hAnsi="Times New Roman" w:cs="Times New Roman"/>
                      <w:sz w:val="18"/>
                      <w:szCs w:val="18"/>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678" w:type="dxa"/>
                  <w:vMerge w:val="continue"/>
                  <w:vAlign w:val="center"/>
                </w:tcPr>
                <w:p w14:paraId="3BCE2781">
                  <w:pPr>
                    <w:adjustRightInd w:val="0"/>
                    <w:jc w:val="center"/>
                    <w:rPr>
                      <w:rFonts w:ascii="Times New Roman" w:hAnsi="Times New Roman" w:eastAsia="宋体" w:cs="Times New Roman"/>
                      <w:bCs/>
                      <w:sz w:val="18"/>
                      <w:szCs w:val="18"/>
                    </w:rPr>
                  </w:pPr>
                </w:p>
              </w:tc>
              <w:tc>
                <w:tcPr>
                  <w:tcW w:w="678" w:type="dxa"/>
                  <w:vMerge w:val="continue"/>
                  <w:vAlign w:val="center"/>
                </w:tcPr>
                <w:p w14:paraId="58CF1480">
                  <w:pPr>
                    <w:adjustRightInd w:val="0"/>
                    <w:jc w:val="center"/>
                    <w:rPr>
                      <w:rFonts w:ascii="Times New Roman" w:hAnsi="Times New Roman" w:eastAsia="宋体" w:cs="Times New Roman"/>
                      <w:bCs/>
                      <w:sz w:val="18"/>
                      <w:szCs w:val="18"/>
                    </w:rPr>
                  </w:pPr>
                </w:p>
              </w:tc>
              <w:tc>
                <w:tcPr>
                  <w:tcW w:w="690" w:type="dxa"/>
                  <w:vMerge w:val="continue"/>
                  <w:vAlign w:val="center"/>
                </w:tcPr>
                <w:p w14:paraId="573CB9FB">
                  <w:pPr>
                    <w:adjustRightInd w:val="0"/>
                    <w:jc w:val="center"/>
                    <w:rPr>
                      <w:rFonts w:ascii="Times New Roman" w:hAnsi="Times New Roman" w:eastAsia="宋体" w:cs="Times New Roman"/>
                      <w:bCs/>
                      <w:sz w:val="18"/>
                      <w:szCs w:val="18"/>
                    </w:rPr>
                  </w:pPr>
                </w:p>
              </w:tc>
              <w:tc>
                <w:tcPr>
                  <w:tcW w:w="667" w:type="dxa"/>
                  <w:vMerge w:val="continue"/>
                  <w:vAlign w:val="center"/>
                </w:tcPr>
                <w:p w14:paraId="54042E63">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0CCBFBC2">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453617AE">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1F4D1BE5">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7B1590C8">
                  <w:pPr>
                    <w:adjustRightInd w:val="0"/>
                    <w:jc w:val="center"/>
                    <w:rPr>
                      <w:rFonts w:ascii="Times New Roman" w:hAnsi="Times New Roman" w:eastAsia="宋体" w:cs="Times New Roman"/>
                      <w:bCs/>
                      <w:sz w:val="18"/>
                      <w:szCs w:val="18"/>
                    </w:rPr>
                  </w:pPr>
                </w:p>
              </w:tc>
              <w:tc>
                <w:tcPr>
                  <w:tcW w:w="829" w:type="dxa"/>
                  <w:vAlign w:val="center"/>
                </w:tcPr>
                <w:p w14:paraId="5A416C3C">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3</w:t>
                  </w:r>
                  <w:r>
                    <w:rPr>
                      <w:rFonts w:ascii="Times New Roman" w:hAnsi="Times New Roman" w:eastAsia="宋体" w:cs="Times New Roman"/>
                      <w:bCs/>
                      <w:sz w:val="18"/>
                      <w:szCs w:val="18"/>
                    </w:rPr>
                    <w:t>00</w:t>
                  </w:r>
                </w:p>
              </w:tc>
              <w:tc>
                <w:tcPr>
                  <w:tcW w:w="714" w:type="dxa"/>
                  <w:vAlign w:val="center"/>
                </w:tcPr>
                <w:p w14:paraId="43FC34DE">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1594" w:type="dxa"/>
                  <w:vMerge w:val="continue"/>
                  <w:vAlign w:val="center"/>
                </w:tcPr>
                <w:p w14:paraId="51625D0A">
                  <w:pPr>
                    <w:adjustRightInd w:val="0"/>
                    <w:jc w:val="center"/>
                    <w:rPr>
                      <w:rFonts w:ascii="Times New Roman" w:hAnsi="Times New Roman" w:eastAsia="宋体" w:cs="Times New Roman"/>
                      <w:sz w:val="18"/>
                      <w:szCs w:val="18"/>
                      <w:lang w:bidi="ar"/>
                    </w:rPr>
                  </w:pPr>
                </w:p>
              </w:tc>
            </w:tr>
            <w:tr w14:paraId="4154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11021758">
                  <w:pPr>
                    <w:adjustRightInd w:val="0"/>
                    <w:jc w:val="center"/>
                    <w:rPr>
                      <w:rFonts w:ascii="Times New Roman" w:hAnsi="Times New Roman" w:eastAsia="宋体" w:cs="Times New Roman"/>
                      <w:bCs/>
                      <w:sz w:val="18"/>
                      <w:szCs w:val="18"/>
                    </w:rPr>
                  </w:pPr>
                </w:p>
              </w:tc>
              <w:tc>
                <w:tcPr>
                  <w:tcW w:w="1098" w:type="dxa"/>
                  <w:vMerge w:val="continue"/>
                  <w:vAlign w:val="center"/>
                </w:tcPr>
                <w:p w14:paraId="4B3CB518">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5BDFFF23">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678" w:type="dxa"/>
                  <w:vMerge w:val="continue"/>
                  <w:vAlign w:val="center"/>
                </w:tcPr>
                <w:p w14:paraId="26B023CC">
                  <w:pPr>
                    <w:adjustRightInd w:val="0"/>
                    <w:jc w:val="center"/>
                    <w:rPr>
                      <w:rFonts w:ascii="Times New Roman" w:hAnsi="Times New Roman" w:eastAsia="宋体" w:cs="Times New Roman"/>
                      <w:bCs/>
                      <w:sz w:val="18"/>
                      <w:szCs w:val="18"/>
                    </w:rPr>
                  </w:pPr>
                </w:p>
              </w:tc>
              <w:tc>
                <w:tcPr>
                  <w:tcW w:w="678" w:type="dxa"/>
                  <w:vMerge w:val="continue"/>
                  <w:vAlign w:val="center"/>
                </w:tcPr>
                <w:p w14:paraId="51B4A68B">
                  <w:pPr>
                    <w:adjustRightInd w:val="0"/>
                    <w:jc w:val="center"/>
                    <w:rPr>
                      <w:rFonts w:ascii="Times New Roman" w:hAnsi="Times New Roman" w:eastAsia="宋体" w:cs="Times New Roman"/>
                      <w:bCs/>
                      <w:sz w:val="18"/>
                      <w:szCs w:val="18"/>
                    </w:rPr>
                  </w:pPr>
                </w:p>
              </w:tc>
              <w:tc>
                <w:tcPr>
                  <w:tcW w:w="690" w:type="dxa"/>
                  <w:vMerge w:val="continue"/>
                  <w:vAlign w:val="center"/>
                </w:tcPr>
                <w:p w14:paraId="40E1D886">
                  <w:pPr>
                    <w:adjustRightInd w:val="0"/>
                    <w:jc w:val="center"/>
                    <w:rPr>
                      <w:rFonts w:ascii="Times New Roman" w:hAnsi="Times New Roman" w:eastAsia="宋体" w:cs="Times New Roman"/>
                      <w:bCs/>
                      <w:sz w:val="18"/>
                      <w:szCs w:val="18"/>
                    </w:rPr>
                  </w:pPr>
                </w:p>
              </w:tc>
              <w:tc>
                <w:tcPr>
                  <w:tcW w:w="667" w:type="dxa"/>
                  <w:vMerge w:val="continue"/>
                  <w:vAlign w:val="center"/>
                </w:tcPr>
                <w:p w14:paraId="4C01CA0C">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120213E6">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6B7D9CC5">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728B4C78">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2B3408C6">
                  <w:pPr>
                    <w:adjustRightInd w:val="0"/>
                    <w:jc w:val="center"/>
                    <w:rPr>
                      <w:rFonts w:ascii="Times New Roman" w:hAnsi="Times New Roman" w:eastAsia="宋体" w:cs="Times New Roman"/>
                      <w:bCs/>
                      <w:sz w:val="18"/>
                      <w:szCs w:val="18"/>
                    </w:rPr>
                  </w:pPr>
                </w:p>
              </w:tc>
              <w:tc>
                <w:tcPr>
                  <w:tcW w:w="829" w:type="dxa"/>
                  <w:vAlign w:val="center"/>
                </w:tcPr>
                <w:p w14:paraId="518EB1A2">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p>
              </w:tc>
              <w:tc>
                <w:tcPr>
                  <w:tcW w:w="714" w:type="dxa"/>
                  <w:vAlign w:val="center"/>
                </w:tcPr>
                <w:p w14:paraId="2EA831AA">
                  <w:pPr>
                    <w:adjustRightInd w:val="0"/>
                    <w:jc w:val="center"/>
                    <w:rPr>
                      <w:rFonts w:ascii="Times New Roman" w:hAnsi="Times New Roman" w:eastAsia="宋体" w:cs="Times New Roman"/>
                      <w:bCs/>
                      <w:sz w:val="18"/>
                      <w:szCs w:val="18"/>
                    </w:rPr>
                  </w:pPr>
                  <w:r>
                    <w:rPr>
                      <w:rFonts w:hint="eastAsia" w:ascii="Times New Roman" w:hAnsi="Times New Roman" w:cs="Times New Roman"/>
                      <w:sz w:val="18"/>
                      <w:szCs w:val="18"/>
                    </w:rPr>
                    <w:t>2</w:t>
                  </w:r>
                  <w:r>
                    <w:rPr>
                      <w:rFonts w:ascii="Times New Roman" w:hAnsi="Times New Roman" w:cs="Times New Roman"/>
                      <w:sz w:val="18"/>
                      <w:szCs w:val="18"/>
                    </w:rPr>
                    <w:t>7</w:t>
                  </w:r>
                </w:p>
              </w:tc>
              <w:tc>
                <w:tcPr>
                  <w:tcW w:w="1594" w:type="dxa"/>
                  <w:vMerge w:val="continue"/>
                  <w:vAlign w:val="center"/>
                </w:tcPr>
                <w:p w14:paraId="64AEE46A">
                  <w:pPr>
                    <w:adjustRightInd w:val="0"/>
                    <w:jc w:val="center"/>
                    <w:rPr>
                      <w:rFonts w:ascii="Times New Roman" w:hAnsi="Times New Roman" w:eastAsia="宋体" w:cs="Times New Roman"/>
                      <w:sz w:val="18"/>
                      <w:szCs w:val="18"/>
                      <w:lang w:bidi="ar"/>
                    </w:rPr>
                  </w:pPr>
                </w:p>
              </w:tc>
            </w:tr>
            <w:tr w14:paraId="513B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1346B0B6">
                  <w:pPr>
                    <w:adjustRightInd w:val="0"/>
                    <w:jc w:val="center"/>
                    <w:rPr>
                      <w:rFonts w:ascii="Times New Roman" w:hAnsi="Times New Roman" w:eastAsia="宋体" w:cs="Times New Roman"/>
                      <w:bCs/>
                      <w:sz w:val="18"/>
                      <w:szCs w:val="18"/>
                    </w:rPr>
                  </w:pPr>
                </w:p>
              </w:tc>
              <w:tc>
                <w:tcPr>
                  <w:tcW w:w="1098" w:type="dxa"/>
                  <w:vMerge w:val="continue"/>
                  <w:vAlign w:val="center"/>
                </w:tcPr>
                <w:p w14:paraId="7C4D4229">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61F87DB7">
                  <w:pPr>
                    <w:adjustRightInd w:val="0"/>
                    <w:jc w:val="center"/>
                    <w:rPr>
                      <w:rFonts w:ascii="Times New Roman" w:hAnsi="Times New Roman"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678" w:type="dxa"/>
                  <w:vMerge w:val="continue"/>
                  <w:vAlign w:val="center"/>
                </w:tcPr>
                <w:p w14:paraId="774C72B7">
                  <w:pPr>
                    <w:adjustRightInd w:val="0"/>
                    <w:jc w:val="center"/>
                    <w:rPr>
                      <w:rFonts w:ascii="Times New Roman" w:hAnsi="Times New Roman" w:eastAsia="宋体" w:cs="Times New Roman"/>
                      <w:bCs/>
                      <w:sz w:val="18"/>
                      <w:szCs w:val="18"/>
                    </w:rPr>
                  </w:pPr>
                </w:p>
              </w:tc>
              <w:tc>
                <w:tcPr>
                  <w:tcW w:w="678" w:type="dxa"/>
                  <w:vMerge w:val="continue"/>
                  <w:vAlign w:val="center"/>
                </w:tcPr>
                <w:p w14:paraId="352DFB60">
                  <w:pPr>
                    <w:adjustRightInd w:val="0"/>
                    <w:jc w:val="center"/>
                    <w:rPr>
                      <w:rFonts w:ascii="Times New Roman" w:hAnsi="Times New Roman" w:eastAsia="宋体" w:cs="Times New Roman"/>
                      <w:bCs/>
                      <w:sz w:val="18"/>
                      <w:szCs w:val="18"/>
                    </w:rPr>
                  </w:pPr>
                </w:p>
              </w:tc>
              <w:tc>
                <w:tcPr>
                  <w:tcW w:w="690" w:type="dxa"/>
                  <w:vMerge w:val="continue"/>
                  <w:vAlign w:val="center"/>
                </w:tcPr>
                <w:p w14:paraId="0D643463">
                  <w:pPr>
                    <w:adjustRightInd w:val="0"/>
                    <w:jc w:val="center"/>
                    <w:rPr>
                      <w:rFonts w:ascii="Times New Roman" w:hAnsi="Times New Roman" w:eastAsia="宋体" w:cs="Times New Roman"/>
                      <w:bCs/>
                      <w:sz w:val="18"/>
                      <w:szCs w:val="18"/>
                    </w:rPr>
                  </w:pPr>
                </w:p>
              </w:tc>
              <w:tc>
                <w:tcPr>
                  <w:tcW w:w="667" w:type="dxa"/>
                  <w:vMerge w:val="continue"/>
                  <w:vAlign w:val="center"/>
                </w:tcPr>
                <w:p w14:paraId="32311826">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1DBE7EC7">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2CF39FD3">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3A4E4B6A">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4A90D486">
                  <w:pPr>
                    <w:adjustRightInd w:val="0"/>
                    <w:jc w:val="center"/>
                    <w:rPr>
                      <w:rFonts w:ascii="Times New Roman" w:hAnsi="Times New Roman" w:eastAsia="宋体" w:cs="Times New Roman"/>
                      <w:bCs/>
                      <w:sz w:val="18"/>
                      <w:szCs w:val="18"/>
                    </w:rPr>
                  </w:pPr>
                </w:p>
              </w:tc>
              <w:tc>
                <w:tcPr>
                  <w:tcW w:w="829" w:type="dxa"/>
                  <w:vAlign w:val="center"/>
                </w:tcPr>
                <w:p w14:paraId="43001DC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714" w:type="dxa"/>
                  <w:vAlign w:val="center"/>
                </w:tcPr>
                <w:p w14:paraId="0B084BFC">
                  <w:pPr>
                    <w:adjustRightInd w:val="0"/>
                    <w:jc w:val="center"/>
                    <w:rPr>
                      <w:rFonts w:ascii="Times New Roman" w:hAnsi="Times New Roman" w:cs="Times New Roman"/>
                      <w:sz w:val="18"/>
                      <w:szCs w:val="18"/>
                    </w:rPr>
                  </w:pPr>
                  <w:r>
                    <w:rPr>
                      <w:rFonts w:hint="eastAsia" w:ascii="Times New Roman" w:hAnsi="Times New Roman" w:eastAsia="宋体" w:cs="Times New Roman"/>
                      <w:bCs/>
                      <w:sz w:val="18"/>
                      <w:szCs w:val="18"/>
                    </w:rPr>
                    <w:t>1</w:t>
                  </w:r>
                  <w:r>
                    <w:rPr>
                      <w:rFonts w:ascii="Times New Roman" w:hAnsi="Times New Roman" w:eastAsia="宋体" w:cs="Times New Roman"/>
                      <w:bCs/>
                      <w:sz w:val="18"/>
                      <w:szCs w:val="18"/>
                    </w:rPr>
                    <w:t>.8</w:t>
                  </w:r>
                </w:p>
              </w:tc>
              <w:tc>
                <w:tcPr>
                  <w:tcW w:w="1594" w:type="dxa"/>
                  <w:vMerge w:val="continue"/>
                  <w:vAlign w:val="center"/>
                </w:tcPr>
                <w:p w14:paraId="40E03B63">
                  <w:pPr>
                    <w:adjustRightInd w:val="0"/>
                    <w:jc w:val="center"/>
                    <w:rPr>
                      <w:rFonts w:ascii="Times New Roman" w:hAnsi="Times New Roman" w:eastAsia="宋体" w:cs="Times New Roman"/>
                      <w:sz w:val="18"/>
                      <w:szCs w:val="18"/>
                      <w:lang w:bidi="ar"/>
                    </w:rPr>
                  </w:pPr>
                </w:p>
              </w:tc>
            </w:tr>
            <w:tr w14:paraId="6B5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Merge w:val="restart"/>
                  <w:vAlign w:val="center"/>
                </w:tcPr>
                <w:p w14:paraId="47B83DC5">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车间臭气处理</w:t>
                  </w:r>
                </w:p>
              </w:tc>
              <w:tc>
                <w:tcPr>
                  <w:tcW w:w="1098" w:type="dxa"/>
                  <w:vMerge w:val="restart"/>
                  <w:vAlign w:val="center"/>
                </w:tcPr>
                <w:p w14:paraId="4A03882E">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活性炭吸附排气筒</w:t>
                  </w:r>
                </w:p>
              </w:tc>
              <w:tc>
                <w:tcPr>
                  <w:tcW w:w="1100" w:type="dxa"/>
                  <w:vAlign w:val="center"/>
                </w:tcPr>
                <w:p w14:paraId="1ECE92E4">
                  <w:pPr>
                    <w:adjustRightInd w:val="0"/>
                    <w:jc w:val="center"/>
                    <w:rPr>
                      <w:rFonts w:ascii="Times New Roman" w:hAnsi="Times New Roman"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678" w:type="dxa"/>
                  <w:vMerge w:val="restart"/>
                  <w:vAlign w:val="center"/>
                </w:tcPr>
                <w:p w14:paraId="4E5B8739">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w:t>
                  </w:r>
                  <w:r>
                    <w:rPr>
                      <w:rFonts w:ascii="Times New Roman" w:hAnsi="Times New Roman" w:eastAsia="宋体" w:cs="Times New Roman"/>
                      <w:bCs/>
                      <w:sz w:val="18"/>
                      <w:szCs w:val="18"/>
                    </w:rPr>
                    <w:t>5</w:t>
                  </w:r>
                </w:p>
              </w:tc>
              <w:tc>
                <w:tcPr>
                  <w:tcW w:w="678" w:type="dxa"/>
                  <w:vMerge w:val="restart"/>
                  <w:vAlign w:val="center"/>
                </w:tcPr>
                <w:p w14:paraId="7AB5EA72">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0</w:t>
                  </w:r>
                  <w:r>
                    <w:rPr>
                      <w:rFonts w:ascii="Times New Roman" w:hAnsi="Times New Roman" w:eastAsia="宋体" w:cs="Times New Roman"/>
                      <w:bCs/>
                      <w:sz w:val="18"/>
                      <w:szCs w:val="18"/>
                    </w:rPr>
                    <w:t>.4</w:t>
                  </w:r>
                </w:p>
              </w:tc>
              <w:tc>
                <w:tcPr>
                  <w:tcW w:w="690" w:type="dxa"/>
                  <w:vMerge w:val="restart"/>
                  <w:vAlign w:val="center"/>
                </w:tcPr>
                <w:p w14:paraId="7ABD7133">
                  <w:pPr>
                    <w:adjustRightInd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2</w:t>
                  </w:r>
                  <w:r>
                    <w:rPr>
                      <w:rFonts w:ascii="Times New Roman" w:hAnsi="Times New Roman" w:eastAsia="宋体" w:cs="Times New Roman"/>
                      <w:bCs/>
                      <w:sz w:val="18"/>
                      <w:szCs w:val="18"/>
                    </w:rPr>
                    <w:t>0</w:t>
                  </w:r>
                </w:p>
              </w:tc>
              <w:tc>
                <w:tcPr>
                  <w:tcW w:w="667" w:type="dxa"/>
                  <w:vMerge w:val="restart"/>
                  <w:vAlign w:val="center"/>
                </w:tcPr>
                <w:p w14:paraId="246031EE">
                  <w:pPr>
                    <w:widowControl/>
                    <w:jc w:val="center"/>
                    <w:textAlignment w:val="center"/>
                    <w:rPr>
                      <w:rFonts w:ascii="Times New Roman" w:hAnsi="Times New Roman" w:eastAsia="宋体" w:cs="Times New Roman"/>
                      <w:bCs/>
                      <w:sz w:val="18"/>
                      <w:szCs w:val="18"/>
                    </w:rPr>
                  </w:pPr>
                  <w:r>
                    <w:rPr>
                      <w:rFonts w:ascii="Times New Roman" w:hAnsi="Times New Roman" w:eastAsia="宋体" w:cs="Times New Roman"/>
                      <w:bCs/>
                      <w:sz w:val="18"/>
                      <w:szCs w:val="18"/>
                    </w:rPr>
                    <w:t>11.06</w:t>
                  </w:r>
                </w:p>
              </w:tc>
              <w:tc>
                <w:tcPr>
                  <w:tcW w:w="900" w:type="dxa"/>
                  <w:vMerge w:val="restart"/>
                  <w:vAlign w:val="center"/>
                </w:tcPr>
                <w:p w14:paraId="2EB3AF25">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DA002</w:t>
                  </w:r>
                </w:p>
              </w:tc>
              <w:tc>
                <w:tcPr>
                  <w:tcW w:w="896" w:type="dxa"/>
                  <w:vMerge w:val="restart"/>
                  <w:vAlign w:val="center"/>
                </w:tcPr>
                <w:p w14:paraId="54CB705C">
                  <w:pPr>
                    <w:widowControl/>
                    <w:jc w:val="center"/>
                    <w:textAlignment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车间臭气处理排气筒</w:t>
                  </w:r>
                </w:p>
              </w:tc>
              <w:tc>
                <w:tcPr>
                  <w:tcW w:w="1600" w:type="dxa"/>
                  <w:vMerge w:val="restart"/>
                  <w:vAlign w:val="center"/>
                </w:tcPr>
                <w:p w14:paraId="7AF315F5">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E98°23′57.84″</w:t>
                  </w:r>
                </w:p>
                <w:p w14:paraId="6A2B7FDE">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N24°22′33.99″</w:t>
                  </w:r>
                </w:p>
              </w:tc>
              <w:tc>
                <w:tcPr>
                  <w:tcW w:w="800" w:type="dxa"/>
                  <w:vMerge w:val="restart"/>
                  <w:vAlign w:val="center"/>
                </w:tcPr>
                <w:p w14:paraId="4B3A00B5">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一般</w:t>
                  </w:r>
                </w:p>
                <w:p w14:paraId="5DBEDF25">
                  <w:pPr>
                    <w:adjustRightIn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排放口</w:t>
                  </w:r>
                </w:p>
              </w:tc>
              <w:tc>
                <w:tcPr>
                  <w:tcW w:w="829" w:type="dxa"/>
                  <w:vAlign w:val="center"/>
                </w:tcPr>
                <w:p w14:paraId="773F5B5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714" w:type="dxa"/>
                  <w:vAlign w:val="center"/>
                </w:tcPr>
                <w:p w14:paraId="2B8C7DF5">
                  <w:pPr>
                    <w:adjustRightInd w:val="0"/>
                    <w:jc w:val="center"/>
                    <w:rPr>
                      <w:rFonts w:ascii="Times New Roman" w:hAnsi="Times New Roman" w:cs="Times New Roman"/>
                      <w:sz w:val="18"/>
                      <w:szCs w:val="18"/>
                    </w:rPr>
                  </w:pPr>
                  <w:r>
                    <w:rPr>
                      <w:rFonts w:ascii="Times New Roman" w:hAnsi="Times New Roman" w:cs="Times New Roman"/>
                      <w:sz w:val="18"/>
                      <w:szCs w:val="18"/>
                    </w:rPr>
                    <w:t>4.9</w:t>
                  </w:r>
                </w:p>
              </w:tc>
              <w:tc>
                <w:tcPr>
                  <w:tcW w:w="1594" w:type="dxa"/>
                  <w:vMerge w:val="restart"/>
                  <w:vAlign w:val="center"/>
                </w:tcPr>
                <w:p w14:paraId="65F5BB53">
                  <w:pPr>
                    <w:adjustRightInd w:val="0"/>
                    <w:snapToGrid w:val="0"/>
                    <w:jc w:val="center"/>
                    <w:rPr>
                      <w:rFonts w:ascii="Times New Roman" w:hAnsi="Times New Roman" w:eastAsia="宋体" w:cs="Times New Roman"/>
                      <w:sz w:val="18"/>
                      <w:szCs w:val="18"/>
                      <w:lang w:bidi="ar"/>
                    </w:rPr>
                  </w:pPr>
                  <w:r>
                    <w:rPr>
                      <w:rFonts w:hint="eastAsia" w:ascii="Times New Roman" w:hAnsi="Times New Roman" w:eastAsia="宋体" w:cs="Times New Roman"/>
                      <w:bCs/>
                      <w:sz w:val="18"/>
                      <w:szCs w:val="18"/>
                    </w:rPr>
                    <w:t>执行《恶臭污染物排放标准》(GB14554-93）表2中相应标准</w:t>
                  </w:r>
                </w:p>
              </w:tc>
            </w:tr>
            <w:tr w14:paraId="03BF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vAlign w:val="center"/>
                </w:tcPr>
                <w:p w14:paraId="0FD3137A">
                  <w:pPr>
                    <w:adjustRightInd w:val="0"/>
                    <w:jc w:val="center"/>
                    <w:rPr>
                      <w:rFonts w:ascii="Times New Roman" w:hAnsi="Times New Roman" w:eastAsia="宋体" w:cs="Times New Roman"/>
                      <w:bCs/>
                      <w:sz w:val="18"/>
                      <w:szCs w:val="18"/>
                    </w:rPr>
                  </w:pPr>
                </w:p>
              </w:tc>
              <w:tc>
                <w:tcPr>
                  <w:tcW w:w="1098" w:type="dxa"/>
                  <w:vMerge w:val="continue"/>
                  <w:vAlign w:val="center"/>
                </w:tcPr>
                <w:p w14:paraId="6D9A0266">
                  <w:pPr>
                    <w:widowControl/>
                    <w:jc w:val="center"/>
                    <w:textAlignment w:val="center"/>
                    <w:rPr>
                      <w:rFonts w:ascii="Times New Roman" w:hAnsi="Times New Roman" w:eastAsia="宋体" w:cs="Times New Roman"/>
                      <w:kern w:val="0"/>
                      <w:sz w:val="18"/>
                      <w:szCs w:val="18"/>
                      <w:lang w:bidi="ar"/>
                    </w:rPr>
                  </w:pPr>
                </w:p>
              </w:tc>
              <w:tc>
                <w:tcPr>
                  <w:tcW w:w="1100" w:type="dxa"/>
                  <w:vAlign w:val="center"/>
                </w:tcPr>
                <w:p w14:paraId="0230B36B">
                  <w:pPr>
                    <w:adjustRightInd w:val="0"/>
                    <w:jc w:val="center"/>
                    <w:rPr>
                      <w:rFonts w:ascii="Times New Roman" w:hAnsi="Times New Roman"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678" w:type="dxa"/>
                  <w:vMerge w:val="continue"/>
                  <w:vAlign w:val="center"/>
                </w:tcPr>
                <w:p w14:paraId="3FB34230">
                  <w:pPr>
                    <w:adjustRightInd w:val="0"/>
                    <w:jc w:val="center"/>
                    <w:rPr>
                      <w:rFonts w:ascii="Times New Roman" w:hAnsi="Times New Roman" w:eastAsia="宋体" w:cs="Times New Roman"/>
                      <w:bCs/>
                      <w:sz w:val="18"/>
                      <w:szCs w:val="18"/>
                    </w:rPr>
                  </w:pPr>
                </w:p>
              </w:tc>
              <w:tc>
                <w:tcPr>
                  <w:tcW w:w="678" w:type="dxa"/>
                  <w:vMerge w:val="continue"/>
                  <w:vAlign w:val="center"/>
                </w:tcPr>
                <w:p w14:paraId="26928A71">
                  <w:pPr>
                    <w:adjustRightInd w:val="0"/>
                    <w:jc w:val="center"/>
                    <w:rPr>
                      <w:rFonts w:ascii="Times New Roman" w:hAnsi="Times New Roman" w:eastAsia="宋体" w:cs="Times New Roman"/>
                      <w:bCs/>
                      <w:sz w:val="18"/>
                      <w:szCs w:val="18"/>
                    </w:rPr>
                  </w:pPr>
                </w:p>
              </w:tc>
              <w:tc>
                <w:tcPr>
                  <w:tcW w:w="690" w:type="dxa"/>
                  <w:vMerge w:val="continue"/>
                  <w:vAlign w:val="center"/>
                </w:tcPr>
                <w:p w14:paraId="6CC876C2">
                  <w:pPr>
                    <w:adjustRightInd w:val="0"/>
                    <w:jc w:val="center"/>
                    <w:rPr>
                      <w:rFonts w:ascii="Times New Roman" w:hAnsi="Times New Roman" w:eastAsia="宋体" w:cs="Times New Roman"/>
                      <w:bCs/>
                      <w:sz w:val="18"/>
                      <w:szCs w:val="18"/>
                    </w:rPr>
                  </w:pPr>
                </w:p>
              </w:tc>
              <w:tc>
                <w:tcPr>
                  <w:tcW w:w="667" w:type="dxa"/>
                  <w:vMerge w:val="continue"/>
                  <w:vAlign w:val="center"/>
                </w:tcPr>
                <w:p w14:paraId="108A2D03">
                  <w:pPr>
                    <w:widowControl/>
                    <w:jc w:val="center"/>
                    <w:textAlignment w:val="center"/>
                    <w:rPr>
                      <w:rFonts w:ascii="Times New Roman" w:hAnsi="Times New Roman" w:eastAsia="宋体" w:cs="Times New Roman"/>
                      <w:bCs/>
                      <w:sz w:val="18"/>
                      <w:szCs w:val="18"/>
                    </w:rPr>
                  </w:pPr>
                </w:p>
              </w:tc>
              <w:tc>
                <w:tcPr>
                  <w:tcW w:w="900" w:type="dxa"/>
                  <w:vMerge w:val="continue"/>
                  <w:vAlign w:val="center"/>
                </w:tcPr>
                <w:p w14:paraId="10AEEB7D">
                  <w:pPr>
                    <w:widowControl/>
                    <w:jc w:val="center"/>
                    <w:textAlignment w:val="center"/>
                    <w:rPr>
                      <w:rFonts w:ascii="Times New Roman" w:hAnsi="Times New Roman" w:eastAsia="宋体" w:cs="Times New Roman"/>
                      <w:kern w:val="0"/>
                      <w:sz w:val="18"/>
                      <w:szCs w:val="18"/>
                      <w:lang w:bidi="ar"/>
                    </w:rPr>
                  </w:pPr>
                </w:p>
              </w:tc>
              <w:tc>
                <w:tcPr>
                  <w:tcW w:w="896" w:type="dxa"/>
                  <w:vMerge w:val="continue"/>
                  <w:vAlign w:val="center"/>
                </w:tcPr>
                <w:p w14:paraId="626005E0">
                  <w:pPr>
                    <w:widowControl/>
                    <w:jc w:val="center"/>
                    <w:textAlignment w:val="center"/>
                    <w:rPr>
                      <w:rFonts w:ascii="Times New Roman" w:hAnsi="Times New Roman" w:eastAsia="宋体" w:cs="Times New Roman"/>
                      <w:bCs/>
                      <w:sz w:val="18"/>
                      <w:szCs w:val="18"/>
                    </w:rPr>
                  </w:pPr>
                </w:p>
              </w:tc>
              <w:tc>
                <w:tcPr>
                  <w:tcW w:w="1600" w:type="dxa"/>
                  <w:vMerge w:val="continue"/>
                  <w:vAlign w:val="center"/>
                </w:tcPr>
                <w:p w14:paraId="44AC9DDA">
                  <w:pPr>
                    <w:widowControl/>
                    <w:jc w:val="center"/>
                    <w:rPr>
                      <w:rFonts w:ascii="Times New Roman" w:hAnsi="Times New Roman" w:eastAsia="宋体" w:cs="Times New Roman"/>
                      <w:kern w:val="0"/>
                      <w:sz w:val="18"/>
                      <w:szCs w:val="18"/>
                      <w:lang w:bidi="ar"/>
                    </w:rPr>
                  </w:pPr>
                </w:p>
              </w:tc>
              <w:tc>
                <w:tcPr>
                  <w:tcW w:w="800" w:type="dxa"/>
                  <w:vMerge w:val="continue"/>
                  <w:vAlign w:val="center"/>
                </w:tcPr>
                <w:p w14:paraId="2485012E">
                  <w:pPr>
                    <w:adjustRightInd w:val="0"/>
                    <w:jc w:val="center"/>
                    <w:rPr>
                      <w:rFonts w:ascii="Times New Roman" w:hAnsi="Times New Roman" w:eastAsia="宋体" w:cs="Times New Roman"/>
                      <w:bCs/>
                      <w:sz w:val="18"/>
                      <w:szCs w:val="18"/>
                    </w:rPr>
                  </w:pPr>
                </w:p>
              </w:tc>
              <w:tc>
                <w:tcPr>
                  <w:tcW w:w="829" w:type="dxa"/>
                  <w:vAlign w:val="center"/>
                </w:tcPr>
                <w:p w14:paraId="05CB4E7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714" w:type="dxa"/>
                  <w:vAlign w:val="center"/>
                </w:tcPr>
                <w:p w14:paraId="08032E04">
                  <w:pPr>
                    <w:adjustRightInd w:val="0"/>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.33</w:t>
                  </w:r>
                </w:p>
              </w:tc>
              <w:tc>
                <w:tcPr>
                  <w:tcW w:w="1594" w:type="dxa"/>
                  <w:vMerge w:val="continue"/>
                  <w:vAlign w:val="center"/>
                </w:tcPr>
                <w:p w14:paraId="6E4E0BCB">
                  <w:pPr>
                    <w:adjustRightInd w:val="0"/>
                    <w:jc w:val="center"/>
                    <w:rPr>
                      <w:rFonts w:ascii="Times New Roman" w:hAnsi="Times New Roman" w:eastAsia="宋体" w:cs="Times New Roman"/>
                      <w:sz w:val="18"/>
                      <w:szCs w:val="18"/>
                      <w:lang w:bidi="ar"/>
                    </w:rPr>
                  </w:pPr>
                </w:p>
              </w:tc>
            </w:tr>
          </w:tbl>
          <w:p w14:paraId="27B1EBF5">
            <w:pPr>
              <w:pStyle w:val="2"/>
              <w:pBdr>
                <w:bottom w:val="none" w:color="auto" w:sz="0" w:space="0"/>
              </w:pBdr>
            </w:pPr>
          </w:p>
          <w:p w14:paraId="3351A095">
            <w:pPr>
              <w:snapToGrid w:val="0"/>
              <w:jc w:val="center"/>
              <w:rPr>
                <w:rFonts w:ascii="Times New Roman" w:hAnsi="Times New Roman" w:eastAsia="宋体" w:cs="Times New Roman"/>
                <w:b/>
                <w:szCs w:val="21"/>
              </w:rPr>
            </w:pPr>
          </w:p>
          <w:p w14:paraId="4AEBE45D"/>
        </w:tc>
      </w:tr>
    </w:tbl>
    <w:p w14:paraId="2711470E">
      <w:pPr>
        <w:adjustRightInd w:val="0"/>
        <w:snapToGrid w:val="0"/>
        <w:rPr>
          <w:rFonts w:ascii="宋体" w:hAnsi="宋体" w:eastAsia="宋体" w:cs="宋体"/>
          <w:bCs/>
          <w:szCs w:val="21"/>
          <w:lang w:bidi="ar"/>
        </w:rPr>
        <w:sectPr>
          <w:pgSz w:w="16840" w:h="11915" w:orient="landscape"/>
          <w:pgMar w:top="1531" w:right="1702" w:bottom="1531" w:left="1702" w:header="851" w:footer="851" w:gutter="0"/>
          <w:cols w:space="425" w:num="1"/>
          <w:docGrid w:type="lines" w:linePitch="312" w:charSpace="0"/>
        </w:sectPr>
      </w:pPr>
    </w:p>
    <w:tbl>
      <w:tblPr>
        <w:tblStyle w:val="1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368"/>
      </w:tblGrid>
      <w:tr w14:paraId="5A645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2" w:hRule="atLeast"/>
          <w:jc w:val="center"/>
        </w:trPr>
        <w:tc>
          <w:tcPr>
            <w:tcW w:w="540"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14:paraId="761ABA08">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运</w:t>
            </w:r>
          </w:p>
          <w:p w14:paraId="4C24245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营</w:t>
            </w:r>
          </w:p>
          <w:p w14:paraId="76D16A7C">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期</w:t>
            </w:r>
          </w:p>
          <w:p w14:paraId="3C3DBF9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环</w:t>
            </w:r>
          </w:p>
          <w:p w14:paraId="7D08F9AF">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境</w:t>
            </w:r>
          </w:p>
          <w:p w14:paraId="1DA4A26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影</w:t>
            </w:r>
          </w:p>
          <w:p w14:paraId="78D70C0E">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响</w:t>
            </w:r>
          </w:p>
          <w:p w14:paraId="7B19854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和</w:t>
            </w:r>
          </w:p>
          <w:p w14:paraId="4277E457">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保</w:t>
            </w:r>
          </w:p>
          <w:p w14:paraId="33A1DE4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护</w:t>
            </w:r>
          </w:p>
          <w:p w14:paraId="426F16CA">
            <w:pPr>
              <w:adjustRightInd w:val="0"/>
              <w:snapToGrid w:val="0"/>
              <w:jc w:val="center"/>
              <w:rPr>
                <w:rFonts w:ascii="Times New Roman" w:hAnsi="Times New Roman" w:eastAsia="宋体" w:cs="Times New Roman"/>
                <w:bCs/>
                <w:szCs w:val="21"/>
                <w:lang w:bidi="ar"/>
              </w:rPr>
            </w:pPr>
            <w:r>
              <w:rPr>
                <w:rFonts w:ascii="Times New Roman" w:hAnsi="Times New Roman" w:eastAsia="宋体" w:cs="Times New Roman"/>
                <w:bCs/>
                <w:szCs w:val="21"/>
                <w:lang w:bidi="ar"/>
              </w:rPr>
              <w:t>措</w:t>
            </w:r>
          </w:p>
          <w:p w14:paraId="773E537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lang w:bidi="ar"/>
              </w:rPr>
              <w:t>施</w:t>
            </w:r>
          </w:p>
        </w:tc>
        <w:tc>
          <w:tcPr>
            <w:tcW w:w="8368" w:type="dxa"/>
            <w:tcBorders>
              <w:top w:val="single" w:color="auto" w:sz="4" w:space="0"/>
              <w:left w:val="single" w:color="auto" w:sz="4" w:space="0"/>
              <w:bottom w:val="single" w:color="auto" w:sz="8" w:space="0"/>
              <w:right w:val="single" w:color="auto" w:sz="8" w:space="0"/>
            </w:tcBorders>
            <w:shd w:val="clear" w:color="auto" w:fill="auto"/>
            <w:vAlign w:val="center"/>
          </w:tcPr>
          <w:p w14:paraId="194DEC0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废气源强核算</w:t>
            </w:r>
          </w:p>
          <w:p w14:paraId="0CDCB3E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（1）有组织废气</w:t>
            </w:r>
          </w:p>
          <w:p w14:paraId="5D837A77">
            <w:pPr>
              <w:pStyle w:val="10"/>
              <w:spacing w:line="360" w:lineRule="auto"/>
              <w:ind w:left="0" w:right="105" w:rightChars="50" w:firstLine="240" w:firstLineChars="100"/>
              <w:rPr>
                <w:rFonts w:ascii="Times New Roman" w:hAnsi="Times New Roman" w:cs="Times New Roman"/>
              </w:rPr>
            </w:pPr>
            <w:r>
              <w:rPr>
                <w:rFonts w:hint="eastAsia"/>
              </w:rPr>
              <w:t>①</w:t>
            </w:r>
            <w:r>
              <w:rPr>
                <w:rFonts w:hint="eastAsia" w:ascii="Times New Roman" w:hAnsi="Times New Roman" w:cs="Times New Roman"/>
              </w:rPr>
              <w:t>锅炉尾气</w:t>
            </w:r>
          </w:p>
          <w:p w14:paraId="349FE68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锅炉燃烧</w:t>
            </w:r>
            <w:r>
              <w:rPr>
                <w:rFonts w:ascii="Times New Roman" w:hAnsi="Times New Roman" w:cs="Times New Roman"/>
              </w:rPr>
              <w:t>、</w:t>
            </w:r>
            <w:r>
              <w:rPr>
                <w:rFonts w:hint="eastAsia" w:ascii="Times New Roman" w:hAnsi="Times New Roman" w:cs="Times New Roman"/>
              </w:rPr>
              <w:t>焚烧</w:t>
            </w:r>
            <w:r>
              <w:rPr>
                <w:rFonts w:ascii="Times New Roman" w:hAnsi="Times New Roman" w:cs="Times New Roman"/>
              </w:rPr>
              <w:t>过程中产生的废气主要为烟尘、SO</w:t>
            </w:r>
            <w:r>
              <w:rPr>
                <w:rFonts w:ascii="Times New Roman" w:hAnsi="Times New Roman" w:cs="Times New Roman"/>
                <w:vertAlign w:val="subscript"/>
              </w:rPr>
              <w:t>2</w:t>
            </w:r>
            <w:r>
              <w:rPr>
                <w:rFonts w:ascii="Times New Roman" w:hAnsi="Times New Roman" w:cs="Times New Roman"/>
              </w:rPr>
              <w:t>、NO</w:t>
            </w:r>
            <w:r>
              <w:rPr>
                <w:rFonts w:hint="eastAsia" w:ascii="Times New Roman" w:hAnsi="Times New Roman" w:cs="Times New Roman"/>
              </w:rPr>
              <w:t>x、N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p w14:paraId="7B00D2ED">
            <w:pPr>
              <w:spacing w:line="360" w:lineRule="auto"/>
              <w:ind w:firstLine="240" w:firstLineChars="100"/>
              <w:outlineLvl w:val="1"/>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ROMAN</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ascii="Times New Roman" w:hAnsi="Times New Roman" w:cs="Times New Roman"/>
                <w:sz w:val="24"/>
              </w:rPr>
              <w:t>I</w:t>
            </w:r>
            <w:r>
              <w:rPr>
                <w:rFonts w:ascii="Times New Roman" w:hAnsi="Times New Roman" w:cs="Times New Roman"/>
                <w:sz w:val="24"/>
              </w:rPr>
              <w:fldChar w:fldCharType="end"/>
            </w:r>
            <w:r>
              <w:rPr>
                <w:rFonts w:ascii="Times New Roman" w:hAnsi="Times New Roman" w:cs="Times New Roman"/>
                <w:sz w:val="24"/>
              </w:rPr>
              <w:t>.废气量</w:t>
            </w:r>
          </w:p>
          <w:p w14:paraId="3BA05D22">
            <w:pPr>
              <w:spacing w:line="360" w:lineRule="auto"/>
              <w:ind w:firstLine="240" w:firstLineChars="100"/>
              <w:outlineLvl w:val="1"/>
            </w:pPr>
            <w:r>
              <w:rPr>
                <w:rFonts w:ascii="Times New Roman" w:hAnsi="Times New Roman" w:cs="Times New Roman"/>
                <w:sz w:val="24"/>
              </w:rPr>
              <w:t>项目设有</w:t>
            </w:r>
            <w:r>
              <w:rPr>
                <w:rFonts w:hint="eastAsia" w:ascii="Times New Roman" w:hAnsi="Times New Roman" w:cs="Times New Roman"/>
                <w:sz w:val="24"/>
              </w:rPr>
              <w:t>1台</w:t>
            </w:r>
            <w:r>
              <w:rPr>
                <w:rFonts w:ascii="Times New Roman" w:hAnsi="Times New Roman" w:cs="Times New Roman"/>
                <w:sz w:val="24"/>
              </w:rPr>
              <w:t>2</w:t>
            </w:r>
            <w:r>
              <w:rPr>
                <w:rFonts w:hint="eastAsia" w:ascii="Times New Roman" w:hAnsi="Times New Roman" w:cs="Times New Roman"/>
                <w:sz w:val="24"/>
              </w:rPr>
              <w:t>t导热油锅炉</w:t>
            </w:r>
            <w:r>
              <w:rPr>
                <w:rFonts w:ascii="Times New Roman" w:hAnsi="Times New Roman" w:cs="Times New Roman"/>
                <w:sz w:val="24"/>
              </w:rPr>
              <w:t>为高温处理过程提供热量</w:t>
            </w:r>
            <w:r>
              <w:rPr>
                <w:rFonts w:hint="eastAsia" w:ascii="Times New Roman" w:hAnsi="Times New Roman" w:cs="Times New Roman"/>
                <w:sz w:val="24"/>
              </w:rPr>
              <w:t>，</w:t>
            </w:r>
            <w:r>
              <w:rPr>
                <w:rFonts w:ascii="Times New Roman" w:hAnsi="Times New Roman" w:cs="Times New Roman"/>
                <w:sz w:val="24"/>
              </w:rPr>
              <w:t>采用</w:t>
            </w:r>
            <w:r>
              <w:rPr>
                <w:rFonts w:hint="eastAsia" w:ascii="Times New Roman" w:hAnsi="Times New Roman" w:cs="Times New Roman"/>
                <w:sz w:val="24"/>
              </w:rPr>
              <w:t>生物质燃料</w:t>
            </w:r>
            <w:r>
              <w:rPr>
                <w:rFonts w:ascii="Times New Roman" w:hAnsi="Times New Roman" w:cs="Times New Roman"/>
                <w:sz w:val="24"/>
              </w:rPr>
              <w:t>，</w:t>
            </w:r>
            <w:r>
              <w:rPr>
                <w:rFonts w:hint="eastAsia" w:ascii="Times New Roman" w:hAnsi="Times New Roman" w:cs="Times New Roman"/>
                <w:sz w:val="24"/>
              </w:rPr>
              <w:t>热效率约为8</w:t>
            </w:r>
            <w:r>
              <w:rPr>
                <w:rFonts w:ascii="Times New Roman" w:hAnsi="Times New Roman" w:cs="Times New Roman"/>
                <w:sz w:val="24"/>
              </w:rPr>
              <w:t>0</w:t>
            </w:r>
            <w:r>
              <w:rPr>
                <w:rFonts w:hint="eastAsia" w:ascii="Times New Roman" w:hAnsi="Times New Roman" w:cs="Times New Roman"/>
                <w:sz w:val="24"/>
              </w:rPr>
              <w:t>%，燃料用量约为1</w:t>
            </w:r>
            <w:r>
              <w:rPr>
                <w:rFonts w:ascii="Times New Roman" w:hAnsi="Times New Roman" w:cs="Times New Roman"/>
                <w:sz w:val="24"/>
              </w:rPr>
              <w:t>800</w:t>
            </w:r>
            <w:r>
              <w:rPr>
                <w:rFonts w:hint="eastAsia" w:ascii="Times New Roman" w:hAnsi="Times New Roman" w:cs="Times New Roman"/>
                <w:sz w:val="24"/>
              </w:rPr>
              <w:t>t/a、7</w:t>
            </w:r>
            <w:r>
              <w:rPr>
                <w:rFonts w:ascii="Times New Roman" w:hAnsi="Times New Roman" w:cs="Times New Roman"/>
                <w:sz w:val="24"/>
              </w:rPr>
              <w:t>50</w:t>
            </w:r>
            <w:r>
              <w:rPr>
                <w:rFonts w:hint="eastAsia" w:ascii="Times New Roman" w:hAnsi="Times New Roman" w:cs="Times New Roman"/>
                <w:sz w:val="24"/>
              </w:rPr>
              <w:t>kg/h,锅炉自身</w:t>
            </w:r>
            <w:r>
              <w:rPr>
                <w:rFonts w:ascii="Times New Roman" w:hAnsi="Times New Roman" w:cs="Times New Roman"/>
                <w:sz w:val="24"/>
              </w:rPr>
              <w:t>生物质燃烧的烟气产生量约为</w:t>
            </w:r>
            <w:r>
              <w:rPr>
                <w:rFonts w:hint="eastAsia" w:ascii="Times New Roman" w:hAnsi="Times New Roman" w:cs="Times New Roman"/>
                <w:sz w:val="24"/>
              </w:rPr>
              <w:t>4</w:t>
            </w:r>
            <w:r>
              <w:rPr>
                <w:rFonts w:ascii="Times New Roman" w:hAnsi="Times New Roman" w:cs="Times New Roman"/>
                <w:sz w:val="24"/>
              </w:rPr>
              <w:t>680.21Nm</w:t>
            </w:r>
            <w:r>
              <w:rPr>
                <w:rFonts w:ascii="Times New Roman" w:hAnsi="Times New Roman" w:cs="Times New Roman"/>
                <w:sz w:val="24"/>
                <w:vertAlign w:val="superscript"/>
              </w:rPr>
              <w:t>3</w:t>
            </w:r>
            <w:r>
              <w:rPr>
                <w:rFonts w:ascii="Times New Roman" w:hAnsi="Times New Roman" w:cs="Times New Roman"/>
                <w:sz w:val="24"/>
              </w:rPr>
              <w:t>/</w:t>
            </w:r>
            <w:r>
              <w:rPr>
                <w:rFonts w:hint="eastAsia" w:ascii="Times New Roman" w:hAnsi="Times New Roman" w:cs="Times New Roman"/>
                <w:sz w:val="24"/>
              </w:rPr>
              <w:t>h、</w:t>
            </w:r>
            <w:r>
              <w:rPr>
                <w:rFonts w:ascii="Times New Roman" w:hAnsi="Times New Roman" w:cs="Times New Roman"/>
                <w:sz w:val="24"/>
              </w:rPr>
              <w:t>1.12×10</w:t>
            </w:r>
            <w:r>
              <w:rPr>
                <w:rFonts w:ascii="Times New Roman" w:hAnsi="Times New Roman" w:cs="Times New Roman"/>
                <w:sz w:val="24"/>
                <w:vertAlign w:val="superscript"/>
              </w:rPr>
              <w:t>7</w:t>
            </w:r>
            <w:r>
              <w:rPr>
                <w:rFonts w:ascii="Times New Roman" w:hAnsi="Times New Roman" w:cs="Times New Roman"/>
                <w:sz w:val="24"/>
              </w:rPr>
              <w:t>Nm</w:t>
            </w:r>
            <w:r>
              <w:rPr>
                <w:rFonts w:ascii="Times New Roman" w:hAnsi="Times New Roman" w:cs="Times New Roman"/>
                <w:sz w:val="24"/>
                <w:vertAlign w:val="superscript"/>
              </w:rPr>
              <w:t>3</w:t>
            </w:r>
            <w:r>
              <w:rPr>
                <w:rFonts w:ascii="Times New Roman" w:hAnsi="Times New Roman" w:cs="Times New Roman"/>
                <w:sz w:val="24"/>
              </w:rPr>
              <w:t>/a</w:t>
            </w:r>
            <w:r>
              <w:rPr>
                <w:rFonts w:hint="eastAsia" w:ascii="Times New Roman" w:hAnsi="Times New Roman" w:cs="Times New Roman"/>
                <w:sz w:val="24"/>
              </w:rPr>
              <w:t>。</w:t>
            </w:r>
            <w:r>
              <w:rPr>
                <w:rFonts w:ascii="Times New Roman" w:hAnsi="Times New Roman" w:cs="Times New Roman"/>
                <w:sz w:val="24"/>
              </w:rPr>
              <w:t>同时</w:t>
            </w:r>
            <w:r>
              <w:rPr>
                <w:rFonts w:hint="eastAsia" w:ascii="Times New Roman" w:hAnsi="Times New Roman" w:cs="Times New Roman"/>
                <w:sz w:val="24"/>
              </w:rPr>
              <w:t>，该锅炉还</w:t>
            </w:r>
            <w:r>
              <w:rPr>
                <w:rFonts w:ascii="Times New Roman" w:hAnsi="Times New Roman" w:cs="Times New Roman"/>
                <w:sz w:val="24"/>
              </w:rPr>
              <w:t>作为工艺废气末端处理措施（引至炉膛焚烧），</w:t>
            </w:r>
            <w:r>
              <w:rPr>
                <w:rFonts w:hint="eastAsia" w:ascii="Times New Roman" w:hAnsi="Times New Roman" w:cs="Times New Roman"/>
                <w:sz w:val="24"/>
              </w:rPr>
              <w:t>引入风量约1</w:t>
            </w:r>
            <w:r>
              <w:rPr>
                <w:rFonts w:ascii="Times New Roman" w:hAnsi="Times New Roman" w:cs="Times New Roman"/>
                <w:sz w:val="24"/>
              </w:rPr>
              <w:t>200N</w:t>
            </w:r>
            <w:r>
              <w:rPr>
                <w:rFonts w:hint="eastAsia" w:ascii="Times New Roman" w:hAnsi="Times New Roman" w:cs="Times New Roman"/>
                <w:sz w:val="24"/>
              </w:rPr>
              <w:t>m</w:t>
            </w:r>
            <w:r>
              <w:rPr>
                <w:rFonts w:hint="eastAsia" w:ascii="Times New Roman" w:hAnsi="Times New Roman" w:cs="Times New Roman"/>
                <w:sz w:val="24"/>
                <w:vertAlign w:val="superscript"/>
              </w:rPr>
              <w:t>3</w:t>
            </w:r>
            <w:r>
              <w:rPr>
                <w:rFonts w:hint="eastAsia" w:ascii="Times New Roman" w:hAnsi="Times New Roman" w:cs="Times New Roman"/>
                <w:sz w:val="24"/>
              </w:rPr>
              <w:t>/h。则锅炉排气筒烟气总量预为</w:t>
            </w:r>
            <w:r>
              <w:rPr>
                <w:rFonts w:ascii="Times New Roman" w:hAnsi="Times New Roman" w:cs="Times New Roman"/>
                <w:sz w:val="24"/>
              </w:rPr>
              <w:t>5880.21N</w:t>
            </w:r>
            <w:r>
              <w:rPr>
                <w:rFonts w:hint="eastAsia" w:ascii="Times New Roman" w:hAnsi="Times New Roman" w:cs="Times New Roman"/>
                <w:sz w:val="24"/>
              </w:rPr>
              <w:t>m</w:t>
            </w:r>
            <w:r>
              <w:rPr>
                <w:rFonts w:hint="eastAsia" w:ascii="Times New Roman" w:hAnsi="Times New Roman" w:cs="Times New Roman"/>
                <w:sz w:val="24"/>
                <w:vertAlign w:val="superscript"/>
              </w:rPr>
              <w:t>3</w:t>
            </w:r>
            <w:r>
              <w:rPr>
                <w:rFonts w:hint="eastAsia" w:ascii="Times New Roman" w:hAnsi="Times New Roman" w:cs="Times New Roman"/>
                <w:sz w:val="24"/>
              </w:rPr>
              <w:t>/h。</w:t>
            </w:r>
          </w:p>
          <w:p w14:paraId="44991AE6">
            <w:pPr>
              <w:spacing w:line="360" w:lineRule="auto"/>
              <w:ind w:firstLine="240" w:firstLineChars="100"/>
              <w:outlineLvl w:val="1"/>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ROMAN</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ascii="Times New Roman" w:hAnsi="Times New Roman" w:cs="Times New Roman"/>
                <w:sz w:val="24"/>
              </w:rPr>
              <w:t>II</w:t>
            </w:r>
            <w:r>
              <w:rPr>
                <w:rFonts w:ascii="Times New Roman" w:hAnsi="Times New Roman" w:cs="Times New Roman"/>
                <w:sz w:val="24"/>
              </w:rPr>
              <w:fldChar w:fldCharType="end"/>
            </w:r>
            <w:r>
              <w:rPr>
                <w:rFonts w:ascii="Times New Roman" w:hAnsi="Times New Roman" w:cs="Times New Roman"/>
                <w:sz w:val="24"/>
              </w:rPr>
              <w:t>.烟尘、SO</w:t>
            </w:r>
            <w:r>
              <w:rPr>
                <w:rFonts w:ascii="Times New Roman" w:hAnsi="Times New Roman" w:cs="Times New Roman"/>
                <w:sz w:val="24"/>
                <w:vertAlign w:val="subscript"/>
              </w:rPr>
              <w:t>2</w:t>
            </w:r>
            <w:r>
              <w:rPr>
                <w:rFonts w:ascii="Times New Roman" w:hAnsi="Times New Roman" w:cs="Times New Roman"/>
                <w:sz w:val="24"/>
              </w:rPr>
              <w:t>、NOx、</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3</w:t>
            </w:r>
            <w:r>
              <w:rPr>
                <w:rFonts w:hint="eastAsia" w:ascii="Times New Roman" w:hAnsi="Times New Roman" w:cs="Times New Roman"/>
                <w:sz w:val="24"/>
              </w:rPr>
              <w:t>、H</w:t>
            </w:r>
            <w:r>
              <w:rPr>
                <w:rFonts w:ascii="Times New Roman" w:hAnsi="Times New Roman" w:cs="Times New Roman"/>
                <w:sz w:val="24"/>
                <w:vertAlign w:val="subscript"/>
              </w:rPr>
              <w:t>2</w:t>
            </w:r>
            <w:r>
              <w:rPr>
                <w:rFonts w:ascii="Times New Roman" w:hAnsi="Times New Roman" w:cs="Times New Roman"/>
                <w:sz w:val="24"/>
              </w:rPr>
              <w:t>S产</w:t>
            </w:r>
            <w:r>
              <w:rPr>
                <w:rFonts w:hint="eastAsia" w:ascii="Times New Roman" w:hAnsi="Times New Roman" w:cs="Times New Roman"/>
                <w:sz w:val="24"/>
              </w:rPr>
              <w:t>排</w:t>
            </w:r>
            <w:r>
              <w:rPr>
                <w:rFonts w:ascii="Times New Roman" w:hAnsi="Times New Roman" w:cs="Times New Roman"/>
                <w:sz w:val="24"/>
              </w:rPr>
              <w:t>情况分析</w:t>
            </w:r>
          </w:p>
          <w:p w14:paraId="37B27C49">
            <w:pPr>
              <w:spacing w:line="360" w:lineRule="auto"/>
              <w:ind w:firstLine="240" w:firstLineChars="100"/>
              <w:outlineLvl w:val="1"/>
              <w:rPr>
                <w:rFonts w:ascii="Times New Roman" w:hAnsi="Times New Roman" w:cs="Times New Roman"/>
                <w:sz w:val="24"/>
              </w:rPr>
            </w:pPr>
            <w:r>
              <w:rPr>
                <w:rFonts w:hint="eastAsia" w:ascii="Times New Roman" w:hAnsi="Times New Roman" w:cs="Times New Roman"/>
                <w:sz w:val="24"/>
              </w:rPr>
              <w:t>a.烟尘</w:t>
            </w:r>
          </w:p>
          <w:p w14:paraId="4E2F239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szCs w:val="21"/>
              </w:rPr>
              <w:t>烟尘的产生量为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hint="eastAsia" w:ascii="Times New Roman" w:hAnsi="Times New Roman" w:cs="Times New Roman"/>
              </w:rPr>
              <w:t>烟气经双碱法脱硫除尘塔处理，烟尘处理效率可达到</w:t>
            </w:r>
            <w:r>
              <w:rPr>
                <w:rFonts w:ascii="Times New Roman" w:hAnsi="Times New Roman" w:cs="Times New Roman"/>
              </w:rPr>
              <w:t>87</w:t>
            </w:r>
            <w:r>
              <w:rPr>
                <w:rFonts w:hint="eastAsia" w:ascii="Times New Roman" w:hAnsi="Times New Roman" w:cs="Times New Roman"/>
              </w:rPr>
              <w:t>%以上。则估算烟尘排放浓度为</w:t>
            </w:r>
            <w:r>
              <w:rPr>
                <w:rFonts w:ascii="Times New Roman" w:hAnsi="Times New Roman" w:cs="Times New Roman"/>
              </w:rPr>
              <w:t>8.2905</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w:t>
            </w:r>
            <w:r>
              <w:rPr>
                <w:rFonts w:ascii="Times New Roman" w:hAnsi="Times New Roman" w:cs="Times New Roman"/>
              </w:rPr>
              <w:t>0.0488</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w:t>
            </w:r>
            <w:r>
              <w:rPr>
                <w:rFonts w:ascii="Times New Roman" w:hAnsi="Times New Roman" w:cs="Times New Roman"/>
              </w:rPr>
              <w:t>0.1170</w:t>
            </w:r>
            <w:r>
              <w:rPr>
                <w:rFonts w:hint="eastAsia" w:ascii="Times New Roman" w:hAnsi="Times New Roman" w:cs="Times New Roman"/>
              </w:rPr>
              <w:t>t/a。</w:t>
            </w:r>
          </w:p>
          <w:p w14:paraId="7E6BC3C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 xml:space="preserve"> SO</w:t>
            </w:r>
            <w:r>
              <w:rPr>
                <w:rFonts w:ascii="Times New Roman" w:hAnsi="Times New Roman" w:cs="Times New Roman"/>
                <w:vertAlign w:val="subscript"/>
              </w:rPr>
              <w:t>2</w:t>
            </w:r>
          </w:p>
          <w:p w14:paraId="2FD8DFD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szCs w:val="21"/>
              </w:rPr>
              <w:t>的产生量为</w:t>
            </w:r>
            <w:r>
              <w:rPr>
                <w:rFonts w:hint="eastAsia" w:ascii="Times New Roman" w:hAnsi="Times New Roman" w:cs="Times New Roman"/>
                <w:szCs w:val="21"/>
              </w:rPr>
              <w:t>0</w:t>
            </w:r>
            <w:r>
              <w:rPr>
                <w:rFonts w:ascii="Times New Roman" w:hAnsi="Times New Roman" w:cs="Times New Roman"/>
                <w:szCs w:val="21"/>
              </w:rPr>
              <w:t>.3750</w:t>
            </w:r>
            <w:r>
              <w:rPr>
                <w:rFonts w:hint="eastAsia" w:ascii="Times New Roman" w:hAnsi="Times New Roman" w:cs="Times New Roman"/>
                <w:szCs w:val="21"/>
              </w:rPr>
              <w:t>kg/h、</w:t>
            </w:r>
            <w:r>
              <w:rPr>
                <w:rFonts w:ascii="Times New Roman" w:hAnsi="Times New Roman" w:cs="Times New Roman"/>
                <w:szCs w:val="21"/>
              </w:rPr>
              <w:t>0.9000</w:t>
            </w:r>
            <w:r>
              <w:rPr>
                <w:rFonts w:hint="eastAsia" w:ascii="Times New Roman" w:hAnsi="Times New Roman" w:cs="Times New Roman"/>
                <w:szCs w:val="21"/>
              </w:rPr>
              <w:t>t/a。</w:t>
            </w:r>
            <w:r>
              <w:rPr>
                <w:rFonts w:hint="eastAsia" w:ascii="Times New Roman" w:hAnsi="Times New Roman" w:cs="Times New Roman"/>
              </w:rPr>
              <w:t>烟气经双碱法脱硫除尘塔处理，</w:t>
            </w:r>
            <w:r>
              <w:rPr>
                <w:rFonts w:ascii="Times New Roman" w:hAnsi="Times New Roman" w:cs="Times New Roman"/>
              </w:rPr>
              <w:t>SO</w:t>
            </w:r>
            <w:r>
              <w:rPr>
                <w:rFonts w:ascii="Times New Roman" w:hAnsi="Times New Roman" w:cs="Times New Roman"/>
                <w:vertAlign w:val="subscript"/>
              </w:rPr>
              <w:t>2</w:t>
            </w:r>
            <w:r>
              <w:rPr>
                <w:rFonts w:hint="eastAsia" w:ascii="Times New Roman" w:hAnsi="Times New Roman" w:cs="Times New Roman"/>
              </w:rPr>
              <w:t>处理效率可达到</w:t>
            </w:r>
            <w:r>
              <w:rPr>
                <w:rFonts w:ascii="Times New Roman" w:hAnsi="Times New Roman" w:cs="Times New Roman"/>
              </w:rPr>
              <w:t>80</w:t>
            </w:r>
            <w:r>
              <w:rPr>
                <w:rFonts w:hint="eastAsia" w:ascii="Times New Roman" w:hAnsi="Times New Roman" w:cs="Times New Roman"/>
              </w:rPr>
              <w:t>%以上。则估算</w:t>
            </w:r>
            <w:r>
              <w:rPr>
                <w:rFonts w:ascii="Times New Roman" w:hAnsi="Times New Roman" w:cs="Times New Roman"/>
              </w:rPr>
              <w:t>SO</w:t>
            </w:r>
            <w:r>
              <w:rPr>
                <w:rFonts w:ascii="Times New Roman" w:hAnsi="Times New Roman" w:cs="Times New Roman"/>
                <w:vertAlign w:val="subscript"/>
              </w:rPr>
              <w:t>2</w:t>
            </w:r>
            <w:r>
              <w:rPr>
                <w:rFonts w:hint="eastAsia" w:ascii="Times New Roman" w:hAnsi="Times New Roman" w:cs="Times New Roman"/>
              </w:rPr>
              <w:t>排放浓度为</w:t>
            </w:r>
            <w:r>
              <w:rPr>
                <w:rFonts w:ascii="Times New Roman" w:hAnsi="Times New Roman" w:cs="Times New Roman"/>
              </w:rPr>
              <w:t>13.0403</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w:t>
            </w:r>
            <w:r>
              <w:rPr>
                <w:rFonts w:ascii="Times New Roman" w:hAnsi="Times New Roman" w:cs="Times New Roman"/>
              </w:rPr>
              <w:t>0.0767</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w:t>
            </w:r>
            <w:r>
              <w:rPr>
                <w:rFonts w:ascii="Times New Roman" w:hAnsi="Times New Roman" w:cs="Times New Roman"/>
              </w:rPr>
              <w:t>0.1840</w:t>
            </w:r>
            <w:r>
              <w:rPr>
                <w:rFonts w:hint="eastAsia" w:ascii="Times New Roman" w:hAnsi="Times New Roman" w:cs="Times New Roman"/>
              </w:rPr>
              <w:t>t/a。</w:t>
            </w:r>
          </w:p>
          <w:p w14:paraId="151669B0">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 xml:space="preserve"> NOx</w:t>
            </w:r>
          </w:p>
          <w:p w14:paraId="48B2A3B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NOx</w:t>
            </w:r>
            <w:r>
              <w:rPr>
                <w:rFonts w:ascii="Times New Roman" w:hAnsi="Times New Roman" w:cs="Times New Roman"/>
                <w:szCs w:val="21"/>
              </w:rPr>
              <w:t>的产生量为1.1527</w:t>
            </w:r>
            <w:r>
              <w:rPr>
                <w:rFonts w:hint="eastAsia" w:ascii="Times New Roman" w:hAnsi="Times New Roman" w:cs="Times New Roman"/>
                <w:szCs w:val="21"/>
              </w:rPr>
              <w:t>kg/h、</w:t>
            </w:r>
            <w:r>
              <w:rPr>
                <w:rFonts w:ascii="Times New Roman" w:hAnsi="Times New Roman" w:cs="Times New Roman"/>
                <w:szCs w:val="21"/>
              </w:rPr>
              <w:t>2.7661</w:t>
            </w:r>
            <w:r>
              <w:rPr>
                <w:rFonts w:hint="eastAsia" w:ascii="Times New Roman" w:hAnsi="Times New Roman" w:cs="Times New Roman"/>
                <w:szCs w:val="21"/>
              </w:rPr>
              <w:t>t/a。</w:t>
            </w:r>
            <w:r>
              <w:rPr>
                <w:rFonts w:hint="eastAsia" w:ascii="Times New Roman" w:hAnsi="Times New Roman" w:cs="Times New Roman"/>
              </w:rPr>
              <w:t>烟气经双碱法脱硫除尘塔处理，</w:t>
            </w:r>
            <w:r>
              <w:rPr>
                <w:rFonts w:ascii="Times New Roman" w:hAnsi="Times New Roman" w:cs="Times New Roman"/>
              </w:rPr>
              <w:t>NOx</w:t>
            </w:r>
            <w:r>
              <w:rPr>
                <w:rFonts w:hint="eastAsia" w:ascii="Times New Roman" w:hAnsi="Times New Roman" w:cs="Times New Roman"/>
              </w:rPr>
              <w:t>处理效率可达到</w:t>
            </w:r>
            <w:r>
              <w:rPr>
                <w:rFonts w:ascii="Times New Roman" w:hAnsi="Times New Roman" w:cs="Times New Roman"/>
              </w:rPr>
              <w:t>20</w:t>
            </w:r>
            <w:r>
              <w:rPr>
                <w:rFonts w:hint="eastAsia" w:ascii="Times New Roman" w:hAnsi="Times New Roman" w:cs="Times New Roman"/>
              </w:rPr>
              <w:t>%以上。则估算</w:t>
            </w:r>
            <w:r>
              <w:rPr>
                <w:rFonts w:ascii="Times New Roman" w:hAnsi="Times New Roman" w:cs="Times New Roman"/>
              </w:rPr>
              <w:t>NOx</w:t>
            </w:r>
            <w:r>
              <w:rPr>
                <w:rFonts w:hint="eastAsia" w:ascii="Times New Roman" w:hAnsi="Times New Roman" w:cs="Times New Roman"/>
              </w:rPr>
              <w:t>排放浓度为</w:t>
            </w:r>
            <w:r>
              <w:rPr>
                <w:rFonts w:ascii="Times New Roman" w:hAnsi="Times New Roman" w:cs="Times New Roman"/>
              </w:rPr>
              <w:t>156.8243</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w:t>
            </w:r>
            <w:r>
              <w:rPr>
                <w:rFonts w:ascii="Times New Roman" w:hAnsi="Times New Roman" w:cs="Times New Roman"/>
              </w:rPr>
              <w:t>0.9222</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w:t>
            </w:r>
            <w:r>
              <w:rPr>
                <w:rFonts w:ascii="Times New Roman" w:hAnsi="Times New Roman" w:cs="Times New Roman"/>
              </w:rPr>
              <w:t>2.2129</w:t>
            </w:r>
            <w:r>
              <w:rPr>
                <w:rFonts w:hint="eastAsia" w:ascii="Times New Roman" w:hAnsi="Times New Roman" w:cs="Times New Roman"/>
              </w:rPr>
              <w:t>t/a。</w:t>
            </w:r>
          </w:p>
          <w:p w14:paraId="2863F8A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d.</w:t>
            </w:r>
            <w:r>
              <w:rPr>
                <w:rFonts w:ascii="Times New Roman" w:hAnsi="Times New Roman" w:cs="Times New Roman"/>
              </w:rPr>
              <w:t xml:space="preserve"> </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p>
          <w:p w14:paraId="2712EF63">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未能焚烧的N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量为0.0159</w:t>
            </w:r>
            <w:r>
              <w:rPr>
                <w:rFonts w:hint="eastAsia" w:ascii="Times New Roman" w:hAnsi="Times New Roman" w:cs="Times New Roman"/>
              </w:rPr>
              <w:t>kg/h、0</w:t>
            </w:r>
            <w:r>
              <w:rPr>
                <w:rFonts w:ascii="Times New Roman" w:hAnsi="Times New Roman" w:cs="Times New Roman"/>
              </w:rPr>
              <w:t>.0383</w:t>
            </w:r>
            <w:r>
              <w:rPr>
                <w:rFonts w:hint="eastAsia" w:ascii="Times New Roman" w:hAnsi="Times New Roman" w:cs="Times New Roman"/>
              </w:rPr>
              <w:t>t/a。烟气经双碱法脱硫除尘塔处理，N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处理效率可达到</w:t>
            </w:r>
            <w:r>
              <w:rPr>
                <w:rFonts w:ascii="Times New Roman" w:hAnsi="Times New Roman" w:cs="Times New Roman"/>
              </w:rPr>
              <w:t>80</w:t>
            </w:r>
            <w:r>
              <w:rPr>
                <w:rFonts w:hint="eastAsia" w:ascii="Times New Roman" w:hAnsi="Times New Roman" w:cs="Times New Roman"/>
              </w:rPr>
              <w:t>%以上。则估算N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排放浓度为0</w:t>
            </w:r>
            <w:r>
              <w:rPr>
                <w:rFonts w:ascii="Times New Roman" w:hAnsi="Times New Roman" w:cs="Times New Roman"/>
              </w:rPr>
              <w:t>.5400</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，排放速率为0</w:t>
            </w:r>
            <w:r>
              <w:rPr>
                <w:rFonts w:ascii="Times New Roman" w:hAnsi="Times New Roman" w:cs="Times New Roman"/>
              </w:rPr>
              <w:t>.0032</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h，排放量为0</w:t>
            </w:r>
            <w:r>
              <w:rPr>
                <w:rFonts w:ascii="Times New Roman" w:hAnsi="Times New Roman" w:cs="Times New Roman"/>
              </w:rPr>
              <w:t>.0077</w:t>
            </w:r>
            <w:r>
              <w:rPr>
                <w:rFonts w:hint="eastAsia" w:ascii="Times New Roman" w:hAnsi="Times New Roman" w:cs="Times New Roman"/>
              </w:rPr>
              <w:t>t/a。</w:t>
            </w:r>
          </w:p>
          <w:p w14:paraId="2688F162">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e.</w:t>
            </w:r>
            <w:r>
              <w:rPr>
                <w:rFonts w:ascii="Times New Roman" w:hAnsi="Times New Roman" w:cs="Times New Roman"/>
              </w:rPr>
              <w:t xml:space="preserve"> </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p w14:paraId="53E968A0">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未能焚烧的H</w:t>
            </w:r>
            <w:r>
              <w:rPr>
                <w:rFonts w:ascii="Times New Roman" w:hAnsi="Times New Roman" w:cs="Times New Roman"/>
                <w:vertAlign w:val="subscript"/>
              </w:rPr>
              <w:t>2</w:t>
            </w:r>
            <w:r>
              <w:rPr>
                <w:rFonts w:ascii="Times New Roman" w:hAnsi="Times New Roman" w:cs="Times New Roman"/>
              </w:rPr>
              <w:t>S量为0.0159</w:t>
            </w:r>
            <w:r>
              <w:rPr>
                <w:rFonts w:hint="eastAsia" w:ascii="Times New Roman" w:hAnsi="Times New Roman" w:cs="Times New Roman"/>
              </w:rPr>
              <w:t>kg/h、0</w:t>
            </w:r>
            <w:r>
              <w:rPr>
                <w:rFonts w:ascii="Times New Roman" w:hAnsi="Times New Roman" w:cs="Times New Roman"/>
              </w:rPr>
              <w:t>.0383</w:t>
            </w:r>
            <w:r>
              <w:rPr>
                <w:rFonts w:hint="eastAsia" w:ascii="Times New Roman" w:hAnsi="Times New Roman" w:cs="Times New Roman"/>
              </w:rPr>
              <w:t>t/a。烟气经双碱法脱硫除尘塔处理，H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处理效率可达到</w:t>
            </w:r>
            <w:r>
              <w:rPr>
                <w:rFonts w:ascii="Times New Roman" w:hAnsi="Times New Roman" w:cs="Times New Roman"/>
              </w:rPr>
              <w:t>80</w:t>
            </w:r>
            <w:r>
              <w:rPr>
                <w:rFonts w:hint="eastAsia" w:ascii="Times New Roman" w:hAnsi="Times New Roman" w:cs="Times New Roman"/>
              </w:rPr>
              <w:t>%以上。则估算H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排放浓度为0</w:t>
            </w:r>
            <w:r>
              <w:rPr>
                <w:rFonts w:ascii="Times New Roman" w:hAnsi="Times New Roman" w:cs="Times New Roman"/>
              </w:rPr>
              <w:t>.0014</w:t>
            </w:r>
            <w:r>
              <w:rPr>
                <w:rFonts w:hint="eastAsia" w:ascii="Times New Roman" w:hAnsi="Times New Roman" w:cs="Times New Roman"/>
              </w:rPr>
              <w:t>mg</w:t>
            </w:r>
            <w:r>
              <w:rPr>
                <w:rFonts w:ascii="Times New Roman" w:hAnsi="Times New Roman" w:cs="Times New Roman"/>
              </w:rPr>
              <w:t>/</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，排放速率为0</w:t>
            </w:r>
            <w:r>
              <w:rPr>
                <w:rFonts w:ascii="Times New Roman" w:hAnsi="Times New Roman" w:cs="Times New Roman"/>
              </w:rPr>
              <w:t>.084×10</w:t>
            </w:r>
            <w:r>
              <w:rPr>
                <w:rFonts w:ascii="Times New Roman" w:hAnsi="Times New Roman" w:cs="Times New Roman"/>
                <w:vertAlign w:val="superscript"/>
              </w:rPr>
              <w:t>-4</w:t>
            </w:r>
            <w:r>
              <w:rPr>
                <w:rFonts w:hint="eastAsia" w:ascii="Times New Roman" w:hAnsi="Times New Roman" w:cs="Times New Roman"/>
              </w:rPr>
              <w:t>kg</w:t>
            </w:r>
            <w:r>
              <w:rPr>
                <w:rFonts w:ascii="Times New Roman" w:hAnsi="Times New Roman" w:cs="Times New Roman"/>
              </w:rPr>
              <w:t>/</w:t>
            </w:r>
            <w:r>
              <w:rPr>
                <w:rFonts w:hint="eastAsia" w:ascii="Times New Roman" w:hAnsi="Times New Roman" w:cs="Times New Roman"/>
              </w:rPr>
              <w:t>h，排放量为0</w:t>
            </w:r>
            <w:r>
              <w:rPr>
                <w:rFonts w:ascii="Times New Roman" w:hAnsi="Times New Roman" w:cs="Times New Roman"/>
              </w:rPr>
              <w:t>.20×10</w:t>
            </w:r>
            <w:r>
              <w:rPr>
                <w:rFonts w:ascii="Times New Roman" w:hAnsi="Times New Roman" w:cs="Times New Roman"/>
                <w:vertAlign w:val="superscript"/>
              </w:rPr>
              <w:t>-4</w:t>
            </w:r>
            <w:r>
              <w:rPr>
                <w:rFonts w:hint="eastAsia" w:ascii="Times New Roman" w:hAnsi="Times New Roman" w:cs="Times New Roman"/>
              </w:rPr>
              <w:t>t/a。</w:t>
            </w:r>
          </w:p>
          <w:p w14:paraId="78F0DB0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bCs/>
              </w:rPr>
              <w:t>病死动物无害化处理废</w:t>
            </w:r>
            <w:r>
              <w:rPr>
                <w:rFonts w:hint="eastAsia" w:ascii="Times New Roman" w:hAnsi="Times New Roman" w:cs="Times New Roman"/>
                <w:bCs/>
              </w:rPr>
              <w:t>气</w:t>
            </w:r>
          </w:p>
          <w:p w14:paraId="47CB2401">
            <w:pPr>
              <w:pStyle w:val="10"/>
              <w:spacing w:line="360" w:lineRule="auto"/>
              <w:ind w:left="0" w:right="105" w:rightChars="50" w:firstLine="240" w:firstLineChars="100"/>
              <w:rPr>
                <w:rFonts w:ascii="Times New Roman" w:hAnsi="Times New Roman" w:cs="Times New Roman"/>
              </w:rPr>
            </w:pPr>
            <w:bookmarkStart w:id="65" w:name="_Hlk92720545"/>
            <w:r>
              <w:rPr>
                <w:rFonts w:hint="eastAsia" w:ascii="Times New Roman" w:hAnsi="Times New Roman" w:cs="Times New Roman"/>
              </w:rPr>
              <w:t>主要来自</w:t>
            </w:r>
            <w:r>
              <w:rPr>
                <w:rFonts w:ascii="Times New Roman" w:hAnsi="Times New Roman" w:cs="Times New Roman"/>
                <w:bCs/>
              </w:rPr>
              <w:t>病死畜禽在无害化处理过程</w:t>
            </w:r>
            <w:r>
              <w:rPr>
                <w:rFonts w:hint="eastAsia" w:ascii="Times New Roman" w:hAnsi="Times New Roman" w:cs="Times New Roman"/>
              </w:rPr>
              <w:t>，主要成分为H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等，在密闭生产设施中收集后先经</w:t>
            </w:r>
            <w:r>
              <w:rPr>
                <w:rFonts w:ascii="Times New Roman" w:hAnsi="Times New Roman" w:cs="Times New Roman"/>
                <w:bCs/>
              </w:rPr>
              <w:t>“冷凝+喷淋”处理</w:t>
            </w:r>
            <w:r>
              <w:rPr>
                <w:rFonts w:hint="eastAsia" w:ascii="Times New Roman" w:hAnsi="Times New Roman" w:cs="Times New Roman"/>
                <w:bCs/>
              </w:rPr>
              <w:t>，然后导入生物质锅炉中焚烧处理。</w:t>
            </w:r>
          </w:p>
          <w:bookmarkEnd w:id="65"/>
          <w:p w14:paraId="4DA7C94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bCs/>
              </w:rPr>
              <w:t>车间废气</w:t>
            </w:r>
          </w:p>
          <w:p w14:paraId="6CACE855">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无害化车间物料输送过程中由于输送系统局部未完全密封</w:t>
            </w:r>
            <w:r>
              <w:rPr>
                <w:rFonts w:hint="eastAsia" w:ascii="Times New Roman" w:hAnsi="Times New Roman" w:cs="Times New Roman"/>
                <w:bCs/>
              </w:rPr>
              <w:t>，</w:t>
            </w:r>
            <w:r>
              <w:rPr>
                <w:rFonts w:ascii="Times New Roman" w:hAnsi="Times New Roman" w:cs="Times New Roman"/>
                <w:bCs/>
              </w:rPr>
              <w:t>会造成部分恶臭气体外逸，扩散至车间内</w:t>
            </w:r>
            <w:r>
              <w:rPr>
                <w:rFonts w:hint="eastAsia" w:ascii="Times New Roman" w:hAnsi="Times New Roman" w:cs="Times New Roman"/>
                <w:bCs/>
              </w:rPr>
              <w:t>。</w:t>
            </w:r>
            <w:r>
              <w:rPr>
                <w:rFonts w:ascii="Times New Roman" w:hAnsi="Times New Roman" w:cs="Times New Roman"/>
                <w:bCs/>
              </w:rPr>
              <w:t>环评</w:t>
            </w:r>
            <w:r>
              <w:rPr>
                <w:rFonts w:hint="eastAsia" w:ascii="Times New Roman" w:hAnsi="Times New Roman" w:cs="Times New Roman"/>
                <w:bCs/>
              </w:rPr>
              <w:t>要求</w:t>
            </w:r>
            <w:r>
              <w:rPr>
                <w:rFonts w:ascii="Times New Roman" w:hAnsi="Times New Roman" w:cs="Times New Roman"/>
                <w:bCs/>
              </w:rPr>
              <w:t>整个车间密闭</w:t>
            </w:r>
            <w:r>
              <w:rPr>
                <w:rFonts w:hint="eastAsia" w:ascii="Times New Roman" w:hAnsi="Times New Roman" w:cs="Times New Roman"/>
                <w:bCs/>
              </w:rPr>
              <w:t>，采用抽风机抽风，在车间内</w:t>
            </w:r>
            <w:r>
              <w:rPr>
                <w:rFonts w:ascii="Times New Roman" w:hAnsi="Times New Roman" w:cs="Times New Roman"/>
                <w:bCs/>
              </w:rPr>
              <w:t>形成微负压</w:t>
            </w:r>
            <w:r>
              <w:rPr>
                <w:rFonts w:hint="eastAsia" w:ascii="Times New Roman" w:hAnsi="Times New Roman" w:cs="Times New Roman"/>
                <w:bCs/>
              </w:rPr>
              <w:t>环境</w:t>
            </w:r>
            <w:r>
              <w:rPr>
                <w:rFonts w:ascii="Times New Roman" w:hAnsi="Times New Roman" w:cs="Times New Roman"/>
                <w:bCs/>
              </w:rPr>
              <w:t>，车间废气经负压收集后，经一套</w:t>
            </w:r>
            <w:r>
              <w:rPr>
                <w:rFonts w:hint="eastAsia" w:ascii="Times New Roman" w:hAnsi="Times New Roman" w:cs="Times New Roman"/>
                <w:bCs/>
              </w:rPr>
              <w:t xml:space="preserve"> “二级</w:t>
            </w:r>
            <w:r>
              <w:rPr>
                <w:rFonts w:ascii="Times New Roman" w:hAnsi="Times New Roman" w:cs="Times New Roman"/>
                <w:bCs/>
              </w:rPr>
              <w:t>活性炭吸附装置+高效过滤器</w:t>
            </w:r>
            <w:r>
              <w:rPr>
                <w:rFonts w:hint="eastAsia" w:ascii="Times New Roman" w:hAnsi="Times New Roman" w:cs="Times New Roman"/>
                <w:bCs/>
              </w:rPr>
              <w:t>”</w:t>
            </w:r>
            <w:r>
              <w:rPr>
                <w:rFonts w:ascii="Times New Roman" w:hAnsi="Times New Roman" w:cs="Times New Roman"/>
                <w:bCs/>
              </w:rPr>
              <w:t>处理达标后由1根15m高的排气筒（DA002）排放</w:t>
            </w:r>
            <w:r>
              <w:rPr>
                <w:rFonts w:hint="eastAsia" w:ascii="Times New Roman" w:hAnsi="Times New Roman" w:cs="Times New Roman"/>
                <w:bCs/>
              </w:rPr>
              <w:t>。车间臭气</w:t>
            </w:r>
            <w:r>
              <w:rPr>
                <w:rFonts w:ascii="Times New Roman" w:hAnsi="Times New Roman" w:cs="Times New Roman"/>
                <w:bCs/>
              </w:rPr>
              <w:t>收集效率</w:t>
            </w:r>
            <w:r>
              <w:rPr>
                <w:rFonts w:hint="eastAsia" w:ascii="Times New Roman" w:hAnsi="Times New Roman" w:cs="Times New Roman"/>
                <w:bCs/>
              </w:rPr>
              <w:t>约</w:t>
            </w:r>
            <w:r>
              <w:rPr>
                <w:rFonts w:ascii="Times New Roman" w:hAnsi="Times New Roman" w:cs="Times New Roman"/>
                <w:bCs/>
              </w:rPr>
              <w:t>为90%，</w:t>
            </w:r>
            <w:r>
              <w:rPr>
                <w:rFonts w:hint="eastAsia" w:ascii="Times New Roman" w:hAnsi="Times New Roman" w:cs="Times New Roman"/>
                <w:bCs/>
              </w:rPr>
              <w:t>二级</w:t>
            </w:r>
            <w:r>
              <w:rPr>
                <w:rFonts w:ascii="Times New Roman" w:hAnsi="Times New Roman" w:cs="Times New Roman"/>
                <w:bCs/>
              </w:rPr>
              <w:t>活性炭吸附装置对臭气的</w:t>
            </w:r>
            <w:r>
              <w:rPr>
                <w:rFonts w:hint="eastAsia" w:ascii="Times New Roman" w:hAnsi="Times New Roman" w:cs="Times New Roman"/>
                <w:bCs/>
              </w:rPr>
              <w:t>吸附</w:t>
            </w:r>
            <w:r>
              <w:rPr>
                <w:rFonts w:ascii="Times New Roman" w:hAnsi="Times New Roman" w:cs="Times New Roman"/>
                <w:bCs/>
              </w:rPr>
              <w:t>处理效率</w:t>
            </w:r>
            <w:r>
              <w:rPr>
                <w:rFonts w:hint="eastAsia" w:ascii="Times New Roman" w:hAnsi="Times New Roman" w:cs="Times New Roman"/>
                <w:bCs/>
              </w:rPr>
              <w:t>约</w:t>
            </w:r>
            <w:r>
              <w:rPr>
                <w:rFonts w:ascii="Times New Roman" w:hAnsi="Times New Roman" w:cs="Times New Roman"/>
                <w:bCs/>
              </w:rPr>
              <w:t>为80%；高效过滤器主要是去除废气中的病原微生物；风机风量为5000m</w:t>
            </w:r>
            <w:r>
              <w:rPr>
                <w:rFonts w:ascii="Times New Roman" w:hAnsi="Times New Roman" w:cs="Times New Roman"/>
                <w:bCs/>
                <w:vertAlign w:val="superscript"/>
              </w:rPr>
              <w:t>3</w:t>
            </w:r>
            <w:r>
              <w:rPr>
                <w:rFonts w:ascii="Times New Roman" w:hAnsi="Times New Roman" w:cs="Times New Roman"/>
                <w:bCs/>
              </w:rPr>
              <w:t>/h。则车间废气</w:t>
            </w:r>
            <w:r>
              <w:rPr>
                <w:rFonts w:hint="eastAsia" w:ascii="Times New Roman" w:hAnsi="Times New Roman" w:cs="Times New Roman"/>
                <w:bCs/>
              </w:rPr>
              <w:t>有组织</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排放量为0.0072kg/h、0.0172t/a，H</w:t>
            </w:r>
            <w:r>
              <w:rPr>
                <w:rFonts w:ascii="Times New Roman" w:hAnsi="Times New Roman" w:cs="Times New Roman"/>
                <w:bCs/>
                <w:vertAlign w:val="subscript"/>
              </w:rPr>
              <w:t>2</w:t>
            </w:r>
            <w:r>
              <w:rPr>
                <w:rFonts w:ascii="Times New Roman" w:hAnsi="Times New Roman" w:cs="Times New Roman"/>
                <w:bCs/>
              </w:rPr>
              <w:t>S 排放量为 0.18×10</w:t>
            </w:r>
            <w:r>
              <w:rPr>
                <w:rFonts w:ascii="Times New Roman" w:hAnsi="Times New Roman" w:cs="Times New Roman"/>
                <w:bCs/>
                <w:vertAlign w:val="superscript"/>
              </w:rPr>
              <w:t>-4</w:t>
            </w:r>
            <w:r>
              <w:rPr>
                <w:rFonts w:ascii="Times New Roman" w:hAnsi="Times New Roman" w:cs="Times New Roman"/>
                <w:bCs/>
              </w:rPr>
              <w:t>kg/h，0.54×10</w:t>
            </w:r>
            <w:r>
              <w:rPr>
                <w:rFonts w:ascii="Times New Roman" w:hAnsi="Times New Roman" w:cs="Times New Roman"/>
                <w:bCs/>
                <w:vertAlign w:val="superscript"/>
              </w:rPr>
              <w:t>-4</w:t>
            </w:r>
            <w:r>
              <w:rPr>
                <w:rFonts w:ascii="Times New Roman" w:hAnsi="Times New Roman" w:cs="Times New Roman"/>
                <w:bCs/>
              </w:rPr>
              <w:t>t/a。</w:t>
            </w:r>
          </w:p>
          <w:p w14:paraId="4B4C45AF">
            <w:pPr>
              <w:pStyle w:val="10"/>
              <w:spacing w:line="360" w:lineRule="auto"/>
              <w:ind w:left="0" w:right="105" w:rightChars="50" w:firstLine="240" w:firstLineChars="100"/>
              <w:rPr>
                <w:rFonts w:ascii="Times New Roman" w:hAnsi="Times New Roman" w:cs="Times New Roman"/>
                <w:bCs/>
                <w:lang w:val="en-US"/>
              </w:rPr>
            </w:pPr>
            <w:r>
              <w:rPr>
                <w:rFonts w:hint="eastAsia" w:ascii="Times New Roman" w:hAnsi="Times New Roman" w:cs="Times New Roman"/>
                <w:bCs/>
                <w:lang w:val="en-US"/>
              </w:rPr>
              <w:t>（2）</w:t>
            </w:r>
            <w:r>
              <w:rPr>
                <w:rFonts w:hint="eastAsia" w:ascii="Times New Roman" w:hAnsi="Times New Roman" w:cs="Times New Roman"/>
                <w:bCs/>
              </w:rPr>
              <w:t>无组织废气</w:t>
            </w:r>
          </w:p>
          <w:p w14:paraId="21102909">
            <w:pPr>
              <w:pStyle w:val="10"/>
              <w:spacing w:line="360" w:lineRule="auto"/>
              <w:ind w:left="0" w:right="105" w:rightChars="50" w:firstLine="240" w:firstLineChars="10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ascii="Times New Roman" w:hAnsi="Times New Roman" w:cs="Times New Roman"/>
                <w:bCs/>
              </w:rPr>
              <w:t>车间废气</w:t>
            </w:r>
          </w:p>
          <w:p w14:paraId="15B882AC">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无害化车间内</w:t>
            </w:r>
            <w:r>
              <w:rPr>
                <w:rFonts w:hint="eastAsia" w:ascii="Times New Roman" w:hAnsi="Times New Roman" w:cs="Times New Roman"/>
                <w:bCs/>
              </w:rPr>
              <w:t>产生</w:t>
            </w:r>
            <w:r>
              <w:rPr>
                <w:rFonts w:ascii="Times New Roman" w:hAnsi="Times New Roman" w:cs="Times New Roman"/>
                <w:bCs/>
              </w:rPr>
              <w:t>的恶臭，大部分由车间负压系统收集处理，</w:t>
            </w:r>
            <w:r>
              <w:rPr>
                <w:rFonts w:hint="eastAsia" w:ascii="Times New Roman" w:hAnsi="Times New Roman" w:cs="Times New Roman"/>
                <w:bCs/>
              </w:rPr>
              <w:t>约</w:t>
            </w:r>
            <w:r>
              <w:rPr>
                <w:rFonts w:ascii="Times New Roman" w:hAnsi="Times New Roman" w:cs="Times New Roman"/>
                <w:bCs/>
              </w:rPr>
              <w:t>10%以无组织形式排放，NH</w:t>
            </w:r>
            <w:r>
              <w:rPr>
                <w:rFonts w:ascii="Times New Roman" w:hAnsi="Times New Roman" w:cs="Times New Roman"/>
                <w:bCs/>
                <w:vertAlign w:val="subscript"/>
              </w:rPr>
              <w:t>3</w:t>
            </w:r>
            <w:r>
              <w:rPr>
                <w:rFonts w:ascii="Times New Roman" w:hAnsi="Times New Roman" w:cs="Times New Roman"/>
                <w:bCs/>
              </w:rPr>
              <w:t>排放量为0.0040kg/h</w:t>
            </w:r>
            <w:r>
              <w:rPr>
                <w:rFonts w:hint="eastAsia" w:ascii="Times New Roman" w:hAnsi="Times New Roman" w:cs="Times New Roman"/>
                <w:bCs/>
              </w:rPr>
              <w:t>、</w:t>
            </w:r>
            <w:r>
              <w:rPr>
                <w:rFonts w:ascii="Times New Roman" w:hAnsi="Times New Roman" w:cs="Times New Roman"/>
                <w:bCs/>
              </w:rPr>
              <w:t>0.0096t/a，H</w:t>
            </w:r>
            <w:r>
              <w:rPr>
                <w:rFonts w:ascii="Times New Roman" w:hAnsi="Times New Roman" w:cs="Times New Roman"/>
                <w:bCs/>
                <w:vertAlign w:val="subscript"/>
              </w:rPr>
              <w:t>2</w:t>
            </w:r>
            <w:r>
              <w:rPr>
                <w:rFonts w:ascii="Times New Roman" w:hAnsi="Times New Roman" w:cs="Times New Roman"/>
                <w:bCs/>
              </w:rPr>
              <w:t>S排放量为0.10×10</w:t>
            </w:r>
            <w:r>
              <w:rPr>
                <w:rFonts w:ascii="Times New Roman" w:hAnsi="Times New Roman" w:cs="Times New Roman"/>
                <w:bCs/>
                <w:vertAlign w:val="superscript"/>
              </w:rPr>
              <w:t>-4</w:t>
            </w:r>
            <w:r>
              <w:rPr>
                <w:rFonts w:ascii="Times New Roman" w:hAnsi="Times New Roman" w:cs="Times New Roman"/>
                <w:bCs/>
              </w:rPr>
              <w:t>kg/h，0.30×10</w:t>
            </w:r>
            <w:r>
              <w:rPr>
                <w:rFonts w:ascii="Times New Roman" w:hAnsi="Times New Roman" w:cs="Times New Roman"/>
                <w:bCs/>
                <w:vertAlign w:val="superscript"/>
              </w:rPr>
              <w:t>-4</w:t>
            </w:r>
            <w:r>
              <w:rPr>
                <w:rFonts w:ascii="Times New Roman" w:hAnsi="Times New Roman" w:cs="Times New Roman"/>
                <w:bCs/>
              </w:rPr>
              <w:t>t/a。</w:t>
            </w:r>
          </w:p>
          <w:p w14:paraId="4D8E64B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bCs/>
              </w:rPr>
              <w:t>污水处理站恶臭</w:t>
            </w:r>
          </w:p>
          <w:p w14:paraId="63BC46C2">
            <w:pPr>
              <w:pStyle w:val="10"/>
              <w:spacing w:line="360" w:lineRule="auto"/>
              <w:ind w:left="0" w:right="105" w:rightChars="50" w:firstLine="240" w:firstLineChars="100"/>
              <w:rPr>
                <w:rFonts w:ascii="Times New Roman" w:hAnsi="Times New Roman" w:cs="Times New Roman"/>
                <w:bCs/>
              </w:rPr>
            </w:pPr>
            <w:r>
              <w:rPr>
                <w:rFonts w:hint="eastAsia" w:ascii="Times New Roman" w:hAnsi="Times New Roman" w:cs="Times New Roman"/>
                <w:bCs/>
              </w:rPr>
              <w:t>经估算，</w:t>
            </w:r>
            <w:r>
              <w:rPr>
                <w:rFonts w:ascii="Times New Roman" w:hAnsi="Times New Roman" w:cs="Times New Roman"/>
                <w:bCs/>
              </w:rPr>
              <w:t>项目污水处理站NH</w:t>
            </w:r>
            <w:r>
              <w:rPr>
                <w:rFonts w:ascii="Times New Roman" w:hAnsi="Times New Roman" w:cs="Times New Roman"/>
                <w:bCs/>
                <w:vertAlign w:val="subscript"/>
              </w:rPr>
              <w:t>3</w:t>
            </w:r>
            <w:r>
              <w:rPr>
                <w:rFonts w:ascii="Times New Roman" w:hAnsi="Times New Roman" w:cs="Times New Roman"/>
                <w:bCs/>
              </w:rPr>
              <w:t>的产生量约为0.0119t/a（0.0049kg/h）</w:t>
            </w:r>
            <w:r>
              <w:rPr>
                <w:rFonts w:hint="eastAsia" w:ascii="Times New Roman" w:hAnsi="Times New Roman" w:cs="Times New Roman"/>
                <w:bCs/>
              </w:rPr>
              <w:t>，</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S的产生量约为0.0005t/a（0.0005kg/h）。污水处理站各池体均为地埋式</w:t>
            </w:r>
            <w:r>
              <w:rPr>
                <w:rFonts w:hint="eastAsia" w:ascii="Times New Roman" w:hAnsi="Times New Roman" w:cs="Times New Roman"/>
                <w:bCs/>
              </w:rPr>
              <w:t>，</w:t>
            </w:r>
            <w:r>
              <w:rPr>
                <w:rFonts w:ascii="Times New Roman" w:hAnsi="Times New Roman" w:cs="Times New Roman"/>
                <w:bCs/>
              </w:rPr>
              <w:t>加盖，</w:t>
            </w:r>
            <w:r>
              <w:rPr>
                <w:rFonts w:hint="eastAsia" w:ascii="Times New Roman" w:hAnsi="Times New Roman" w:cs="Times New Roman"/>
                <w:bCs/>
              </w:rPr>
              <w:t>并定期</w:t>
            </w:r>
            <w:r>
              <w:rPr>
                <w:rFonts w:ascii="Times New Roman" w:hAnsi="Times New Roman" w:cs="Times New Roman"/>
                <w:bCs/>
              </w:rPr>
              <w:t>喷洒除臭剂</w:t>
            </w:r>
            <w:r>
              <w:rPr>
                <w:rFonts w:hint="eastAsia" w:ascii="Times New Roman" w:hAnsi="Times New Roman" w:cs="Times New Roman"/>
                <w:bCs/>
              </w:rPr>
              <w:t>，处理站</w:t>
            </w:r>
            <w:r>
              <w:rPr>
                <w:rFonts w:ascii="Times New Roman" w:hAnsi="Times New Roman" w:cs="Times New Roman"/>
                <w:bCs/>
              </w:rPr>
              <w:t>周边种植绿化植物。在采取以上措施后，NH</w:t>
            </w:r>
            <w:r>
              <w:rPr>
                <w:rFonts w:ascii="Times New Roman" w:hAnsi="Times New Roman" w:cs="Times New Roman"/>
                <w:bCs/>
                <w:vertAlign w:val="subscript"/>
              </w:rPr>
              <w:t>3</w:t>
            </w:r>
            <w:r>
              <w:rPr>
                <w:rFonts w:ascii="Times New Roman" w:hAnsi="Times New Roman" w:cs="Times New Roman"/>
                <w:bCs/>
              </w:rPr>
              <w:t>和H</w:t>
            </w:r>
            <w:r>
              <w:rPr>
                <w:rFonts w:ascii="Times New Roman" w:hAnsi="Times New Roman" w:cs="Times New Roman"/>
                <w:bCs/>
                <w:vertAlign w:val="subscript"/>
              </w:rPr>
              <w:t>2</w:t>
            </w:r>
            <w:r>
              <w:rPr>
                <w:rFonts w:ascii="Times New Roman" w:hAnsi="Times New Roman" w:cs="Times New Roman"/>
                <w:bCs/>
              </w:rPr>
              <w:t>S的去除效率分别取92%和89%，则NH</w:t>
            </w:r>
            <w:r>
              <w:rPr>
                <w:rFonts w:ascii="Times New Roman" w:hAnsi="Times New Roman" w:cs="Times New Roman"/>
                <w:bCs/>
                <w:vertAlign w:val="subscript"/>
              </w:rPr>
              <w:t>3</w:t>
            </w:r>
            <w:r>
              <w:rPr>
                <w:rFonts w:ascii="Times New Roman" w:hAnsi="Times New Roman" w:cs="Times New Roman"/>
                <w:bCs/>
              </w:rPr>
              <w:t>的排放量约为0.0009t/a （0.0004kg/h）；H</w:t>
            </w:r>
            <w:r>
              <w:rPr>
                <w:rFonts w:ascii="Times New Roman" w:hAnsi="Times New Roman" w:cs="Times New Roman"/>
                <w:bCs/>
                <w:vertAlign w:val="subscript"/>
              </w:rPr>
              <w:t>2</w:t>
            </w:r>
            <w:r>
              <w:rPr>
                <w:rFonts w:ascii="Times New Roman" w:hAnsi="Times New Roman" w:cs="Times New Roman"/>
                <w:bCs/>
              </w:rPr>
              <w:t>S的排放量约为0.55×10</w:t>
            </w:r>
            <w:r>
              <w:rPr>
                <w:rFonts w:ascii="Times New Roman" w:hAnsi="Times New Roman" w:cs="Times New Roman"/>
                <w:bCs/>
                <w:vertAlign w:val="superscript"/>
              </w:rPr>
              <w:t>-4</w:t>
            </w:r>
            <w:r>
              <w:rPr>
                <w:rFonts w:ascii="Times New Roman" w:hAnsi="Times New Roman" w:cs="Times New Roman"/>
                <w:bCs/>
              </w:rPr>
              <w:t>t/a（0.55×10</w:t>
            </w:r>
            <w:r>
              <w:rPr>
                <w:rFonts w:ascii="Times New Roman" w:hAnsi="Times New Roman" w:cs="Times New Roman"/>
                <w:bCs/>
                <w:vertAlign w:val="superscript"/>
              </w:rPr>
              <w:t>-4</w:t>
            </w:r>
            <w:r>
              <w:rPr>
                <w:rFonts w:ascii="Times New Roman" w:hAnsi="Times New Roman" w:cs="Times New Roman"/>
                <w:bCs/>
              </w:rPr>
              <w:t>kg/h）</w:t>
            </w:r>
            <w:r>
              <w:rPr>
                <w:rFonts w:hint="eastAsia" w:ascii="Times New Roman" w:hAnsi="Times New Roman" w:cs="Times New Roman"/>
                <w:bCs/>
              </w:rPr>
              <w:t>。</w:t>
            </w:r>
          </w:p>
          <w:p w14:paraId="6CEBACF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bCs/>
              </w:rPr>
              <w:t>食堂油烟</w:t>
            </w:r>
          </w:p>
          <w:p w14:paraId="347EA984">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t>食堂安装油烟净化器</w:t>
            </w:r>
            <w:r>
              <w:rPr>
                <w:rFonts w:hint="eastAsia" w:ascii="Times New Roman" w:hAnsi="Times New Roman" w:cs="Times New Roman"/>
                <w:bCs/>
              </w:rPr>
              <w:t>，</w:t>
            </w:r>
            <w:r>
              <w:rPr>
                <w:rFonts w:ascii="Times New Roman" w:hAnsi="Times New Roman" w:cs="Times New Roman"/>
                <w:bCs/>
              </w:rPr>
              <w:t>油烟去除效率为60%，油烟的排放浓度为0.573mg/m</w:t>
            </w:r>
            <w:r>
              <w:rPr>
                <w:rFonts w:ascii="Times New Roman" w:hAnsi="Times New Roman" w:cs="Times New Roman"/>
                <w:bCs/>
                <w:vertAlign w:val="superscript"/>
              </w:rPr>
              <w:t>3</w:t>
            </w:r>
            <w:r>
              <w:rPr>
                <w:rFonts w:hint="eastAsia" w:ascii="Times New Roman" w:hAnsi="Times New Roman" w:cs="Times New Roman"/>
                <w:bCs/>
              </w:rPr>
              <w:t>，满足</w:t>
            </w:r>
            <w:r>
              <w:rPr>
                <w:rFonts w:ascii="Times New Roman" w:hAnsi="Times New Roman" w:cs="Times New Roman"/>
                <w:bCs/>
              </w:rPr>
              <w:t>《饮食业油烟排放标准》（GB18483-2001）</w:t>
            </w:r>
            <w:r>
              <w:rPr>
                <w:rFonts w:hint="eastAsia" w:ascii="Times New Roman" w:hAnsi="Times New Roman" w:cs="Times New Roman"/>
                <w:bCs/>
              </w:rPr>
              <w:t>中</w:t>
            </w:r>
            <w:r>
              <w:rPr>
                <w:rFonts w:ascii="Times New Roman" w:hAnsi="Times New Roman" w:cs="Times New Roman"/>
                <w:bCs/>
              </w:rPr>
              <w:t>油烟≤2.0mg/m</w:t>
            </w:r>
            <w:r>
              <w:rPr>
                <w:rFonts w:ascii="Times New Roman" w:hAnsi="Times New Roman" w:cs="Times New Roman"/>
                <w:bCs/>
                <w:vertAlign w:val="superscript"/>
              </w:rPr>
              <w:t>3</w:t>
            </w:r>
            <w:r>
              <w:rPr>
                <w:rFonts w:hint="eastAsia" w:ascii="Times New Roman" w:hAnsi="Times New Roman" w:cs="Times New Roman"/>
                <w:bCs/>
              </w:rPr>
              <w:t>要求</w:t>
            </w:r>
            <w:r>
              <w:rPr>
                <w:rFonts w:ascii="Times New Roman" w:hAnsi="Times New Roman" w:cs="Times New Roman"/>
                <w:bCs/>
              </w:rPr>
              <w:t>。</w:t>
            </w:r>
          </w:p>
          <w:p w14:paraId="593A908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车辆设备尾气</w:t>
            </w:r>
          </w:p>
          <w:p w14:paraId="3E6D78DE">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运输车辆尾气产生点较分散且为流动性，表现为间歇性特征，污染物排放量和排放强度均不大。</w:t>
            </w:r>
          </w:p>
          <w:p w14:paraId="7C3D6747">
            <w:pPr>
              <w:pStyle w:val="10"/>
              <w:spacing w:line="360" w:lineRule="auto"/>
              <w:ind w:left="0" w:right="105" w:rightChars="50" w:firstLine="240" w:firstLineChars="100"/>
              <w:rPr>
                <w:rFonts w:ascii="Times New Roman" w:hAnsi="Times New Roman" w:cs="Times New Roman"/>
                <w:lang w:val="en-US"/>
              </w:rPr>
            </w:pPr>
            <w:r>
              <w:rPr>
                <w:rFonts w:hint="eastAsia" w:ascii="Times New Roman" w:hAnsi="Times New Roman" w:cs="Times New Roman"/>
                <w:lang w:val="en-US"/>
              </w:rPr>
              <w:t>3</w:t>
            </w:r>
            <w:r>
              <w:rPr>
                <w:rFonts w:hint="eastAsia" w:ascii="Times New Roman" w:hAnsi="Times New Roman" w:cs="Times New Roman"/>
              </w:rPr>
              <w:t>、</w:t>
            </w:r>
            <w:r>
              <w:rPr>
                <w:rFonts w:ascii="Times New Roman" w:hAnsi="Times New Roman" w:cs="Times New Roman"/>
              </w:rPr>
              <w:t>废气污染防治措</w:t>
            </w:r>
            <w:r>
              <w:rPr>
                <w:rFonts w:hint="eastAsia" w:ascii="Times New Roman" w:hAnsi="Times New Roman" w:cs="Times New Roman"/>
              </w:rPr>
              <w:t>及可行性分析</w:t>
            </w:r>
          </w:p>
          <w:p w14:paraId="143ECA5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“冷凝+喷淋+焚烧”处理工艺废气可行性分析</w:t>
            </w:r>
          </w:p>
          <w:p w14:paraId="6DF0A39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工艺废气产生于病死动物无害化处理过程中的破碎、高温干法化制、压榨脱脂工序，主要污染物为</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S。破碎机、化制罐、榨油机均为密闭装置，化制罐采用锅炉提供的</w:t>
            </w:r>
            <w:r>
              <w:rPr>
                <w:rFonts w:hint="eastAsia" w:ascii="Times New Roman" w:hAnsi="Times New Roman" w:cs="Times New Roman"/>
              </w:rPr>
              <w:t>热油</w:t>
            </w:r>
            <w:r>
              <w:rPr>
                <w:rFonts w:ascii="Times New Roman" w:hAnsi="Times New Roman" w:cs="Times New Roman"/>
              </w:rPr>
              <w:t>为热源间接加热升压灭菌和烘干，化制罐内的污蒸汽经泄压后排出，与破碎、压榨脱脂工序收集的废气一起采用“冷凝+喷淋（酸碱）+焚烧”工艺处理，焚烧在生物质锅炉炉膛进行，废气最终与燃烧烟气一并由DA001排气筒排放</w:t>
            </w:r>
            <w:r>
              <w:rPr>
                <w:rFonts w:hint="eastAsia" w:ascii="Times New Roman" w:hAnsi="Times New Roman" w:cs="Times New Roman"/>
              </w:rPr>
              <w:t>。</w:t>
            </w:r>
          </w:p>
          <w:p w14:paraId="3B05C78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卧式冷凝器工作原理：主要是通过夹套中通循环冷却水对高温蒸汽废气进行冷凝。</w:t>
            </w:r>
            <w:r>
              <w:rPr>
                <w:rFonts w:hint="eastAsia" w:ascii="Times New Roman" w:hAnsi="Times New Roman" w:cs="Times New Roman"/>
              </w:rPr>
              <w:t>根据建设</w:t>
            </w:r>
            <w:r>
              <w:rPr>
                <w:rFonts w:ascii="Times New Roman" w:hAnsi="Times New Roman" w:cs="Times New Roman"/>
              </w:rPr>
              <w:t>单位提供的</w:t>
            </w:r>
            <w:r>
              <w:rPr>
                <w:rFonts w:hint="eastAsia" w:ascii="Times New Roman" w:hAnsi="Times New Roman" w:cs="Times New Roman"/>
              </w:rPr>
              <w:t>设计资料</w:t>
            </w:r>
            <w:r>
              <w:rPr>
                <w:rFonts w:ascii="Times New Roman" w:hAnsi="Times New Roman" w:cs="Times New Roman"/>
              </w:rPr>
              <w:t>，二级卧式冷凝器冷凝温度为15℃，经冷凝效率可达到90%以上。</w:t>
            </w:r>
          </w:p>
          <w:p w14:paraId="4F21FB4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喷淋除臭工作原理：</w:t>
            </w:r>
            <w:r>
              <w:t>由于恶臭主要</w:t>
            </w:r>
            <w:r>
              <w:rPr>
                <w:rFonts w:hint="eastAsia"/>
              </w:rPr>
              <w:t>污染物</w:t>
            </w:r>
            <w:r>
              <w:t>为</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t>，采用柠檬酸</w:t>
            </w:r>
            <w:r>
              <w:rPr>
                <w:rFonts w:hint="eastAsia" w:ascii="Times New Roman" w:hAnsi="Times New Roman" w:cs="Times New Roman"/>
              </w:rPr>
              <w:t>（</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O</w:t>
            </w:r>
            <w:r>
              <w:rPr>
                <w:rFonts w:ascii="Times New Roman" w:hAnsi="Times New Roman" w:cs="Times New Roman"/>
                <w:vertAlign w:val="subscript"/>
              </w:rPr>
              <w:t>7</w:t>
            </w:r>
            <w:r>
              <w:rPr>
                <w:rFonts w:hint="eastAsia" w:ascii="Times New Roman" w:hAnsi="Times New Roman" w:cs="Times New Roman"/>
              </w:rPr>
              <w:t>）</w:t>
            </w:r>
            <w:r>
              <w:rPr>
                <w:rFonts w:ascii="Times New Roman" w:hAnsi="Times New Roman" w:cs="Times New Roman"/>
              </w:rPr>
              <w:t>吸收</w:t>
            </w:r>
            <w:r>
              <w:rPr>
                <w:rFonts w:hint="eastAsia" w:ascii="Times New Roman" w:hAnsi="Times New Roman" w:cs="Times New Roman"/>
              </w:rPr>
              <w:t>N</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，用</w:t>
            </w:r>
            <w:r>
              <w:rPr>
                <w:rFonts w:hint="eastAsia" w:ascii="Times New Roman" w:hAnsi="Times New Roman" w:cs="Times New Roman"/>
              </w:rPr>
              <w:t>Na</w:t>
            </w:r>
            <w:r>
              <w:rPr>
                <w:rFonts w:ascii="Times New Roman" w:hAnsi="Times New Roman" w:cs="Times New Roman"/>
              </w:rPr>
              <w:t>OH溶液吸收</w:t>
            </w:r>
            <w:r>
              <w:rPr>
                <w:rFonts w:hint="eastAsia"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S。恶臭废气由风管</w:t>
            </w:r>
            <w:r>
              <w:rPr>
                <w:rFonts w:hint="eastAsia" w:ascii="Times New Roman" w:hAnsi="Times New Roman" w:cs="Times New Roman"/>
              </w:rPr>
              <w:t>首先</w:t>
            </w:r>
            <w:r>
              <w:rPr>
                <w:rFonts w:ascii="Times New Roman" w:hAnsi="Times New Roman" w:cs="Times New Roman"/>
              </w:rPr>
              <w:t>引入</w:t>
            </w:r>
            <w:r>
              <w:rPr>
                <w:rFonts w:hint="eastAsia" w:ascii="Times New Roman" w:hAnsi="Times New Roman" w:cs="Times New Roman"/>
              </w:rPr>
              <w:t>酸洗</w:t>
            </w:r>
            <w:r>
              <w:rPr>
                <w:rFonts w:ascii="Times New Roman" w:hAnsi="Times New Roman" w:cs="Times New Roman"/>
              </w:rPr>
              <w:t>喷淋塔</w:t>
            </w:r>
            <w:r>
              <w:rPr>
                <w:rFonts w:hint="eastAsia" w:ascii="Times New Roman" w:hAnsi="Times New Roman" w:cs="Times New Roman"/>
              </w:rPr>
              <w:t>底部的溶液池</w:t>
            </w:r>
            <w:r>
              <w:rPr>
                <w:rFonts w:ascii="Times New Roman" w:hAnsi="Times New Roman" w:cs="Times New Roman"/>
              </w:rPr>
              <w:t>，经过喷淋塔底部的柠檬酸溶液洗涤</w:t>
            </w:r>
            <w:r>
              <w:rPr>
                <w:rFonts w:hint="eastAsia" w:ascii="Times New Roman" w:hAnsi="Times New Roman" w:cs="Times New Roman"/>
              </w:rPr>
              <w:t>后</w:t>
            </w:r>
            <w:r>
              <w:rPr>
                <w:rFonts w:ascii="Times New Roman" w:hAnsi="Times New Roman" w:cs="Times New Roman"/>
              </w:rPr>
              <w:t>，</w:t>
            </w:r>
            <w:r>
              <w:rPr>
                <w:rFonts w:hint="eastAsia" w:ascii="Times New Roman" w:hAnsi="Times New Roman" w:cs="Times New Roman"/>
              </w:rPr>
              <w:t>再经</w:t>
            </w:r>
            <w:r>
              <w:rPr>
                <w:rFonts w:ascii="Times New Roman" w:hAnsi="Times New Roman" w:cs="Times New Roman"/>
              </w:rPr>
              <w:t>陶瓷曝气管喷淋的柠檬酸溶液洗涤</w:t>
            </w:r>
            <w:r>
              <w:rPr>
                <w:rFonts w:hint="eastAsia" w:ascii="Times New Roman" w:hAnsi="Times New Roman" w:cs="Times New Roman"/>
              </w:rPr>
              <w:t>，然后引入碱洗塔。臭气进入碱洗塔后</w:t>
            </w:r>
            <w:r>
              <w:rPr>
                <w:rFonts w:ascii="Times New Roman" w:hAnsi="Times New Roman" w:cs="Times New Roman"/>
              </w:rPr>
              <w:t>经过喷淋塔底部的10%氢氧化钠溶液洗涤，然后经过陶瓷曝气管喷淋的10%氢氧化钠溶液洗涤，废气与氢氧化钠吸收液进行气液两相充分接触吸收中和反应。</w:t>
            </w:r>
            <w:r>
              <w:rPr>
                <w:rFonts w:hint="eastAsia" w:ascii="Times New Roman" w:hAnsi="Times New Roman" w:cs="Times New Roman"/>
              </w:rPr>
              <w:t>柠檬酸是弱酸，在水中电离出H</w:t>
            </w:r>
            <w:r>
              <w:rPr>
                <w:rFonts w:hint="eastAsia" w:ascii="Times New Roman" w:hAnsi="Times New Roman" w:cs="Times New Roman"/>
                <w:vertAlign w:val="superscript"/>
              </w:rPr>
              <w:t>+</w:t>
            </w:r>
            <w:r>
              <w:rPr>
                <w:rFonts w:hint="eastAsia" w:ascii="Times New Roman" w:hAnsi="Times New Roman" w:cs="Times New Roman"/>
              </w:rPr>
              <w:t>，氨水是弱碱，易被水吸收，并电离出OH</w:t>
            </w:r>
            <w:r>
              <w:rPr>
                <w:rFonts w:hint="eastAsia" w:ascii="Times New Roman" w:hAnsi="Times New Roman" w:cs="Times New Roman"/>
                <w:vertAlign w:val="superscript"/>
              </w:rPr>
              <w:t>-</w:t>
            </w:r>
            <w:r>
              <w:rPr>
                <w:rFonts w:hint="eastAsia" w:ascii="Times New Roman" w:hAnsi="Times New Roman" w:cs="Times New Roman"/>
              </w:rPr>
              <w:t>，H</w:t>
            </w:r>
            <w:r>
              <w:rPr>
                <w:rFonts w:hint="eastAsia" w:ascii="Times New Roman" w:hAnsi="Times New Roman" w:cs="Times New Roman"/>
                <w:vertAlign w:val="superscript"/>
              </w:rPr>
              <w:t>+</w:t>
            </w:r>
            <w:r>
              <w:rPr>
                <w:rFonts w:hint="eastAsia" w:ascii="Times New Roman" w:hAnsi="Times New Roman" w:cs="Times New Roman"/>
              </w:rPr>
              <w:t>与OH</w:t>
            </w:r>
            <w:r>
              <w:rPr>
                <w:rFonts w:hint="eastAsia" w:ascii="Times New Roman" w:hAnsi="Times New Roman" w:cs="Times New Roman"/>
                <w:vertAlign w:val="superscript"/>
              </w:rPr>
              <w:t>-</w:t>
            </w:r>
            <w:r>
              <w:rPr>
                <w:rFonts w:hint="eastAsia" w:ascii="Times New Roman" w:hAnsi="Times New Roman" w:cs="Times New Roman"/>
              </w:rPr>
              <w:t>反应生成水，余下部分结合成柠檬酸铵。Na</w:t>
            </w:r>
            <w:r>
              <w:rPr>
                <w:rFonts w:ascii="Times New Roman" w:hAnsi="Times New Roman" w:cs="Times New Roman"/>
              </w:rPr>
              <w:t>OH</w:t>
            </w:r>
            <w:r>
              <w:rPr>
                <w:rFonts w:hint="eastAsia" w:ascii="Times New Roman" w:hAnsi="Times New Roman" w:cs="Times New Roman"/>
              </w:rPr>
              <w:t>与H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反应式为：H</w:t>
            </w:r>
            <w:r>
              <w:rPr>
                <w:rFonts w:ascii="Times New Roman" w:hAnsi="Times New Roman" w:cs="Times New Roman"/>
              </w:rPr>
              <w:t>₂</w:t>
            </w:r>
            <w:r>
              <w:rPr>
                <w:rFonts w:hint="eastAsia" w:ascii="Times New Roman" w:hAnsi="Times New Roman" w:cs="Times New Roman"/>
              </w:rPr>
              <w:t>S + NaOH(适量) == NaHS + H</w:t>
            </w:r>
            <w:r>
              <w:rPr>
                <w:rFonts w:ascii="Times New Roman" w:hAnsi="Times New Roman" w:cs="Times New Roman"/>
              </w:rPr>
              <w:t>₂</w:t>
            </w:r>
            <w:r>
              <w:rPr>
                <w:rFonts w:hint="eastAsia" w:ascii="Times New Roman" w:hAnsi="Times New Roman" w:cs="Times New Roman"/>
              </w:rPr>
              <w:t>O，H</w:t>
            </w:r>
            <w:r>
              <w:rPr>
                <w:rFonts w:ascii="Times New Roman" w:hAnsi="Times New Roman" w:cs="Times New Roman"/>
              </w:rPr>
              <w:t>₂</w:t>
            </w:r>
            <w:r>
              <w:rPr>
                <w:rFonts w:hint="eastAsia" w:ascii="Times New Roman" w:hAnsi="Times New Roman" w:cs="Times New Roman"/>
              </w:rPr>
              <w:t>S + 2NaOH(足量) == Na</w:t>
            </w:r>
            <w:r>
              <w:rPr>
                <w:rFonts w:ascii="Times New Roman" w:hAnsi="Times New Roman" w:cs="Times New Roman"/>
              </w:rPr>
              <w:t>₂</w:t>
            </w:r>
            <w:r>
              <w:rPr>
                <w:rFonts w:hint="eastAsia" w:ascii="Times New Roman" w:hAnsi="Times New Roman" w:cs="Times New Roman"/>
              </w:rPr>
              <w:t>S+2H</w:t>
            </w:r>
            <w:r>
              <w:rPr>
                <w:rFonts w:ascii="Times New Roman" w:hAnsi="Times New Roman" w:cs="Times New Roman"/>
              </w:rPr>
              <w:t>₂</w:t>
            </w:r>
            <w:r>
              <w:rPr>
                <w:rFonts w:hint="eastAsia" w:ascii="Times New Roman" w:hAnsi="Times New Roman" w:cs="Times New Roman"/>
              </w:rPr>
              <w:t>O。经酸洗和碱洗后臭气总去除效率可达到</w:t>
            </w:r>
            <w:r>
              <w:rPr>
                <w:rFonts w:ascii="Times New Roman" w:hAnsi="Times New Roman" w:cs="Times New Roman"/>
              </w:rPr>
              <w:t>80%</w:t>
            </w:r>
            <w:r>
              <w:rPr>
                <w:rFonts w:hint="eastAsia" w:ascii="Times New Roman" w:hAnsi="Times New Roman" w:cs="Times New Roman"/>
              </w:rPr>
              <w:t>。</w:t>
            </w:r>
          </w:p>
          <w:p w14:paraId="6A5BEB8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）臭气焚烧措施</w:t>
            </w:r>
          </w:p>
          <w:p w14:paraId="40718052">
            <w:pPr>
              <w:pStyle w:val="8"/>
              <w:spacing w:line="360" w:lineRule="auto"/>
              <w:ind w:firstLine="240" w:firstLineChars="100"/>
              <w:rPr>
                <w:bCs/>
                <w:sz w:val="24"/>
                <w:szCs w:val="24"/>
              </w:rPr>
            </w:pPr>
            <w:r>
              <w:rPr>
                <w:rFonts w:hint="eastAsia"/>
                <w:bCs/>
                <w:sz w:val="24"/>
                <w:szCs w:val="24"/>
              </w:rPr>
              <w:t>本项目拟利用锅炉燃烧进一步处理臭气，即采用燃烧法处理臭气。</w:t>
            </w:r>
            <w:r>
              <w:rPr>
                <w:sz w:val="24"/>
                <w:szCs w:val="24"/>
              </w:rPr>
              <w:t>燃烧法的实质是高温氧化，将臭味物质氧化为无臭的</w:t>
            </w:r>
            <w:r>
              <w:rPr>
                <w:rFonts w:hint="eastAsia"/>
                <w:sz w:val="24"/>
                <w:szCs w:val="24"/>
              </w:rPr>
              <w:t>S</w:t>
            </w:r>
            <w:r>
              <w:rPr>
                <w:sz w:val="24"/>
                <w:szCs w:val="24"/>
              </w:rPr>
              <w:t>O</w:t>
            </w:r>
            <w:r>
              <w:rPr>
                <w:sz w:val="24"/>
                <w:szCs w:val="24"/>
                <w:vertAlign w:val="subscript"/>
              </w:rPr>
              <w:t>2</w:t>
            </w:r>
            <w:r>
              <w:rPr>
                <w:rFonts w:hint="eastAsia"/>
                <w:sz w:val="24"/>
                <w:szCs w:val="24"/>
              </w:rPr>
              <w:t>、</w:t>
            </w:r>
            <w:r>
              <w:rPr>
                <w:sz w:val="24"/>
                <w:szCs w:val="24"/>
              </w:rPr>
              <w:t>NO</w:t>
            </w:r>
            <w:r>
              <w:rPr>
                <w:rFonts w:hint="eastAsia"/>
                <w:sz w:val="24"/>
                <w:szCs w:val="24"/>
              </w:rPr>
              <w:t>x、N</w:t>
            </w:r>
            <w:r>
              <w:rPr>
                <w:sz w:val="24"/>
                <w:szCs w:val="24"/>
                <w:vertAlign w:val="subscript"/>
              </w:rPr>
              <w:t>2</w:t>
            </w:r>
            <w:r>
              <w:rPr>
                <w:rFonts w:hint="eastAsia"/>
                <w:sz w:val="24"/>
                <w:szCs w:val="24"/>
              </w:rPr>
              <w:t>、</w:t>
            </w:r>
            <w:r>
              <w:rPr>
                <w:sz w:val="24"/>
                <w:szCs w:val="24"/>
              </w:rPr>
              <w:t>CO</w:t>
            </w:r>
            <w:r>
              <w:rPr>
                <w:sz w:val="24"/>
                <w:szCs w:val="24"/>
                <w:vertAlign w:val="subscript"/>
              </w:rPr>
              <w:t>2</w:t>
            </w:r>
            <w:r>
              <w:rPr>
                <w:sz w:val="24"/>
                <w:szCs w:val="24"/>
              </w:rPr>
              <w:t>和H</w:t>
            </w:r>
            <w:r>
              <w:rPr>
                <w:sz w:val="24"/>
                <w:szCs w:val="24"/>
                <w:vertAlign w:val="subscript"/>
              </w:rPr>
              <w:t>2</w:t>
            </w:r>
            <w:r>
              <w:rPr>
                <w:sz w:val="24"/>
                <w:szCs w:val="24"/>
              </w:rPr>
              <w:t>O等</w:t>
            </w:r>
            <w:r>
              <w:rPr>
                <w:rFonts w:hint="eastAsia"/>
                <w:sz w:val="24"/>
                <w:szCs w:val="24"/>
              </w:rPr>
              <w:t>，并进一步采取措施，将生成的S</w:t>
            </w:r>
            <w:r>
              <w:rPr>
                <w:sz w:val="24"/>
                <w:szCs w:val="24"/>
              </w:rPr>
              <w:t>O</w:t>
            </w:r>
            <w:r>
              <w:rPr>
                <w:sz w:val="24"/>
                <w:szCs w:val="24"/>
                <w:vertAlign w:val="subscript"/>
              </w:rPr>
              <w:t>2</w:t>
            </w:r>
            <w:r>
              <w:rPr>
                <w:rFonts w:hint="eastAsia"/>
                <w:sz w:val="24"/>
                <w:szCs w:val="24"/>
              </w:rPr>
              <w:t>、</w:t>
            </w:r>
            <w:r>
              <w:rPr>
                <w:sz w:val="24"/>
                <w:szCs w:val="24"/>
              </w:rPr>
              <w:t>NO</w:t>
            </w:r>
            <w:r>
              <w:rPr>
                <w:rFonts w:hint="eastAsia"/>
                <w:sz w:val="24"/>
                <w:szCs w:val="24"/>
              </w:rPr>
              <w:t>x去除。臭气分解温度一般在7</w:t>
            </w:r>
            <w:r>
              <w:rPr>
                <w:sz w:val="24"/>
                <w:szCs w:val="24"/>
              </w:rPr>
              <w:t>60</w:t>
            </w:r>
            <w:r>
              <w:rPr>
                <w:bCs/>
                <w:sz w:val="24"/>
                <w:szCs w:val="24"/>
              </w:rPr>
              <w:t>℃</w:t>
            </w:r>
            <w:r>
              <w:rPr>
                <w:rFonts w:hint="eastAsia"/>
                <w:bCs/>
                <w:sz w:val="24"/>
                <w:szCs w:val="24"/>
              </w:rPr>
              <w:t>左右，分解需时一般在</w:t>
            </w:r>
            <w:r>
              <w:rPr>
                <w:sz w:val="24"/>
                <w:szCs w:val="24"/>
              </w:rPr>
              <w:t>0.3～0.5s</w:t>
            </w:r>
            <w:r>
              <w:rPr>
                <w:rFonts w:hint="eastAsia"/>
                <w:sz w:val="24"/>
                <w:szCs w:val="24"/>
              </w:rPr>
              <w:t>之间。</w:t>
            </w:r>
            <w:r>
              <w:rPr>
                <w:rFonts w:hint="eastAsia"/>
                <w:bCs/>
                <w:sz w:val="24"/>
                <w:szCs w:val="24"/>
              </w:rPr>
              <w:t>本项目锅炉内</w:t>
            </w:r>
            <w:r>
              <w:rPr>
                <w:bCs/>
                <w:sz w:val="24"/>
                <w:szCs w:val="24"/>
              </w:rPr>
              <w:t>温度</w:t>
            </w:r>
            <w:r>
              <w:rPr>
                <w:rFonts w:hint="eastAsia"/>
                <w:bCs/>
                <w:sz w:val="24"/>
                <w:szCs w:val="24"/>
              </w:rPr>
              <w:t>可达</w:t>
            </w:r>
            <w:r>
              <w:rPr>
                <w:bCs/>
                <w:sz w:val="24"/>
                <w:szCs w:val="24"/>
              </w:rPr>
              <w:t>880~950℃，</w:t>
            </w:r>
            <w:r>
              <w:rPr>
                <w:rFonts w:hint="eastAsia"/>
                <w:bCs/>
                <w:sz w:val="24"/>
                <w:szCs w:val="24"/>
              </w:rPr>
              <w:t>能高效彻底的将臭气分解。本项目采用燃烧法处理臭气不需新增设施，不仅提高了臭气处理效率，还节约了建设成本和运营成本。经酸碱洗的臭气属于低浓度废气，采用燃烧法处理臭气具有</w:t>
            </w:r>
            <w:r>
              <w:rPr>
                <w:bCs/>
                <w:sz w:val="24"/>
                <w:szCs w:val="24"/>
              </w:rPr>
              <w:t>效率高</w:t>
            </w:r>
            <w:r>
              <w:rPr>
                <w:rFonts w:hint="eastAsia"/>
                <w:bCs/>
                <w:sz w:val="24"/>
                <w:szCs w:val="24"/>
              </w:rPr>
              <w:t>、</w:t>
            </w:r>
            <w:r>
              <w:rPr>
                <w:bCs/>
                <w:sz w:val="24"/>
                <w:szCs w:val="24"/>
              </w:rPr>
              <w:t>运行稳定</w:t>
            </w:r>
            <w:r>
              <w:rPr>
                <w:rFonts w:hint="eastAsia"/>
                <w:bCs/>
                <w:sz w:val="24"/>
                <w:szCs w:val="24"/>
              </w:rPr>
              <w:t>的优点，臭气排放满足《恶臭污染物排放标准》(GB14554-93）表2中相应标准要求。</w:t>
            </w:r>
            <w:r>
              <w:rPr>
                <w:bCs/>
                <w:sz w:val="24"/>
                <w:szCs w:val="24"/>
              </w:rPr>
              <w:t>因此，项目采用的</w:t>
            </w:r>
            <w:r>
              <w:rPr>
                <w:rFonts w:hint="eastAsia"/>
                <w:bCs/>
                <w:sz w:val="24"/>
                <w:szCs w:val="24"/>
              </w:rPr>
              <w:t>臭气</w:t>
            </w:r>
            <w:r>
              <w:rPr>
                <w:bCs/>
                <w:sz w:val="24"/>
                <w:szCs w:val="24"/>
              </w:rPr>
              <w:t>污染治理技术是可行的。</w:t>
            </w:r>
          </w:p>
          <w:p w14:paraId="130B217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塔</w:t>
            </w:r>
          </w:p>
          <w:p w14:paraId="2CFE216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w:t>
            </w:r>
            <w:r>
              <w:rPr>
                <w:rFonts w:hint="eastAsia" w:ascii="Times New Roman" w:hAnsi="Times New Roman" w:cs="Times New Roman"/>
              </w:rPr>
              <w:t>拟设1套</w:t>
            </w:r>
            <w:r>
              <w:rPr>
                <w:rFonts w:ascii="Times New Roman" w:hAnsi="Times New Roman" w:cs="Times New Roman"/>
              </w:rPr>
              <w:t>双碱法喷淋脱硫</w:t>
            </w:r>
            <w:r>
              <w:rPr>
                <w:rFonts w:hint="eastAsia" w:ascii="Times New Roman" w:hAnsi="Times New Roman" w:cs="Times New Roman"/>
              </w:rPr>
              <w:t>除尘</w:t>
            </w:r>
            <w:r>
              <w:rPr>
                <w:rFonts w:ascii="Times New Roman" w:hAnsi="Times New Roman" w:cs="Times New Roman"/>
              </w:rPr>
              <w:t>设备处理</w:t>
            </w:r>
            <w:r>
              <w:rPr>
                <w:rFonts w:hint="eastAsia" w:ascii="Times New Roman" w:hAnsi="Times New Roman" w:cs="Times New Roman"/>
              </w:rPr>
              <w:t>锅炉烟气，尾气</w:t>
            </w:r>
            <w:r>
              <w:rPr>
                <w:rFonts w:ascii="Times New Roman" w:hAnsi="Times New Roman" w:cs="Times New Roman"/>
              </w:rPr>
              <w:t>经1根35m高排气筒排放。双碱法喷淋脱硫</w:t>
            </w:r>
            <w:r>
              <w:rPr>
                <w:rFonts w:hint="eastAsia" w:ascii="Times New Roman" w:hAnsi="Times New Roman" w:cs="Times New Roman"/>
              </w:rPr>
              <w:t>除尘</w:t>
            </w:r>
            <w:r>
              <w:rPr>
                <w:rFonts w:ascii="Times New Roman" w:hAnsi="Times New Roman" w:cs="Times New Roman"/>
              </w:rPr>
              <w:t>设备</w:t>
            </w:r>
            <w:r>
              <w:rPr>
                <w:rFonts w:hint="eastAsia" w:ascii="Times New Roman" w:hAnsi="Times New Roman" w:cs="Times New Roman"/>
              </w:rPr>
              <w:t>除尘</w:t>
            </w:r>
            <w:r>
              <w:rPr>
                <w:rFonts w:ascii="Times New Roman" w:hAnsi="Times New Roman" w:cs="Times New Roman"/>
              </w:rPr>
              <w:t>、脱硫及脱</w:t>
            </w:r>
            <w:r>
              <w:rPr>
                <w:rFonts w:hint="eastAsia" w:ascii="Times New Roman" w:hAnsi="Times New Roman" w:cs="Times New Roman"/>
              </w:rPr>
              <w:t>硝</w:t>
            </w:r>
            <w:r>
              <w:rPr>
                <w:rFonts w:ascii="Times New Roman" w:hAnsi="Times New Roman" w:cs="Times New Roman"/>
              </w:rPr>
              <w:t>的原理如下：</w:t>
            </w:r>
          </w:p>
          <w:p w14:paraId="043D8713">
            <w:pPr>
              <w:pStyle w:val="10"/>
              <w:spacing w:line="360" w:lineRule="auto"/>
              <w:ind w:left="0" w:right="105" w:rightChars="50" w:firstLine="241" w:firstLineChars="100"/>
              <w:rPr>
                <w:rFonts w:ascii="Times New Roman" w:hAnsi="Times New Roman" w:cs="Times New Roman"/>
              </w:rPr>
            </w:pPr>
            <w:r>
              <w:rPr>
                <w:rFonts w:ascii="Times New Roman" w:hAnsi="Times New Roman" w:cs="Times New Roman"/>
                <w:b/>
                <w:bCs/>
              </w:rPr>
              <w:t>除尘：</w:t>
            </w:r>
            <w:r>
              <w:rPr>
                <w:rFonts w:ascii="Times New Roman" w:hAnsi="Times New Roman" w:cs="Times New Roman"/>
              </w:rPr>
              <w:t>含尘气体由筒体下部顺切向引入，旋转上升，塔体内配置有多个高效喷嘴及高效除雾装置，浆液在吸收塔内通过高效雾化喷嘴雾化，雾化覆盖面积可达300%，形成良好的气液接触反应界面，烟气通过入口切向进入塔内之后，在塔内匀速旋转上升，与雾状喷液进行全面高效混合接触，尘粒被筒体内水雾所吸附，自然沉降到底部</w:t>
            </w:r>
            <w:r>
              <w:rPr>
                <w:rFonts w:hint="eastAsia" w:ascii="Times New Roman" w:hAnsi="Times New Roman" w:cs="Times New Roman"/>
              </w:rPr>
              <w:t>，处理效率可达到</w:t>
            </w:r>
            <w:r>
              <w:rPr>
                <w:rFonts w:ascii="Times New Roman" w:hAnsi="Times New Roman" w:cs="Times New Roman"/>
              </w:rPr>
              <w:t>87</w:t>
            </w:r>
            <w:r>
              <w:rPr>
                <w:rFonts w:hint="eastAsia" w:ascii="Times New Roman" w:hAnsi="Times New Roman" w:cs="Times New Roman"/>
              </w:rPr>
              <w:t>%以上。</w:t>
            </w:r>
          </w:p>
          <w:p w14:paraId="11E04F03">
            <w:pPr>
              <w:spacing w:line="360" w:lineRule="auto"/>
              <w:ind w:firstLine="241" w:firstLineChars="100"/>
              <w:rPr>
                <w:rFonts w:ascii="Times New Roman" w:hAnsi="Times New Roman" w:cs="Times New Roman"/>
                <w:sz w:val="24"/>
              </w:rPr>
            </w:pPr>
            <w:r>
              <w:rPr>
                <w:rFonts w:ascii="Times New Roman" w:hAnsi="Times New Roman" w:cs="Times New Roman"/>
                <w:b/>
                <w:bCs/>
                <w:sz w:val="24"/>
              </w:rPr>
              <w:t>脱硫：</w:t>
            </w:r>
            <w:r>
              <w:rPr>
                <w:rFonts w:ascii="Times New Roman" w:hAnsi="Times New Roman" w:cs="Times New Roman"/>
                <w:sz w:val="24"/>
              </w:rPr>
              <w:fldChar w:fldCharType="begin"/>
            </w:r>
            <w:r>
              <w:rPr>
                <w:rFonts w:ascii="Times New Roman" w:hAnsi="Times New Roman" w:cs="Times New Roman"/>
                <w:sz w:val="24"/>
              </w:rPr>
              <w:instrText xml:space="preserve"> HYPERLINK "https://baike.so.com/doc/4483738-4692850.html" \t "https://baike.so.com/doc/_blank" </w:instrText>
            </w:r>
            <w:r>
              <w:rPr>
                <w:rFonts w:ascii="Times New Roman" w:hAnsi="Times New Roman" w:cs="Times New Roman"/>
                <w:sz w:val="24"/>
              </w:rPr>
              <w:fldChar w:fldCharType="separate"/>
            </w:r>
            <w:r>
              <w:rPr>
                <w:rFonts w:ascii="Times New Roman" w:hAnsi="Times New Roman" w:cs="Times New Roman"/>
                <w:sz w:val="24"/>
              </w:rPr>
              <w:t>双碱法烟气脱硫</w:t>
            </w:r>
            <w:r>
              <w:rPr>
                <w:rFonts w:ascii="Times New Roman" w:hAnsi="Times New Roman" w:cs="Times New Roman"/>
                <w:sz w:val="24"/>
              </w:rPr>
              <w:fldChar w:fldCharType="end"/>
            </w:r>
            <w:r>
              <w:rPr>
                <w:rFonts w:ascii="Times New Roman" w:hAnsi="Times New Roman" w:cs="Times New Roman"/>
                <w:sz w:val="24"/>
              </w:rPr>
              <w:t>技术是利用氢氧化钠溶液作为启动脱硫剂，配制好的氢氧化钠溶液直接打入脱硫塔洗涤脱除烟气中SO</w:t>
            </w:r>
            <w:r>
              <w:rPr>
                <w:rFonts w:ascii="Times New Roman" w:hAnsi="Times New Roman" w:cs="Times New Roman"/>
                <w:sz w:val="24"/>
                <w:vertAlign w:val="subscript"/>
              </w:rPr>
              <w:t>2</w:t>
            </w:r>
            <w:r>
              <w:rPr>
                <w:rFonts w:ascii="Times New Roman" w:hAnsi="Times New Roman" w:cs="Times New Roman"/>
                <w:sz w:val="24"/>
              </w:rPr>
              <w:t>来达到烟气脱硫的目的，然后脱硫产物经脱硫剂再生池还原成氢氧化钠再打回脱硫塔内循环使用。脱硫工艺主要包括5个部分：①吸收剂制备与补充；②吸收剂浆液喷淋；③塔内雾滴与烟气接触混合；④再生池浆液还原钠基碱；⑤</w:t>
            </w:r>
            <w:r>
              <w:fldChar w:fldCharType="begin"/>
            </w:r>
            <w:r>
              <w:instrText xml:space="preserve"> HYPERLINK "https://baike.so.com/doc/3957584-4152927.html" \t "https://baike.so.com/doc/_blank" </w:instrText>
            </w:r>
            <w:r>
              <w:fldChar w:fldCharType="separate"/>
            </w:r>
            <w:r>
              <w:rPr>
                <w:rFonts w:ascii="Times New Roman" w:hAnsi="Times New Roman" w:cs="Times New Roman"/>
                <w:sz w:val="24"/>
              </w:rPr>
              <w:t>石膏</w:t>
            </w:r>
            <w:r>
              <w:rPr>
                <w:rFonts w:ascii="Times New Roman" w:hAnsi="Times New Roman" w:cs="Times New Roman"/>
                <w:sz w:val="24"/>
              </w:rPr>
              <w:fldChar w:fldCharType="end"/>
            </w:r>
            <w:r>
              <w:rPr>
                <w:rFonts w:ascii="Times New Roman" w:hAnsi="Times New Roman" w:cs="Times New Roman"/>
                <w:sz w:val="24"/>
              </w:rPr>
              <w:t>脱水处理。</w:t>
            </w:r>
          </w:p>
          <w:p w14:paraId="2A2D637B">
            <w:pPr>
              <w:spacing w:line="360" w:lineRule="auto"/>
              <w:ind w:firstLine="240" w:firstLineChars="100"/>
              <w:rPr>
                <w:rFonts w:ascii="Times New Roman" w:hAnsi="Times New Roman" w:cs="Times New Roman"/>
                <w:sz w:val="24"/>
              </w:rPr>
            </w:pPr>
            <w:r>
              <w:rPr>
                <w:rFonts w:ascii="Times New Roman" w:hAnsi="Times New Roman" w:cs="Times New Roman"/>
                <w:sz w:val="24"/>
              </w:rPr>
              <w:t>双碱法烟气脱硫工艺同石灰石/石灰等其他</w:t>
            </w:r>
            <w:r>
              <w:rPr>
                <w:rFonts w:ascii="Times New Roman" w:hAnsi="Times New Roman" w:cs="Times New Roman"/>
                <w:sz w:val="24"/>
              </w:rPr>
              <w:fldChar w:fldCharType="begin"/>
            </w:r>
            <w:r>
              <w:rPr>
                <w:rFonts w:ascii="Times New Roman" w:hAnsi="Times New Roman" w:cs="Times New Roman"/>
                <w:sz w:val="24"/>
              </w:rPr>
              <w:instrText xml:space="preserve"> HYPERLINK "https://baike.so.com/doc/5940779-6153712.html" \t "https://baike.so.com/doc/_blank" </w:instrText>
            </w:r>
            <w:r>
              <w:rPr>
                <w:rFonts w:ascii="Times New Roman" w:hAnsi="Times New Roman" w:cs="Times New Roman"/>
                <w:sz w:val="24"/>
              </w:rPr>
              <w:fldChar w:fldCharType="separate"/>
            </w:r>
            <w:r>
              <w:rPr>
                <w:rFonts w:ascii="Times New Roman" w:hAnsi="Times New Roman" w:cs="Times New Roman"/>
                <w:sz w:val="24"/>
              </w:rPr>
              <w:t>湿法脱硫</w:t>
            </w:r>
            <w:r>
              <w:rPr>
                <w:rFonts w:ascii="Times New Roman" w:hAnsi="Times New Roman" w:cs="Times New Roman"/>
                <w:sz w:val="24"/>
              </w:rPr>
              <w:fldChar w:fldCharType="end"/>
            </w:r>
            <w:r>
              <w:rPr>
                <w:rFonts w:ascii="Times New Roman" w:hAnsi="Times New Roman" w:cs="Times New Roman"/>
                <w:sz w:val="24"/>
              </w:rPr>
              <w:t>反应机理类似，主要反应为烟气中的SO</w:t>
            </w:r>
            <w:r>
              <w:rPr>
                <w:rFonts w:ascii="Times New Roman" w:hAnsi="Times New Roman" w:cs="Times New Roman"/>
                <w:sz w:val="24"/>
                <w:vertAlign w:val="subscript"/>
              </w:rPr>
              <w:t>2</w:t>
            </w:r>
            <w:r>
              <w:rPr>
                <w:rFonts w:ascii="Times New Roman" w:hAnsi="Times New Roman" w:cs="Times New Roman"/>
                <w:sz w:val="24"/>
              </w:rPr>
              <w:t>先溶解于吸收液中，然后离解成H</w:t>
            </w:r>
            <w:r>
              <w:rPr>
                <w:rFonts w:ascii="Times New Roman" w:hAnsi="Times New Roman" w:cs="Times New Roman"/>
                <w:sz w:val="24"/>
                <w:vertAlign w:val="superscript"/>
              </w:rPr>
              <w:t>+</w:t>
            </w:r>
            <w:r>
              <w:rPr>
                <w:rFonts w:ascii="Times New Roman" w:hAnsi="Times New Roman" w:cs="Times New Roman"/>
                <w:sz w:val="24"/>
              </w:rPr>
              <w:t>和HSO</w:t>
            </w:r>
            <w:r>
              <w:rPr>
                <w:rFonts w:ascii="Times New Roman" w:hAnsi="Times New Roman" w:cs="Times New Roman"/>
                <w:sz w:val="24"/>
                <w:vertAlign w:val="subscript"/>
              </w:rPr>
              <w:t>3</w:t>
            </w:r>
            <w:r>
              <w:rPr>
                <w:rFonts w:ascii="Times New Roman" w:hAnsi="Times New Roman" w:cs="Times New Roman"/>
                <w:sz w:val="24"/>
                <w:vertAlign w:val="superscript"/>
              </w:rPr>
              <w:t>-</w:t>
            </w:r>
            <w:r>
              <w:rPr>
                <w:rFonts w:ascii="Times New Roman" w:hAnsi="Times New Roman" w:cs="Times New Roman"/>
                <w:sz w:val="24"/>
              </w:rPr>
              <w:t>；使用Na</w:t>
            </w:r>
            <w:r>
              <w:rPr>
                <w:rFonts w:ascii="Times New Roman" w:hAnsi="Times New Roman" w:cs="Times New Roman"/>
                <w:sz w:val="24"/>
                <w:vertAlign w:val="subscript"/>
              </w:rPr>
              <w:t>2</w:t>
            </w:r>
            <w:r>
              <w:rPr>
                <w:rFonts w:ascii="Times New Roman" w:hAnsi="Times New Roman" w:cs="Times New Roman"/>
                <w:sz w:val="24"/>
              </w:rPr>
              <w:t>CO</w:t>
            </w:r>
            <w:r>
              <w:rPr>
                <w:rFonts w:ascii="Times New Roman" w:hAnsi="Times New Roman" w:cs="Times New Roman"/>
                <w:sz w:val="24"/>
                <w:vertAlign w:val="subscript"/>
              </w:rPr>
              <w:t>3</w:t>
            </w:r>
            <w:r>
              <w:rPr>
                <w:rFonts w:ascii="Times New Roman" w:hAnsi="Times New Roman" w:cs="Times New Roman"/>
                <w:sz w:val="24"/>
              </w:rPr>
              <w:t>或NaOH液吸收烟气中的SO</w:t>
            </w:r>
            <w:r>
              <w:rPr>
                <w:rFonts w:ascii="Times New Roman" w:hAnsi="Times New Roman" w:cs="Times New Roman"/>
                <w:sz w:val="24"/>
                <w:vertAlign w:val="subscript"/>
              </w:rPr>
              <w:t>2</w:t>
            </w:r>
            <w:r>
              <w:rPr>
                <w:rFonts w:ascii="Times New Roman" w:hAnsi="Times New Roman" w:cs="Times New Roman"/>
                <w:sz w:val="24"/>
              </w:rPr>
              <w:t>，生成HSO</w:t>
            </w:r>
            <w:r>
              <w:rPr>
                <w:rFonts w:ascii="Times New Roman" w:hAnsi="Times New Roman" w:cs="Times New Roman"/>
                <w:sz w:val="24"/>
                <w:vertAlign w:val="subscript"/>
              </w:rPr>
              <w:t>3</w:t>
            </w:r>
            <w:r>
              <w:rPr>
                <w:rFonts w:ascii="Times New Roman" w:hAnsi="Times New Roman" w:cs="Times New Roman"/>
                <w:sz w:val="24"/>
                <w:vertAlign w:val="superscript"/>
              </w:rPr>
              <w:t>1-</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vertAlign w:val="superscript"/>
              </w:rPr>
              <w:t>2-</w:t>
            </w:r>
            <w:r>
              <w:rPr>
                <w:rFonts w:ascii="Times New Roman" w:hAnsi="Times New Roman" w:cs="Times New Roman"/>
                <w:sz w:val="24"/>
              </w:rPr>
              <w:t>与SO</w:t>
            </w:r>
            <w:r>
              <w:rPr>
                <w:rFonts w:ascii="Times New Roman" w:hAnsi="Times New Roman" w:cs="Times New Roman"/>
                <w:sz w:val="24"/>
                <w:vertAlign w:val="subscript"/>
              </w:rPr>
              <w:t>4</w:t>
            </w:r>
            <w:r>
              <w:rPr>
                <w:rFonts w:ascii="Times New Roman" w:hAnsi="Times New Roman" w:cs="Times New Roman"/>
                <w:sz w:val="24"/>
                <w:vertAlign w:val="superscript"/>
              </w:rPr>
              <w:t>2-</w:t>
            </w:r>
            <w:r>
              <w:rPr>
                <w:rFonts w:ascii="Times New Roman" w:hAnsi="Times New Roman" w:cs="Times New Roman"/>
                <w:sz w:val="24"/>
              </w:rPr>
              <w:t>，反应方程式如下</w:t>
            </w:r>
            <w:r>
              <w:rPr>
                <w:rFonts w:hint="eastAsia" w:ascii="Times New Roman" w:hAnsi="Times New Roman" w:cs="Times New Roman"/>
                <w:sz w:val="24"/>
              </w:rPr>
              <w:t>：</w:t>
            </w:r>
          </w:p>
          <w:p w14:paraId="71BA4631">
            <w:pPr>
              <w:spacing w:line="360" w:lineRule="auto"/>
              <w:ind w:firstLine="480" w:firstLineChars="200"/>
              <w:rPr>
                <w:rFonts w:ascii="Times New Roman" w:hAnsi="Times New Roman" w:cs="Times New Roman"/>
                <w:sz w:val="24"/>
              </w:rPr>
            </w:pPr>
            <w:bookmarkStart w:id="66" w:name="6901390-7122089-1_1"/>
            <w:bookmarkEnd w:id="66"/>
            <w:r>
              <w:rPr>
                <w:rFonts w:ascii="Times New Roman" w:hAnsi="Times New Roman" w:cs="Times New Roman"/>
                <w:sz w:val="24"/>
              </w:rPr>
              <w:t>脱硫反应：</w:t>
            </w:r>
          </w:p>
          <w:p w14:paraId="657C188C">
            <w:pPr>
              <w:spacing w:line="360" w:lineRule="auto"/>
              <w:ind w:firstLine="480" w:firstLineChars="200"/>
              <w:rPr>
                <w:rFonts w:ascii="Times New Roman" w:hAnsi="Times New Roman" w:cs="Times New Roman"/>
                <w:sz w:val="24"/>
              </w:rPr>
            </w:pP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CO</w:t>
            </w:r>
            <w:r>
              <w:rPr>
                <w:rFonts w:ascii="Times New Roman" w:hAnsi="Times New Roman" w:cs="Times New Roman"/>
                <w:sz w:val="24"/>
                <w:vertAlign w:val="subscript"/>
              </w:rPr>
              <w:t>3</w:t>
            </w:r>
            <w:r>
              <w:rPr>
                <w:rFonts w:ascii="Times New Roman" w:hAnsi="Times New Roman" w:cs="Times New Roman"/>
                <w:sz w:val="24"/>
              </w:rPr>
              <w:t xml:space="preserve"> + SO</w:t>
            </w:r>
            <w:r>
              <w:rPr>
                <w:rFonts w:ascii="Times New Roman" w:hAnsi="Times New Roman" w:cs="Times New Roman"/>
                <w:sz w:val="24"/>
                <w:vertAlign w:val="subscript"/>
              </w:rPr>
              <w:t>2</w:t>
            </w:r>
            <w:r>
              <w:rPr>
                <w:rFonts w:ascii="Times New Roman" w:hAnsi="Times New Roman" w:cs="Times New Roman"/>
                <w:sz w:val="24"/>
              </w:rPr>
              <w:t xml:space="preserve"> → 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 xml:space="preserve"> + CO</w:t>
            </w:r>
            <w:r>
              <w:rPr>
                <w:rFonts w:ascii="Times New Roman" w:hAnsi="Times New Roman" w:cs="Times New Roman"/>
                <w:sz w:val="24"/>
                <w:vertAlign w:val="subscript"/>
              </w:rPr>
              <w:t>2</w:t>
            </w:r>
            <w:r>
              <w:rPr>
                <w:rFonts w:ascii="Times New Roman" w:hAnsi="Times New Roman" w:cs="Times New Roman"/>
                <w:sz w:val="24"/>
              </w:rPr>
              <w:t>↑ (1)</w:t>
            </w:r>
          </w:p>
          <w:p w14:paraId="155F3E31">
            <w:pPr>
              <w:spacing w:line="360" w:lineRule="auto"/>
              <w:ind w:firstLine="480" w:firstLineChars="200"/>
              <w:rPr>
                <w:rFonts w:ascii="Times New Roman" w:hAnsi="Times New Roman" w:cs="Times New Roman"/>
                <w:sz w:val="24"/>
              </w:rPr>
            </w:pPr>
            <w:r>
              <w:rPr>
                <w:rFonts w:ascii="Times New Roman" w:hAnsi="Times New Roman" w:cs="Times New Roman"/>
                <w:sz w:val="24"/>
              </w:rPr>
              <w:t>2NaOH + SO</w:t>
            </w:r>
            <w:r>
              <w:rPr>
                <w:rFonts w:ascii="Times New Roman" w:hAnsi="Times New Roman" w:cs="Times New Roman"/>
                <w:sz w:val="24"/>
                <w:vertAlign w:val="subscript"/>
              </w:rPr>
              <w:t>2</w:t>
            </w:r>
            <w:r>
              <w:rPr>
                <w:rFonts w:ascii="Times New Roman" w:hAnsi="Times New Roman" w:cs="Times New Roman"/>
                <w:sz w:val="24"/>
              </w:rPr>
              <w:t xml:space="preserve"> → 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 xml:space="preserve"> + H</w:t>
            </w:r>
            <w:r>
              <w:rPr>
                <w:rFonts w:ascii="Times New Roman" w:hAnsi="Times New Roman" w:cs="Times New Roman"/>
                <w:sz w:val="24"/>
                <w:vertAlign w:val="subscript"/>
              </w:rPr>
              <w:t>2</w:t>
            </w:r>
            <w:r>
              <w:rPr>
                <w:rFonts w:ascii="Times New Roman" w:hAnsi="Times New Roman" w:cs="Times New Roman"/>
                <w:sz w:val="24"/>
              </w:rPr>
              <w:t>O (2)</w:t>
            </w:r>
          </w:p>
          <w:p w14:paraId="49331BFF">
            <w:pPr>
              <w:spacing w:line="360" w:lineRule="auto"/>
              <w:ind w:firstLine="480" w:firstLineChars="200"/>
              <w:rPr>
                <w:rFonts w:ascii="Times New Roman" w:hAnsi="Times New Roman" w:cs="Times New Roman"/>
                <w:sz w:val="24"/>
              </w:rPr>
            </w:pP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 SO</w:t>
            </w:r>
            <w:r>
              <w:rPr>
                <w:rFonts w:ascii="Times New Roman" w:hAnsi="Times New Roman" w:cs="Times New Roman"/>
                <w:sz w:val="24"/>
                <w:vertAlign w:val="subscript"/>
              </w:rPr>
              <w:t>2</w:t>
            </w:r>
            <w:r>
              <w:rPr>
                <w:rFonts w:ascii="Times New Roman" w:hAnsi="Times New Roman" w:cs="Times New Roman"/>
                <w:sz w:val="24"/>
              </w:rPr>
              <w:t xml:space="preserve"> + H</w:t>
            </w:r>
            <w:r>
              <w:rPr>
                <w:rFonts w:ascii="Times New Roman" w:hAnsi="Times New Roman" w:cs="Times New Roman"/>
                <w:sz w:val="24"/>
                <w:vertAlign w:val="subscript"/>
              </w:rPr>
              <w:t>2</w:t>
            </w:r>
            <w:r>
              <w:rPr>
                <w:rFonts w:ascii="Times New Roman" w:hAnsi="Times New Roman" w:cs="Times New Roman"/>
                <w:sz w:val="24"/>
              </w:rPr>
              <w:t>O → 2NaHSO</w:t>
            </w:r>
            <w:r>
              <w:rPr>
                <w:rFonts w:ascii="Times New Roman" w:hAnsi="Times New Roman" w:cs="Times New Roman"/>
                <w:sz w:val="24"/>
                <w:vertAlign w:val="subscript"/>
              </w:rPr>
              <w:t>3</w:t>
            </w:r>
            <w:r>
              <w:rPr>
                <w:rFonts w:ascii="Times New Roman" w:hAnsi="Times New Roman" w:cs="Times New Roman"/>
                <w:sz w:val="24"/>
              </w:rPr>
              <w:t>(3)</w:t>
            </w:r>
          </w:p>
          <w:p w14:paraId="56CA35BF">
            <w:pPr>
              <w:spacing w:line="360" w:lineRule="auto"/>
              <w:ind w:firstLine="480" w:firstLineChars="200"/>
              <w:rPr>
                <w:rFonts w:ascii="Times New Roman" w:hAnsi="Times New Roman" w:cs="Times New Roman"/>
                <w:sz w:val="24"/>
              </w:rPr>
            </w:pPr>
            <w:r>
              <w:rPr>
                <w:rFonts w:ascii="Times New Roman" w:hAnsi="Times New Roman" w:cs="Times New Roman"/>
                <w:sz w:val="24"/>
              </w:rPr>
              <w:t>其中：</w:t>
            </w:r>
          </w:p>
          <w:p w14:paraId="0A6F8740">
            <w:pPr>
              <w:spacing w:line="360" w:lineRule="auto"/>
              <w:ind w:firstLine="480" w:firstLineChars="200"/>
              <w:rPr>
                <w:rFonts w:ascii="Times New Roman" w:hAnsi="Times New Roman" w:cs="Times New Roman"/>
                <w:sz w:val="24"/>
              </w:rPr>
            </w:pPr>
            <w:r>
              <w:rPr>
                <w:rFonts w:ascii="Times New Roman" w:hAnsi="Times New Roman" w:cs="Times New Roman"/>
                <w:sz w:val="24"/>
              </w:rPr>
              <w:t>式(1)为启动阶段Na</w:t>
            </w:r>
            <w:r>
              <w:rPr>
                <w:rFonts w:ascii="Times New Roman" w:hAnsi="Times New Roman" w:cs="Times New Roman"/>
                <w:sz w:val="24"/>
                <w:vertAlign w:val="subscript"/>
              </w:rPr>
              <w:t>2</w:t>
            </w:r>
            <w:r>
              <w:rPr>
                <w:rFonts w:ascii="Times New Roman" w:hAnsi="Times New Roman" w:cs="Times New Roman"/>
                <w:sz w:val="24"/>
              </w:rPr>
              <w:t>CO</w:t>
            </w:r>
            <w:r>
              <w:rPr>
                <w:rFonts w:ascii="Times New Roman" w:hAnsi="Times New Roman" w:cs="Times New Roman"/>
                <w:sz w:val="24"/>
                <w:vertAlign w:val="subscript"/>
              </w:rPr>
              <w:t>3</w:t>
            </w:r>
            <w:r>
              <w:rPr>
                <w:rFonts w:ascii="Times New Roman" w:hAnsi="Times New Roman" w:cs="Times New Roman"/>
                <w:sz w:val="24"/>
              </w:rPr>
              <w:t>溶液吸收SO</w:t>
            </w:r>
            <w:r>
              <w:rPr>
                <w:rFonts w:ascii="Times New Roman" w:hAnsi="Times New Roman" w:cs="Times New Roman"/>
                <w:sz w:val="24"/>
                <w:vertAlign w:val="subscript"/>
              </w:rPr>
              <w:t>2</w:t>
            </w:r>
            <w:r>
              <w:rPr>
                <w:rFonts w:ascii="Times New Roman" w:hAnsi="Times New Roman" w:cs="Times New Roman"/>
                <w:sz w:val="24"/>
              </w:rPr>
              <w:t>的反应；</w:t>
            </w:r>
          </w:p>
          <w:p w14:paraId="05E6AB57">
            <w:pPr>
              <w:spacing w:line="360" w:lineRule="auto"/>
              <w:ind w:firstLine="480" w:firstLineChars="200"/>
              <w:rPr>
                <w:rFonts w:ascii="Times New Roman" w:hAnsi="Times New Roman" w:cs="Times New Roman"/>
                <w:sz w:val="24"/>
              </w:rPr>
            </w:pPr>
            <w:r>
              <w:rPr>
                <w:rFonts w:ascii="Times New Roman" w:hAnsi="Times New Roman" w:cs="Times New Roman"/>
                <w:sz w:val="24"/>
              </w:rPr>
              <w:t>式(2)为再生液pH值较高时(高于9时)，溶液吸收SO</w:t>
            </w:r>
            <w:r>
              <w:rPr>
                <w:rFonts w:ascii="Times New Roman" w:hAnsi="Times New Roman" w:cs="Times New Roman"/>
                <w:sz w:val="24"/>
                <w:vertAlign w:val="subscript"/>
              </w:rPr>
              <w:t>2</w:t>
            </w:r>
            <w:r>
              <w:rPr>
                <w:rFonts w:ascii="Times New Roman" w:hAnsi="Times New Roman" w:cs="Times New Roman"/>
                <w:sz w:val="24"/>
              </w:rPr>
              <w:t>的主反应；</w:t>
            </w:r>
          </w:p>
          <w:p w14:paraId="1BACD7B5">
            <w:pPr>
              <w:spacing w:line="360" w:lineRule="auto"/>
              <w:ind w:firstLine="480" w:firstLineChars="200"/>
              <w:rPr>
                <w:rFonts w:ascii="Times New Roman" w:hAnsi="Times New Roman" w:cs="Times New Roman"/>
                <w:sz w:val="24"/>
              </w:rPr>
            </w:pPr>
            <w:r>
              <w:rPr>
                <w:rFonts w:ascii="Times New Roman" w:hAnsi="Times New Roman" w:cs="Times New Roman"/>
                <w:sz w:val="24"/>
              </w:rPr>
              <w:t>式(3)为溶液pH值较低(5~9)时的</w:t>
            </w:r>
            <w:r>
              <w:rPr>
                <w:rFonts w:ascii="Times New Roman" w:hAnsi="Times New Roman" w:cs="Times New Roman"/>
                <w:sz w:val="24"/>
              </w:rPr>
              <w:fldChar w:fldCharType="begin"/>
            </w:r>
            <w:r>
              <w:rPr>
                <w:rFonts w:ascii="Times New Roman" w:hAnsi="Times New Roman" w:cs="Times New Roman"/>
                <w:sz w:val="24"/>
              </w:rPr>
              <w:instrText xml:space="preserve"> HYPERLINK "https://baike.so.com/doc/1096993-1160745.html" \t "https://baike.so.com/doc/_blank" </w:instrText>
            </w:r>
            <w:r>
              <w:rPr>
                <w:rFonts w:ascii="Times New Roman" w:hAnsi="Times New Roman" w:cs="Times New Roman"/>
                <w:sz w:val="24"/>
              </w:rPr>
              <w:fldChar w:fldCharType="separate"/>
            </w:r>
            <w:r>
              <w:rPr>
                <w:rFonts w:ascii="Times New Roman" w:hAnsi="Times New Roman" w:cs="Times New Roman"/>
                <w:sz w:val="24"/>
              </w:rPr>
              <w:t>主反应</w:t>
            </w:r>
            <w:r>
              <w:rPr>
                <w:rFonts w:ascii="Times New Roman" w:hAnsi="Times New Roman" w:cs="Times New Roman"/>
                <w:sz w:val="24"/>
              </w:rPr>
              <w:fldChar w:fldCharType="end"/>
            </w:r>
            <w:r>
              <w:rPr>
                <w:rFonts w:ascii="Times New Roman" w:hAnsi="Times New Roman" w:cs="Times New Roman"/>
                <w:sz w:val="24"/>
              </w:rPr>
              <w:t>。</w:t>
            </w:r>
          </w:p>
          <w:p w14:paraId="451C4812">
            <w:pPr>
              <w:spacing w:line="360" w:lineRule="auto"/>
              <w:ind w:firstLine="480" w:firstLineChars="200"/>
              <w:rPr>
                <w:rFonts w:ascii="Times New Roman" w:hAnsi="Times New Roman" w:cs="Times New Roman"/>
                <w:sz w:val="24"/>
              </w:rPr>
            </w:pPr>
            <w:bookmarkStart w:id="67" w:name="6901390-7122089-1_2"/>
            <w:bookmarkEnd w:id="67"/>
            <w:r>
              <w:rPr>
                <w:rFonts w:ascii="Times New Roman" w:hAnsi="Times New Roman" w:cs="Times New Roman"/>
                <w:sz w:val="24"/>
              </w:rPr>
              <w:t>再生过程</w:t>
            </w:r>
          </w:p>
          <w:p w14:paraId="2960A342">
            <w:pPr>
              <w:spacing w:line="360" w:lineRule="auto"/>
              <w:ind w:firstLine="480" w:firstLineChars="200"/>
              <w:rPr>
                <w:rFonts w:ascii="Times New Roman" w:hAnsi="Times New Roman" w:cs="Times New Roman"/>
                <w:sz w:val="24"/>
              </w:rPr>
            </w:pPr>
            <w:r>
              <w:rPr>
                <w:rFonts w:ascii="Times New Roman" w:hAnsi="Times New Roman" w:cs="Times New Roman"/>
                <w:sz w:val="24"/>
              </w:rPr>
              <w:t>Ca(OH)</w:t>
            </w:r>
            <w:r>
              <w:rPr>
                <w:rFonts w:ascii="Times New Roman" w:hAnsi="Times New Roman" w:cs="Times New Roman"/>
                <w:sz w:val="24"/>
                <w:vertAlign w:val="subscript"/>
              </w:rPr>
              <w:t>2</w:t>
            </w: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→2NaOH+CaSO</w:t>
            </w:r>
            <w:r>
              <w:rPr>
                <w:rFonts w:ascii="Times New Roman" w:hAnsi="Times New Roman" w:cs="Times New Roman"/>
                <w:sz w:val="24"/>
                <w:vertAlign w:val="subscript"/>
              </w:rPr>
              <w:t>3</w:t>
            </w:r>
            <w:r>
              <w:rPr>
                <w:rFonts w:ascii="Times New Roman" w:hAnsi="Times New Roman" w:cs="Times New Roman"/>
                <w:sz w:val="24"/>
              </w:rPr>
              <w:t>(4)</w:t>
            </w:r>
          </w:p>
          <w:p w14:paraId="5DE9D55D">
            <w:pPr>
              <w:spacing w:line="360" w:lineRule="auto"/>
              <w:ind w:firstLine="480" w:firstLineChars="200"/>
              <w:rPr>
                <w:rFonts w:ascii="Times New Roman" w:hAnsi="Times New Roman" w:cs="Times New Roman"/>
                <w:sz w:val="24"/>
              </w:rPr>
            </w:pPr>
            <w:r>
              <w:rPr>
                <w:rFonts w:ascii="Times New Roman" w:hAnsi="Times New Roman" w:cs="Times New Roman"/>
                <w:sz w:val="24"/>
              </w:rPr>
              <w:t>Ca(OH)</w:t>
            </w:r>
            <w:r>
              <w:rPr>
                <w:rFonts w:ascii="Times New Roman" w:hAnsi="Times New Roman" w:cs="Times New Roman"/>
                <w:sz w:val="24"/>
                <w:vertAlign w:val="subscript"/>
              </w:rPr>
              <w:t>2</w:t>
            </w:r>
            <w:r>
              <w:rPr>
                <w:rFonts w:ascii="Times New Roman" w:hAnsi="Times New Roman" w:cs="Times New Roman"/>
                <w:sz w:val="24"/>
              </w:rPr>
              <w:t>+2NaHSO</w:t>
            </w:r>
            <w:r>
              <w:rPr>
                <w:rFonts w:ascii="Times New Roman" w:hAnsi="Times New Roman" w:cs="Times New Roman"/>
                <w:sz w:val="24"/>
                <w:vertAlign w:val="subscript"/>
              </w:rPr>
              <w:t>3</w:t>
            </w:r>
            <w:r>
              <w:rPr>
                <w:rFonts w:ascii="Times New Roman" w:hAnsi="Times New Roman" w:cs="Times New Roman"/>
                <w:sz w:val="24"/>
              </w:rPr>
              <w:t>→Na</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3</w:t>
            </w:r>
            <w:r>
              <w:rPr>
                <w:rFonts w:ascii="Times New Roman" w:hAnsi="Times New Roman" w:cs="Times New Roman"/>
                <w:sz w:val="24"/>
              </w:rPr>
              <w:t>+CaSO</w:t>
            </w:r>
            <w:r>
              <w:rPr>
                <w:rFonts w:ascii="Times New Roman" w:hAnsi="Times New Roman" w:cs="Times New Roman"/>
                <w:sz w:val="24"/>
                <w:vertAlign w:val="subscript"/>
              </w:rPr>
              <w:t>3</w:t>
            </w:r>
            <w:r>
              <w:rPr>
                <w:rFonts w:ascii="Times New Roman" w:hAnsi="Times New Roman" w:cs="Times New Roman"/>
                <w:sz w:val="24"/>
              </w:rPr>
              <w:t>.1/2H</w:t>
            </w:r>
            <w:r>
              <w:rPr>
                <w:rFonts w:ascii="Times New Roman" w:hAnsi="Times New Roman" w:cs="Times New Roman"/>
                <w:sz w:val="24"/>
                <w:vertAlign w:val="subscript"/>
              </w:rPr>
              <w:t>2</w:t>
            </w:r>
            <w:r>
              <w:rPr>
                <w:rFonts w:ascii="Times New Roman" w:hAnsi="Times New Roman" w:cs="Times New Roman"/>
                <w:sz w:val="24"/>
              </w:rPr>
              <w:t>O+3/2H</w:t>
            </w:r>
            <w:r>
              <w:rPr>
                <w:rFonts w:ascii="Times New Roman" w:hAnsi="Times New Roman" w:cs="Times New Roman"/>
                <w:sz w:val="24"/>
                <w:vertAlign w:val="subscript"/>
              </w:rPr>
              <w:t>2</w:t>
            </w:r>
            <w:r>
              <w:rPr>
                <w:rFonts w:ascii="Times New Roman" w:hAnsi="Times New Roman" w:cs="Times New Roman"/>
                <w:sz w:val="24"/>
              </w:rPr>
              <w:t>O(5)</w:t>
            </w:r>
          </w:p>
          <w:p w14:paraId="51A51880">
            <w:pPr>
              <w:spacing w:line="360" w:lineRule="auto"/>
              <w:ind w:firstLine="480" w:firstLineChars="200"/>
              <w:rPr>
                <w:rFonts w:ascii="Times New Roman" w:hAnsi="Times New Roman" w:cs="Times New Roman"/>
                <w:sz w:val="24"/>
              </w:rPr>
            </w:pPr>
            <w:r>
              <w:rPr>
                <w:rFonts w:ascii="Times New Roman" w:hAnsi="Times New Roman" w:cs="Times New Roman"/>
                <w:sz w:val="24"/>
              </w:rPr>
              <w:t>氧化过程(副反应)</w:t>
            </w:r>
          </w:p>
          <w:p w14:paraId="579BF129">
            <w:pPr>
              <w:spacing w:line="360" w:lineRule="auto"/>
              <w:ind w:firstLine="480" w:firstLineChars="200"/>
              <w:rPr>
                <w:rFonts w:ascii="Times New Roman" w:hAnsi="Times New Roman" w:cs="Times New Roman"/>
                <w:sz w:val="24"/>
              </w:rPr>
            </w:pPr>
            <w:r>
              <w:rPr>
                <w:rFonts w:ascii="Times New Roman" w:hAnsi="Times New Roman" w:cs="Times New Roman"/>
                <w:sz w:val="24"/>
              </w:rPr>
              <w:t>CaSO</w:t>
            </w:r>
            <w:r>
              <w:rPr>
                <w:rFonts w:ascii="Times New Roman" w:hAnsi="Times New Roman" w:cs="Times New Roman"/>
                <w:sz w:val="24"/>
                <w:vertAlign w:val="subscript"/>
              </w:rPr>
              <w:t>3</w:t>
            </w:r>
            <w:r>
              <w:rPr>
                <w:rFonts w:ascii="Times New Roman" w:hAnsi="Times New Roman" w:cs="Times New Roman"/>
                <w:sz w:val="24"/>
              </w:rPr>
              <w:t>+1/2O</w:t>
            </w:r>
            <w:r>
              <w:rPr>
                <w:rFonts w:ascii="Times New Roman" w:hAnsi="Times New Roman" w:cs="Times New Roman"/>
                <w:sz w:val="24"/>
                <w:vertAlign w:val="subscript"/>
              </w:rPr>
              <w:t>2</w:t>
            </w:r>
            <w:r>
              <w:rPr>
                <w:rFonts w:ascii="Times New Roman" w:hAnsi="Times New Roman" w:cs="Times New Roman"/>
                <w:sz w:val="24"/>
              </w:rPr>
              <w:t>→CaSO</w:t>
            </w:r>
            <w:r>
              <w:rPr>
                <w:rFonts w:ascii="Times New Roman" w:hAnsi="Times New Roman" w:cs="Times New Roman"/>
                <w:sz w:val="24"/>
                <w:vertAlign w:val="subscript"/>
              </w:rPr>
              <w:t>4</w:t>
            </w:r>
            <w:r>
              <w:rPr>
                <w:rFonts w:ascii="Times New Roman" w:hAnsi="Times New Roman" w:cs="Times New Roman"/>
                <w:sz w:val="24"/>
              </w:rPr>
              <w:t>(6)</w:t>
            </w:r>
          </w:p>
          <w:p w14:paraId="4035BF30">
            <w:pPr>
              <w:spacing w:line="360" w:lineRule="auto"/>
              <w:ind w:firstLine="480" w:firstLineChars="200"/>
              <w:rPr>
                <w:rFonts w:ascii="Times New Roman" w:hAnsi="Times New Roman" w:cs="Times New Roman"/>
                <w:sz w:val="24"/>
              </w:rPr>
            </w:pPr>
            <w:r>
              <w:rPr>
                <w:rFonts w:ascii="Times New Roman" w:hAnsi="Times New Roman" w:cs="Times New Roman"/>
                <w:sz w:val="24"/>
              </w:rPr>
              <w:t>CaSO</w:t>
            </w:r>
            <w:r>
              <w:rPr>
                <w:rFonts w:ascii="Times New Roman" w:hAnsi="Times New Roman" w:cs="Times New Roman"/>
                <w:sz w:val="24"/>
                <w:vertAlign w:val="subscript"/>
              </w:rPr>
              <w:t>3</w:t>
            </w:r>
            <w:r>
              <w:rPr>
                <w:rFonts w:ascii="Times New Roman" w:hAnsi="Times New Roman" w:cs="Times New Roman"/>
                <w:sz w:val="24"/>
              </w:rPr>
              <w:t>.1/2H</w:t>
            </w:r>
            <w:r>
              <w:rPr>
                <w:rFonts w:ascii="Times New Roman" w:hAnsi="Times New Roman" w:cs="Times New Roman"/>
                <w:sz w:val="24"/>
                <w:vertAlign w:val="subscript"/>
              </w:rPr>
              <w:t>2</w:t>
            </w:r>
            <w:r>
              <w:rPr>
                <w:rFonts w:ascii="Times New Roman" w:hAnsi="Times New Roman" w:cs="Times New Roman"/>
                <w:sz w:val="24"/>
              </w:rPr>
              <w:t>O+1/2O</w:t>
            </w:r>
            <w:r>
              <w:rPr>
                <w:rFonts w:ascii="Times New Roman" w:hAnsi="Times New Roman" w:cs="Times New Roman"/>
                <w:sz w:val="24"/>
                <w:vertAlign w:val="subscript"/>
              </w:rPr>
              <w:t>2</w:t>
            </w:r>
            <w:r>
              <w:rPr>
                <w:rFonts w:ascii="Times New Roman" w:hAnsi="Times New Roman" w:cs="Times New Roman"/>
                <w:sz w:val="24"/>
              </w:rPr>
              <w:t>→CaSO</w:t>
            </w:r>
            <w:r>
              <w:rPr>
                <w:rFonts w:ascii="Times New Roman" w:hAnsi="Times New Roman" w:cs="Times New Roman"/>
                <w:sz w:val="24"/>
                <w:vertAlign w:val="subscript"/>
              </w:rPr>
              <w:t>4</w:t>
            </w:r>
            <w:r>
              <w:rPr>
                <w:rFonts w:ascii="Times New Roman" w:hAnsi="Times New Roman" w:cs="Times New Roman"/>
                <w:sz w:val="24"/>
              </w:rPr>
              <w:t>+1/2H</w:t>
            </w:r>
            <w:r>
              <w:rPr>
                <w:rFonts w:ascii="Times New Roman" w:hAnsi="Times New Roman" w:cs="Times New Roman"/>
                <w:sz w:val="24"/>
                <w:vertAlign w:val="subscript"/>
              </w:rPr>
              <w:t>2</w:t>
            </w:r>
            <w:r>
              <w:rPr>
                <w:rFonts w:ascii="Times New Roman" w:hAnsi="Times New Roman" w:cs="Times New Roman"/>
                <w:sz w:val="24"/>
              </w:rPr>
              <w:t>O(7)</w:t>
            </w:r>
          </w:p>
          <w:p w14:paraId="4FE60BD6">
            <w:pPr>
              <w:spacing w:line="360" w:lineRule="auto"/>
              <w:ind w:firstLine="240" w:firstLineChars="100"/>
              <w:rPr>
                <w:rFonts w:ascii="Times New Roman" w:hAnsi="Times New Roman" w:cs="Times New Roman"/>
                <w:sz w:val="24"/>
              </w:rPr>
            </w:pPr>
            <w:r>
              <w:rPr>
                <w:rFonts w:ascii="Times New Roman" w:hAnsi="Times New Roman" w:cs="Times New Roman"/>
                <w:sz w:val="24"/>
              </w:rPr>
              <w:t>该脱硫工艺理论上脱硫效率在90%以上，但在实际运用中，一般脱硫效率为80%左右。</w:t>
            </w:r>
          </w:p>
          <w:p w14:paraId="061372EE">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脱硝：</w:t>
            </w:r>
            <w:r>
              <w:rPr>
                <w:rFonts w:hint="eastAsia" w:ascii="Times New Roman" w:hAnsi="Times New Roman" w:cs="Times New Roman"/>
                <w:sz w:val="24"/>
              </w:rPr>
              <w:t>脱硫塔采取的双碱法脱硫工艺对氮氧化物也有一定的处理效果，效率可到达</w:t>
            </w:r>
            <w:r>
              <w:rPr>
                <w:rFonts w:ascii="Times New Roman" w:hAnsi="Times New Roman" w:cs="Times New Roman"/>
                <w:sz w:val="24"/>
              </w:rPr>
              <w:t>20</w:t>
            </w:r>
            <w:r>
              <w:rPr>
                <w:rFonts w:hint="eastAsia" w:ascii="Times New Roman" w:hAnsi="Times New Roman" w:cs="Times New Roman"/>
                <w:sz w:val="24"/>
              </w:rPr>
              <w:t>%。</w:t>
            </w:r>
          </w:p>
          <w:p w14:paraId="2F77320C">
            <w:pPr>
              <w:pStyle w:val="2"/>
              <w:pBdr>
                <w:bottom w:val="none" w:color="auto" w:sz="0" w:space="0"/>
              </w:pBdr>
            </w:pPr>
            <w:r>
              <w:drawing>
                <wp:inline distT="0" distB="0" distL="0" distR="0">
                  <wp:extent cx="5131435" cy="32804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5259" cy="3289525"/>
                          </a:xfrm>
                          <a:prstGeom prst="rect">
                            <a:avLst/>
                          </a:prstGeom>
                          <a:noFill/>
                          <a:ln>
                            <a:noFill/>
                          </a:ln>
                        </pic:spPr>
                      </pic:pic>
                    </a:graphicData>
                  </a:graphic>
                </wp:inline>
              </w:drawing>
            </w:r>
          </w:p>
          <w:p w14:paraId="1499FCEC">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图</w:t>
            </w:r>
            <w:r>
              <w:rPr>
                <w:rFonts w:ascii="Times New Roman" w:hAnsi="Times New Roman" w:eastAsia="宋体" w:cs="Times New Roman"/>
                <w:b/>
                <w:szCs w:val="21"/>
              </w:rPr>
              <w:t>4</w:t>
            </w:r>
            <w:r>
              <w:rPr>
                <w:rFonts w:hint="eastAsia" w:ascii="Times New Roman" w:hAnsi="Times New Roman" w:eastAsia="宋体" w:cs="Times New Roman"/>
                <w:b/>
                <w:szCs w:val="21"/>
              </w:rPr>
              <w:t>-</w:t>
            </w:r>
            <w:r>
              <w:rPr>
                <w:rFonts w:ascii="Times New Roman" w:hAnsi="Times New Roman" w:eastAsia="宋体" w:cs="Times New Roman"/>
                <w:b/>
                <w:szCs w:val="21"/>
              </w:rPr>
              <w:t xml:space="preserve">1    </w:t>
            </w:r>
            <w:r>
              <w:rPr>
                <w:rFonts w:hint="eastAsia" w:ascii="Times New Roman" w:hAnsi="Times New Roman" w:eastAsia="宋体" w:cs="Times New Roman"/>
                <w:b/>
                <w:szCs w:val="21"/>
              </w:rPr>
              <w:t>脱硫除尘塔工艺过程示意图</w:t>
            </w:r>
          </w:p>
          <w:p w14:paraId="3217EC3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车间负压收集废气采用“活性炭吸附装置+高效过滤器”处理可行性分析</w:t>
            </w:r>
          </w:p>
          <w:p w14:paraId="64DE240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项目生产工艺过程中大部分废气经管道密闭收集后处理，少量未经收集的部 分通过车间负压收集后进入一套活性炭吸附装置+高效过滤器处理，达标后通过 一根15m 高的排气筒（DA002）排放。活性炭吸附装置是利用活性炭作为吸附介质，其作用原理为利用微孔活性物质对溶剂分子或分子团的吸附力，当废气通过吸附介质时，其中的有机废气污染物即被阻留下来，从而使得有机废气得到净化处理后排入大气。活性炭吸附法一直被认为是比较成熟可靠的技术，活性炭是一种由含碳材料制成的外观呈黑色，内部孔隙结构发达，比表面积大，吸附能力强的一类微晶质碳素材料。有机臭气净化采用活性炭吸附处理，是国内最为有效的方法</w:t>
            </w:r>
            <w:r>
              <w:rPr>
                <w:rFonts w:hint="eastAsia" w:ascii="Times New Roman" w:hAnsi="Times New Roman" w:cs="Times New Roman"/>
              </w:rPr>
              <w:t>之一</w:t>
            </w:r>
            <w:r>
              <w:rPr>
                <w:rFonts w:ascii="Times New Roman" w:hAnsi="Times New Roman" w:cs="Times New Roman"/>
              </w:rPr>
              <w:t>，处理效率可达80%，本项目车间内产生的有机臭气浓度较低，经活性炭吸附装置处理后可达标排放，处理方式可行。高效过滤器可有效去除废气中的病菌</w:t>
            </w:r>
            <w:r>
              <w:rPr>
                <w:rFonts w:hint="eastAsia" w:ascii="Times New Roman" w:hAnsi="Times New Roman" w:cs="Times New Roman"/>
              </w:rPr>
              <w:t>。</w:t>
            </w:r>
            <w:r>
              <w:rPr>
                <w:rFonts w:ascii="Times New Roman" w:hAnsi="Times New Roman" w:cs="Times New Roman"/>
              </w:rPr>
              <w:t>因此，车间废气采用“活性炭吸附装置+高效过滤器”是可行的。</w:t>
            </w:r>
          </w:p>
          <w:p w14:paraId="5BF02E1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4、污染物排放达标分析</w:t>
            </w:r>
          </w:p>
          <w:p w14:paraId="35A565A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（1）有组织废气</w:t>
            </w:r>
          </w:p>
          <w:p w14:paraId="3734FD86">
            <w:pPr>
              <w:pStyle w:val="10"/>
              <w:spacing w:line="360" w:lineRule="auto"/>
              <w:ind w:left="0" w:right="105" w:rightChars="50" w:firstLine="240" w:firstLineChars="100"/>
            </w:pPr>
            <w:r>
              <w:rPr>
                <w:rFonts w:hint="eastAsia"/>
              </w:rPr>
              <w:t>①锅炉烟气</w:t>
            </w:r>
          </w:p>
          <w:p w14:paraId="5946DFB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本项目全部建成后，锅炉排气筒平均气量</w:t>
            </w:r>
            <w:r>
              <w:rPr>
                <w:rFonts w:ascii="Times New Roman" w:hAnsi="Times New Roman" w:cs="Times New Roman"/>
              </w:rPr>
              <w:t>5880.21N</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/h，颗粒物排放平均浓度8</w:t>
            </w:r>
            <w:r>
              <w:rPr>
                <w:rFonts w:ascii="Times New Roman" w:hAnsi="Times New Roman" w:cs="Times New Roman"/>
              </w:rPr>
              <w:t>.2905</w:t>
            </w:r>
            <w:r>
              <w:rPr>
                <w:rFonts w:hint="eastAsia" w:ascii="Times New Roman" w:hAnsi="Times New Roman" w:cs="Times New Roman"/>
              </w:rPr>
              <w:t>mg/m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SO</w:t>
            </w:r>
            <w:r>
              <w:rPr>
                <w:rFonts w:ascii="Times New Roman" w:hAnsi="Times New Roman" w:cs="Times New Roman"/>
                <w:vertAlign w:val="subscript"/>
              </w:rPr>
              <w:t>2</w:t>
            </w:r>
            <w:r>
              <w:rPr>
                <w:rFonts w:hint="eastAsia" w:ascii="Times New Roman" w:hAnsi="Times New Roman" w:cs="Times New Roman"/>
              </w:rPr>
              <w:t>排放平均浓度1</w:t>
            </w:r>
            <w:r>
              <w:rPr>
                <w:rFonts w:ascii="Times New Roman" w:hAnsi="Times New Roman" w:cs="Times New Roman"/>
              </w:rPr>
              <w:t>3.0403</w:t>
            </w:r>
            <w:r>
              <w:rPr>
                <w:rFonts w:hint="eastAsia" w:ascii="Times New Roman" w:hAnsi="Times New Roman" w:cs="Times New Roman"/>
              </w:rPr>
              <w:t>mg/m</w:t>
            </w:r>
            <w:r>
              <w:rPr>
                <w:rFonts w:ascii="Times New Roman" w:hAnsi="Times New Roman" w:cs="Times New Roman"/>
                <w:vertAlign w:val="superscript"/>
              </w:rPr>
              <w:t>3</w:t>
            </w:r>
            <w:r>
              <w:rPr>
                <w:rFonts w:hint="eastAsia" w:ascii="Times New Roman" w:hAnsi="Times New Roman" w:cs="Times New Roman"/>
              </w:rPr>
              <w:t>，N</w:t>
            </w:r>
            <w:r>
              <w:rPr>
                <w:rFonts w:ascii="Times New Roman" w:hAnsi="Times New Roman" w:cs="Times New Roman"/>
              </w:rPr>
              <w:t>O</w:t>
            </w:r>
            <w:r>
              <w:rPr>
                <w:rFonts w:hint="eastAsia" w:ascii="Times New Roman" w:hAnsi="Times New Roman" w:cs="Times New Roman"/>
              </w:rPr>
              <w:t>x排放平均浓度1</w:t>
            </w:r>
            <w:r>
              <w:rPr>
                <w:rFonts w:ascii="Times New Roman" w:hAnsi="Times New Roman" w:cs="Times New Roman"/>
              </w:rPr>
              <w:t>56.8243</w:t>
            </w:r>
            <w:r>
              <w:rPr>
                <w:rFonts w:hint="eastAsia" w:ascii="Times New Roman" w:hAnsi="Times New Roman" w:cs="Times New Roman"/>
              </w:rPr>
              <w:t>mg/m</w:t>
            </w:r>
            <w:r>
              <w:rPr>
                <w:rFonts w:ascii="Times New Roman" w:hAnsi="Times New Roman" w:cs="Times New Roman"/>
                <w:vertAlign w:val="superscript"/>
              </w:rPr>
              <w:t>3</w:t>
            </w:r>
            <w:r>
              <w:rPr>
                <w:rFonts w:hint="eastAsia" w:ascii="Times New Roman" w:hAnsi="Times New Roman" w:cs="Times New Roman"/>
              </w:rPr>
              <w:t>，满足</w:t>
            </w:r>
            <w:r>
              <w:rPr>
                <w:rFonts w:ascii="Times New Roman" w:hAnsi="Times New Roman" w:cs="Times New Roman"/>
              </w:rPr>
              <w:t>《锅炉大气污染物排放标准》（GB13271-2014）</w:t>
            </w:r>
            <w:r>
              <w:rPr>
                <w:rFonts w:hint="eastAsia" w:ascii="Times New Roman" w:hAnsi="Times New Roman" w:cs="Times New Roman"/>
              </w:rPr>
              <w:t>表2中</w:t>
            </w:r>
            <w:r>
              <w:rPr>
                <w:rFonts w:ascii="Times New Roman" w:hAnsi="Times New Roman" w:cs="Times New Roman"/>
              </w:rPr>
              <w:t>燃</w:t>
            </w:r>
            <w:r>
              <w:rPr>
                <w:rFonts w:hint="eastAsia" w:ascii="Times New Roman" w:hAnsi="Times New Roman" w:cs="Times New Roman"/>
              </w:rPr>
              <w:t>煤</w:t>
            </w:r>
            <w:r>
              <w:rPr>
                <w:rFonts w:ascii="Times New Roman" w:hAnsi="Times New Roman" w:cs="Times New Roman"/>
              </w:rPr>
              <w:t>锅炉排放限值</w:t>
            </w:r>
            <w:r>
              <w:rPr>
                <w:rFonts w:hint="eastAsia"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hint="eastAsia" w:ascii="Times New Roman" w:hAnsi="Times New Roman" w:cs="Times New Roman"/>
              </w:rPr>
              <w:t>平均排放速率0</w:t>
            </w:r>
            <w:r>
              <w:rPr>
                <w:rFonts w:ascii="Times New Roman" w:hAnsi="Times New Roman" w:cs="Times New Roman"/>
              </w:rPr>
              <w:t>.0016</w:t>
            </w:r>
            <w:r>
              <w:rPr>
                <w:rFonts w:hint="eastAsia" w:ascii="Times New Roman" w:hAnsi="Times New Roman" w:cs="Times New Roman"/>
              </w:rPr>
              <w:t>kg/h，平均排放速率0</w:t>
            </w:r>
            <w:r>
              <w:rPr>
                <w:rFonts w:ascii="Times New Roman" w:hAnsi="Times New Roman" w:cs="Times New Roman"/>
              </w:rPr>
              <w:t>.042×10</w:t>
            </w:r>
            <w:r>
              <w:rPr>
                <w:rFonts w:ascii="Times New Roman" w:hAnsi="Times New Roman" w:cs="Times New Roman"/>
                <w:vertAlign w:val="superscript"/>
              </w:rPr>
              <w:t>-4</w:t>
            </w:r>
            <w:r>
              <w:rPr>
                <w:rFonts w:hint="eastAsia" w:ascii="Times New Roman" w:hAnsi="Times New Roman" w:cs="Times New Roman"/>
              </w:rPr>
              <w:t>kg/h，N</w:t>
            </w:r>
            <w:r>
              <w:rPr>
                <w:rFonts w:ascii="Times New Roman" w:hAnsi="Times New Roman" w:cs="Times New Roman"/>
              </w:rPr>
              <w:t>H</w:t>
            </w:r>
            <w:r>
              <w:rPr>
                <w:rFonts w:ascii="Times New Roman" w:hAnsi="Times New Roman" w:cs="Times New Roman"/>
                <w:vertAlign w:val="subscript"/>
              </w:rPr>
              <w:t>3</w:t>
            </w:r>
            <w:r>
              <w:rPr>
                <w:rFonts w:hint="eastAsia"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rPr>
                <w:rFonts w:hint="eastAsia" w:ascii="Times New Roman" w:hAnsi="Times New Roman" w:cs="Times New Roman"/>
              </w:rPr>
              <w:t>满足《恶臭污染物排放标准》</w:t>
            </w:r>
            <w:r>
              <w:rPr>
                <w:rFonts w:hint="eastAsia" w:ascii="Times New Roman" w:hAnsi="Times New Roman" w:cs="Times New Roman"/>
                <w:kern w:val="0"/>
              </w:rPr>
              <w:t>表2中相应标准要求。可实现达标排放。</w:t>
            </w:r>
          </w:p>
          <w:p w14:paraId="7981E7E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bCs/>
              </w:rPr>
              <w:t>车间</w:t>
            </w:r>
            <w:r>
              <w:rPr>
                <w:rFonts w:hint="eastAsia" w:ascii="Times New Roman" w:hAnsi="Times New Roman" w:cs="Times New Roman"/>
                <w:bCs/>
              </w:rPr>
              <w:t>有组织</w:t>
            </w:r>
            <w:r>
              <w:rPr>
                <w:rFonts w:ascii="Times New Roman" w:hAnsi="Times New Roman" w:cs="Times New Roman"/>
                <w:bCs/>
              </w:rPr>
              <w:t>废气</w:t>
            </w:r>
          </w:p>
          <w:p w14:paraId="4120F62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bCs/>
              </w:rPr>
              <w:t>无害化车间废气经负压收集后，经一套</w:t>
            </w:r>
            <w:r>
              <w:rPr>
                <w:rFonts w:hint="eastAsia" w:ascii="Times New Roman" w:hAnsi="Times New Roman" w:cs="Times New Roman"/>
                <w:bCs/>
              </w:rPr>
              <w:t xml:space="preserve"> “二级</w:t>
            </w:r>
            <w:r>
              <w:rPr>
                <w:rFonts w:ascii="Times New Roman" w:hAnsi="Times New Roman" w:cs="Times New Roman"/>
                <w:bCs/>
              </w:rPr>
              <w:t>活性炭吸附装置+高效过滤器</w:t>
            </w:r>
            <w:r>
              <w:rPr>
                <w:rFonts w:hint="eastAsia" w:ascii="Times New Roman" w:hAnsi="Times New Roman" w:cs="Times New Roman"/>
                <w:bCs/>
              </w:rPr>
              <w:t>”</w:t>
            </w:r>
            <w:r>
              <w:rPr>
                <w:rFonts w:ascii="Times New Roman" w:hAnsi="Times New Roman" w:cs="Times New Roman"/>
                <w:bCs/>
              </w:rPr>
              <w:t>处理达标后由1根15m高的排气筒（DA002）排放</w:t>
            </w:r>
            <w:r>
              <w:rPr>
                <w:rFonts w:hint="eastAsia" w:ascii="Times New Roman" w:hAnsi="Times New Roman" w:cs="Times New Roman"/>
                <w:bCs/>
              </w:rPr>
              <w:t>。配套</w:t>
            </w:r>
            <w:r>
              <w:rPr>
                <w:rFonts w:ascii="Times New Roman" w:hAnsi="Times New Roman" w:cs="Times New Roman"/>
                <w:bCs/>
              </w:rPr>
              <w:t>风机风量为5000m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车间废气</w:t>
            </w:r>
            <w:r>
              <w:rPr>
                <w:rFonts w:hint="eastAsia" w:ascii="Times New Roman" w:hAnsi="Times New Roman" w:cs="Times New Roman"/>
                <w:bCs/>
              </w:rPr>
              <w:t>有组织</w:t>
            </w:r>
            <w:r>
              <w:rPr>
                <w:rFonts w:ascii="Times New Roman" w:hAnsi="Times New Roman" w:cs="Times New Roman"/>
                <w:bCs/>
              </w:rPr>
              <w:t>NH</w:t>
            </w:r>
            <w:r>
              <w:rPr>
                <w:rFonts w:ascii="Times New Roman" w:hAnsi="Times New Roman" w:cs="Times New Roman"/>
                <w:bCs/>
                <w:vertAlign w:val="subscript"/>
              </w:rPr>
              <w:t>3</w:t>
            </w:r>
            <w:r>
              <w:rPr>
                <w:rFonts w:ascii="Times New Roman" w:hAnsi="Times New Roman" w:cs="Times New Roman"/>
                <w:bCs/>
              </w:rPr>
              <w:t>排放量为0.0072kg/h，H</w:t>
            </w:r>
            <w:r>
              <w:rPr>
                <w:rFonts w:ascii="Times New Roman" w:hAnsi="Times New Roman" w:cs="Times New Roman"/>
                <w:bCs/>
                <w:vertAlign w:val="subscript"/>
              </w:rPr>
              <w:t>2</w:t>
            </w:r>
            <w:r>
              <w:rPr>
                <w:rFonts w:ascii="Times New Roman" w:hAnsi="Times New Roman" w:cs="Times New Roman"/>
                <w:bCs/>
              </w:rPr>
              <w:t>S 排放量为 0.18×10</w:t>
            </w:r>
            <w:r>
              <w:rPr>
                <w:rFonts w:ascii="Times New Roman" w:hAnsi="Times New Roman" w:cs="Times New Roman"/>
                <w:bCs/>
                <w:vertAlign w:val="superscript"/>
              </w:rPr>
              <w:t>-4</w:t>
            </w:r>
            <w:r>
              <w:rPr>
                <w:rFonts w:ascii="Times New Roman" w:hAnsi="Times New Roman" w:cs="Times New Roman"/>
                <w:bCs/>
              </w:rPr>
              <w:t>kg/h</w:t>
            </w:r>
            <w:r>
              <w:rPr>
                <w:rFonts w:hint="eastAsia" w:ascii="Times New Roman" w:hAnsi="Times New Roman" w:cs="Times New Roman"/>
                <w:bCs/>
              </w:rPr>
              <w:t>，均</w:t>
            </w:r>
            <w:r>
              <w:rPr>
                <w:rFonts w:hint="eastAsia" w:ascii="Times New Roman" w:hAnsi="Times New Roman" w:cs="Times New Roman"/>
              </w:rPr>
              <w:t>满足《恶臭污染物排放标准》</w:t>
            </w:r>
            <w:r>
              <w:rPr>
                <w:rFonts w:hint="eastAsia" w:ascii="Times New Roman" w:hAnsi="Times New Roman" w:cs="Times New Roman"/>
                <w:kern w:val="0"/>
              </w:rPr>
              <w:t>表2中相应标准要求，可实现达标排放。</w:t>
            </w:r>
          </w:p>
          <w:p w14:paraId="0457C60D">
            <w:pPr>
              <w:pStyle w:val="10"/>
              <w:spacing w:line="360" w:lineRule="auto"/>
              <w:ind w:left="0" w:right="105" w:rightChars="50" w:firstLine="240" w:firstLineChars="100"/>
              <w:rPr>
                <w:rFonts w:ascii="Times New Roman" w:hAnsi="Times New Roman" w:cs="Times New Roman"/>
                <w:bCs/>
                <w:lang w:val="en-US"/>
              </w:rPr>
            </w:pPr>
            <w:r>
              <w:rPr>
                <w:rFonts w:hint="eastAsia" w:ascii="Times New Roman" w:hAnsi="Times New Roman" w:cs="Times New Roman"/>
                <w:bCs/>
                <w:lang w:val="en-US"/>
              </w:rPr>
              <w:t>（2）</w:t>
            </w:r>
            <w:r>
              <w:rPr>
                <w:rFonts w:hint="eastAsia" w:ascii="Times New Roman" w:hAnsi="Times New Roman" w:cs="Times New Roman"/>
                <w:bCs/>
              </w:rPr>
              <w:t>无组织废气</w:t>
            </w:r>
          </w:p>
          <w:p w14:paraId="7ADEEB26">
            <w:pPr>
              <w:pStyle w:val="10"/>
              <w:spacing w:line="360" w:lineRule="auto"/>
              <w:ind w:left="0" w:right="105" w:rightChars="50" w:firstLine="240" w:firstLineChars="100"/>
              <w:rPr>
                <w:rFonts w:ascii="Times New Roman" w:hAnsi="Times New Roman" w:cs="Times New Roman"/>
                <w:lang w:val="en-US"/>
              </w:rPr>
            </w:pPr>
            <w:r>
              <w:rPr>
                <w:rFonts w:hint="eastAsia" w:ascii="Times New Roman" w:hAnsi="Times New Roman" w:cs="Times New Roman"/>
                <w:lang w:val="en-US"/>
              </w:rPr>
              <w:t>①</w:t>
            </w:r>
            <w:r>
              <w:rPr>
                <w:rFonts w:hint="eastAsia" w:ascii="Times New Roman" w:hAnsi="Times New Roman" w:cs="Times New Roman"/>
                <w:bCs/>
              </w:rPr>
              <w:t>车间无组织废气</w:t>
            </w:r>
          </w:p>
          <w:p w14:paraId="63FE2563">
            <w:pPr>
              <w:adjustRightInd w:val="0"/>
              <w:spacing w:line="360" w:lineRule="auto"/>
              <w:ind w:firstLine="240" w:firstLineChars="100"/>
              <w:rPr>
                <w:rFonts w:ascii="Times New Roman" w:hAnsi="Times New Roman" w:eastAsia="宋体" w:cs="Times New Roman"/>
                <w:sz w:val="24"/>
              </w:rPr>
            </w:pPr>
            <w:r>
              <w:rPr>
                <w:rFonts w:hint="eastAsia" w:ascii="Times New Roman" w:hAnsi="Times New Roman" w:cs="Times New Roman"/>
                <w:sz w:val="24"/>
              </w:rPr>
              <w:t>经预测，无害化车间下风向</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无组织排放最大落地浓度分别为</w:t>
            </w:r>
            <w:r>
              <w:rPr>
                <w:rFonts w:ascii="Times New Roman" w:hAnsi="Times New Roman" w:eastAsia="宋体" w:cs="Times New Roman"/>
                <w:kern w:val="0"/>
                <w:sz w:val="24"/>
                <w:lang w:bidi="ar"/>
              </w:rPr>
              <w:t>12.0510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w:t>
            </w:r>
            <w:r>
              <w:rPr>
                <w:rFonts w:ascii="Times New Roman" w:hAnsi="Times New Roman" w:eastAsia="宋体" w:cs="Times New Roman"/>
                <w:kern w:val="0"/>
                <w:sz w:val="24"/>
                <w:lang w:bidi="ar"/>
              </w:rPr>
              <w:t>0.0377</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，远小于</w:t>
            </w:r>
            <w:r>
              <w:rPr>
                <w:rFonts w:hint="eastAsia" w:ascii="Times New Roman" w:hAnsi="Times New Roman" w:eastAsia="宋体" w:cs="Times New Roman"/>
                <w:kern w:val="0"/>
                <w:sz w:val="24"/>
              </w:rPr>
              <w:t>《恶臭污染物排放标准》(GB14554-93)表1中厂界二级标准（</w:t>
            </w:r>
            <w:r>
              <w:rPr>
                <w:rFonts w:ascii="Times New Roman" w:hAnsi="Times New Roman" w:cs="Times New Roman"/>
                <w:bCs/>
                <w:sz w:val="24"/>
              </w:rPr>
              <w:t>NH</w:t>
            </w:r>
            <w:r>
              <w:rPr>
                <w:rFonts w:ascii="Times New Roman" w:hAnsi="Times New Roman" w:cs="Times New Roman"/>
                <w:bCs/>
                <w:sz w:val="24"/>
                <w:vertAlign w:val="subscript"/>
              </w:rPr>
              <w:t>3</w:t>
            </w:r>
            <w:r>
              <w:rPr>
                <w:rFonts w:ascii="Times New Roman" w:hAnsi="Times New Roman" w:cs="Times New Roman"/>
                <w:bCs/>
                <w:sz w:val="24"/>
              </w:rPr>
              <w:t xml:space="preserve"> 1500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cs="Times New Roman"/>
                <w:bCs/>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 60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eastAsia="宋体" w:cs="Times New Roman"/>
                <w:kern w:val="0"/>
                <w:sz w:val="24"/>
              </w:rPr>
              <w:t>）。</w:t>
            </w:r>
          </w:p>
          <w:p w14:paraId="1AEFD2B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bCs/>
              </w:rPr>
              <w:t>污水处理站无组织废气</w:t>
            </w:r>
          </w:p>
          <w:p w14:paraId="17B4B850">
            <w:pPr>
              <w:adjustRightInd w:val="0"/>
              <w:spacing w:line="360" w:lineRule="auto"/>
              <w:ind w:firstLine="240" w:firstLineChars="100"/>
              <w:rPr>
                <w:rFonts w:ascii="Times New Roman" w:hAnsi="Times New Roman" w:eastAsia="宋体" w:cs="Times New Roman"/>
                <w:sz w:val="24"/>
              </w:rPr>
            </w:pPr>
            <w:r>
              <w:rPr>
                <w:rFonts w:hint="eastAsia" w:ascii="Times New Roman" w:hAnsi="Times New Roman" w:cs="Times New Roman"/>
                <w:sz w:val="24"/>
              </w:rPr>
              <w:t>经预测，污水处理站下风向</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无组织排放最大落地浓度分别为</w:t>
            </w:r>
            <w:r>
              <w:rPr>
                <w:rFonts w:ascii="Times New Roman" w:hAnsi="Times New Roman" w:eastAsia="宋体" w:cs="Times New Roman"/>
                <w:kern w:val="0"/>
                <w:sz w:val="24"/>
                <w:lang w:bidi="ar"/>
              </w:rPr>
              <w:t>33.2440</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w:t>
            </w:r>
            <w:r>
              <w:rPr>
                <w:rFonts w:ascii="Times New Roman" w:hAnsi="Times New Roman" w:eastAsia="宋体" w:cs="Times New Roman"/>
                <w:kern w:val="0"/>
                <w:sz w:val="24"/>
                <w:lang w:bidi="ar"/>
              </w:rPr>
              <w:t>2.0316</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，远小于</w:t>
            </w:r>
            <w:r>
              <w:rPr>
                <w:rFonts w:hint="eastAsia" w:ascii="Times New Roman" w:hAnsi="Times New Roman" w:eastAsia="宋体" w:cs="Times New Roman"/>
                <w:kern w:val="0"/>
                <w:sz w:val="24"/>
              </w:rPr>
              <w:t>《恶臭污染物排放标准》(GB14554-93)表1中厂界二级标准（</w:t>
            </w:r>
            <w:r>
              <w:rPr>
                <w:rFonts w:ascii="Times New Roman" w:hAnsi="Times New Roman" w:cs="Times New Roman"/>
                <w:bCs/>
                <w:sz w:val="24"/>
              </w:rPr>
              <w:t>NH</w:t>
            </w:r>
            <w:r>
              <w:rPr>
                <w:rFonts w:ascii="Times New Roman" w:hAnsi="Times New Roman" w:cs="Times New Roman"/>
                <w:bCs/>
                <w:sz w:val="24"/>
                <w:vertAlign w:val="subscript"/>
              </w:rPr>
              <w:t>3</w:t>
            </w:r>
            <w:r>
              <w:rPr>
                <w:rFonts w:ascii="Times New Roman" w:hAnsi="Times New Roman" w:cs="Times New Roman"/>
                <w:bCs/>
                <w:sz w:val="24"/>
              </w:rPr>
              <w:t xml:space="preserve"> 1500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cs="Times New Roman"/>
                <w:bCs/>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 60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eastAsia="宋体" w:cs="Times New Roman"/>
                <w:kern w:val="0"/>
                <w:sz w:val="24"/>
              </w:rPr>
              <w:t>）。</w:t>
            </w:r>
          </w:p>
          <w:p w14:paraId="636DAFCB">
            <w:pPr>
              <w:pStyle w:val="10"/>
              <w:spacing w:line="360" w:lineRule="auto"/>
              <w:ind w:left="0" w:right="105" w:rightChars="50" w:firstLine="240" w:firstLineChars="100"/>
              <w:rPr>
                <w:rFonts w:ascii="Times New Roman" w:hAnsi="Times New Roman" w:cs="Times New Roman"/>
                <w:lang w:val="en-US"/>
              </w:rPr>
            </w:pPr>
            <w:r>
              <w:rPr>
                <w:rFonts w:ascii="Times New Roman" w:hAnsi="Times New Roman" w:cs="Times New Roman"/>
                <w:lang w:val="en-US"/>
              </w:rPr>
              <w:fldChar w:fldCharType="begin"/>
            </w:r>
            <w:r>
              <w:rPr>
                <w:rFonts w:ascii="Times New Roman" w:hAnsi="Times New Roman" w:cs="Times New Roman"/>
                <w:lang w:val="en-US"/>
              </w:rPr>
              <w:instrText xml:space="preserve"> </w:instrText>
            </w:r>
            <w:r>
              <w:rPr>
                <w:rFonts w:hint="eastAsia" w:ascii="Times New Roman" w:hAnsi="Times New Roman" w:cs="Times New Roman"/>
                <w:lang w:val="en-US"/>
              </w:rPr>
              <w:instrText xml:space="preserve">= 3 \* GB3</w:instrText>
            </w:r>
            <w:r>
              <w:rPr>
                <w:rFonts w:ascii="Times New Roman" w:hAnsi="Times New Roman" w:cs="Times New Roman"/>
                <w:lang w:val="en-US"/>
              </w:rPr>
              <w:instrText xml:space="preserve"> </w:instrText>
            </w:r>
            <w:r>
              <w:rPr>
                <w:rFonts w:ascii="Times New Roman" w:hAnsi="Times New Roman" w:cs="Times New Roman"/>
                <w:lang w:val="en-US"/>
              </w:rPr>
              <w:fldChar w:fldCharType="separate"/>
            </w:r>
            <w:r>
              <w:rPr>
                <w:rFonts w:hint="eastAsia" w:ascii="Times New Roman" w:hAnsi="Times New Roman" w:cs="Times New Roman"/>
                <w:lang w:val="en-US"/>
              </w:rPr>
              <w:t>③</w:t>
            </w:r>
            <w:r>
              <w:rPr>
                <w:rFonts w:ascii="Times New Roman" w:hAnsi="Times New Roman" w:cs="Times New Roman"/>
                <w:lang w:val="en-US"/>
              </w:rPr>
              <w:fldChar w:fldCharType="end"/>
            </w:r>
            <w:r>
              <w:rPr>
                <w:rFonts w:hint="eastAsia" w:ascii="Times New Roman" w:hAnsi="Times New Roman" w:cs="Times New Roman"/>
                <w:lang w:val="en-US"/>
              </w:rPr>
              <w:t>厂界无组织废气</w:t>
            </w:r>
          </w:p>
          <w:p w14:paraId="743AC898">
            <w:pPr>
              <w:adjustRightInd w:val="0"/>
              <w:spacing w:line="360" w:lineRule="auto"/>
              <w:ind w:firstLine="240" w:firstLineChars="100"/>
              <w:rPr>
                <w:rFonts w:ascii="Times New Roman" w:hAnsi="Times New Roman" w:eastAsia="宋体" w:cs="Times New Roman"/>
                <w:sz w:val="24"/>
              </w:rPr>
            </w:pPr>
            <w:r>
              <w:rPr>
                <w:rFonts w:hint="eastAsia" w:ascii="Times New Roman" w:hAnsi="Times New Roman" w:cs="Times New Roman"/>
                <w:sz w:val="24"/>
              </w:rPr>
              <w:t>由以上预测可知，厂界物质</w:t>
            </w:r>
            <w:r>
              <w:rPr>
                <w:rFonts w:ascii="Times New Roman" w:hAnsi="Times New Roman" w:cs="Times New Roman"/>
                <w:bCs/>
                <w:sz w:val="24"/>
              </w:rPr>
              <w:t>NH</w:t>
            </w:r>
            <w:r>
              <w:rPr>
                <w:rFonts w:ascii="Times New Roman" w:hAnsi="Times New Roman" w:cs="Times New Roman"/>
                <w:bCs/>
                <w:sz w:val="24"/>
                <w:vertAlign w:val="subscript"/>
              </w:rPr>
              <w:t>3</w:t>
            </w:r>
            <w:r>
              <w:rPr>
                <w:rFonts w:hint="eastAsia" w:ascii="Times New Roman" w:hAnsi="Times New Roman" w:cs="Times New Roman"/>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w:t>
            </w:r>
            <w:r>
              <w:rPr>
                <w:rFonts w:hint="eastAsia" w:ascii="Times New Roman" w:hAnsi="Times New Roman" w:cs="Times New Roman"/>
                <w:bCs/>
                <w:sz w:val="24"/>
              </w:rPr>
              <w:t>将分别小于4</w:t>
            </w:r>
            <w:r>
              <w:rPr>
                <w:rFonts w:ascii="Times New Roman" w:hAnsi="Times New Roman" w:cs="Times New Roman"/>
                <w:bCs/>
                <w:sz w:val="24"/>
              </w:rPr>
              <w:t>5.2950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w:t>
            </w:r>
            <w:r>
              <w:rPr>
                <w:rFonts w:ascii="Times New Roman" w:hAnsi="Times New Roman" w:eastAsia="宋体" w:cs="Times New Roman"/>
                <w:kern w:val="0"/>
                <w:sz w:val="24"/>
                <w:lang w:bidi="ar"/>
              </w:rPr>
              <w:t>2.0</w:t>
            </w:r>
            <w:r>
              <w:rPr>
                <w:rFonts w:ascii="Times New Roman" w:hAnsi="Times New Roman" w:cs="Times New Roman"/>
                <w:kern w:val="0"/>
                <w:sz w:val="24"/>
                <w:lang w:bidi="ar"/>
              </w:rPr>
              <w:t>693</w:t>
            </w:r>
            <w:r>
              <w:rPr>
                <w:rFonts w:hint="eastAsia" w:ascii="Times New Roman" w:hAnsi="Times New Roman" w:cs="Times New Roman"/>
                <w:kern w:val="0"/>
                <w:sz w:val="24"/>
                <w:lang w:bidi="ar"/>
              </w:rPr>
              <w:t>ug/m</w:t>
            </w:r>
            <w:r>
              <w:rPr>
                <w:rFonts w:hint="eastAsia" w:ascii="Times New Roman" w:hAnsi="Times New Roman" w:cs="Times New Roman"/>
                <w:kern w:val="0"/>
                <w:sz w:val="24"/>
                <w:vertAlign w:val="superscript"/>
                <w:lang w:bidi="ar"/>
              </w:rPr>
              <w:t>3</w:t>
            </w:r>
            <w:r>
              <w:rPr>
                <w:rFonts w:hint="eastAsia" w:ascii="Times New Roman" w:hAnsi="Times New Roman" w:cs="Times New Roman"/>
                <w:kern w:val="0"/>
                <w:sz w:val="24"/>
                <w:lang w:bidi="ar"/>
              </w:rPr>
              <w:t>，满足</w:t>
            </w:r>
            <w:r>
              <w:rPr>
                <w:rFonts w:hint="eastAsia" w:ascii="Times New Roman" w:hAnsi="Times New Roman" w:eastAsia="宋体" w:cs="Times New Roman"/>
                <w:kern w:val="0"/>
                <w:sz w:val="24"/>
              </w:rPr>
              <w:t>《恶臭污染物排放标准》(GB14554-93)表1中厂界二级标准（</w:t>
            </w:r>
            <w:r>
              <w:rPr>
                <w:rFonts w:ascii="Times New Roman" w:hAnsi="Times New Roman" w:cs="Times New Roman"/>
                <w:bCs/>
                <w:sz w:val="24"/>
              </w:rPr>
              <w:t>NH</w:t>
            </w:r>
            <w:r>
              <w:rPr>
                <w:rFonts w:ascii="Times New Roman" w:hAnsi="Times New Roman" w:cs="Times New Roman"/>
                <w:bCs/>
                <w:sz w:val="24"/>
                <w:vertAlign w:val="subscript"/>
              </w:rPr>
              <w:t>3</w:t>
            </w:r>
            <w:r>
              <w:rPr>
                <w:rFonts w:ascii="Times New Roman" w:hAnsi="Times New Roman" w:cs="Times New Roman"/>
                <w:bCs/>
                <w:sz w:val="24"/>
              </w:rPr>
              <w:t xml:space="preserve"> 1500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cs="Times New Roman"/>
                <w:bCs/>
                <w:sz w:val="24"/>
              </w:rPr>
              <w:t>、</w:t>
            </w: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S 60</w:t>
            </w:r>
            <w:r>
              <w:rPr>
                <w:rFonts w:hint="eastAsia" w:ascii="Times New Roman" w:hAnsi="Times New Roman" w:cs="Times New Roman"/>
                <w:kern w:val="0"/>
                <w:sz w:val="24"/>
                <w:lang w:bidi="ar"/>
              </w:rPr>
              <w:t xml:space="preserve"> ug/m</w:t>
            </w:r>
            <w:r>
              <w:rPr>
                <w:rFonts w:hint="eastAsia" w:ascii="Times New Roman" w:hAnsi="Times New Roman" w:cs="Times New Roman"/>
                <w:kern w:val="0"/>
                <w:sz w:val="24"/>
                <w:vertAlign w:val="superscript"/>
                <w:lang w:bidi="ar"/>
              </w:rPr>
              <w:t>3</w:t>
            </w:r>
            <w:r>
              <w:rPr>
                <w:rFonts w:hint="eastAsia" w:ascii="Times New Roman" w:hAnsi="Times New Roman" w:eastAsia="宋体" w:cs="Times New Roman"/>
                <w:kern w:val="0"/>
                <w:sz w:val="24"/>
              </w:rPr>
              <w:t>）要求。</w:t>
            </w:r>
          </w:p>
          <w:p w14:paraId="2D6DFB9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食堂油烟</w:t>
            </w:r>
          </w:p>
          <w:p w14:paraId="4B025AD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食堂油烟处理效率</w:t>
            </w:r>
            <w:r>
              <w:rPr>
                <w:rFonts w:ascii="Times New Roman" w:hAnsi="Times New Roman" w:cs="Times New Roman"/>
              </w:rPr>
              <w:t>60</w:t>
            </w:r>
            <w:r>
              <w:rPr>
                <w:rFonts w:hint="eastAsia" w:ascii="Times New Roman" w:hAnsi="Times New Roman" w:cs="Times New Roman"/>
              </w:rPr>
              <w:t>%，油烟排放满足</w:t>
            </w:r>
            <w:r>
              <w:rPr>
                <w:rFonts w:ascii="Times New Roman" w:hAnsi="Times New Roman" w:cs="Times New Roman"/>
              </w:rPr>
              <w:t>《饮食业油烟排放标准》（GB18483-2001）</w:t>
            </w:r>
            <w:r>
              <w:rPr>
                <w:rFonts w:hint="eastAsia" w:ascii="Times New Roman" w:hAnsi="Times New Roman" w:cs="Times New Roman"/>
              </w:rPr>
              <w:t>要求。</w:t>
            </w:r>
          </w:p>
          <w:p w14:paraId="2F6DE01A">
            <w:pPr>
              <w:pStyle w:val="10"/>
              <w:spacing w:line="360" w:lineRule="auto"/>
              <w:ind w:left="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车辆的尾气</w:t>
            </w:r>
          </w:p>
          <w:p w14:paraId="6E187BF4">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bCs/>
              </w:rPr>
              <w:t>本项目</w:t>
            </w:r>
            <w:r>
              <w:rPr>
                <w:rFonts w:ascii="Times New Roman" w:hAnsi="Times New Roman" w:cs="Times New Roman"/>
                <w:bCs/>
              </w:rPr>
              <w:t>运输</w:t>
            </w:r>
            <w:r>
              <w:rPr>
                <w:rFonts w:hint="eastAsia" w:ascii="Times New Roman" w:hAnsi="Times New Roman" w:cs="Times New Roman"/>
                <w:bCs/>
              </w:rPr>
              <w:t>车次不多</w:t>
            </w:r>
            <w:r>
              <w:rPr>
                <w:rFonts w:ascii="Times New Roman" w:hAnsi="Times New Roman" w:cs="Times New Roman"/>
                <w:bCs/>
              </w:rPr>
              <w:t>，</w:t>
            </w:r>
            <w:r>
              <w:rPr>
                <w:rFonts w:hint="eastAsia" w:ascii="Times New Roman" w:hAnsi="Times New Roman" w:cs="Times New Roman"/>
                <w:bCs/>
              </w:rPr>
              <w:t>车辆尾气</w:t>
            </w:r>
            <w:r>
              <w:rPr>
                <w:rFonts w:ascii="Times New Roman" w:hAnsi="Times New Roman" w:cs="Times New Roman"/>
                <w:bCs/>
              </w:rPr>
              <w:t>排放量小，</w:t>
            </w:r>
            <w:r>
              <w:rPr>
                <w:rFonts w:hint="eastAsia" w:ascii="Times New Roman" w:hAnsi="Times New Roman" w:cs="Times New Roman"/>
                <w:bCs/>
              </w:rPr>
              <w:t>排放强度不大，满足相关车辆排放标准要求。</w:t>
            </w:r>
          </w:p>
          <w:p w14:paraId="0BAB0DA1">
            <w:pPr>
              <w:pStyle w:val="10"/>
              <w:spacing w:line="360" w:lineRule="auto"/>
              <w:ind w:left="0" w:right="105" w:rightChars="50" w:firstLine="240" w:firstLineChars="100"/>
              <w:rPr>
                <w:rFonts w:ascii="Times New Roman" w:hAnsi="Times New Roman" w:cs="Times New Roman"/>
              </w:rPr>
            </w:pPr>
            <w:bookmarkStart w:id="68" w:name="_Hlk76582007"/>
            <w:r>
              <w:rPr>
                <w:rFonts w:hint="eastAsia" w:ascii="Times New Roman" w:hAnsi="Times New Roman" w:cs="Times New Roman"/>
              </w:rPr>
              <w:t>5、废气排放的环境影响</w:t>
            </w:r>
          </w:p>
          <w:bookmarkEnd w:id="68"/>
          <w:p w14:paraId="6F38562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结合项目工程分析结果，</w:t>
            </w:r>
            <w:r>
              <w:rPr>
                <w:rFonts w:hint="eastAsia" w:ascii="Times New Roman" w:hAnsi="Times New Roman" w:cs="Times New Roman"/>
              </w:rPr>
              <w:t>本次评价</w:t>
            </w:r>
            <w:r>
              <w:rPr>
                <w:rFonts w:ascii="Times New Roman" w:hAnsi="Times New Roman" w:cs="Times New Roman"/>
              </w:rPr>
              <w:t>选择正常排放</w:t>
            </w:r>
            <w:r>
              <w:rPr>
                <w:rFonts w:hint="eastAsia" w:ascii="Times New Roman" w:hAnsi="Times New Roman" w:cs="Times New Roman"/>
              </w:rPr>
              <w:t>和非正常排放</w:t>
            </w:r>
            <w:r>
              <w:rPr>
                <w:rFonts w:ascii="Times New Roman" w:hAnsi="Times New Roman" w:cs="Times New Roman"/>
              </w:rPr>
              <w:t>的主要污染物及排放参数，采用附录A推荐模型中的AERSCREEN模式计算项目污染源的最大环境影响</w:t>
            </w:r>
            <w:r>
              <w:rPr>
                <w:rFonts w:hint="eastAsia" w:ascii="Times New Roman" w:hAnsi="Times New Roman" w:cs="Times New Roman"/>
              </w:rPr>
              <w:t>。</w:t>
            </w:r>
          </w:p>
          <w:p w14:paraId="1BB4F81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P</w:t>
            </w:r>
            <w:r>
              <w:rPr>
                <w:rFonts w:ascii="Times New Roman" w:hAnsi="Times New Roman" w:cs="Times New Roman"/>
                <w:vertAlign w:val="subscript"/>
              </w:rPr>
              <w:t>max</w:t>
            </w:r>
            <w:r>
              <w:rPr>
                <w:rFonts w:ascii="Times New Roman" w:hAnsi="Times New Roman" w:cs="Times New Roman"/>
              </w:rPr>
              <w:t>及D</w:t>
            </w:r>
            <w:r>
              <w:rPr>
                <w:rFonts w:ascii="Times New Roman" w:hAnsi="Times New Roman" w:cs="Times New Roman"/>
                <w:vertAlign w:val="subscript"/>
              </w:rPr>
              <w:t>10%</w:t>
            </w:r>
            <w:r>
              <w:rPr>
                <w:rFonts w:ascii="Times New Roman" w:hAnsi="Times New Roman" w:cs="Times New Roman"/>
              </w:rPr>
              <w:t>的确定</w:t>
            </w:r>
          </w:p>
          <w:p w14:paraId="4617E0A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依据《环境影响评价技术导则大气环境》(HJ2.2-2018)中最大地面浓度占标率Pi定义如下：</w:t>
            </w:r>
          </w:p>
          <w:p w14:paraId="3FF962B2">
            <w:pPr>
              <w:spacing w:line="276" w:lineRule="auto"/>
              <w:ind w:firstLine="422" w:firstLineChars="176"/>
              <w:jc w:val="center"/>
              <w:rPr>
                <w:sz w:val="24"/>
              </w:rPr>
            </w:pPr>
            <m:oMathPara>
              <m:oMath>
                <m:sSub>
                  <m:sSubPr>
                    <m:ctrlPr>
                      <w:rPr>
                        <w:rFonts w:ascii="Cambria Math" w:hAnsi="Cambria Math"/>
                        <w:sz w:val="24"/>
                      </w:rPr>
                    </m:ctrlPr>
                  </m:sSubPr>
                  <m:e>
                    <m:r>
                      <m:rPr/>
                      <w:rPr>
                        <w:rFonts w:ascii="Cambria Math" w:hAnsi="Cambria Math"/>
                        <w:sz w:val="24"/>
                      </w:rPr>
                      <m:t>P</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sz w:val="24"/>
                      </w:rPr>
                    </m:ctrlPr>
                  </m:num>
                  <m:den>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0i</m:t>
                        </m:r>
                        <m:ctrlPr>
                          <w:rPr>
                            <w:rFonts w:ascii="Cambria Math" w:hAnsi="Cambria Math"/>
                            <w:i/>
                            <w:sz w:val="24"/>
                          </w:rPr>
                        </m:ctrlPr>
                      </m:sub>
                    </m:sSub>
                    <m:ctrlPr>
                      <w:rPr>
                        <w:rFonts w:ascii="Cambria Math" w:hAnsi="Cambria Math"/>
                        <w:sz w:val="24"/>
                      </w:rPr>
                    </m:ctrlPr>
                  </m:den>
                </m:f>
                <m:r>
                  <m:rPr/>
                  <w:rPr>
                    <w:rFonts w:ascii="Cambria Math" w:hAnsi="Cambria Math"/>
                    <w:sz w:val="24"/>
                  </w:rPr>
                  <m:t>×100%</m:t>
                </m:r>
              </m:oMath>
            </m:oMathPara>
          </w:p>
          <w:p w14:paraId="0C19B75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P</w:t>
            </w:r>
            <w:r>
              <w:rPr>
                <w:rFonts w:hint="eastAsia" w:ascii="Times New Roman" w:hAnsi="Times New Roman" w:cs="Times New Roman"/>
                <w:vertAlign w:val="subscript"/>
              </w:rPr>
              <w:t>i</w:t>
            </w:r>
            <w:r>
              <w:rPr>
                <w:rFonts w:ascii="Times New Roman" w:hAnsi="Times New Roman" w:cs="Times New Roman"/>
              </w:rPr>
              <w:t>——第i个污染物的最大地面空气质量浓度占标率，%；</w:t>
            </w:r>
          </w:p>
          <w:p w14:paraId="5F27468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C</w:t>
            </w:r>
            <w:r>
              <w:rPr>
                <w:rFonts w:hint="eastAsia" w:ascii="Times New Roman" w:hAnsi="Times New Roman" w:cs="Times New Roman"/>
                <w:vertAlign w:val="subscript"/>
              </w:rPr>
              <w:t>i</w:t>
            </w:r>
            <w:r>
              <w:rPr>
                <w:rFonts w:ascii="Times New Roman" w:hAnsi="Times New Roman" w:cs="Times New Roman"/>
              </w:rPr>
              <w:t>——采用估算模型计算出的第i个污染物的最大1h地面空气质量浓度，μg/m</w:t>
            </w:r>
            <w:r>
              <w:rPr>
                <w:rFonts w:ascii="Times New Roman" w:hAnsi="Times New Roman" w:cs="Times New Roman"/>
                <w:vertAlign w:val="superscript"/>
              </w:rPr>
              <w:t>3</w:t>
            </w:r>
            <w:r>
              <w:rPr>
                <w:rFonts w:ascii="Times New Roman" w:hAnsi="Times New Roman" w:cs="Times New Roman"/>
              </w:rPr>
              <w:t>；</w:t>
            </w:r>
          </w:p>
          <w:p w14:paraId="7AC53AE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C</w:t>
            </w:r>
            <w:r>
              <w:rPr>
                <w:rFonts w:hint="eastAsia" w:ascii="Times New Roman" w:hAnsi="Times New Roman" w:cs="Times New Roman"/>
                <w:vertAlign w:val="subscript"/>
              </w:rPr>
              <w:t>oi</w:t>
            </w:r>
            <w:r>
              <w:rPr>
                <w:rFonts w:ascii="Times New Roman" w:hAnsi="Times New Roman" w:cs="Times New Roman"/>
              </w:rPr>
              <w:t>——第i个污染物的环境空气质量浓度标准，μg/m</w:t>
            </w:r>
            <w:r>
              <w:rPr>
                <w:rFonts w:ascii="Times New Roman" w:hAnsi="Times New Roman" w:cs="Times New Roman"/>
                <w:vertAlign w:val="superscript"/>
              </w:rPr>
              <w:t>3</w:t>
            </w:r>
            <w:r>
              <w:rPr>
                <w:rFonts w:ascii="Times New Roman" w:hAnsi="Times New Roman" w:cs="Times New Roman"/>
              </w:rPr>
              <w:t>。</w:t>
            </w:r>
          </w:p>
          <w:p w14:paraId="3CFCE765">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大气环境影响预测</w:t>
            </w:r>
          </w:p>
          <w:p w14:paraId="10F4234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根据《环境影响评价技术导则-大气环境》（HJ/T2.2-2018），本次评价预测模式应选择估算模式（AERSCREEN）预测。估算模型参数见表4-5。</w:t>
            </w:r>
          </w:p>
          <w:p w14:paraId="2978EB01">
            <w:pPr>
              <w:adjustRightInd w:val="0"/>
              <w:spacing w:before="156" w:beforeLines="50"/>
              <w:jc w:val="center"/>
              <w:rPr>
                <w:rFonts w:ascii="Times New Roman" w:hAnsi="Times New Roman" w:eastAsia="宋体" w:cs="Times New Roman"/>
                <w:b/>
                <w:szCs w:val="21"/>
              </w:rPr>
            </w:pPr>
            <w:r>
              <w:rPr>
                <w:rFonts w:ascii="Times New Roman" w:hAnsi="Times New Roman" w:eastAsia="宋体" w:cs="Times New Roman"/>
                <w:b/>
                <w:szCs w:val="21"/>
              </w:rPr>
              <w:t>表4-5    估算模型参数表</w:t>
            </w:r>
          </w:p>
          <w:tbl>
            <w:tblPr>
              <w:tblStyle w:val="18"/>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241"/>
              <w:gridCol w:w="3446"/>
            </w:tblGrid>
            <w:tr w14:paraId="4395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044" w:type="dxa"/>
                  <w:gridSpan w:val="2"/>
                  <w:tcBorders>
                    <w:top w:val="single" w:color="auto" w:sz="4" w:space="0"/>
                    <w:left w:val="single" w:color="auto" w:sz="4" w:space="0"/>
                    <w:bottom w:val="single" w:color="auto" w:sz="4" w:space="0"/>
                    <w:right w:val="single" w:color="auto" w:sz="4" w:space="0"/>
                  </w:tcBorders>
                  <w:vAlign w:val="center"/>
                </w:tcPr>
                <w:p w14:paraId="4DA1EFCF">
                  <w:pPr>
                    <w:jc w:val="center"/>
                    <w:rPr>
                      <w:rFonts w:ascii="Times New Roman" w:hAnsi="Times New Roman" w:eastAsia="宋体" w:cs="Times New Roman"/>
                      <w:b/>
                      <w:bCs/>
                    </w:rPr>
                  </w:pPr>
                  <w:r>
                    <w:rPr>
                      <w:rFonts w:ascii="Times New Roman" w:hAnsi="Times New Roman" w:eastAsia="宋体" w:cs="Times New Roman"/>
                      <w:b/>
                      <w:bCs/>
                    </w:rPr>
                    <w:t>参</w:t>
                  </w:r>
                  <w:r>
                    <w:rPr>
                      <w:rFonts w:hint="eastAsia" w:ascii="Times New Roman" w:hAnsi="Times New Roman" w:eastAsia="宋体" w:cs="Times New Roman"/>
                      <w:b/>
                      <w:bCs/>
                    </w:rPr>
                    <w:t xml:space="preserve"> </w:t>
                  </w:r>
                  <w:r>
                    <w:rPr>
                      <w:rFonts w:ascii="Times New Roman" w:hAnsi="Times New Roman" w:eastAsia="宋体" w:cs="Times New Roman"/>
                      <w:b/>
                      <w:bCs/>
                    </w:rPr>
                    <w:t xml:space="preserve"> 数</w:t>
                  </w:r>
                </w:p>
              </w:tc>
              <w:tc>
                <w:tcPr>
                  <w:tcW w:w="3359" w:type="dxa"/>
                  <w:tcBorders>
                    <w:top w:val="single" w:color="auto" w:sz="4" w:space="0"/>
                    <w:left w:val="single" w:color="auto" w:sz="4" w:space="0"/>
                    <w:bottom w:val="single" w:color="auto" w:sz="4" w:space="0"/>
                    <w:right w:val="single" w:color="auto" w:sz="4" w:space="0"/>
                  </w:tcBorders>
                  <w:vAlign w:val="center"/>
                </w:tcPr>
                <w:p w14:paraId="3C20648A">
                  <w:pPr>
                    <w:jc w:val="center"/>
                    <w:rPr>
                      <w:rFonts w:ascii="Times New Roman" w:hAnsi="Times New Roman" w:eastAsia="宋体" w:cs="Times New Roman"/>
                      <w:b/>
                      <w:bCs/>
                    </w:rPr>
                  </w:pPr>
                  <w:r>
                    <w:rPr>
                      <w:rFonts w:ascii="Times New Roman" w:hAnsi="Times New Roman" w:eastAsia="宋体" w:cs="Times New Roman"/>
                      <w:b/>
                      <w:bCs/>
                    </w:rPr>
                    <w:t>取</w:t>
                  </w:r>
                  <w:r>
                    <w:rPr>
                      <w:rFonts w:hint="eastAsia" w:ascii="Times New Roman" w:hAnsi="Times New Roman" w:eastAsia="宋体" w:cs="Times New Roman"/>
                      <w:b/>
                      <w:bCs/>
                    </w:rPr>
                    <w:t xml:space="preserve"> </w:t>
                  </w:r>
                  <w:r>
                    <w:rPr>
                      <w:rFonts w:ascii="Times New Roman" w:hAnsi="Times New Roman" w:eastAsia="宋体" w:cs="Times New Roman"/>
                      <w:b/>
                      <w:bCs/>
                    </w:rPr>
                    <w:t xml:space="preserve"> 值</w:t>
                  </w:r>
                </w:p>
              </w:tc>
            </w:tr>
            <w:tr w14:paraId="3004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860" w:type="dxa"/>
                  <w:vMerge w:val="restart"/>
                  <w:tcBorders>
                    <w:top w:val="single" w:color="auto" w:sz="4" w:space="0"/>
                    <w:left w:val="single" w:color="auto" w:sz="4" w:space="0"/>
                    <w:bottom w:val="single" w:color="auto" w:sz="4" w:space="0"/>
                    <w:right w:val="single" w:color="auto" w:sz="4" w:space="0"/>
                  </w:tcBorders>
                  <w:vAlign w:val="center"/>
                </w:tcPr>
                <w:p w14:paraId="0DB9A0A6">
                  <w:pPr>
                    <w:jc w:val="center"/>
                    <w:rPr>
                      <w:rFonts w:ascii="Times New Roman" w:hAnsi="Times New Roman" w:eastAsia="宋体" w:cs="Times New Roman"/>
                    </w:rPr>
                  </w:pPr>
                  <w:r>
                    <w:rPr>
                      <w:rFonts w:ascii="Times New Roman" w:hAnsi="Times New Roman" w:eastAsia="宋体" w:cs="Times New Roman"/>
                    </w:rPr>
                    <w:t>城市农村/选项</w:t>
                  </w:r>
                </w:p>
              </w:tc>
              <w:tc>
                <w:tcPr>
                  <w:tcW w:w="2184" w:type="dxa"/>
                  <w:tcBorders>
                    <w:top w:val="single" w:color="auto" w:sz="4" w:space="0"/>
                    <w:left w:val="single" w:color="auto" w:sz="4" w:space="0"/>
                    <w:bottom w:val="single" w:color="auto" w:sz="4" w:space="0"/>
                    <w:right w:val="single" w:color="auto" w:sz="4" w:space="0"/>
                  </w:tcBorders>
                  <w:vAlign w:val="center"/>
                </w:tcPr>
                <w:p w14:paraId="66D9217B">
                  <w:pPr>
                    <w:jc w:val="center"/>
                    <w:rPr>
                      <w:rFonts w:ascii="Times New Roman" w:hAnsi="Times New Roman" w:eastAsia="宋体" w:cs="Times New Roman"/>
                    </w:rPr>
                  </w:pPr>
                  <w:r>
                    <w:rPr>
                      <w:rFonts w:ascii="Times New Roman" w:hAnsi="Times New Roman" w:eastAsia="宋体" w:cs="Times New Roman"/>
                    </w:rPr>
                    <w:t>城市/农村</w:t>
                  </w:r>
                </w:p>
              </w:tc>
              <w:tc>
                <w:tcPr>
                  <w:tcW w:w="3359" w:type="dxa"/>
                  <w:tcBorders>
                    <w:top w:val="single" w:color="auto" w:sz="4" w:space="0"/>
                    <w:left w:val="single" w:color="auto" w:sz="4" w:space="0"/>
                    <w:bottom w:val="single" w:color="auto" w:sz="4" w:space="0"/>
                    <w:right w:val="single" w:color="auto" w:sz="4" w:space="0"/>
                  </w:tcBorders>
                  <w:vAlign w:val="center"/>
                </w:tcPr>
                <w:p w14:paraId="2FF473A3">
                  <w:pPr>
                    <w:jc w:val="center"/>
                    <w:rPr>
                      <w:rFonts w:ascii="Times New Roman" w:hAnsi="Times New Roman" w:eastAsia="宋体" w:cs="Times New Roman"/>
                    </w:rPr>
                  </w:pPr>
                  <w:r>
                    <w:rPr>
                      <w:rFonts w:hint="eastAsia" w:ascii="Times New Roman" w:hAnsi="Times New Roman" w:eastAsia="宋体" w:cs="Times New Roman"/>
                    </w:rPr>
                    <w:t>农村</w:t>
                  </w:r>
                </w:p>
              </w:tc>
            </w:tr>
            <w:tr w14:paraId="5D90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0" w:type="dxa"/>
                  <w:vMerge w:val="continue"/>
                  <w:tcBorders>
                    <w:top w:val="single" w:color="auto" w:sz="4" w:space="0"/>
                    <w:left w:val="single" w:color="auto" w:sz="4" w:space="0"/>
                    <w:bottom w:val="single" w:color="auto" w:sz="4" w:space="0"/>
                    <w:right w:val="single" w:color="auto" w:sz="4" w:space="0"/>
                  </w:tcBorders>
                  <w:vAlign w:val="center"/>
                </w:tcPr>
                <w:p w14:paraId="3E53FED6">
                  <w:pPr>
                    <w:jc w:val="center"/>
                    <w:rPr>
                      <w:rFonts w:ascii="Times New Roman" w:hAnsi="Times New Roman" w:eastAsia="宋体" w:cs="Times New Roman"/>
                    </w:rPr>
                  </w:pPr>
                </w:p>
              </w:tc>
              <w:tc>
                <w:tcPr>
                  <w:tcW w:w="2184" w:type="dxa"/>
                  <w:tcBorders>
                    <w:top w:val="single" w:color="auto" w:sz="4" w:space="0"/>
                    <w:left w:val="single" w:color="auto" w:sz="4" w:space="0"/>
                    <w:bottom w:val="single" w:color="auto" w:sz="4" w:space="0"/>
                    <w:right w:val="single" w:color="auto" w:sz="4" w:space="0"/>
                  </w:tcBorders>
                  <w:vAlign w:val="center"/>
                </w:tcPr>
                <w:p w14:paraId="25701166">
                  <w:pPr>
                    <w:jc w:val="center"/>
                    <w:rPr>
                      <w:rFonts w:ascii="Times New Roman" w:hAnsi="Times New Roman" w:eastAsia="宋体" w:cs="Times New Roman"/>
                    </w:rPr>
                  </w:pPr>
                  <w:r>
                    <w:rPr>
                      <w:rFonts w:ascii="Times New Roman" w:hAnsi="Times New Roman" w:eastAsia="宋体" w:cs="Times New Roman"/>
                    </w:rPr>
                    <w:t>人口数(城市人口数)</w:t>
                  </w:r>
                </w:p>
              </w:tc>
              <w:tc>
                <w:tcPr>
                  <w:tcW w:w="3359" w:type="dxa"/>
                  <w:tcBorders>
                    <w:top w:val="single" w:color="auto" w:sz="4" w:space="0"/>
                    <w:left w:val="single" w:color="auto" w:sz="4" w:space="0"/>
                    <w:bottom w:val="single" w:color="auto" w:sz="4" w:space="0"/>
                    <w:right w:val="single" w:color="auto" w:sz="4" w:space="0"/>
                  </w:tcBorders>
                  <w:vAlign w:val="center"/>
                </w:tcPr>
                <w:p w14:paraId="05D446DC">
                  <w:pPr>
                    <w:jc w:val="center"/>
                    <w:rPr>
                      <w:rFonts w:ascii="Times New Roman" w:hAnsi="Times New Roman" w:eastAsia="宋体" w:cs="Times New Roman"/>
                    </w:rPr>
                  </w:pPr>
                  <w:r>
                    <w:rPr>
                      <w:rFonts w:ascii="Times New Roman" w:hAnsi="Times New Roman" w:eastAsia="宋体" w:cs="Times New Roman"/>
                    </w:rPr>
                    <w:t>/</w:t>
                  </w:r>
                </w:p>
              </w:tc>
            </w:tr>
            <w:tr w14:paraId="5656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044" w:type="dxa"/>
                  <w:gridSpan w:val="2"/>
                  <w:tcBorders>
                    <w:top w:val="single" w:color="auto" w:sz="4" w:space="0"/>
                    <w:left w:val="single" w:color="auto" w:sz="4" w:space="0"/>
                    <w:bottom w:val="single" w:color="auto" w:sz="4" w:space="0"/>
                    <w:right w:val="single" w:color="auto" w:sz="4" w:space="0"/>
                  </w:tcBorders>
                  <w:vAlign w:val="center"/>
                </w:tcPr>
                <w:p w14:paraId="62C52F27">
                  <w:pPr>
                    <w:jc w:val="center"/>
                    <w:rPr>
                      <w:rFonts w:ascii="Times New Roman" w:hAnsi="Times New Roman" w:eastAsia="宋体" w:cs="Times New Roman"/>
                    </w:rPr>
                  </w:pPr>
                  <w:r>
                    <w:rPr>
                      <w:rFonts w:ascii="Times New Roman" w:hAnsi="Times New Roman" w:eastAsia="宋体" w:cs="Times New Roman"/>
                    </w:rPr>
                    <w:t>最高环境温度</w:t>
                  </w:r>
                </w:p>
              </w:tc>
              <w:tc>
                <w:tcPr>
                  <w:tcW w:w="3359" w:type="dxa"/>
                  <w:tcBorders>
                    <w:top w:val="single" w:color="auto" w:sz="4" w:space="0"/>
                    <w:left w:val="single" w:color="auto" w:sz="4" w:space="0"/>
                    <w:bottom w:val="single" w:color="auto" w:sz="4" w:space="0"/>
                    <w:right w:val="single" w:color="auto" w:sz="4" w:space="0"/>
                  </w:tcBorders>
                  <w:vAlign w:val="center"/>
                </w:tcPr>
                <w:p w14:paraId="053E99F4">
                  <w:pPr>
                    <w:jc w:val="center"/>
                    <w:rPr>
                      <w:rFonts w:ascii="Times New Roman" w:hAnsi="Times New Roman" w:eastAsia="宋体" w:cs="Times New Roman"/>
                    </w:rPr>
                  </w:pPr>
                  <w:r>
                    <w:rPr>
                      <w:rFonts w:ascii="Times New Roman" w:hAnsi="Times New Roman" w:eastAsia="宋体" w:cs="Times New Roman"/>
                    </w:rPr>
                    <w:t>36.2°C</w:t>
                  </w:r>
                </w:p>
              </w:tc>
            </w:tr>
            <w:tr w14:paraId="64B4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044" w:type="dxa"/>
                  <w:gridSpan w:val="2"/>
                  <w:tcBorders>
                    <w:top w:val="single" w:color="auto" w:sz="4" w:space="0"/>
                    <w:left w:val="single" w:color="auto" w:sz="4" w:space="0"/>
                    <w:bottom w:val="single" w:color="auto" w:sz="4" w:space="0"/>
                    <w:right w:val="single" w:color="auto" w:sz="4" w:space="0"/>
                  </w:tcBorders>
                  <w:vAlign w:val="center"/>
                </w:tcPr>
                <w:p w14:paraId="07A5787F">
                  <w:pPr>
                    <w:jc w:val="center"/>
                    <w:rPr>
                      <w:rFonts w:ascii="Times New Roman" w:hAnsi="Times New Roman" w:eastAsia="宋体" w:cs="Times New Roman"/>
                    </w:rPr>
                  </w:pPr>
                  <w:r>
                    <w:rPr>
                      <w:rFonts w:ascii="Times New Roman" w:hAnsi="Times New Roman" w:eastAsia="宋体" w:cs="Times New Roman"/>
                    </w:rPr>
                    <w:t>最低环境温度</w:t>
                  </w:r>
                </w:p>
              </w:tc>
              <w:tc>
                <w:tcPr>
                  <w:tcW w:w="3359" w:type="dxa"/>
                  <w:tcBorders>
                    <w:top w:val="single" w:color="auto" w:sz="4" w:space="0"/>
                    <w:left w:val="single" w:color="auto" w:sz="4" w:space="0"/>
                    <w:bottom w:val="single" w:color="auto" w:sz="4" w:space="0"/>
                    <w:right w:val="single" w:color="auto" w:sz="4" w:space="0"/>
                  </w:tcBorders>
                  <w:vAlign w:val="center"/>
                </w:tcPr>
                <w:p w14:paraId="0BED7302">
                  <w:pPr>
                    <w:jc w:val="center"/>
                    <w:rPr>
                      <w:rFonts w:ascii="Times New Roman" w:hAnsi="Times New Roman" w:eastAsia="宋体" w:cs="Times New Roman"/>
                    </w:rPr>
                  </w:pPr>
                  <w:r>
                    <w:rPr>
                      <w:rFonts w:ascii="Times New Roman" w:hAnsi="Times New Roman" w:eastAsia="宋体" w:cs="Times New Roman"/>
                    </w:rPr>
                    <w:t>-0.6°C</w:t>
                  </w:r>
                </w:p>
              </w:tc>
            </w:tr>
            <w:tr w14:paraId="7719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044" w:type="dxa"/>
                  <w:gridSpan w:val="2"/>
                  <w:tcBorders>
                    <w:top w:val="single" w:color="auto" w:sz="4" w:space="0"/>
                    <w:left w:val="single" w:color="auto" w:sz="4" w:space="0"/>
                    <w:bottom w:val="single" w:color="auto" w:sz="4" w:space="0"/>
                    <w:right w:val="single" w:color="auto" w:sz="4" w:space="0"/>
                  </w:tcBorders>
                  <w:vAlign w:val="center"/>
                </w:tcPr>
                <w:p w14:paraId="29BFD7B8">
                  <w:pPr>
                    <w:jc w:val="center"/>
                    <w:rPr>
                      <w:rFonts w:ascii="Times New Roman" w:hAnsi="Times New Roman" w:eastAsia="宋体" w:cs="Times New Roman"/>
                    </w:rPr>
                  </w:pPr>
                  <w:r>
                    <w:rPr>
                      <w:rFonts w:ascii="Times New Roman" w:hAnsi="Times New Roman" w:eastAsia="宋体" w:cs="Times New Roman"/>
                    </w:rPr>
                    <w:t>土地利用类型</w:t>
                  </w:r>
                </w:p>
              </w:tc>
              <w:tc>
                <w:tcPr>
                  <w:tcW w:w="3359" w:type="dxa"/>
                  <w:tcBorders>
                    <w:top w:val="single" w:color="auto" w:sz="4" w:space="0"/>
                    <w:left w:val="single" w:color="auto" w:sz="4" w:space="0"/>
                    <w:bottom w:val="single" w:color="auto" w:sz="4" w:space="0"/>
                    <w:right w:val="single" w:color="auto" w:sz="4" w:space="0"/>
                  </w:tcBorders>
                  <w:vAlign w:val="center"/>
                </w:tcPr>
                <w:p w14:paraId="72AFB6FC">
                  <w:pPr>
                    <w:jc w:val="center"/>
                    <w:rPr>
                      <w:rFonts w:ascii="Times New Roman" w:hAnsi="Times New Roman" w:eastAsia="宋体" w:cs="Times New Roman"/>
                    </w:rPr>
                  </w:pPr>
                  <w:r>
                    <w:rPr>
                      <w:rFonts w:hint="eastAsia" w:ascii="Times New Roman" w:hAnsi="Times New Roman" w:eastAsia="宋体" w:cs="Times New Roman"/>
                    </w:rPr>
                    <w:t>农田</w:t>
                  </w:r>
                </w:p>
              </w:tc>
            </w:tr>
            <w:tr w14:paraId="4668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44" w:type="dxa"/>
                  <w:gridSpan w:val="2"/>
                  <w:tcBorders>
                    <w:top w:val="single" w:color="auto" w:sz="4" w:space="0"/>
                    <w:left w:val="single" w:color="auto" w:sz="4" w:space="0"/>
                    <w:bottom w:val="single" w:color="auto" w:sz="4" w:space="0"/>
                    <w:right w:val="single" w:color="auto" w:sz="4" w:space="0"/>
                  </w:tcBorders>
                  <w:vAlign w:val="center"/>
                </w:tcPr>
                <w:p w14:paraId="6A0905F0">
                  <w:pPr>
                    <w:jc w:val="center"/>
                    <w:rPr>
                      <w:rFonts w:ascii="Times New Roman" w:hAnsi="Times New Roman" w:eastAsia="宋体" w:cs="Times New Roman"/>
                    </w:rPr>
                  </w:pPr>
                  <w:r>
                    <w:rPr>
                      <w:rFonts w:ascii="Times New Roman" w:hAnsi="Times New Roman" w:eastAsia="宋体" w:cs="Times New Roman"/>
                    </w:rPr>
                    <w:t>区域湿度条件</w:t>
                  </w:r>
                </w:p>
              </w:tc>
              <w:tc>
                <w:tcPr>
                  <w:tcW w:w="3359" w:type="dxa"/>
                  <w:tcBorders>
                    <w:top w:val="single" w:color="auto" w:sz="4" w:space="0"/>
                    <w:left w:val="single" w:color="auto" w:sz="4" w:space="0"/>
                    <w:bottom w:val="single" w:color="auto" w:sz="4" w:space="0"/>
                    <w:right w:val="single" w:color="auto" w:sz="4" w:space="0"/>
                  </w:tcBorders>
                  <w:vAlign w:val="center"/>
                </w:tcPr>
                <w:p w14:paraId="589F488A">
                  <w:pPr>
                    <w:jc w:val="center"/>
                    <w:rPr>
                      <w:rFonts w:ascii="Times New Roman" w:hAnsi="Times New Roman" w:eastAsia="宋体" w:cs="Times New Roman"/>
                    </w:rPr>
                  </w:pPr>
                  <w:r>
                    <w:rPr>
                      <w:rFonts w:hint="eastAsia" w:ascii="Times New Roman" w:hAnsi="Times New Roman" w:eastAsia="宋体" w:cs="Times New Roman"/>
                    </w:rPr>
                    <w:t>湿润</w:t>
                  </w:r>
                </w:p>
              </w:tc>
            </w:tr>
            <w:tr w14:paraId="7F38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60" w:type="dxa"/>
                  <w:vMerge w:val="restart"/>
                  <w:tcBorders>
                    <w:top w:val="single" w:color="auto" w:sz="4" w:space="0"/>
                    <w:left w:val="single" w:color="auto" w:sz="4" w:space="0"/>
                    <w:bottom w:val="single" w:color="auto" w:sz="4" w:space="0"/>
                    <w:right w:val="single" w:color="auto" w:sz="4" w:space="0"/>
                  </w:tcBorders>
                  <w:vAlign w:val="center"/>
                </w:tcPr>
                <w:p w14:paraId="013C699F">
                  <w:pPr>
                    <w:jc w:val="center"/>
                    <w:rPr>
                      <w:rFonts w:ascii="Times New Roman" w:hAnsi="Times New Roman" w:eastAsia="宋体" w:cs="Times New Roman"/>
                    </w:rPr>
                  </w:pPr>
                  <w:r>
                    <w:rPr>
                      <w:rFonts w:ascii="Times New Roman" w:hAnsi="Times New Roman" w:eastAsia="宋体" w:cs="Times New Roman"/>
                    </w:rPr>
                    <w:t>是否考虑地形</w:t>
                  </w:r>
                </w:p>
              </w:tc>
              <w:tc>
                <w:tcPr>
                  <w:tcW w:w="2184" w:type="dxa"/>
                  <w:tcBorders>
                    <w:top w:val="single" w:color="auto" w:sz="4" w:space="0"/>
                    <w:left w:val="single" w:color="auto" w:sz="4" w:space="0"/>
                    <w:bottom w:val="single" w:color="auto" w:sz="4" w:space="0"/>
                    <w:right w:val="single" w:color="auto" w:sz="4" w:space="0"/>
                  </w:tcBorders>
                  <w:vAlign w:val="center"/>
                </w:tcPr>
                <w:p w14:paraId="4B82D32E">
                  <w:pPr>
                    <w:jc w:val="center"/>
                    <w:rPr>
                      <w:rFonts w:ascii="Times New Roman" w:hAnsi="Times New Roman" w:eastAsia="宋体" w:cs="Times New Roman"/>
                    </w:rPr>
                  </w:pPr>
                  <w:r>
                    <w:rPr>
                      <w:rFonts w:ascii="Times New Roman" w:hAnsi="Times New Roman" w:eastAsia="宋体" w:cs="Times New Roman"/>
                    </w:rPr>
                    <w:t>考虑地形</w:t>
                  </w:r>
                </w:p>
              </w:tc>
              <w:tc>
                <w:tcPr>
                  <w:tcW w:w="3359" w:type="dxa"/>
                  <w:tcBorders>
                    <w:top w:val="single" w:color="auto" w:sz="4" w:space="0"/>
                    <w:left w:val="single" w:color="auto" w:sz="4" w:space="0"/>
                    <w:bottom w:val="single" w:color="auto" w:sz="4" w:space="0"/>
                    <w:right w:val="single" w:color="auto" w:sz="4" w:space="0"/>
                  </w:tcBorders>
                  <w:vAlign w:val="center"/>
                </w:tcPr>
                <w:p w14:paraId="133C6051">
                  <w:pPr>
                    <w:jc w:val="center"/>
                    <w:rPr>
                      <w:rFonts w:ascii="Times New Roman" w:hAnsi="Times New Roman" w:eastAsia="宋体" w:cs="Times New Roman"/>
                    </w:rPr>
                  </w:pPr>
                  <w:r>
                    <w:rPr>
                      <w:rFonts w:hint="eastAsia" w:ascii="Times New Roman" w:hAnsi="Times New Roman" w:eastAsia="宋体" w:cs="Times New Roman"/>
                    </w:rPr>
                    <w:t>否</w:t>
                  </w:r>
                </w:p>
              </w:tc>
            </w:tr>
            <w:tr w14:paraId="63DF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0" w:type="dxa"/>
                  <w:vMerge w:val="continue"/>
                  <w:tcBorders>
                    <w:top w:val="single" w:color="auto" w:sz="4" w:space="0"/>
                    <w:left w:val="single" w:color="auto" w:sz="4" w:space="0"/>
                    <w:bottom w:val="single" w:color="auto" w:sz="4" w:space="0"/>
                    <w:right w:val="single" w:color="auto" w:sz="4" w:space="0"/>
                  </w:tcBorders>
                  <w:vAlign w:val="center"/>
                </w:tcPr>
                <w:p w14:paraId="797C8A6D">
                  <w:pPr>
                    <w:jc w:val="center"/>
                    <w:rPr>
                      <w:rFonts w:ascii="Times New Roman" w:hAnsi="Times New Roman" w:eastAsia="宋体" w:cs="Times New Roman"/>
                    </w:rPr>
                  </w:pPr>
                </w:p>
              </w:tc>
              <w:tc>
                <w:tcPr>
                  <w:tcW w:w="2184" w:type="dxa"/>
                  <w:tcBorders>
                    <w:top w:val="single" w:color="auto" w:sz="4" w:space="0"/>
                    <w:left w:val="single" w:color="auto" w:sz="4" w:space="0"/>
                    <w:bottom w:val="single" w:color="auto" w:sz="4" w:space="0"/>
                    <w:right w:val="single" w:color="auto" w:sz="4" w:space="0"/>
                  </w:tcBorders>
                  <w:vAlign w:val="center"/>
                </w:tcPr>
                <w:p w14:paraId="125D31C0">
                  <w:pPr>
                    <w:jc w:val="center"/>
                    <w:rPr>
                      <w:rFonts w:ascii="Times New Roman" w:hAnsi="Times New Roman" w:eastAsia="宋体" w:cs="Times New Roman"/>
                    </w:rPr>
                  </w:pPr>
                  <w:r>
                    <w:rPr>
                      <w:rFonts w:ascii="Times New Roman" w:hAnsi="Times New Roman" w:eastAsia="宋体" w:cs="Times New Roman"/>
                    </w:rPr>
                    <w:t>地形数据分辨率(m)</w:t>
                  </w:r>
                </w:p>
              </w:tc>
              <w:tc>
                <w:tcPr>
                  <w:tcW w:w="3359" w:type="dxa"/>
                  <w:tcBorders>
                    <w:top w:val="single" w:color="auto" w:sz="4" w:space="0"/>
                    <w:left w:val="single" w:color="auto" w:sz="4" w:space="0"/>
                    <w:bottom w:val="single" w:color="auto" w:sz="4" w:space="0"/>
                    <w:right w:val="single" w:color="auto" w:sz="4" w:space="0"/>
                  </w:tcBorders>
                  <w:vAlign w:val="center"/>
                </w:tcPr>
                <w:p w14:paraId="54FB51FC">
                  <w:pPr>
                    <w:jc w:val="center"/>
                    <w:rPr>
                      <w:rFonts w:ascii="Times New Roman" w:hAnsi="Times New Roman" w:eastAsia="宋体" w:cs="Times New Roman"/>
                    </w:rPr>
                  </w:pPr>
                  <w:r>
                    <w:rPr>
                      <w:rFonts w:ascii="Times New Roman" w:hAnsi="Times New Roman" w:eastAsia="宋体" w:cs="Times New Roman"/>
                    </w:rPr>
                    <w:t>90</w:t>
                  </w:r>
                </w:p>
              </w:tc>
            </w:tr>
            <w:tr w14:paraId="6137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60" w:type="dxa"/>
                  <w:vMerge w:val="restart"/>
                  <w:tcBorders>
                    <w:top w:val="single" w:color="auto" w:sz="4" w:space="0"/>
                    <w:left w:val="single" w:color="auto" w:sz="4" w:space="0"/>
                    <w:bottom w:val="single" w:color="auto" w:sz="4" w:space="0"/>
                    <w:right w:val="single" w:color="auto" w:sz="4" w:space="0"/>
                  </w:tcBorders>
                  <w:vAlign w:val="center"/>
                </w:tcPr>
                <w:p w14:paraId="3CDC8B59">
                  <w:pPr>
                    <w:jc w:val="center"/>
                    <w:rPr>
                      <w:rFonts w:ascii="Times New Roman" w:hAnsi="Times New Roman" w:eastAsia="宋体" w:cs="Times New Roman"/>
                    </w:rPr>
                  </w:pPr>
                  <w:r>
                    <w:rPr>
                      <w:rFonts w:ascii="Times New Roman" w:hAnsi="Times New Roman" w:eastAsia="宋体" w:cs="Times New Roman"/>
                    </w:rPr>
                    <w:t>是否考虑海岸线熏烟</w:t>
                  </w:r>
                </w:p>
              </w:tc>
              <w:tc>
                <w:tcPr>
                  <w:tcW w:w="2184" w:type="dxa"/>
                  <w:tcBorders>
                    <w:top w:val="single" w:color="auto" w:sz="4" w:space="0"/>
                    <w:left w:val="single" w:color="auto" w:sz="4" w:space="0"/>
                    <w:bottom w:val="single" w:color="auto" w:sz="4" w:space="0"/>
                    <w:right w:val="single" w:color="auto" w:sz="4" w:space="0"/>
                  </w:tcBorders>
                  <w:vAlign w:val="center"/>
                </w:tcPr>
                <w:p w14:paraId="56B85BB2">
                  <w:pPr>
                    <w:jc w:val="center"/>
                    <w:rPr>
                      <w:rFonts w:ascii="Times New Roman" w:hAnsi="Times New Roman" w:eastAsia="宋体" w:cs="Times New Roman"/>
                    </w:rPr>
                  </w:pPr>
                  <w:r>
                    <w:rPr>
                      <w:rFonts w:ascii="Times New Roman" w:hAnsi="Times New Roman" w:eastAsia="宋体" w:cs="Times New Roman"/>
                    </w:rPr>
                    <w:t>考虑海岸线熏烟</w:t>
                  </w:r>
                </w:p>
              </w:tc>
              <w:tc>
                <w:tcPr>
                  <w:tcW w:w="3359" w:type="dxa"/>
                  <w:tcBorders>
                    <w:top w:val="single" w:color="auto" w:sz="4" w:space="0"/>
                    <w:left w:val="single" w:color="auto" w:sz="4" w:space="0"/>
                    <w:bottom w:val="single" w:color="auto" w:sz="4" w:space="0"/>
                    <w:right w:val="single" w:color="auto" w:sz="4" w:space="0"/>
                  </w:tcBorders>
                  <w:vAlign w:val="center"/>
                </w:tcPr>
                <w:p w14:paraId="3B8A0622">
                  <w:pPr>
                    <w:jc w:val="center"/>
                    <w:rPr>
                      <w:rFonts w:ascii="Times New Roman" w:hAnsi="Times New Roman" w:eastAsia="宋体" w:cs="Times New Roman"/>
                    </w:rPr>
                  </w:pPr>
                  <w:r>
                    <w:rPr>
                      <w:rFonts w:ascii="Times New Roman" w:hAnsi="Times New Roman" w:eastAsia="宋体" w:cs="Times New Roman"/>
                    </w:rPr>
                    <w:t>否</w:t>
                  </w:r>
                </w:p>
              </w:tc>
            </w:tr>
            <w:tr w14:paraId="06B8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60" w:type="dxa"/>
                  <w:vMerge w:val="continue"/>
                  <w:tcBorders>
                    <w:top w:val="single" w:color="auto" w:sz="4" w:space="0"/>
                    <w:left w:val="single" w:color="auto" w:sz="4" w:space="0"/>
                    <w:bottom w:val="single" w:color="auto" w:sz="4" w:space="0"/>
                    <w:right w:val="single" w:color="auto" w:sz="4" w:space="0"/>
                  </w:tcBorders>
                  <w:vAlign w:val="center"/>
                </w:tcPr>
                <w:p w14:paraId="4AD57EC7">
                  <w:pPr>
                    <w:jc w:val="center"/>
                    <w:rPr>
                      <w:rFonts w:ascii="Times New Roman" w:hAnsi="Times New Roman" w:eastAsia="宋体" w:cs="Times New Roman"/>
                    </w:rPr>
                  </w:pPr>
                </w:p>
              </w:tc>
              <w:tc>
                <w:tcPr>
                  <w:tcW w:w="2184" w:type="dxa"/>
                  <w:tcBorders>
                    <w:top w:val="single" w:color="auto" w:sz="4" w:space="0"/>
                    <w:left w:val="single" w:color="auto" w:sz="4" w:space="0"/>
                    <w:bottom w:val="single" w:color="auto" w:sz="4" w:space="0"/>
                    <w:right w:val="single" w:color="auto" w:sz="4" w:space="0"/>
                  </w:tcBorders>
                  <w:vAlign w:val="center"/>
                </w:tcPr>
                <w:p w14:paraId="13B8010E">
                  <w:pPr>
                    <w:jc w:val="center"/>
                    <w:rPr>
                      <w:rFonts w:ascii="Times New Roman" w:hAnsi="Times New Roman" w:eastAsia="宋体" w:cs="Times New Roman"/>
                    </w:rPr>
                  </w:pPr>
                  <w:r>
                    <w:rPr>
                      <w:rFonts w:ascii="Times New Roman" w:hAnsi="Times New Roman" w:eastAsia="宋体" w:cs="Times New Roman"/>
                    </w:rPr>
                    <w:t>海岸线距离/m</w:t>
                  </w:r>
                </w:p>
              </w:tc>
              <w:tc>
                <w:tcPr>
                  <w:tcW w:w="3359" w:type="dxa"/>
                  <w:tcBorders>
                    <w:top w:val="single" w:color="auto" w:sz="4" w:space="0"/>
                    <w:left w:val="single" w:color="auto" w:sz="4" w:space="0"/>
                    <w:bottom w:val="single" w:color="auto" w:sz="4" w:space="0"/>
                    <w:right w:val="single" w:color="auto" w:sz="4" w:space="0"/>
                  </w:tcBorders>
                  <w:vAlign w:val="center"/>
                </w:tcPr>
                <w:p w14:paraId="3B0560BC">
                  <w:pPr>
                    <w:jc w:val="center"/>
                    <w:rPr>
                      <w:rFonts w:ascii="Times New Roman" w:hAnsi="Times New Roman" w:eastAsia="宋体" w:cs="Times New Roman"/>
                    </w:rPr>
                  </w:pPr>
                  <w:r>
                    <w:rPr>
                      <w:rFonts w:ascii="Times New Roman" w:hAnsi="Times New Roman" w:eastAsia="宋体" w:cs="Times New Roman"/>
                    </w:rPr>
                    <w:t>/</w:t>
                  </w:r>
                </w:p>
              </w:tc>
            </w:tr>
            <w:tr w14:paraId="5B9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60" w:type="dxa"/>
                  <w:vMerge w:val="continue"/>
                  <w:tcBorders>
                    <w:top w:val="single" w:color="auto" w:sz="4" w:space="0"/>
                    <w:left w:val="single" w:color="auto" w:sz="4" w:space="0"/>
                    <w:bottom w:val="single" w:color="auto" w:sz="4" w:space="0"/>
                    <w:right w:val="single" w:color="auto" w:sz="4" w:space="0"/>
                  </w:tcBorders>
                  <w:vAlign w:val="center"/>
                </w:tcPr>
                <w:p w14:paraId="501DCEB8">
                  <w:pPr>
                    <w:jc w:val="center"/>
                    <w:rPr>
                      <w:rFonts w:ascii="Times New Roman" w:hAnsi="Times New Roman" w:eastAsia="宋体" w:cs="Times New Roman"/>
                    </w:rPr>
                  </w:pPr>
                </w:p>
              </w:tc>
              <w:tc>
                <w:tcPr>
                  <w:tcW w:w="2184" w:type="dxa"/>
                  <w:tcBorders>
                    <w:top w:val="single" w:color="auto" w:sz="4" w:space="0"/>
                    <w:left w:val="single" w:color="auto" w:sz="4" w:space="0"/>
                    <w:bottom w:val="single" w:color="auto" w:sz="4" w:space="0"/>
                    <w:right w:val="single" w:color="auto" w:sz="4" w:space="0"/>
                  </w:tcBorders>
                  <w:vAlign w:val="center"/>
                </w:tcPr>
                <w:p w14:paraId="5DCB791A">
                  <w:pPr>
                    <w:jc w:val="center"/>
                    <w:rPr>
                      <w:rFonts w:ascii="Times New Roman" w:hAnsi="Times New Roman" w:eastAsia="宋体" w:cs="Times New Roman"/>
                    </w:rPr>
                  </w:pPr>
                  <w:r>
                    <w:rPr>
                      <w:rFonts w:ascii="Times New Roman" w:hAnsi="Times New Roman" w:eastAsia="宋体" w:cs="Times New Roman"/>
                    </w:rPr>
                    <w:t>海岸线方向/o</w:t>
                  </w:r>
                </w:p>
              </w:tc>
              <w:tc>
                <w:tcPr>
                  <w:tcW w:w="3359" w:type="dxa"/>
                  <w:tcBorders>
                    <w:top w:val="single" w:color="auto" w:sz="4" w:space="0"/>
                    <w:left w:val="single" w:color="auto" w:sz="4" w:space="0"/>
                    <w:bottom w:val="single" w:color="auto" w:sz="4" w:space="0"/>
                    <w:right w:val="single" w:color="auto" w:sz="4" w:space="0"/>
                  </w:tcBorders>
                  <w:vAlign w:val="center"/>
                </w:tcPr>
                <w:p w14:paraId="44FB0315">
                  <w:pPr>
                    <w:jc w:val="center"/>
                    <w:rPr>
                      <w:rFonts w:ascii="Times New Roman" w:hAnsi="Times New Roman" w:eastAsia="宋体" w:cs="Times New Roman"/>
                    </w:rPr>
                  </w:pPr>
                  <w:r>
                    <w:rPr>
                      <w:rFonts w:ascii="Times New Roman" w:hAnsi="Times New Roman" w:eastAsia="宋体" w:cs="Times New Roman"/>
                    </w:rPr>
                    <w:t>/</w:t>
                  </w:r>
                </w:p>
              </w:tc>
            </w:tr>
          </w:tbl>
          <w:p w14:paraId="10E83978">
            <w:pPr>
              <w:snapToGrid w:val="0"/>
              <w:ind w:firstLine="436" w:firstLineChars="208"/>
              <w:rPr>
                <w:szCs w:val="21"/>
                <w:highlight w:val="red"/>
              </w:rPr>
            </w:pPr>
          </w:p>
          <w:p w14:paraId="7EF8F6A6">
            <w:pPr>
              <w:pStyle w:val="10"/>
              <w:spacing w:line="360" w:lineRule="auto"/>
              <w:ind w:left="0" w:right="105" w:rightChars="50" w:firstLine="240" w:firstLineChars="100"/>
              <w:rPr>
                <w:rFonts w:ascii="Times New Roman" w:hAnsi="Times New Roman" w:cs="Times New Roman"/>
              </w:rPr>
            </w:pPr>
            <w:bookmarkStart w:id="69" w:name="_Hlk101352717"/>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ascii="Times New Roman" w:hAnsi="Times New Roman" w:cs="Times New Roman"/>
              </w:rPr>
              <w:t>有组织预测</w:t>
            </w:r>
          </w:p>
          <w:p w14:paraId="79B118E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根据工程分析，项目有组织废气污染物排放源源强</w:t>
            </w:r>
            <w:r>
              <w:rPr>
                <w:rFonts w:hint="eastAsia" w:ascii="Times New Roman" w:hAnsi="Times New Roman" w:cs="Times New Roman"/>
              </w:rPr>
              <w:t>情况</w:t>
            </w:r>
            <w:r>
              <w:rPr>
                <w:rFonts w:ascii="Times New Roman" w:hAnsi="Times New Roman" w:cs="Times New Roman"/>
              </w:rPr>
              <w:t>见下表。</w:t>
            </w:r>
          </w:p>
          <w:p w14:paraId="705A26C5">
            <w:pPr>
              <w:adjustRightInd w:val="0"/>
              <w:spacing w:before="156" w:beforeLines="50"/>
              <w:jc w:val="center"/>
              <w:rPr>
                <w:rFonts w:ascii="Times New Roman" w:hAnsi="Times New Roman" w:eastAsia="宋体" w:cs="Times New Roman"/>
                <w:b/>
                <w:szCs w:val="21"/>
              </w:rPr>
            </w:pPr>
            <w:bookmarkStart w:id="70" w:name="_Hlk97383962"/>
            <w:r>
              <w:rPr>
                <w:rFonts w:ascii="Times New Roman" w:hAnsi="Times New Roman" w:eastAsia="宋体" w:cs="Times New Roman"/>
                <w:b/>
                <w:szCs w:val="21"/>
              </w:rPr>
              <w:t>表4-6    点源调查参数清单</w:t>
            </w:r>
          </w:p>
          <w:tbl>
            <w:tblPr>
              <w:tblStyle w:val="18"/>
              <w:tblW w:w="7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3"/>
              <w:gridCol w:w="1323"/>
              <w:gridCol w:w="1405"/>
              <w:gridCol w:w="665"/>
              <w:gridCol w:w="643"/>
              <w:gridCol w:w="572"/>
              <w:gridCol w:w="687"/>
              <w:gridCol w:w="929"/>
              <w:gridCol w:w="1003"/>
            </w:tblGrid>
            <w:tr w14:paraId="77849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vAlign w:val="center"/>
                </w:tcPr>
                <w:p w14:paraId="141EFD83">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污染源</w:t>
                  </w:r>
                </w:p>
              </w:tc>
              <w:tc>
                <w:tcPr>
                  <w:tcW w:w="2728" w:type="dxa"/>
                  <w:gridSpan w:val="2"/>
                  <w:tcBorders>
                    <w:top w:val="single" w:color="000000" w:sz="4" w:space="0"/>
                    <w:left w:val="single" w:color="000000" w:sz="4" w:space="0"/>
                    <w:bottom w:val="single" w:color="000000" w:sz="4" w:space="0"/>
                    <w:right w:val="single" w:color="000000" w:sz="4" w:space="0"/>
                  </w:tcBorders>
                  <w:vAlign w:val="center"/>
                </w:tcPr>
                <w:p w14:paraId="74960CEC">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排气筒底部中心坐标(o)</w:t>
                  </w:r>
                </w:p>
              </w:tc>
              <w:tc>
                <w:tcPr>
                  <w:tcW w:w="2567" w:type="dxa"/>
                  <w:gridSpan w:val="4"/>
                  <w:tcBorders>
                    <w:top w:val="single" w:color="000000" w:sz="4" w:space="0"/>
                    <w:left w:val="single" w:color="000000" w:sz="4" w:space="0"/>
                    <w:bottom w:val="single" w:color="000000" w:sz="4" w:space="0"/>
                    <w:right w:val="single" w:color="000000" w:sz="4" w:space="0"/>
                  </w:tcBorders>
                  <w:vAlign w:val="center"/>
                </w:tcPr>
                <w:p w14:paraId="43C97551">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排气筒参数</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72C52096">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污染物名称</w:t>
                  </w:r>
                </w:p>
              </w:tc>
              <w:tc>
                <w:tcPr>
                  <w:tcW w:w="1003" w:type="dxa"/>
                  <w:vMerge w:val="restart"/>
                  <w:tcBorders>
                    <w:top w:val="single" w:color="000000" w:sz="4" w:space="0"/>
                    <w:left w:val="single" w:color="000000" w:sz="4" w:space="0"/>
                    <w:bottom w:val="single" w:color="000000" w:sz="4" w:space="0"/>
                    <w:right w:val="single" w:color="000000" w:sz="4" w:space="0"/>
                  </w:tcBorders>
                  <w:vAlign w:val="center"/>
                </w:tcPr>
                <w:p w14:paraId="4162C5F7">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排放速率</w:t>
                  </w: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rPr>
                    <w:t>kg/h</w:t>
                  </w:r>
                  <w:r>
                    <w:rPr>
                      <w:rFonts w:hint="eastAsia" w:ascii="Times New Roman" w:hAnsi="Times New Roman" w:eastAsia="宋体" w:cs="Times New Roman"/>
                      <w:b/>
                      <w:bCs/>
                      <w:sz w:val="18"/>
                      <w:szCs w:val="18"/>
                    </w:rPr>
                    <w:t>）</w:t>
                  </w:r>
                </w:p>
              </w:tc>
            </w:tr>
            <w:tr w14:paraId="130A3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5396C149">
                  <w:pPr>
                    <w:snapToGrid w:val="0"/>
                    <w:jc w:val="center"/>
                    <w:rPr>
                      <w:rFonts w:ascii="Times New Roman" w:hAnsi="Times New Roman" w:eastAsia="宋体" w:cs="Times New Roman"/>
                      <w:b/>
                      <w:bCs/>
                      <w:sz w:val="18"/>
                      <w:szCs w:val="18"/>
                    </w:rPr>
                  </w:pPr>
                </w:p>
              </w:tc>
              <w:tc>
                <w:tcPr>
                  <w:tcW w:w="1323" w:type="dxa"/>
                  <w:tcBorders>
                    <w:top w:val="single" w:color="000000" w:sz="4" w:space="0"/>
                    <w:left w:val="single" w:color="000000" w:sz="4" w:space="0"/>
                    <w:bottom w:val="single" w:color="000000" w:sz="4" w:space="0"/>
                    <w:right w:val="single" w:color="000000" w:sz="4" w:space="0"/>
                  </w:tcBorders>
                  <w:vAlign w:val="center"/>
                </w:tcPr>
                <w:p w14:paraId="086DBD45">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经度</w:t>
                  </w:r>
                </w:p>
              </w:tc>
              <w:tc>
                <w:tcPr>
                  <w:tcW w:w="1405" w:type="dxa"/>
                  <w:tcBorders>
                    <w:top w:val="single" w:color="000000" w:sz="4" w:space="0"/>
                    <w:left w:val="single" w:color="000000" w:sz="4" w:space="0"/>
                    <w:bottom w:val="single" w:color="000000" w:sz="4" w:space="0"/>
                    <w:right w:val="single" w:color="000000" w:sz="4" w:space="0"/>
                  </w:tcBorders>
                  <w:vAlign w:val="center"/>
                </w:tcPr>
                <w:p w14:paraId="4E049EBD">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纬度</w:t>
                  </w:r>
                </w:p>
              </w:tc>
              <w:tc>
                <w:tcPr>
                  <w:tcW w:w="665" w:type="dxa"/>
                  <w:tcBorders>
                    <w:top w:val="single" w:color="000000" w:sz="4" w:space="0"/>
                    <w:left w:val="single" w:color="000000" w:sz="4" w:space="0"/>
                    <w:bottom w:val="single" w:color="000000" w:sz="4" w:space="0"/>
                    <w:right w:val="single" w:color="000000" w:sz="4" w:space="0"/>
                  </w:tcBorders>
                  <w:vAlign w:val="center"/>
                </w:tcPr>
                <w:p w14:paraId="13EDACBC">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高度</w:t>
                  </w:r>
                </w:p>
                <w:p w14:paraId="67CF7CB6">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(m)</w:t>
                  </w:r>
                </w:p>
              </w:tc>
              <w:tc>
                <w:tcPr>
                  <w:tcW w:w="643" w:type="dxa"/>
                  <w:tcBorders>
                    <w:top w:val="single" w:color="000000" w:sz="4" w:space="0"/>
                    <w:left w:val="single" w:color="000000" w:sz="4" w:space="0"/>
                    <w:bottom w:val="single" w:color="000000" w:sz="4" w:space="0"/>
                    <w:right w:val="single" w:color="000000" w:sz="4" w:space="0"/>
                  </w:tcBorders>
                  <w:vAlign w:val="center"/>
                </w:tcPr>
                <w:p w14:paraId="2C49570D">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内径</w:t>
                  </w:r>
                </w:p>
                <w:p w14:paraId="45DE963C">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(m)</w:t>
                  </w:r>
                </w:p>
              </w:tc>
              <w:tc>
                <w:tcPr>
                  <w:tcW w:w="572" w:type="dxa"/>
                  <w:tcBorders>
                    <w:top w:val="single" w:color="000000" w:sz="4" w:space="0"/>
                    <w:left w:val="single" w:color="000000" w:sz="4" w:space="0"/>
                    <w:bottom w:val="single" w:color="000000" w:sz="4" w:space="0"/>
                    <w:right w:val="single" w:color="000000" w:sz="4" w:space="0"/>
                  </w:tcBorders>
                  <w:vAlign w:val="center"/>
                </w:tcPr>
                <w:p w14:paraId="777EF103">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温度</w:t>
                  </w:r>
                </w:p>
                <w:p w14:paraId="02330D98">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3E6E15D4">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流速</w:t>
                  </w:r>
                </w:p>
                <w:p w14:paraId="0DF3E6FB">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(m/s)</w:t>
                  </w: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0600DAFF">
                  <w:pPr>
                    <w:snapToGrid w:val="0"/>
                    <w:jc w:val="center"/>
                    <w:rPr>
                      <w:rFonts w:ascii="Times New Roman" w:hAnsi="Times New Roman" w:eastAsia="宋体" w:cs="Times New Roman"/>
                      <w:sz w:val="18"/>
                      <w:szCs w:val="18"/>
                    </w:rPr>
                  </w:pPr>
                </w:p>
              </w:tc>
              <w:tc>
                <w:tcPr>
                  <w:tcW w:w="1003" w:type="dxa"/>
                  <w:vMerge w:val="continue"/>
                  <w:tcBorders>
                    <w:top w:val="single" w:color="000000" w:sz="4" w:space="0"/>
                    <w:left w:val="single" w:color="000000" w:sz="4" w:space="0"/>
                    <w:bottom w:val="single" w:color="000000" w:sz="4" w:space="0"/>
                    <w:right w:val="single" w:color="000000" w:sz="4" w:space="0"/>
                  </w:tcBorders>
                  <w:vAlign w:val="center"/>
                </w:tcPr>
                <w:p w14:paraId="2F5A5693">
                  <w:pPr>
                    <w:snapToGrid w:val="0"/>
                    <w:jc w:val="center"/>
                    <w:rPr>
                      <w:rFonts w:ascii="Times New Roman" w:hAnsi="Times New Roman" w:eastAsia="宋体" w:cs="Times New Roman"/>
                      <w:sz w:val="18"/>
                      <w:szCs w:val="18"/>
                    </w:rPr>
                  </w:pPr>
                </w:p>
              </w:tc>
            </w:tr>
            <w:tr w14:paraId="3A218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restart"/>
                  <w:tcBorders>
                    <w:top w:val="single" w:color="000000" w:sz="4" w:space="0"/>
                    <w:left w:val="single" w:color="000000" w:sz="4" w:space="0"/>
                    <w:right w:val="single" w:color="000000" w:sz="4" w:space="0"/>
                  </w:tcBorders>
                  <w:vAlign w:val="center"/>
                </w:tcPr>
                <w:p w14:paraId="74E61472">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w:t>
                  </w:r>
                </w:p>
                <w:p w14:paraId="568588DC">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001</w:t>
                  </w:r>
                </w:p>
              </w:tc>
              <w:tc>
                <w:tcPr>
                  <w:tcW w:w="1323" w:type="dxa"/>
                  <w:vMerge w:val="restart"/>
                  <w:tcBorders>
                    <w:top w:val="single" w:color="000000" w:sz="4" w:space="0"/>
                    <w:left w:val="single" w:color="000000" w:sz="4" w:space="0"/>
                    <w:right w:val="single" w:color="000000" w:sz="4" w:space="0"/>
                  </w:tcBorders>
                  <w:vAlign w:val="center"/>
                </w:tcPr>
                <w:p w14:paraId="689CBC50">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E98°23′56.72″</w:t>
                  </w:r>
                </w:p>
              </w:tc>
              <w:tc>
                <w:tcPr>
                  <w:tcW w:w="1405" w:type="dxa"/>
                  <w:vMerge w:val="restart"/>
                  <w:tcBorders>
                    <w:top w:val="single" w:color="000000" w:sz="4" w:space="0"/>
                    <w:left w:val="single" w:color="000000" w:sz="4" w:space="0"/>
                    <w:right w:val="single" w:color="000000" w:sz="4" w:space="0"/>
                  </w:tcBorders>
                  <w:vAlign w:val="center"/>
                </w:tcPr>
                <w:p w14:paraId="1CDA5BAA">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N24°22′33.97″</w:t>
                  </w:r>
                </w:p>
              </w:tc>
              <w:tc>
                <w:tcPr>
                  <w:tcW w:w="665" w:type="dxa"/>
                  <w:vMerge w:val="restart"/>
                  <w:tcBorders>
                    <w:top w:val="single" w:color="000000" w:sz="4" w:space="0"/>
                    <w:left w:val="single" w:color="000000" w:sz="4" w:space="0"/>
                    <w:right w:val="single" w:color="000000" w:sz="4" w:space="0"/>
                  </w:tcBorders>
                  <w:vAlign w:val="center"/>
                </w:tcPr>
                <w:p w14:paraId="5EC76A52">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35</w:t>
                  </w:r>
                </w:p>
              </w:tc>
              <w:tc>
                <w:tcPr>
                  <w:tcW w:w="643" w:type="dxa"/>
                  <w:vMerge w:val="restart"/>
                  <w:tcBorders>
                    <w:top w:val="single" w:color="000000" w:sz="4" w:space="0"/>
                    <w:left w:val="single" w:color="000000" w:sz="4" w:space="0"/>
                    <w:right w:val="single" w:color="000000" w:sz="4" w:space="0"/>
                  </w:tcBorders>
                  <w:vAlign w:val="center"/>
                </w:tcPr>
                <w:p w14:paraId="7F00003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0.4</w:t>
                  </w:r>
                </w:p>
              </w:tc>
              <w:tc>
                <w:tcPr>
                  <w:tcW w:w="572" w:type="dxa"/>
                  <w:vMerge w:val="restart"/>
                  <w:tcBorders>
                    <w:top w:val="single" w:color="000000" w:sz="4" w:space="0"/>
                    <w:left w:val="single" w:color="000000" w:sz="4" w:space="0"/>
                    <w:right w:val="single" w:color="000000" w:sz="4" w:space="0"/>
                  </w:tcBorders>
                  <w:vAlign w:val="center"/>
                </w:tcPr>
                <w:p w14:paraId="7ACBC8BC">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687" w:type="dxa"/>
                  <w:vMerge w:val="restart"/>
                  <w:tcBorders>
                    <w:top w:val="single" w:color="000000" w:sz="4" w:space="0"/>
                    <w:left w:val="single" w:color="000000" w:sz="4" w:space="0"/>
                    <w:right w:val="single" w:color="000000" w:sz="4" w:space="0"/>
                  </w:tcBorders>
                  <w:vAlign w:val="center"/>
                </w:tcPr>
                <w:p w14:paraId="5279D58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13.00</w:t>
                  </w:r>
                </w:p>
              </w:tc>
              <w:tc>
                <w:tcPr>
                  <w:tcW w:w="929" w:type="dxa"/>
                  <w:tcBorders>
                    <w:top w:val="single" w:color="000000" w:sz="4" w:space="0"/>
                    <w:left w:val="single" w:color="000000" w:sz="4" w:space="0"/>
                    <w:right w:val="single" w:color="000000" w:sz="4" w:space="0"/>
                  </w:tcBorders>
                  <w:vAlign w:val="center"/>
                </w:tcPr>
                <w:p w14:paraId="3D0331F2">
                  <w:pPr>
                    <w:snapToGrid w:val="0"/>
                    <w:jc w:val="center"/>
                    <w:rPr>
                      <w:rFonts w:ascii="Times New Roman" w:hAnsi="Times New Roman" w:eastAsia="宋体" w:cs="Times New Roman"/>
                      <w:sz w:val="18"/>
                      <w:szCs w:val="18"/>
                    </w:rPr>
                  </w:pPr>
                  <w:r>
                    <w:rPr>
                      <w:rFonts w:ascii="Times New Roman" w:hAnsi="Times New Roman" w:cs="Times New Roman"/>
                      <w:sz w:val="18"/>
                      <w:szCs w:val="18"/>
                    </w:rPr>
                    <w:t>烟尘</w:t>
                  </w:r>
                </w:p>
              </w:tc>
              <w:tc>
                <w:tcPr>
                  <w:tcW w:w="1003" w:type="dxa"/>
                  <w:tcBorders>
                    <w:top w:val="single" w:color="000000" w:sz="4" w:space="0"/>
                    <w:left w:val="single" w:color="000000" w:sz="4" w:space="0"/>
                    <w:right w:val="single" w:color="000000" w:sz="4" w:space="0"/>
                  </w:tcBorders>
                  <w:vAlign w:val="center"/>
                </w:tcPr>
                <w:p w14:paraId="76ED2531">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.0488</w:t>
                  </w:r>
                </w:p>
              </w:tc>
            </w:tr>
            <w:tr w14:paraId="5B17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1B1CF79E">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4BA65200">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0063FA11">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54F4A7ED">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1EC14137">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0C13A302">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7D416F86">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42C334D3">
                  <w:pPr>
                    <w:snapToGrid w:val="0"/>
                    <w:jc w:val="center"/>
                    <w:rPr>
                      <w:rFonts w:ascii="Times New Roman" w:hAnsi="Times New Roman" w:eastAsia="宋体" w:cs="Times New Roman"/>
                      <w:sz w:val="18"/>
                      <w:szCs w:val="18"/>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1003" w:type="dxa"/>
                  <w:tcBorders>
                    <w:top w:val="single" w:color="000000" w:sz="4" w:space="0"/>
                    <w:left w:val="single" w:color="000000" w:sz="4" w:space="0"/>
                    <w:right w:val="single" w:color="000000" w:sz="4" w:space="0"/>
                  </w:tcBorders>
                  <w:vAlign w:val="center"/>
                </w:tcPr>
                <w:p w14:paraId="762DB65E">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.0767</w:t>
                  </w:r>
                </w:p>
              </w:tc>
            </w:tr>
            <w:tr w14:paraId="0F56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706A1400">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47A7B6C4">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5B7D0FD7">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5CE21D37">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1D53B326">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48F9442F">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0C8B663B">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29BBBA21">
                  <w:pPr>
                    <w:snapToGrid w:val="0"/>
                    <w:jc w:val="center"/>
                    <w:rPr>
                      <w:rFonts w:ascii="Times New Roman" w:hAnsi="Times New Roman" w:eastAsia="宋体" w:cs="Times New Roman"/>
                      <w:sz w:val="18"/>
                      <w:szCs w:val="18"/>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1003" w:type="dxa"/>
                  <w:tcBorders>
                    <w:top w:val="single" w:color="000000" w:sz="4" w:space="0"/>
                    <w:left w:val="single" w:color="000000" w:sz="4" w:space="0"/>
                    <w:right w:val="single" w:color="000000" w:sz="4" w:space="0"/>
                  </w:tcBorders>
                  <w:vAlign w:val="center"/>
                </w:tcPr>
                <w:p w14:paraId="7249BAE5">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.9222</w:t>
                  </w:r>
                </w:p>
              </w:tc>
            </w:tr>
            <w:tr w14:paraId="0BC1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538536CA">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152D602A">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4C96AF7E">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38F58A92">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5055FC16">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0C01549F">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594EA3BA">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54E3A423">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003" w:type="dxa"/>
                  <w:tcBorders>
                    <w:top w:val="single" w:color="000000" w:sz="4" w:space="0"/>
                    <w:left w:val="single" w:color="000000" w:sz="4" w:space="0"/>
                    <w:right w:val="single" w:color="000000" w:sz="4" w:space="0"/>
                  </w:tcBorders>
                  <w:vAlign w:val="center"/>
                </w:tcPr>
                <w:p w14:paraId="751D8AAB">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.0016</w:t>
                  </w:r>
                </w:p>
              </w:tc>
            </w:tr>
            <w:tr w14:paraId="3140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48F81E36">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728482C1">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33CD8BA2">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551FCE67">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5E8C0886">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1A3FD08C">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29F14B94">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53392A0F">
                  <w:pPr>
                    <w:snapToGrid w:val="0"/>
                    <w:jc w:val="center"/>
                    <w:rPr>
                      <w:rFonts w:ascii="Times New Roman" w:hAnsi="Times New Roman" w:eastAsia="宋体"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003" w:type="dxa"/>
                  <w:tcBorders>
                    <w:top w:val="single" w:color="000000" w:sz="4" w:space="0"/>
                    <w:left w:val="single" w:color="000000" w:sz="4" w:space="0"/>
                    <w:right w:val="single" w:color="000000" w:sz="4" w:space="0"/>
                  </w:tcBorders>
                  <w:vAlign w:val="center"/>
                </w:tcPr>
                <w:p w14:paraId="2C706F5C">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.042×10</w:t>
                  </w:r>
                  <w:r>
                    <w:rPr>
                      <w:rFonts w:ascii="Times New Roman" w:hAnsi="Times New Roman" w:cs="Times New Roman"/>
                      <w:sz w:val="18"/>
                      <w:szCs w:val="18"/>
                      <w:vertAlign w:val="superscript"/>
                    </w:rPr>
                    <w:t>-4</w:t>
                  </w:r>
                </w:p>
              </w:tc>
            </w:tr>
            <w:tr w14:paraId="6998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623" w:type="dxa"/>
                  <w:vMerge w:val="restart"/>
                  <w:tcBorders>
                    <w:left w:val="single" w:color="000000" w:sz="4" w:space="0"/>
                    <w:right w:val="single" w:color="000000" w:sz="4" w:space="0"/>
                  </w:tcBorders>
                  <w:vAlign w:val="center"/>
                </w:tcPr>
                <w:p w14:paraId="72616B2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w:t>
                  </w:r>
                </w:p>
                <w:p w14:paraId="5944D003">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002</w:t>
                  </w:r>
                </w:p>
              </w:tc>
              <w:tc>
                <w:tcPr>
                  <w:tcW w:w="1323" w:type="dxa"/>
                  <w:vMerge w:val="restart"/>
                  <w:tcBorders>
                    <w:left w:val="single" w:color="000000" w:sz="4" w:space="0"/>
                    <w:right w:val="single" w:color="000000" w:sz="4" w:space="0"/>
                  </w:tcBorders>
                  <w:vAlign w:val="center"/>
                </w:tcPr>
                <w:p w14:paraId="53894805">
                  <w:pPr>
                    <w:widowControl/>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E98°23′57.84″</w:t>
                  </w:r>
                </w:p>
              </w:tc>
              <w:tc>
                <w:tcPr>
                  <w:tcW w:w="1405" w:type="dxa"/>
                  <w:vMerge w:val="restart"/>
                  <w:tcBorders>
                    <w:left w:val="single" w:color="000000" w:sz="4" w:space="0"/>
                    <w:right w:val="single" w:color="000000" w:sz="4" w:space="0"/>
                  </w:tcBorders>
                  <w:vAlign w:val="center"/>
                </w:tcPr>
                <w:p w14:paraId="20284ED0">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N24°22′33.99″</w:t>
                  </w:r>
                </w:p>
              </w:tc>
              <w:tc>
                <w:tcPr>
                  <w:tcW w:w="665" w:type="dxa"/>
                  <w:vMerge w:val="restart"/>
                  <w:tcBorders>
                    <w:left w:val="single" w:color="000000" w:sz="4" w:space="0"/>
                    <w:right w:val="single" w:color="000000" w:sz="4" w:space="0"/>
                  </w:tcBorders>
                  <w:vAlign w:val="center"/>
                </w:tcPr>
                <w:p w14:paraId="6AB72C18">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643" w:type="dxa"/>
                  <w:vMerge w:val="restart"/>
                  <w:tcBorders>
                    <w:left w:val="single" w:color="000000" w:sz="4" w:space="0"/>
                    <w:right w:val="single" w:color="000000" w:sz="4" w:space="0"/>
                  </w:tcBorders>
                  <w:vAlign w:val="center"/>
                </w:tcPr>
                <w:p w14:paraId="7BD53C39">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0.4</w:t>
                  </w:r>
                </w:p>
              </w:tc>
              <w:tc>
                <w:tcPr>
                  <w:tcW w:w="572" w:type="dxa"/>
                  <w:vMerge w:val="restart"/>
                  <w:tcBorders>
                    <w:left w:val="single" w:color="000000" w:sz="4" w:space="0"/>
                    <w:right w:val="single" w:color="000000" w:sz="4" w:space="0"/>
                  </w:tcBorders>
                  <w:vAlign w:val="center"/>
                </w:tcPr>
                <w:p w14:paraId="3E38BF37">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687" w:type="dxa"/>
                  <w:vMerge w:val="restart"/>
                  <w:tcBorders>
                    <w:left w:val="single" w:color="000000" w:sz="4" w:space="0"/>
                    <w:right w:val="single" w:color="000000" w:sz="4" w:space="0"/>
                  </w:tcBorders>
                  <w:vAlign w:val="center"/>
                </w:tcPr>
                <w:p w14:paraId="0848A780">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11.06</w:t>
                  </w:r>
                </w:p>
              </w:tc>
              <w:tc>
                <w:tcPr>
                  <w:tcW w:w="929" w:type="dxa"/>
                  <w:tcBorders>
                    <w:top w:val="single" w:color="000000" w:sz="4" w:space="0"/>
                    <w:left w:val="single" w:color="000000" w:sz="4" w:space="0"/>
                    <w:bottom w:val="single" w:color="000000" w:sz="4" w:space="0"/>
                    <w:right w:val="single" w:color="000000" w:sz="4" w:space="0"/>
                  </w:tcBorders>
                  <w:vAlign w:val="center"/>
                </w:tcPr>
                <w:p w14:paraId="24AA3636">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003" w:type="dxa"/>
                  <w:tcBorders>
                    <w:top w:val="single" w:color="000000" w:sz="4" w:space="0"/>
                    <w:left w:val="single" w:color="000000" w:sz="4" w:space="0"/>
                    <w:bottom w:val="single" w:color="000000" w:sz="4" w:space="0"/>
                    <w:right w:val="single" w:color="000000" w:sz="4" w:space="0"/>
                  </w:tcBorders>
                  <w:vAlign w:val="center"/>
                </w:tcPr>
                <w:p w14:paraId="73C903C4">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.0072</w:t>
                  </w:r>
                </w:p>
              </w:tc>
            </w:tr>
            <w:tr w14:paraId="73FD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623" w:type="dxa"/>
                  <w:vMerge w:val="continue"/>
                  <w:tcBorders>
                    <w:left w:val="single" w:color="000000" w:sz="4" w:space="0"/>
                    <w:right w:val="single" w:color="000000" w:sz="4" w:space="0"/>
                  </w:tcBorders>
                  <w:vAlign w:val="center"/>
                </w:tcPr>
                <w:p w14:paraId="4D5FA3ED">
                  <w:pPr>
                    <w:snapToGrid w:val="0"/>
                    <w:jc w:val="center"/>
                    <w:rPr>
                      <w:rFonts w:ascii="Times New Roman" w:hAnsi="Times New Roman" w:eastAsia="宋体" w:cs="Times New Roman"/>
                      <w:sz w:val="18"/>
                      <w:szCs w:val="18"/>
                    </w:rPr>
                  </w:pPr>
                </w:p>
              </w:tc>
              <w:tc>
                <w:tcPr>
                  <w:tcW w:w="1323" w:type="dxa"/>
                  <w:vMerge w:val="continue"/>
                  <w:tcBorders>
                    <w:left w:val="single" w:color="000000" w:sz="4" w:space="0"/>
                    <w:right w:val="single" w:color="000000" w:sz="4" w:space="0"/>
                  </w:tcBorders>
                  <w:vAlign w:val="center"/>
                </w:tcPr>
                <w:p w14:paraId="00F76D3A">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63AAE738">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16271F31">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748C996E">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09A26B7B">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0CDF8572">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31DCAA66">
                  <w:pPr>
                    <w:snapToGrid w:val="0"/>
                    <w:jc w:val="center"/>
                    <w:rPr>
                      <w:rFonts w:ascii="Times New Roman" w:hAnsi="Times New Roman" w:eastAsia="宋体"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003" w:type="dxa"/>
                  <w:tcBorders>
                    <w:top w:val="single" w:color="000000" w:sz="4" w:space="0"/>
                    <w:left w:val="single" w:color="000000" w:sz="4" w:space="0"/>
                    <w:bottom w:val="single" w:color="000000" w:sz="4" w:space="0"/>
                    <w:right w:val="single" w:color="000000" w:sz="4" w:space="0"/>
                  </w:tcBorders>
                  <w:vAlign w:val="center"/>
                </w:tcPr>
                <w:p w14:paraId="451B3BB7">
                  <w:pPr>
                    <w:snapToGrid w:val="0"/>
                    <w:jc w:val="center"/>
                    <w:rPr>
                      <w:rFonts w:ascii="Times New Roman" w:hAnsi="Times New Roman" w:eastAsia="宋体" w:cs="Times New Roman"/>
                      <w:sz w:val="18"/>
                      <w:szCs w:val="18"/>
                    </w:rPr>
                  </w:pPr>
                  <w:r>
                    <w:rPr>
                      <w:rFonts w:ascii="Times New Roman" w:hAnsi="Times New Roman" w:cs="Times New Roman"/>
                      <w:bCs/>
                      <w:sz w:val="18"/>
                      <w:szCs w:val="18"/>
                    </w:rPr>
                    <w:t>0.18×10</w:t>
                  </w:r>
                  <w:r>
                    <w:rPr>
                      <w:rFonts w:ascii="Times New Roman" w:hAnsi="Times New Roman" w:cs="Times New Roman"/>
                      <w:bCs/>
                      <w:sz w:val="18"/>
                      <w:szCs w:val="18"/>
                      <w:vertAlign w:val="superscript"/>
                    </w:rPr>
                    <w:t>-4</w:t>
                  </w:r>
                </w:p>
              </w:tc>
            </w:tr>
          </w:tbl>
          <w:p w14:paraId="5ACDA89E">
            <w:pPr>
              <w:pStyle w:val="10"/>
              <w:snapToGrid w:val="0"/>
              <w:ind w:left="0" w:right="105" w:rightChars="50" w:firstLine="240" w:firstLineChars="100"/>
              <w:rPr>
                <w:rFonts w:ascii="Times New Roman" w:hAnsi="Times New Roman" w:cs="Times New Roman"/>
                <w:lang w:val="en-US"/>
              </w:rPr>
            </w:pPr>
          </w:p>
          <w:p w14:paraId="36DD009A">
            <w:pPr>
              <w:widowControl/>
              <w:spacing w:before="156" w:beforeLines="50"/>
              <w:jc w:val="center"/>
              <w:textAlignment w:val="center"/>
              <w:rPr>
                <w:rFonts w:ascii="Times New Roman" w:hAnsi="Times New Roman" w:eastAsia="宋体" w:cs="Times New Roman"/>
                <w:b/>
                <w:szCs w:val="21"/>
              </w:rPr>
            </w:pPr>
            <w:bookmarkStart w:id="71" w:name="_Hlk92745601"/>
          </w:p>
          <w:p w14:paraId="7D84A113">
            <w:pPr>
              <w:widowControl/>
              <w:spacing w:before="156" w:beforeLines="50"/>
              <w:jc w:val="center"/>
              <w:textAlignment w:val="center"/>
              <w:rPr>
                <w:rFonts w:ascii="Times New Roman" w:hAnsi="Times New Roman" w:eastAsia="宋体" w:cs="Times New Roman"/>
                <w:b/>
                <w:szCs w:val="21"/>
              </w:rPr>
            </w:pPr>
          </w:p>
          <w:p w14:paraId="386C13B7">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 xml:space="preserve">表4-7    </w:t>
            </w:r>
            <w:r>
              <w:rPr>
                <w:rFonts w:hint="eastAsia" w:ascii="Times New Roman" w:hAnsi="Times New Roman" w:eastAsia="宋体" w:cs="Times New Roman"/>
                <w:b/>
                <w:szCs w:val="21"/>
              </w:rPr>
              <w:t>锅炉</w:t>
            </w:r>
            <w:r>
              <w:rPr>
                <w:rFonts w:ascii="Times New Roman" w:hAnsi="Times New Roman" w:eastAsia="宋体" w:cs="Times New Roman"/>
                <w:b/>
                <w:szCs w:val="21"/>
              </w:rPr>
              <w:t>排气筒</w:t>
            </w:r>
            <w:r>
              <w:rPr>
                <w:rFonts w:hint="eastAsia" w:ascii="Times New Roman" w:hAnsi="Times New Roman" w:eastAsia="宋体" w:cs="Times New Roman"/>
                <w:b/>
                <w:szCs w:val="21"/>
              </w:rPr>
              <w:t>（D</w:t>
            </w:r>
            <w:r>
              <w:rPr>
                <w:rFonts w:ascii="Times New Roman" w:hAnsi="Times New Roman" w:eastAsia="宋体" w:cs="Times New Roman"/>
                <w:b/>
                <w:szCs w:val="21"/>
              </w:rPr>
              <w:t>A001</w:t>
            </w:r>
            <w:r>
              <w:rPr>
                <w:rFonts w:hint="eastAsia" w:ascii="Times New Roman" w:hAnsi="Times New Roman" w:eastAsia="宋体" w:cs="Times New Roman"/>
                <w:b/>
                <w:szCs w:val="21"/>
              </w:rPr>
              <w:t>）</w:t>
            </w:r>
            <w:r>
              <w:rPr>
                <w:rFonts w:ascii="Times New Roman" w:hAnsi="Times New Roman" w:eastAsia="宋体" w:cs="Times New Roman"/>
                <w:b/>
                <w:szCs w:val="21"/>
              </w:rPr>
              <w:t>下风向地面浓度及占标率预测表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59"/>
              <w:gridCol w:w="1164"/>
              <w:gridCol w:w="1159"/>
              <w:gridCol w:w="1165"/>
              <w:gridCol w:w="1169"/>
              <w:gridCol w:w="1166"/>
            </w:tblGrid>
            <w:tr w14:paraId="1717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vAlign w:val="center"/>
                </w:tcPr>
                <w:p w14:paraId="20D8576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7269" w:type="dxa"/>
                  <w:gridSpan w:val="6"/>
                  <w:vAlign w:val="center"/>
                </w:tcPr>
                <w:p w14:paraId="32136F0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点源：</w:t>
                  </w:r>
                  <w:r>
                    <w:rPr>
                      <w:rFonts w:hint="eastAsia" w:ascii="Times New Roman" w:hAnsi="Times New Roman" w:eastAsia="宋体" w:cs="Times New Roman"/>
                      <w:b/>
                      <w:bCs/>
                      <w:kern w:val="0"/>
                      <w:sz w:val="18"/>
                      <w:szCs w:val="18"/>
                      <w:lang w:bidi="ar"/>
                    </w:rPr>
                    <w:t>锅炉</w:t>
                  </w:r>
                  <w:r>
                    <w:rPr>
                      <w:rFonts w:ascii="Times New Roman" w:hAnsi="Times New Roman" w:eastAsia="宋体" w:cs="Times New Roman"/>
                      <w:b/>
                      <w:bCs/>
                      <w:kern w:val="0"/>
                      <w:sz w:val="18"/>
                      <w:szCs w:val="18"/>
                      <w:lang w:bidi="ar"/>
                    </w:rPr>
                    <w:t>排气筒</w:t>
                  </w:r>
                </w:p>
              </w:tc>
            </w:tr>
            <w:tr w14:paraId="4CEFBCCD">
              <w:tblPrEx>
                <w:tblCellMar>
                  <w:top w:w="0" w:type="dxa"/>
                  <w:left w:w="108" w:type="dxa"/>
                  <w:bottom w:w="0" w:type="dxa"/>
                  <w:right w:w="108" w:type="dxa"/>
                </w:tblCellMar>
              </w:tblPrEx>
              <w:tc>
                <w:tcPr>
                  <w:tcW w:w="1211" w:type="dxa"/>
                  <w:vMerge w:val="continue"/>
                  <w:vAlign w:val="center"/>
                </w:tcPr>
                <w:p w14:paraId="0F9DB340">
                  <w:pPr>
                    <w:widowControl/>
                    <w:snapToGrid w:val="0"/>
                    <w:jc w:val="center"/>
                    <w:textAlignment w:val="center"/>
                    <w:rPr>
                      <w:rFonts w:ascii="Times New Roman" w:hAnsi="Times New Roman" w:eastAsia="宋体" w:cs="Times New Roman"/>
                      <w:b/>
                      <w:szCs w:val="21"/>
                    </w:rPr>
                  </w:pPr>
                </w:p>
              </w:tc>
              <w:tc>
                <w:tcPr>
                  <w:tcW w:w="2422" w:type="dxa"/>
                  <w:gridSpan w:val="2"/>
                  <w:vAlign w:val="center"/>
                </w:tcPr>
                <w:p w14:paraId="25ACEF4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颗粒物</w:t>
                  </w:r>
                  <w:r>
                    <w:rPr>
                      <w:rFonts w:hint="eastAsia" w:ascii="Times New Roman" w:hAnsi="Times New Roman" w:eastAsia="宋体" w:cs="Times New Roman"/>
                      <w:b/>
                      <w:bCs/>
                      <w:kern w:val="0"/>
                      <w:sz w:val="18"/>
                      <w:szCs w:val="18"/>
                      <w:lang w:bidi="ar"/>
                    </w:rPr>
                    <w:t>（P</w:t>
                  </w:r>
                  <w:r>
                    <w:rPr>
                      <w:rFonts w:ascii="Times New Roman" w:hAnsi="Times New Roman" w:eastAsia="宋体" w:cs="Times New Roman"/>
                      <w:b/>
                      <w:bCs/>
                      <w:kern w:val="0"/>
                      <w:sz w:val="18"/>
                      <w:szCs w:val="18"/>
                      <w:lang w:bidi="ar"/>
                    </w:rPr>
                    <w:t>M</w:t>
                  </w:r>
                  <w:r>
                    <w:rPr>
                      <w:rFonts w:ascii="Times New Roman" w:hAnsi="Times New Roman" w:eastAsia="宋体" w:cs="Times New Roman"/>
                      <w:b/>
                      <w:bCs/>
                      <w:kern w:val="0"/>
                      <w:sz w:val="18"/>
                      <w:szCs w:val="18"/>
                      <w:vertAlign w:val="subscript"/>
                      <w:lang w:bidi="ar"/>
                    </w:rPr>
                    <w:t>10</w:t>
                  </w:r>
                  <w:r>
                    <w:rPr>
                      <w:rFonts w:hint="eastAsia" w:ascii="Times New Roman" w:hAnsi="Times New Roman" w:eastAsia="宋体" w:cs="Times New Roman"/>
                      <w:b/>
                      <w:bCs/>
                      <w:kern w:val="0"/>
                      <w:sz w:val="18"/>
                      <w:szCs w:val="18"/>
                      <w:lang w:bidi="ar"/>
                    </w:rPr>
                    <w:t>）</w:t>
                  </w:r>
                </w:p>
              </w:tc>
              <w:tc>
                <w:tcPr>
                  <w:tcW w:w="2423" w:type="dxa"/>
                  <w:gridSpan w:val="2"/>
                  <w:vAlign w:val="center"/>
                </w:tcPr>
                <w:p w14:paraId="19F32599">
                  <w:pPr>
                    <w:widowControl/>
                    <w:snapToGrid w:val="0"/>
                    <w:jc w:val="center"/>
                    <w:textAlignment w:val="center"/>
                    <w:rPr>
                      <w:rFonts w:ascii="Times New Roman" w:hAnsi="Times New Roman" w:eastAsia="宋体" w:cs="Times New Roman"/>
                      <w:b/>
                      <w:szCs w:val="21"/>
                    </w:rPr>
                  </w:pPr>
                  <w:r>
                    <w:rPr>
                      <w:rFonts w:ascii="Times New Roman" w:hAnsi="Times New Roman" w:cs="Times New Roman"/>
                      <w:b/>
                      <w:bCs/>
                      <w:sz w:val="18"/>
                      <w:szCs w:val="18"/>
                    </w:rPr>
                    <w:t>SO</w:t>
                  </w:r>
                  <w:r>
                    <w:rPr>
                      <w:rFonts w:ascii="Times New Roman" w:hAnsi="Times New Roman" w:cs="Times New Roman"/>
                      <w:b/>
                      <w:bCs/>
                      <w:sz w:val="18"/>
                      <w:szCs w:val="18"/>
                      <w:vertAlign w:val="subscript"/>
                    </w:rPr>
                    <w:t>2</w:t>
                  </w:r>
                </w:p>
              </w:tc>
              <w:tc>
                <w:tcPr>
                  <w:tcW w:w="2424" w:type="dxa"/>
                  <w:gridSpan w:val="2"/>
                  <w:vAlign w:val="center"/>
                </w:tcPr>
                <w:p w14:paraId="7C67E9B1">
                  <w:pPr>
                    <w:widowControl/>
                    <w:snapToGrid w:val="0"/>
                    <w:jc w:val="center"/>
                    <w:textAlignment w:val="center"/>
                    <w:rPr>
                      <w:rFonts w:ascii="Times New Roman" w:hAnsi="Times New Roman" w:eastAsia="宋体" w:cs="Times New Roman"/>
                      <w:b/>
                      <w:szCs w:val="21"/>
                    </w:rPr>
                  </w:pPr>
                  <w:r>
                    <w:rPr>
                      <w:rFonts w:ascii="Times New Roman" w:hAnsi="Times New Roman" w:cs="Times New Roman"/>
                      <w:b/>
                      <w:bCs/>
                      <w:sz w:val="18"/>
                      <w:szCs w:val="18"/>
                    </w:rPr>
                    <w:t>NO</w:t>
                  </w:r>
                  <w:r>
                    <w:rPr>
                      <w:rFonts w:hint="eastAsia" w:ascii="Times New Roman" w:hAnsi="Times New Roman" w:cs="Times New Roman"/>
                      <w:b/>
                      <w:bCs/>
                      <w:sz w:val="18"/>
                      <w:szCs w:val="18"/>
                    </w:rPr>
                    <w:t>x</w:t>
                  </w:r>
                </w:p>
              </w:tc>
            </w:tr>
            <w:tr w14:paraId="3445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196C90EE">
                  <w:pPr>
                    <w:widowControl/>
                    <w:snapToGrid w:val="0"/>
                    <w:jc w:val="center"/>
                    <w:textAlignment w:val="center"/>
                    <w:rPr>
                      <w:rFonts w:ascii="Times New Roman" w:hAnsi="Times New Roman" w:eastAsia="宋体" w:cs="Times New Roman"/>
                      <w:b/>
                      <w:szCs w:val="21"/>
                    </w:rPr>
                  </w:pPr>
                </w:p>
              </w:tc>
              <w:tc>
                <w:tcPr>
                  <w:tcW w:w="1211" w:type="dxa"/>
                  <w:vAlign w:val="center"/>
                </w:tcPr>
                <w:p w14:paraId="5F5FCE1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1" w:type="dxa"/>
                  <w:vAlign w:val="center"/>
                </w:tcPr>
                <w:p w14:paraId="694352D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1" w:type="dxa"/>
                  <w:vAlign w:val="center"/>
                </w:tcPr>
                <w:p w14:paraId="66D8EAD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2" w:type="dxa"/>
                  <w:vAlign w:val="center"/>
                </w:tcPr>
                <w:p w14:paraId="311EFF1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2" w:type="dxa"/>
                  <w:vAlign w:val="center"/>
                </w:tcPr>
                <w:p w14:paraId="7322274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2" w:type="dxa"/>
                  <w:vAlign w:val="center"/>
                </w:tcPr>
                <w:p w14:paraId="6B041C9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6F47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2C37CA9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211" w:type="dxa"/>
                  <w:vAlign w:val="center"/>
                </w:tcPr>
                <w:p w14:paraId="5075CB4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0.5508</w:t>
                  </w:r>
                </w:p>
              </w:tc>
              <w:tc>
                <w:tcPr>
                  <w:tcW w:w="1211" w:type="dxa"/>
                  <w:vAlign w:val="center"/>
                </w:tcPr>
                <w:p w14:paraId="6FAB062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0.1224</w:t>
                  </w:r>
                </w:p>
              </w:tc>
              <w:tc>
                <w:tcPr>
                  <w:tcW w:w="1211" w:type="dxa"/>
                  <w:vAlign w:val="center"/>
                </w:tcPr>
                <w:p w14:paraId="7EB4612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0.8658</w:t>
                  </w:r>
                </w:p>
              </w:tc>
              <w:tc>
                <w:tcPr>
                  <w:tcW w:w="1212" w:type="dxa"/>
                  <w:vAlign w:val="center"/>
                </w:tcPr>
                <w:p w14:paraId="7C36E28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0.1732</w:t>
                  </w:r>
                </w:p>
              </w:tc>
              <w:tc>
                <w:tcPr>
                  <w:tcW w:w="1212" w:type="dxa"/>
                  <w:vAlign w:val="center"/>
                </w:tcPr>
                <w:p w14:paraId="6325CB3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10.4093</w:t>
                  </w:r>
                </w:p>
              </w:tc>
              <w:tc>
                <w:tcPr>
                  <w:tcW w:w="1212" w:type="dxa"/>
                  <w:vAlign w:val="center"/>
                </w:tcPr>
                <w:p w14:paraId="77F1390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4.1637</w:t>
                  </w:r>
                </w:p>
              </w:tc>
            </w:tr>
            <w:tr w14:paraId="1785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55DC89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211" w:type="dxa"/>
                  <w:vAlign w:val="center"/>
                </w:tcPr>
                <w:p w14:paraId="1C34324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0.4382</w:t>
                  </w:r>
                </w:p>
              </w:tc>
              <w:tc>
                <w:tcPr>
                  <w:tcW w:w="1211" w:type="dxa"/>
                  <w:vAlign w:val="center"/>
                </w:tcPr>
                <w:p w14:paraId="51D6F68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0.0974</w:t>
                  </w:r>
                </w:p>
              </w:tc>
              <w:tc>
                <w:tcPr>
                  <w:tcW w:w="1211" w:type="dxa"/>
                  <w:vAlign w:val="center"/>
                </w:tcPr>
                <w:p w14:paraId="40D2B6D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0.6888</w:t>
                  </w:r>
                </w:p>
              </w:tc>
              <w:tc>
                <w:tcPr>
                  <w:tcW w:w="1212" w:type="dxa"/>
                  <w:vAlign w:val="center"/>
                </w:tcPr>
                <w:p w14:paraId="5EF6F13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0.1378</w:t>
                  </w:r>
                </w:p>
              </w:tc>
              <w:tc>
                <w:tcPr>
                  <w:tcW w:w="1212" w:type="dxa"/>
                  <w:vAlign w:val="center"/>
                </w:tcPr>
                <w:p w14:paraId="665DB7B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8.2818</w:t>
                  </w:r>
                </w:p>
              </w:tc>
              <w:tc>
                <w:tcPr>
                  <w:tcW w:w="1212" w:type="dxa"/>
                  <w:vAlign w:val="center"/>
                </w:tcPr>
                <w:p w14:paraId="2A26332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3.3127</w:t>
                  </w:r>
                </w:p>
              </w:tc>
            </w:tr>
            <w:tr w14:paraId="27F0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0928BA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211" w:type="dxa"/>
                  <w:vAlign w:val="center"/>
                </w:tcPr>
                <w:p w14:paraId="09A6571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0.7178</w:t>
                  </w:r>
                </w:p>
              </w:tc>
              <w:tc>
                <w:tcPr>
                  <w:tcW w:w="1211" w:type="dxa"/>
                  <w:vAlign w:val="center"/>
                </w:tcPr>
                <w:p w14:paraId="0B1BF53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0.1595</w:t>
                  </w:r>
                </w:p>
              </w:tc>
              <w:tc>
                <w:tcPr>
                  <w:tcW w:w="1211" w:type="dxa"/>
                  <w:vAlign w:val="center"/>
                </w:tcPr>
                <w:p w14:paraId="5B172DC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1.1282</w:t>
                  </w:r>
                </w:p>
              </w:tc>
              <w:tc>
                <w:tcPr>
                  <w:tcW w:w="1212" w:type="dxa"/>
                  <w:vAlign w:val="center"/>
                </w:tcPr>
                <w:p w14:paraId="76F9197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0.2256</w:t>
                  </w:r>
                </w:p>
              </w:tc>
              <w:tc>
                <w:tcPr>
                  <w:tcW w:w="1212" w:type="dxa"/>
                  <w:vAlign w:val="center"/>
                </w:tcPr>
                <w:p w14:paraId="0C167DD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13.5654</w:t>
                  </w:r>
                </w:p>
              </w:tc>
              <w:tc>
                <w:tcPr>
                  <w:tcW w:w="1212" w:type="dxa"/>
                  <w:vAlign w:val="center"/>
                </w:tcPr>
                <w:p w14:paraId="3D18C5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5.4262</w:t>
                  </w:r>
                </w:p>
              </w:tc>
            </w:tr>
            <w:tr w14:paraId="09F4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113284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211" w:type="dxa"/>
                  <w:vAlign w:val="center"/>
                </w:tcPr>
                <w:p w14:paraId="1550DC6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0.7782</w:t>
                  </w:r>
                </w:p>
              </w:tc>
              <w:tc>
                <w:tcPr>
                  <w:tcW w:w="1211" w:type="dxa"/>
                  <w:vAlign w:val="center"/>
                </w:tcPr>
                <w:p w14:paraId="2E83A2A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0.1729</w:t>
                  </w:r>
                </w:p>
              </w:tc>
              <w:tc>
                <w:tcPr>
                  <w:tcW w:w="1211" w:type="dxa"/>
                  <w:vAlign w:val="center"/>
                </w:tcPr>
                <w:p w14:paraId="7E95316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1.2231</w:t>
                  </w:r>
                </w:p>
              </w:tc>
              <w:tc>
                <w:tcPr>
                  <w:tcW w:w="1212" w:type="dxa"/>
                  <w:vAlign w:val="center"/>
                </w:tcPr>
                <w:p w14:paraId="1ACF153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0.2446</w:t>
                  </w:r>
                </w:p>
              </w:tc>
              <w:tc>
                <w:tcPr>
                  <w:tcW w:w="1212" w:type="dxa"/>
                  <w:vAlign w:val="center"/>
                </w:tcPr>
                <w:p w14:paraId="3DF0386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14.7059</w:t>
                  </w:r>
                </w:p>
              </w:tc>
              <w:tc>
                <w:tcPr>
                  <w:tcW w:w="1212" w:type="dxa"/>
                  <w:vAlign w:val="center"/>
                </w:tcPr>
                <w:p w14:paraId="32DFFF6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5.8824</w:t>
                  </w:r>
                </w:p>
              </w:tc>
            </w:tr>
            <w:tr w14:paraId="162B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0A480536">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211" w:type="dxa"/>
                  <w:vAlign w:val="center"/>
                </w:tcPr>
                <w:p w14:paraId="181AE5B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0.6784</w:t>
                  </w:r>
                </w:p>
              </w:tc>
              <w:tc>
                <w:tcPr>
                  <w:tcW w:w="1211" w:type="dxa"/>
                  <w:vAlign w:val="center"/>
                </w:tcPr>
                <w:p w14:paraId="3CF6EBD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0.1507</w:t>
                  </w:r>
                </w:p>
              </w:tc>
              <w:tc>
                <w:tcPr>
                  <w:tcW w:w="1211" w:type="dxa"/>
                  <w:vAlign w:val="center"/>
                </w:tcPr>
                <w:p w14:paraId="2CFAECB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1.0662</w:t>
                  </w:r>
                </w:p>
              </w:tc>
              <w:tc>
                <w:tcPr>
                  <w:tcW w:w="1212" w:type="dxa"/>
                  <w:vAlign w:val="center"/>
                </w:tcPr>
                <w:p w14:paraId="25B97F7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0.2132</w:t>
                  </w:r>
                </w:p>
              </w:tc>
              <w:tc>
                <w:tcPr>
                  <w:tcW w:w="1212" w:type="dxa"/>
                  <w:vAlign w:val="center"/>
                </w:tcPr>
                <w:p w14:paraId="3084A45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12.8195</w:t>
                  </w:r>
                </w:p>
              </w:tc>
              <w:tc>
                <w:tcPr>
                  <w:tcW w:w="1212" w:type="dxa"/>
                  <w:vAlign w:val="center"/>
                </w:tcPr>
                <w:p w14:paraId="265E099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5.1278</w:t>
                  </w:r>
                </w:p>
              </w:tc>
            </w:tr>
            <w:tr w14:paraId="7224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034B1FF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211" w:type="dxa"/>
                  <w:vAlign w:val="center"/>
                </w:tcPr>
                <w:p w14:paraId="145157C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0.5840</w:t>
                  </w:r>
                </w:p>
              </w:tc>
              <w:tc>
                <w:tcPr>
                  <w:tcW w:w="1211" w:type="dxa"/>
                  <w:vAlign w:val="center"/>
                </w:tcPr>
                <w:p w14:paraId="2C0532F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0.1298</w:t>
                  </w:r>
                </w:p>
              </w:tc>
              <w:tc>
                <w:tcPr>
                  <w:tcW w:w="1211" w:type="dxa"/>
                  <w:vAlign w:val="center"/>
                </w:tcPr>
                <w:p w14:paraId="053ADEB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0.9179</w:t>
                  </w:r>
                </w:p>
              </w:tc>
              <w:tc>
                <w:tcPr>
                  <w:tcW w:w="1212" w:type="dxa"/>
                  <w:vAlign w:val="center"/>
                </w:tcPr>
                <w:p w14:paraId="0F87CD9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0.1836</w:t>
                  </w:r>
                </w:p>
              </w:tc>
              <w:tc>
                <w:tcPr>
                  <w:tcW w:w="1212" w:type="dxa"/>
                  <w:vAlign w:val="center"/>
                </w:tcPr>
                <w:p w14:paraId="149DCE9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11.0367</w:t>
                  </w:r>
                </w:p>
              </w:tc>
              <w:tc>
                <w:tcPr>
                  <w:tcW w:w="1212" w:type="dxa"/>
                  <w:vAlign w:val="center"/>
                </w:tcPr>
                <w:p w14:paraId="3A486C9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4.4147</w:t>
                  </w:r>
                </w:p>
              </w:tc>
            </w:tr>
            <w:tr w14:paraId="2AF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7975C09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211" w:type="dxa"/>
                  <w:vAlign w:val="center"/>
                </w:tcPr>
                <w:p w14:paraId="3E1275C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0.5072</w:t>
                  </w:r>
                </w:p>
              </w:tc>
              <w:tc>
                <w:tcPr>
                  <w:tcW w:w="1211" w:type="dxa"/>
                  <w:vAlign w:val="center"/>
                </w:tcPr>
                <w:p w14:paraId="4129BFF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0.1127</w:t>
                  </w:r>
                </w:p>
              </w:tc>
              <w:tc>
                <w:tcPr>
                  <w:tcW w:w="1211" w:type="dxa"/>
                  <w:vAlign w:val="center"/>
                </w:tcPr>
                <w:p w14:paraId="4032806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0.7972</w:t>
                  </w:r>
                </w:p>
              </w:tc>
              <w:tc>
                <w:tcPr>
                  <w:tcW w:w="1212" w:type="dxa"/>
                  <w:vAlign w:val="center"/>
                </w:tcPr>
                <w:p w14:paraId="5A15AD6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0.1594</w:t>
                  </w:r>
                </w:p>
              </w:tc>
              <w:tc>
                <w:tcPr>
                  <w:tcW w:w="1212" w:type="dxa"/>
                  <w:vAlign w:val="center"/>
                </w:tcPr>
                <w:p w14:paraId="0E54108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9.5852</w:t>
                  </w:r>
                </w:p>
              </w:tc>
              <w:tc>
                <w:tcPr>
                  <w:tcW w:w="1212" w:type="dxa"/>
                  <w:vAlign w:val="center"/>
                </w:tcPr>
                <w:p w14:paraId="561CD4C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3.8341</w:t>
                  </w:r>
                </w:p>
              </w:tc>
            </w:tr>
            <w:tr w14:paraId="3D09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4E1F85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211" w:type="dxa"/>
                  <w:vAlign w:val="center"/>
                </w:tcPr>
                <w:p w14:paraId="742DA09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0.4465</w:t>
                  </w:r>
                </w:p>
              </w:tc>
              <w:tc>
                <w:tcPr>
                  <w:tcW w:w="1211" w:type="dxa"/>
                  <w:vAlign w:val="center"/>
                </w:tcPr>
                <w:p w14:paraId="5139B7D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0.0992</w:t>
                  </w:r>
                </w:p>
              </w:tc>
              <w:tc>
                <w:tcPr>
                  <w:tcW w:w="1211" w:type="dxa"/>
                  <w:vAlign w:val="center"/>
                </w:tcPr>
                <w:p w14:paraId="181D11C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0.7017</w:t>
                  </w:r>
                </w:p>
              </w:tc>
              <w:tc>
                <w:tcPr>
                  <w:tcW w:w="1212" w:type="dxa"/>
                  <w:vAlign w:val="center"/>
                </w:tcPr>
                <w:p w14:paraId="53A422E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0.1403</w:t>
                  </w:r>
                </w:p>
              </w:tc>
              <w:tc>
                <w:tcPr>
                  <w:tcW w:w="1212" w:type="dxa"/>
                  <w:vAlign w:val="center"/>
                </w:tcPr>
                <w:p w14:paraId="2F5E7C8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8.4372</w:t>
                  </w:r>
                </w:p>
              </w:tc>
              <w:tc>
                <w:tcPr>
                  <w:tcW w:w="1212" w:type="dxa"/>
                  <w:vAlign w:val="center"/>
                </w:tcPr>
                <w:p w14:paraId="05975C1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3.3749</w:t>
                  </w:r>
                </w:p>
              </w:tc>
            </w:tr>
            <w:tr w14:paraId="0F0D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6554BD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211" w:type="dxa"/>
                  <w:vAlign w:val="center"/>
                </w:tcPr>
                <w:p w14:paraId="716EAA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0.4116</w:t>
                  </w:r>
                </w:p>
              </w:tc>
              <w:tc>
                <w:tcPr>
                  <w:tcW w:w="1211" w:type="dxa"/>
                  <w:vAlign w:val="center"/>
                </w:tcPr>
                <w:p w14:paraId="2E8B8FB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0.0915</w:t>
                  </w:r>
                </w:p>
              </w:tc>
              <w:tc>
                <w:tcPr>
                  <w:tcW w:w="1211" w:type="dxa"/>
                  <w:vAlign w:val="center"/>
                </w:tcPr>
                <w:p w14:paraId="389D87B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0.6468</w:t>
                  </w:r>
                </w:p>
              </w:tc>
              <w:tc>
                <w:tcPr>
                  <w:tcW w:w="1212" w:type="dxa"/>
                  <w:vAlign w:val="center"/>
                </w:tcPr>
                <w:p w14:paraId="6B2F916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0.1294</w:t>
                  </w:r>
                </w:p>
              </w:tc>
              <w:tc>
                <w:tcPr>
                  <w:tcW w:w="1212" w:type="dxa"/>
                  <w:vAlign w:val="center"/>
                </w:tcPr>
                <w:p w14:paraId="5752269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7.7773</w:t>
                  </w:r>
                </w:p>
              </w:tc>
              <w:tc>
                <w:tcPr>
                  <w:tcW w:w="1212" w:type="dxa"/>
                  <w:vAlign w:val="center"/>
                </w:tcPr>
                <w:p w14:paraId="077B7FB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3.1109</w:t>
                  </w:r>
                </w:p>
              </w:tc>
            </w:tr>
            <w:tr w14:paraId="271C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D99149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211" w:type="dxa"/>
                  <w:vAlign w:val="center"/>
                </w:tcPr>
                <w:p w14:paraId="478BE81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0.3803</w:t>
                  </w:r>
                </w:p>
              </w:tc>
              <w:tc>
                <w:tcPr>
                  <w:tcW w:w="1211" w:type="dxa"/>
                  <w:vAlign w:val="center"/>
                </w:tcPr>
                <w:p w14:paraId="563C2D2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0.0845</w:t>
                  </w:r>
                </w:p>
              </w:tc>
              <w:tc>
                <w:tcPr>
                  <w:tcW w:w="1211" w:type="dxa"/>
                  <w:vAlign w:val="center"/>
                </w:tcPr>
                <w:p w14:paraId="726E5DB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0.5978</w:t>
                  </w:r>
                </w:p>
              </w:tc>
              <w:tc>
                <w:tcPr>
                  <w:tcW w:w="1212" w:type="dxa"/>
                  <w:vAlign w:val="center"/>
                </w:tcPr>
                <w:p w14:paraId="4E01FCD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0.1196</w:t>
                  </w:r>
                </w:p>
              </w:tc>
              <w:tc>
                <w:tcPr>
                  <w:tcW w:w="1212" w:type="dxa"/>
                  <w:vAlign w:val="center"/>
                </w:tcPr>
                <w:p w14:paraId="627E5B3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7.1871</w:t>
                  </w:r>
                </w:p>
              </w:tc>
              <w:tc>
                <w:tcPr>
                  <w:tcW w:w="1212" w:type="dxa"/>
                  <w:vAlign w:val="center"/>
                </w:tcPr>
                <w:p w14:paraId="214A3DE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2.8748</w:t>
                  </w:r>
                </w:p>
              </w:tc>
            </w:tr>
            <w:tr w14:paraId="1422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FE83FF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211" w:type="dxa"/>
                  <w:vAlign w:val="center"/>
                </w:tcPr>
                <w:p w14:paraId="696FDD2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0.3735</w:t>
                  </w:r>
                </w:p>
              </w:tc>
              <w:tc>
                <w:tcPr>
                  <w:tcW w:w="1211" w:type="dxa"/>
                  <w:vAlign w:val="center"/>
                </w:tcPr>
                <w:p w14:paraId="2681DAA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0.0830</w:t>
                  </w:r>
                </w:p>
              </w:tc>
              <w:tc>
                <w:tcPr>
                  <w:tcW w:w="1211" w:type="dxa"/>
                  <w:vAlign w:val="center"/>
                </w:tcPr>
                <w:p w14:paraId="3AF9B1D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0.5870</w:t>
                  </w:r>
                </w:p>
              </w:tc>
              <w:tc>
                <w:tcPr>
                  <w:tcW w:w="1212" w:type="dxa"/>
                  <w:vAlign w:val="center"/>
                </w:tcPr>
                <w:p w14:paraId="172217D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0.1174</w:t>
                  </w:r>
                </w:p>
              </w:tc>
              <w:tc>
                <w:tcPr>
                  <w:tcW w:w="1212" w:type="dxa"/>
                  <w:vAlign w:val="center"/>
                </w:tcPr>
                <w:p w14:paraId="7ECB4E2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7.0573</w:t>
                  </w:r>
                </w:p>
              </w:tc>
              <w:tc>
                <w:tcPr>
                  <w:tcW w:w="1212" w:type="dxa"/>
                  <w:vAlign w:val="center"/>
                </w:tcPr>
                <w:p w14:paraId="79ACBB2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2.8229</w:t>
                  </w:r>
                </w:p>
              </w:tc>
            </w:tr>
            <w:tr w14:paraId="3AF5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7BCCAF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211" w:type="dxa"/>
                  <w:vAlign w:val="center"/>
                </w:tcPr>
                <w:p w14:paraId="443C710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0.3312</w:t>
                  </w:r>
                </w:p>
              </w:tc>
              <w:tc>
                <w:tcPr>
                  <w:tcW w:w="1211" w:type="dxa"/>
                  <w:vAlign w:val="center"/>
                </w:tcPr>
                <w:p w14:paraId="5BEC1B7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0.0736</w:t>
                  </w:r>
                </w:p>
              </w:tc>
              <w:tc>
                <w:tcPr>
                  <w:tcW w:w="1211" w:type="dxa"/>
                  <w:vAlign w:val="center"/>
                </w:tcPr>
                <w:p w14:paraId="33ACADE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0.5205</w:t>
                  </w:r>
                </w:p>
              </w:tc>
              <w:tc>
                <w:tcPr>
                  <w:tcW w:w="1212" w:type="dxa"/>
                  <w:vAlign w:val="center"/>
                </w:tcPr>
                <w:p w14:paraId="70C94C1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0.1041</w:t>
                  </w:r>
                </w:p>
              </w:tc>
              <w:tc>
                <w:tcPr>
                  <w:tcW w:w="1212" w:type="dxa"/>
                  <w:vAlign w:val="center"/>
                </w:tcPr>
                <w:p w14:paraId="4576F39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6.2585</w:t>
                  </w:r>
                </w:p>
              </w:tc>
              <w:tc>
                <w:tcPr>
                  <w:tcW w:w="1212" w:type="dxa"/>
                  <w:vAlign w:val="center"/>
                </w:tcPr>
                <w:p w14:paraId="7A73A33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2.5034</w:t>
                  </w:r>
                </w:p>
              </w:tc>
            </w:tr>
            <w:tr w14:paraId="0E12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7E9ECA9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211" w:type="dxa"/>
                  <w:vAlign w:val="center"/>
                </w:tcPr>
                <w:p w14:paraId="33BC0A3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0.2266</w:t>
                  </w:r>
                </w:p>
              </w:tc>
              <w:tc>
                <w:tcPr>
                  <w:tcW w:w="1211" w:type="dxa"/>
                  <w:vAlign w:val="center"/>
                </w:tcPr>
                <w:p w14:paraId="67C047F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0.0503</w:t>
                  </w:r>
                </w:p>
              </w:tc>
              <w:tc>
                <w:tcPr>
                  <w:tcW w:w="1211" w:type="dxa"/>
                  <w:vAlign w:val="center"/>
                </w:tcPr>
                <w:p w14:paraId="488DB45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0.3561</w:t>
                  </w:r>
                </w:p>
              </w:tc>
              <w:tc>
                <w:tcPr>
                  <w:tcW w:w="1212" w:type="dxa"/>
                  <w:vAlign w:val="center"/>
                </w:tcPr>
                <w:p w14:paraId="6273CF3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0.0712</w:t>
                  </w:r>
                </w:p>
              </w:tc>
              <w:tc>
                <w:tcPr>
                  <w:tcW w:w="1212" w:type="dxa"/>
                  <w:vAlign w:val="center"/>
                </w:tcPr>
                <w:p w14:paraId="1A720AA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4.2812</w:t>
                  </w:r>
                </w:p>
              </w:tc>
              <w:tc>
                <w:tcPr>
                  <w:tcW w:w="1212" w:type="dxa"/>
                  <w:vAlign w:val="center"/>
                </w:tcPr>
                <w:p w14:paraId="5441A1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1.7125</w:t>
                  </w:r>
                </w:p>
              </w:tc>
            </w:tr>
            <w:tr w14:paraId="5208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0E0E166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211" w:type="dxa"/>
                  <w:vAlign w:val="center"/>
                </w:tcPr>
                <w:p w14:paraId="1CDF092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0.7920</w:t>
                  </w:r>
                </w:p>
              </w:tc>
              <w:tc>
                <w:tcPr>
                  <w:tcW w:w="1211" w:type="dxa"/>
                  <w:vAlign w:val="center"/>
                </w:tcPr>
                <w:p w14:paraId="767F537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0.1760</w:t>
                  </w:r>
                </w:p>
              </w:tc>
              <w:tc>
                <w:tcPr>
                  <w:tcW w:w="1211" w:type="dxa"/>
                  <w:vAlign w:val="center"/>
                </w:tcPr>
                <w:p w14:paraId="2134DAD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1.2449</w:t>
                  </w:r>
                </w:p>
              </w:tc>
              <w:tc>
                <w:tcPr>
                  <w:tcW w:w="1212" w:type="dxa"/>
                  <w:vAlign w:val="center"/>
                </w:tcPr>
                <w:p w14:paraId="592D40E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0.2490</w:t>
                  </w:r>
                </w:p>
              </w:tc>
              <w:tc>
                <w:tcPr>
                  <w:tcW w:w="1212" w:type="dxa"/>
                  <w:vAlign w:val="center"/>
                </w:tcPr>
                <w:p w14:paraId="79974E8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14.9674</w:t>
                  </w:r>
                </w:p>
              </w:tc>
              <w:tc>
                <w:tcPr>
                  <w:tcW w:w="1212" w:type="dxa"/>
                  <w:vAlign w:val="center"/>
                </w:tcPr>
                <w:p w14:paraId="7BBBC4A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5.9870</w:t>
                  </w:r>
                </w:p>
              </w:tc>
            </w:tr>
            <w:tr w14:paraId="11EB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432EA46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211" w:type="dxa"/>
                  <w:vAlign w:val="center"/>
                </w:tcPr>
                <w:p w14:paraId="2E907C57">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1211" w:type="dxa"/>
                  <w:vAlign w:val="center"/>
                </w:tcPr>
                <w:p w14:paraId="0C8F5096">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1211" w:type="dxa"/>
                  <w:vAlign w:val="center"/>
                </w:tcPr>
                <w:p w14:paraId="7A1A1787">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1212" w:type="dxa"/>
                  <w:vAlign w:val="center"/>
                </w:tcPr>
                <w:p w14:paraId="3E7CB3E0">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1212" w:type="dxa"/>
                  <w:vAlign w:val="center"/>
                </w:tcPr>
                <w:p w14:paraId="4E06BC97">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1212" w:type="dxa"/>
                  <w:vAlign w:val="center"/>
                </w:tcPr>
                <w:p w14:paraId="3EE14530">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r>
            <w:tr w14:paraId="7945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26094DA">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211" w:type="dxa"/>
                  <w:vAlign w:val="center"/>
                </w:tcPr>
                <w:p w14:paraId="26285B0C">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36DECA5E">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40E74754">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2" w:type="dxa"/>
                  <w:vAlign w:val="center"/>
                </w:tcPr>
                <w:p w14:paraId="1854F99B">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2" w:type="dxa"/>
                  <w:vAlign w:val="center"/>
                </w:tcPr>
                <w:p w14:paraId="121ECCB4">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2" w:type="dxa"/>
                  <w:vAlign w:val="center"/>
                </w:tcPr>
                <w:p w14:paraId="1148328E">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r>
          </w:tbl>
          <w:p w14:paraId="30E4AB08">
            <w:pPr>
              <w:widowControl/>
              <w:snapToGrid w:val="0"/>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续上表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211"/>
              <w:gridCol w:w="1211"/>
              <w:gridCol w:w="1211"/>
              <w:gridCol w:w="1077"/>
            </w:tblGrid>
            <w:tr w14:paraId="2852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vAlign w:val="center"/>
                </w:tcPr>
                <w:p w14:paraId="131BB59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4710" w:type="dxa"/>
                  <w:gridSpan w:val="4"/>
                  <w:vAlign w:val="center"/>
                </w:tcPr>
                <w:p w14:paraId="5941FC2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点源：</w:t>
                  </w:r>
                  <w:r>
                    <w:rPr>
                      <w:rFonts w:hint="eastAsia" w:ascii="Times New Roman" w:hAnsi="Times New Roman" w:eastAsia="宋体" w:cs="Times New Roman"/>
                      <w:b/>
                      <w:bCs/>
                      <w:kern w:val="0"/>
                      <w:sz w:val="18"/>
                      <w:szCs w:val="18"/>
                      <w:lang w:bidi="ar"/>
                    </w:rPr>
                    <w:t>锅炉</w:t>
                  </w:r>
                  <w:r>
                    <w:rPr>
                      <w:rFonts w:ascii="Times New Roman" w:hAnsi="Times New Roman" w:eastAsia="宋体" w:cs="Times New Roman"/>
                      <w:b/>
                      <w:bCs/>
                      <w:kern w:val="0"/>
                      <w:sz w:val="18"/>
                      <w:szCs w:val="18"/>
                      <w:lang w:bidi="ar"/>
                    </w:rPr>
                    <w:t>排气筒</w:t>
                  </w:r>
                </w:p>
              </w:tc>
            </w:tr>
            <w:tr w14:paraId="02C4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2D3A7794">
                  <w:pPr>
                    <w:widowControl/>
                    <w:snapToGrid w:val="0"/>
                    <w:jc w:val="center"/>
                    <w:textAlignment w:val="center"/>
                    <w:rPr>
                      <w:rFonts w:ascii="Times New Roman" w:hAnsi="Times New Roman" w:eastAsia="宋体" w:cs="Times New Roman"/>
                      <w:b/>
                      <w:szCs w:val="21"/>
                    </w:rPr>
                  </w:pPr>
                </w:p>
              </w:tc>
              <w:tc>
                <w:tcPr>
                  <w:tcW w:w="2422" w:type="dxa"/>
                  <w:gridSpan w:val="2"/>
                  <w:vAlign w:val="center"/>
                </w:tcPr>
                <w:p w14:paraId="15C2A62C">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N</w:t>
                  </w:r>
                  <w:r>
                    <w:rPr>
                      <w:rFonts w:ascii="Times New Roman" w:hAnsi="Times New Roman" w:eastAsia="宋体" w:cs="Times New Roman"/>
                      <w:b/>
                      <w:bCs/>
                      <w:kern w:val="0"/>
                      <w:sz w:val="18"/>
                      <w:szCs w:val="18"/>
                      <w:lang w:bidi="ar"/>
                    </w:rPr>
                    <w:t>H</w:t>
                  </w:r>
                  <w:r>
                    <w:rPr>
                      <w:rFonts w:ascii="Times New Roman" w:hAnsi="Times New Roman" w:eastAsia="宋体" w:cs="Times New Roman"/>
                      <w:b/>
                      <w:bCs/>
                      <w:kern w:val="0"/>
                      <w:sz w:val="18"/>
                      <w:szCs w:val="18"/>
                      <w:vertAlign w:val="subscript"/>
                      <w:lang w:bidi="ar"/>
                    </w:rPr>
                    <w:t>3</w:t>
                  </w:r>
                </w:p>
              </w:tc>
              <w:tc>
                <w:tcPr>
                  <w:tcW w:w="2288" w:type="dxa"/>
                  <w:gridSpan w:val="2"/>
                  <w:vAlign w:val="center"/>
                </w:tcPr>
                <w:p w14:paraId="71F080A7">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szCs w:val="21"/>
                    </w:rPr>
                    <w:t>H</w:t>
                  </w:r>
                  <w:r>
                    <w:rPr>
                      <w:rFonts w:ascii="Times New Roman" w:hAnsi="Times New Roman" w:eastAsia="宋体" w:cs="Times New Roman"/>
                      <w:b/>
                      <w:szCs w:val="21"/>
                      <w:vertAlign w:val="subscript"/>
                    </w:rPr>
                    <w:t>2</w:t>
                  </w:r>
                  <w:r>
                    <w:rPr>
                      <w:rFonts w:ascii="Times New Roman" w:hAnsi="Times New Roman" w:eastAsia="宋体" w:cs="Times New Roman"/>
                      <w:b/>
                      <w:szCs w:val="21"/>
                    </w:rPr>
                    <w:t>S</w:t>
                  </w:r>
                </w:p>
              </w:tc>
            </w:tr>
            <w:tr w14:paraId="08A7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55C368AE">
                  <w:pPr>
                    <w:widowControl/>
                    <w:snapToGrid w:val="0"/>
                    <w:jc w:val="center"/>
                    <w:textAlignment w:val="center"/>
                    <w:rPr>
                      <w:rFonts w:ascii="Times New Roman" w:hAnsi="Times New Roman" w:eastAsia="宋体" w:cs="Times New Roman"/>
                      <w:b/>
                      <w:szCs w:val="21"/>
                    </w:rPr>
                  </w:pPr>
                </w:p>
              </w:tc>
              <w:tc>
                <w:tcPr>
                  <w:tcW w:w="1211" w:type="dxa"/>
                  <w:vAlign w:val="center"/>
                </w:tcPr>
                <w:p w14:paraId="4FBD938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1" w:type="dxa"/>
                  <w:vAlign w:val="center"/>
                </w:tcPr>
                <w:p w14:paraId="6F2A8B5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1" w:type="dxa"/>
                  <w:vAlign w:val="center"/>
                </w:tcPr>
                <w:p w14:paraId="6E972A6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077" w:type="dxa"/>
                  <w:vAlign w:val="center"/>
                </w:tcPr>
                <w:p w14:paraId="1F13A13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65B5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4AE32EB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211" w:type="dxa"/>
                  <w:vAlign w:val="center"/>
                </w:tcPr>
                <w:p w14:paraId="5E912EE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0.0181</w:t>
                  </w:r>
                </w:p>
              </w:tc>
              <w:tc>
                <w:tcPr>
                  <w:tcW w:w="1211" w:type="dxa"/>
                  <w:vAlign w:val="center"/>
                </w:tcPr>
                <w:p w14:paraId="038A6BD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0.0090</w:t>
                  </w:r>
                </w:p>
              </w:tc>
              <w:tc>
                <w:tcPr>
                  <w:tcW w:w="1211" w:type="dxa"/>
                  <w:vAlign w:val="center"/>
                </w:tcPr>
                <w:p w14:paraId="79A2349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0551474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0.0005</w:t>
                  </w:r>
                </w:p>
              </w:tc>
            </w:tr>
            <w:tr w14:paraId="1337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299D2E0F">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211" w:type="dxa"/>
                  <w:vAlign w:val="center"/>
                </w:tcPr>
                <w:p w14:paraId="1A6BDFB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0.0144</w:t>
                  </w:r>
                </w:p>
              </w:tc>
              <w:tc>
                <w:tcPr>
                  <w:tcW w:w="1211" w:type="dxa"/>
                  <w:vAlign w:val="center"/>
                </w:tcPr>
                <w:p w14:paraId="39C80FD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0.0072</w:t>
                  </w:r>
                </w:p>
              </w:tc>
              <w:tc>
                <w:tcPr>
                  <w:tcW w:w="1211" w:type="dxa"/>
                  <w:vAlign w:val="center"/>
                </w:tcPr>
                <w:p w14:paraId="4D5697F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1FB28B7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0.0004</w:t>
                  </w:r>
                </w:p>
              </w:tc>
            </w:tr>
            <w:tr w14:paraId="4C4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0B82642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211" w:type="dxa"/>
                  <w:vAlign w:val="center"/>
                </w:tcPr>
                <w:p w14:paraId="3C7BBB3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0.0235</w:t>
                  </w:r>
                </w:p>
              </w:tc>
              <w:tc>
                <w:tcPr>
                  <w:tcW w:w="1211" w:type="dxa"/>
                  <w:vAlign w:val="center"/>
                </w:tcPr>
                <w:p w14:paraId="4DE82F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0.0118</w:t>
                  </w:r>
                </w:p>
              </w:tc>
              <w:tc>
                <w:tcPr>
                  <w:tcW w:w="1211" w:type="dxa"/>
                  <w:vAlign w:val="center"/>
                </w:tcPr>
                <w:p w14:paraId="6AFB5AC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077" w:type="dxa"/>
                  <w:vAlign w:val="center"/>
                </w:tcPr>
                <w:p w14:paraId="5B583A4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0.0006</w:t>
                  </w:r>
                </w:p>
              </w:tc>
            </w:tr>
            <w:tr w14:paraId="1049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7C7D9A3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211" w:type="dxa"/>
                  <w:vAlign w:val="center"/>
                </w:tcPr>
                <w:p w14:paraId="5A6CF15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0.0255</w:t>
                  </w:r>
                </w:p>
              </w:tc>
              <w:tc>
                <w:tcPr>
                  <w:tcW w:w="1211" w:type="dxa"/>
                  <w:vAlign w:val="center"/>
                </w:tcPr>
                <w:p w14:paraId="7F11275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0.0128</w:t>
                  </w:r>
                </w:p>
              </w:tc>
              <w:tc>
                <w:tcPr>
                  <w:tcW w:w="1211" w:type="dxa"/>
                  <w:vAlign w:val="center"/>
                </w:tcPr>
                <w:p w14:paraId="299FECE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077" w:type="dxa"/>
                  <w:vAlign w:val="center"/>
                </w:tcPr>
                <w:p w14:paraId="078CE1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r>
            <w:tr w14:paraId="374A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DDB6E8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211" w:type="dxa"/>
                  <w:vAlign w:val="center"/>
                </w:tcPr>
                <w:p w14:paraId="2567487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0.0222</w:t>
                  </w:r>
                </w:p>
              </w:tc>
              <w:tc>
                <w:tcPr>
                  <w:tcW w:w="1211" w:type="dxa"/>
                  <w:vAlign w:val="center"/>
                </w:tcPr>
                <w:p w14:paraId="44CC249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0.0111</w:t>
                  </w:r>
                </w:p>
              </w:tc>
              <w:tc>
                <w:tcPr>
                  <w:tcW w:w="1211" w:type="dxa"/>
                  <w:vAlign w:val="center"/>
                </w:tcPr>
                <w:p w14:paraId="28DAA72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077" w:type="dxa"/>
                  <w:vAlign w:val="center"/>
                </w:tcPr>
                <w:p w14:paraId="70A2E43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0.0006</w:t>
                  </w:r>
                </w:p>
              </w:tc>
            </w:tr>
            <w:tr w14:paraId="1588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40E1BF1F">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211" w:type="dxa"/>
                  <w:vAlign w:val="center"/>
                </w:tcPr>
                <w:p w14:paraId="393F6AC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0.0191</w:t>
                  </w:r>
                </w:p>
              </w:tc>
              <w:tc>
                <w:tcPr>
                  <w:tcW w:w="1211" w:type="dxa"/>
                  <w:vAlign w:val="center"/>
                </w:tcPr>
                <w:p w14:paraId="2C9118B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0.0096</w:t>
                  </w:r>
                </w:p>
              </w:tc>
              <w:tc>
                <w:tcPr>
                  <w:tcW w:w="1211" w:type="dxa"/>
                  <w:vAlign w:val="center"/>
                </w:tcPr>
                <w:p w14:paraId="45DD8E5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077" w:type="dxa"/>
                  <w:vAlign w:val="center"/>
                </w:tcPr>
                <w:p w14:paraId="3CAE50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0.0005</w:t>
                  </w:r>
                </w:p>
              </w:tc>
            </w:tr>
            <w:tr w14:paraId="37DF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CBE0C0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211" w:type="dxa"/>
                  <w:vAlign w:val="center"/>
                </w:tcPr>
                <w:p w14:paraId="3739641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0.0166</w:t>
                  </w:r>
                </w:p>
              </w:tc>
              <w:tc>
                <w:tcPr>
                  <w:tcW w:w="1211" w:type="dxa"/>
                  <w:vAlign w:val="center"/>
                </w:tcPr>
                <w:p w14:paraId="2E28D6E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0.0083</w:t>
                  </w:r>
                </w:p>
              </w:tc>
              <w:tc>
                <w:tcPr>
                  <w:tcW w:w="1211" w:type="dxa"/>
                  <w:vAlign w:val="center"/>
                </w:tcPr>
                <w:p w14:paraId="007B95F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3FEE38C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0.0004</w:t>
                  </w:r>
                </w:p>
              </w:tc>
            </w:tr>
            <w:tr w14:paraId="41D5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332021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211" w:type="dxa"/>
                  <w:vAlign w:val="center"/>
                </w:tcPr>
                <w:p w14:paraId="5CFA775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0.0146</w:t>
                  </w:r>
                </w:p>
              </w:tc>
              <w:tc>
                <w:tcPr>
                  <w:tcW w:w="1211" w:type="dxa"/>
                  <w:vAlign w:val="center"/>
                </w:tcPr>
                <w:p w14:paraId="6FB8186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0.0073</w:t>
                  </w:r>
                </w:p>
              </w:tc>
              <w:tc>
                <w:tcPr>
                  <w:tcW w:w="1211" w:type="dxa"/>
                  <w:vAlign w:val="center"/>
                </w:tcPr>
                <w:p w14:paraId="5B4874C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5754B27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0.0004</w:t>
                  </w:r>
                </w:p>
              </w:tc>
            </w:tr>
            <w:tr w14:paraId="42F0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91445F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211" w:type="dxa"/>
                  <w:vAlign w:val="center"/>
                </w:tcPr>
                <w:p w14:paraId="32746DE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0.0135</w:t>
                  </w:r>
                </w:p>
              </w:tc>
              <w:tc>
                <w:tcPr>
                  <w:tcW w:w="1211" w:type="dxa"/>
                  <w:vAlign w:val="center"/>
                </w:tcPr>
                <w:p w14:paraId="435F92D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0.0067</w:t>
                  </w:r>
                </w:p>
              </w:tc>
              <w:tc>
                <w:tcPr>
                  <w:tcW w:w="1211" w:type="dxa"/>
                  <w:vAlign w:val="center"/>
                </w:tcPr>
                <w:p w14:paraId="734DF47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6D83BB5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0.0004</w:t>
                  </w:r>
                </w:p>
              </w:tc>
            </w:tr>
            <w:tr w14:paraId="7CB7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41AC44E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211" w:type="dxa"/>
                  <w:vAlign w:val="center"/>
                </w:tcPr>
                <w:p w14:paraId="0AFE8BD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0.0125</w:t>
                  </w:r>
                </w:p>
              </w:tc>
              <w:tc>
                <w:tcPr>
                  <w:tcW w:w="1211" w:type="dxa"/>
                  <w:vAlign w:val="center"/>
                </w:tcPr>
                <w:p w14:paraId="0197BEA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0.0062</w:t>
                  </w:r>
                </w:p>
              </w:tc>
              <w:tc>
                <w:tcPr>
                  <w:tcW w:w="1211" w:type="dxa"/>
                  <w:vAlign w:val="center"/>
                </w:tcPr>
                <w:p w14:paraId="1E8F5FD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146CEDA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0.0003</w:t>
                  </w:r>
                </w:p>
              </w:tc>
            </w:tr>
            <w:tr w14:paraId="2C5E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4EFE2A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211" w:type="dxa"/>
                  <w:vAlign w:val="center"/>
                </w:tcPr>
                <w:p w14:paraId="30A4259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0.0122</w:t>
                  </w:r>
                </w:p>
              </w:tc>
              <w:tc>
                <w:tcPr>
                  <w:tcW w:w="1211" w:type="dxa"/>
                  <w:vAlign w:val="center"/>
                </w:tcPr>
                <w:p w14:paraId="51A803C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0.0061</w:t>
                  </w:r>
                </w:p>
              </w:tc>
              <w:tc>
                <w:tcPr>
                  <w:tcW w:w="1211" w:type="dxa"/>
                  <w:vAlign w:val="center"/>
                </w:tcPr>
                <w:p w14:paraId="4A8AAD3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217376A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0.0003</w:t>
                  </w:r>
                </w:p>
              </w:tc>
            </w:tr>
            <w:tr w14:paraId="14D3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FB0CCE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211" w:type="dxa"/>
                  <w:vAlign w:val="center"/>
                </w:tcPr>
                <w:p w14:paraId="597A8BF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0.0109</w:t>
                  </w:r>
                </w:p>
              </w:tc>
              <w:tc>
                <w:tcPr>
                  <w:tcW w:w="1211" w:type="dxa"/>
                  <w:vAlign w:val="center"/>
                </w:tcPr>
                <w:p w14:paraId="0CC15C6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0.0054</w:t>
                  </w:r>
                </w:p>
              </w:tc>
              <w:tc>
                <w:tcPr>
                  <w:tcW w:w="1211" w:type="dxa"/>
                  <w:vAlign w:val="center"/>
                </w:tcPr>
                <w:p w14:paraId="7389834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2B652BC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0.0003</w:t>
                  </w:r>
                </w:p>
              </w:tc>
            </w:tr>
            <w:tr w14:paraId="1DFD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5C2576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211" w:type="dxa"/>
                  <w:vAlign w:val="center"/>
                </w:tcPr>
                <w:p w14:paraId="519F9A5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0.0074</w:t>
                  </w:r>
                </w:p>
              </w:tc>
              <w:tc>
                <w:tcPr>
                  <w:tcW w:w="1211" w:type="dxa"/>
                  <w:vAlign w:val="center"/>
                </w:tcPr>
                <w:p w14:paraId="5A1F5BF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0.0037</w:t>
                  </w:r>
                </w:p>
              </w:tc>
              <w:tc>
                <w:tcPr>
                  <w:tcW w:w="1211" w:type="dxa"/>
                  <w:vAlign w:val="center"/>
                </w:tcPr>
                <w:p w14:paraId="3BA8BB5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0.0000</w:t>
                  </w:r>
                </w:p>
              </w:tc>
              <w:tc>
                <w:tcPr>
                  <w:tcW w:w="1077" w:type="dxa"/>
                  <w:vAlign w:val="center"/>
                </w:tcPr>
                <w:p w14:paraId="469BA03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0.0002</w:t>
                  </w:r>
                </w:p>
              </w:tc>
            </w:tr>
            <w:tr w14:paraId="2595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B42224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211" w:type="dxa"/>
                  <w:vAlign w:val="center"/>
                </w:tcPr>
                <w:p w14:paraId="1328850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0.0260</w:t>
                  </w:r>
                </w:p>
              </w:tc>
              <w:tc>
                <w:tcPr>
                  <w:tcW w:w="1211" w:type="dxa"/>
                  <w:vAlign w:val="center"/>
                </w:tcPr>
                <w:p w14:paraId="5C51CA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0.0130</w:t>
                  </w:r>
                </w:p>
              </w:tc>
              <w:tc>
                <w:tcPr>
                  <w:tcW w:w="1211" w:type="dxa"/>
                  <w:vAlign w:val="center"/>
                </w:tcPr>
                <w:p w14:paraId="65151C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077" w:type="dxa"/>
                  <w:vAlign w:val="center"/>
                </w:tcPr>
                <w:p w14:paraId="4843434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r>
            <w:tr w14:paraId="3077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DD9C5E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211" w:type="dxa"/>
                  <w:vAlign w:val="center"/>
                </w:tcPr>
                <w:p w14:paraId="3071367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211" w:type="dxa"/>
                  <w:vAlign w:val="center"/>
                </w:tcPr>
                <w:p w14:paraId="07F9947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211" w:type="dxa"/>
                  <w:vAlign w:val="center"/>
                </w:tcPr>
                <w:p w14:paraId="23387EA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077" w:type="dxa"/>
                  <w:vAlign w:val="center"/>
                </w:tcPr>
                <w:p w14:paraId="6A2509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r>
            <w:tr w14:paraId="55E3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C68FDE7">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211" w:type="dxa"/>
                  <w:vAlign w:val="center"/>
                </w:tcPr>
                <w:p w14:paraId="4317ADAC">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3EF57186">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75A16060">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077" w:type="dxa"/>
                  <w:vAlign w:val="center"/>
                </w:tcPr>
                <w:p w14:paraId="09EE8606">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r>
          </w:tbl>
          <w:p w14:paraId="213B6D18"/>
          <w:p w14:paraId="1D5DCA6F">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 xml:space="preserve">表4-8    </w:t>
            </w:r>
            <w:r>
              <w:rPr>
                <w:rFonts w:hint="eastAsia" w:ascii="Times New Roman" w:hAnsi="Times New Roman" w:eastAsia="宋体" w:cs="Times New Roman"/>
                <w:b/>
                <w:szCs w:val="21"/>
              </w:rPr>
              <w:t>车间</w:t>
            </w:r>
            <w:r>
              <w:rPr>
                <w:rFonts w:ascii="Times New Roman" w:hAnsi="Times New Roman" w:eastAsia="宋体" w:cs="Times New Roman"/>
                <w:b/>
                <w:szCs w:val="21"/>
              </w:rPr>
              <w:t>排气筒</w:t>
            </w:r>
            <w:r>
              <w:rPr>
                <w:rFonts w:hint="eastAsia" w:ascii="Times New Roman" w:hAnsi="Times New Roman" w:eastAsia="宋体" w:cs="Times New Roman"/>
                <w:b/>
                <w:szCs w:val="21"/>
              </w:rPr>
              <w:t>（D</w:t>
            </w:r>
            <w:r>
              <w:rPr>
                <w:rFonts w:ascii="Times New Roman" w:hAnsi="Times New Roman" w:eastAsia="宋体" w:cs="Times New Roman"/>
                <w:b/>
                <w:szCs w:val="21"/>
              </w:rPr>
              <w:t>A002</w:t>
            </w:r>
            <w:r>
              <w:rPr>
                <w:rFonts w:hint="eastAsia" w:ascii="Times New Roman" w:hAnsi="Times New Roman" w:eastAsia="宋体" w:cs="Times New Roman"/>
                <w:b/>
                <w:szCs w:val="21"/>
              </w:rPr>
              <w:t>）</w:t>
            </w:r>
            <w:r>
              <w:rPr>
                <w:rFonts w:ascii="Times New Roman" w:hAnsi="Times New Roman" w:eastAsia="宋体" w:cs="Times New Roman"/>
                <w:b/>
                <w:szCs w:val="21"/>
              </w:rPr>
              <w:t>下风向地面浓度及占标率预测表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211"/>
              <w:gridCol w:w="1211"/>
              <w:gridCol w:w="1211"/>
              <w:gridCol w:w="1077"/>
            </w:tblGrid>
            <w:tr w14:paraId="2CD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restart"/>
                  <w:vAlign w:val="center"/>
                </w:tcPr>
                <w:p w14:paraId="7CA0A50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4710" w:type="dxa"/>
                  <w:gridSpan w:val="4"/>
                  <w:vAlign w:val="center"/>
                </w:tcPr>
                <w:p w14:paraId="5C5E83EE">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点源：</w:t>
                  </w:r>
                  <w:r>
                    <w:rPr>
                      <w:rFonts w:hint="eastAsia" w:ascii="Times New Roman" w:hAnsi="Times New Roman" w:eastAsia="宋体" w:cs="Times New Roman"/>
                      <w:b/>
                      <w:bCs/>
                      <w:kern w:val="0"/>
                      <w:sz w:val="18"/>
                      <w:szCs w:val="18"/>
                      <w:lang w:bidi="ar"/>
                    </w:rPr>
                    <w:t>车间废气</w:t>
                  </w:r>
                  <w:r>
                    <w:rPr>
                      <w:rFonts w:ascii="Times New Roman" w:hAnsi="Times New Roman" w:eastAsia="宋体" w:cs="Times New Roman"/>
                      <w:b/>
                      <w:bCs/>
                      <w:kern w:val="0"/>
                      <w:sz w:val="18"/>
                      <w:szCs w:val="18"/>
                      <w:lang w:bidi="ar"/>
                    </w:rPr>
                    <w:t>排气筒</w:t>
                  </w:r>
                </w:p>
              </w:tc>
            </w:tr>
            <w:tr w14:paraId="047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100849E6">
                  <w:pPr>
                    <w:widowControl/>
                    <w:snapToGrid w:val="0"/>
                    <w:jc w:val="center"/>
                    <w:textAlignment w:val="center"/>
                    <w:rPr>
                      <w:rFonts w:ascii="Times New Roman" w:hAnsi="Times New Roman" w:eastAsia="宋体" w:cs="Times New Roman"/>
                      <w:b/>
                      <w:szCs w:val="21"/>
                    </w:rPr>
                  </w:pPr>
                </w:p>
              </w:tc>
              <w:tc>
                <w:tcPr>
                  <w:tcW w:w="2422" w:type="dxa"/>
                  <w:gridSpan w:val="2"/>
                  <w:vAlign w:val="center"/>
                </w:tcPr>
                <w:p w14:paraId="2A794967">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N</w:t>
                  </w:r>
                  <w:r>
                    <w:rPr>
                      <w:rFonts w:ascii="Times New Roman" w:hAnsi="Times New Roman" w:eastAsia="宋体" w:cs="Times New Roman"/>
                      <w:b/>
                      <w:bCs/>
                      <w:kern w:val="0"/>
                      <w:sz w:val="18"/>
                      <w:szCs w:val="18"/>
                      <w:lang w:bidi="ar"/>
                    </w:rPr>
                    <w:t>H</w:t>
                  </w:r>
                  <w:r>
                    <w:rPr>
                      <w:rFonts w:ascii="Times New Roman" w:hAnsi="Times New Roman" w:eastAsia="宋体" w:cs="Times New Roman"/>
                      <w:b/>
                      <w:bCs/>
                      <w:kern w:val="0"/>
                      <w:sz w:val="18"/>
                      <w:szCs w:val="18"/>
                      <w:vertAlign w:val="subscript"/>
                      <w:lang w:bidi="ar"/>
                    </w:rPr>
                    <w:t>3</w:t>
                  </w:r>
                </w:p>
              </w:tc>
              <w:tc>
                <w:tcPr>
                  <w:tcW w:w="2288" w:type="dxa"/>
                  <w:gridSpan w:val="2"/>
                  <w:vAlign w:val="center"/>
                </w:tcPr>
                <w:p w14:paraId="62CFD019">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szCs w:val="21"/>
                    </w:rPr>
                    <w:t>H</w:t>
                  </w:r>
                  <w:r>
                    <w:rPr>
                      <w:rFonts w:ascii="Times New Roman" w:hAnsi="Times New Roman" w:eastAsia="宋体" w:cs="Times New Roman"/>
                      <w:b/>
                      <w:szCs w:val="21"/>
                      <w:vertAlign w:val="subscript"/>
                    </w:rPr>
                    <w:t>2</w:t>
                  </w:r>
                  <w:r>
                    <w:rPr>
                      <w:rFonts w:ascii="Times New Roman" w:hAnsi="Times New Roman" w:eastAsia="宋体" w:cs="Times New Roman"/>
                      <w:b/>
                      <w:szCs w:val="21"/>
                    </w:rPr>
                    <w:t>S</w:t>
                  </w:r>
                </w:p>
              </w:tc>
            </w:tr>
            <w:tr w14:paraId="0CF1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2657A1A0">
                  <w:pPr>
                    <w:widowControl/>
                    <w:snapToGrid w:val="0"/>
                    <w:jc w:val="center"/>
                    <w:textAlignment w:val="center"/>
                    <w:rPr>
                      <w:rFonts w:ascii="Times New Roman" w:hAnsi="Times New Roman" w:eastAsia="宋体" w:cs="Times New Roman"/>
                      <w:b/>
                      <w:szCs w:val="21"/>
                    </w:rPr>
                  </w:pPr>
                </w:p>
              </w:tc>
              <w:tc>
                <w:tcPr>
                  <w:tcW w:w="1211" w:type="dxa"/>
                  <w:vAlign w:val="center"/>
                </w:tcPr>
                <w:p w14:paraId="297AA5A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1" w:type="dxa"/>
                  <w:vAlign w:val="center"/>
                </w:tcPr>
                <w:p w14:paraId="7BBD2266">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1" w:type="dxa"/>
                  <w:vAlign w:val="center"/>
                </w:tcPr>
                <w:p w14:paraId="43F6F6F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077" w:type="dxa"/>
                  <w:vAlign w:val="center"/>
                </w:tcPr>
                <w:p w14:paraId="2B095AA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7BF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1E9F310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211" w:type="dxa"/>
                  <w:vAlign w:val="center"/>
                </w:tcPr>
                <w:p w14:paraId="7A4B58E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0.5228</w:t>
                  </w:r>
                </w:p>
              </w:tc>
              <w:tc>
                <w:tcPr>
                  <w:tcW w:w="1211" w:type="dxa"/>
                  <w:vAlign w:val="center"/>
                </w:tcPr>
                <w:p w14:paraId="03D0F4C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0.2614</w:t>
                  </w:r>
                </w:p>
              </w:tc>
              <w:tc>
                <w:tcPr>
                  <w:tcW w:w="1211" w:type="dxa"/>
                  <w:vAlign w:val="center"/>
                </w:tcPr>
                <w:p w14:paraId="1357CFB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0.0013</w:t>
                  </w:r>
                </w:p>
              </w:tc>
              <w:tc>
                <w:tcPr>
                  <w:tcW w:w="1077" w:type="dxa"/>
                  <w:vAlign w:val="center"/>
                </w:tcPr>
                <w:p w14:paraId="722E4E0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0.0131</w:t>
                  </w:r>
                </w:p>
              </w:tc>
            </w:tr>
            <w:tr w14:paraId="36BC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6334128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211" w:type="dxa"/>
                  <w:vAlign w:val="center"/>
                </w:tcPr>
                <w:p w14:paraId="1B806D5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0.6924</w:t>
                  </w:r>
                </w:p>
              </w:tc>
              <w:tc>
                <w:tcPr>
                  <w:tcW w:w="1211" w:type="dxa"/>
                  <w:vAlign w:val="center"/>
                </w:tcPr>
                <w:p w14:paraId="216E5E2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0.3462</w:t>
                  </w:r>
                </w:p>
              </w:tc>
              <w:tc>
                <w:tcPr>
                  <w:tcW w:w="1211" w:type="dxa"/>
                  <w:vAlign w:val="center"/>
                </w:tcPr>
                <w:p w14:paraId="36DBC6C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0.0017</w:t>
                  </w:r>
                </w:p>
              </w:tc>
              <w:tc>
                <w:tcPr>
                  <w:tcW w:w="1077" w:type="dxa"/>
                  <w:vAlign w:val="center"/>
                </w:tcPr>
                <w:p w14:paraId="52DD78D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0.0173</w:t>
                  </w:r>
                </w:p>
              </w:tc>
            </w:tr>
            <w:tr w14:paraId="1F29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7B1B232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211" w:type="dxa"/>
                  <w:vAlign w:val="center"/>
                </w:tcPr>
                <w:p w14:paraId="3084FB1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0.6591</w:t>
                  </w:r>
                </w:p>
              </w:tc>
              <w:tc>
                <w:tcPr>
                  <w:tcW w:w="1211" w:type="dxa"/>
                  <w:vAlign w:val="center"/>
                </w:tcPr>
                <w:p w14:paraId="5AE0B5B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0.3295</w:t>
                  </w:r>
                </w:p>
              </w:tc>
              <w:tc>
                <w:tcPr>
                  <w:tcW w:w="1211" w:type="dxa"/>
                  <w:vAlign w:val="center"/>
                </w:tcPr>
                <w:p w14:paraId="283C128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0.0016</w:t>
                  </w:r>
                </w:p>
              </w:tc>
              <w:tc>
                <w:tcPr>
                  <w:tcW w:w="1077" w:type="dxa"/>
                  <w:vAlign w:val="center"/>
                </w:tcPr>
                <w:p w14:paraId="51F9174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0.0165</w:t>
                  </w:r>
                </w:p>
              </w:tc>
            </w:tr>
            <w:tr w14:paraId="0628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787A64F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211" w:type="dxa"/>
                  <w:vAlign w:val="center"/>
                </w:tcPr>
                <w:p w14:paraId="07299BC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0.5719</w:t>
                  </w:r>
                </w:p>
              </w:tc>
              <w:tc>
                <w:tcPr>
                  <w:tcW w:w="1211" w:type="dxa"/>
                  <w:vAlign w:val="center"/>
                </w:tcPr>
                <w:p w14:paraId="16545D9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0.2860</w:t>
                  </w:r>
                </w:p>
              </w:tc>
              <w:tc>
                <w:tcPr>
                  <w:tcW w:w="1211" w:type="dxa"/>
                  <w:vAlign w:val="center"/>
                </w:tcPr>
                <w:p w14:paraId="3FB6BF2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0.0014</w:t>
                  </w:r>
                </w:p>
              </w:tc>
              <w:tc>
                <w:tcPr>
                  <w:tcW w:w="1077" w:type="dxa"/>
                  <w:vAlign w:val="center"/>
                </w:tcPr>
                <w:p w14:paraId="2BED58A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0.0143</w:t>
                  </w:r>
                </w:p>
              </w:tc>
            </w:tr>
            <w:tr w14:paraId="57F5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2A6E997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211" w:type="dxa"/>
                  <w:vAlign w:val="center"/>
                </w:tcPr>
                <w:p w14:paraId="6A28B02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0.4559</w:t>
                  </w:r>
                </w:p>
              </w:tc>
              <w:tc>
                <w:tcPr>
                  <w:tcW w:w="1211" w:type="dxa"/>
                  <w:vAlign w:val="center"/>
                </w:tcPr>
                <w:p w14:paraId="2CF5B6D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0.2280</w:t>
                  </w:r>
                </w:p>
              </w:tc>
              <w:tc>
                <w:tcPr>
                  <w:tcW w:w="1211" w:type="dxa"/>
                  <w:vAlign w:val="center"/>
                </w:tcPr>
                <w:p w14:paraId="6D22173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0.0011</w:t>
                  </w:r>
                </w:p>
              </w:tc>
              <w:tc>
                <w:tcPr>
                  <w:tcW w:w="1077" w:type="dxa"/>
                  <w:vAlign w:val="center"/>
                </w:tcPr>
                <w:p w14:paraId="7089D72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0.0114</w:t>
                  </w:r>
                </w:p>
              </w:tc>
            </w:tr>
            <w:tr w14:paraId="4347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0158274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211" w:type="dxa"/>
                  <w:vAlign w:val="center"/>
                </w:tcPr>
                <w:p w14:paraId="29EFF8D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0.3664</w:t>
                  </w:r>
                </w:p>
              </w:tc>
              <w:tc>
                <w:tcPr>
                  <w:tcW w:w="1211" w:type="dxa"/>
                  <w:vAlign w:val="center"/>
                </w:tcPr>
                <w:p w14:paraId="08BDF16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0.1832</w:t>
                  </w:r>
                </w:p>
              </w:tc>
              <w:tc>
                <w:tcPr>
                  <w:tcW w:w="1211" w:type="dxa"/>
                  <w:vAlign w:val="center"/>
                </w:tcPr>
                <w:p w14:paraId="02C63E8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0.0009</w:t>
                  </w:r>
                </w:p>
              </w:tc>
              <w:tc>
                <w:tcPr>
                  <w:tcW w:w="1077" w:type="dxa"/>
                  <w:vAlign w:val="center"/>
                </w:tcPr>
                <w:p w14:paraId="5FBBCFE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0.0092</w:t>
                  </w:r>
                </w:p>
              </w:tc>
            </w:tr>
            <w:tr w14:paraId="32B4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647707E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211" w:type="dxa"/>
                  <w:vAlign w:val="center"/>
                </w:tcPr>
                <w:p w14:paraId="563499A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0.3471</w:t>
                  </w:r>
                </w:p>
              </w:tc>
              <w:tc>
                <w:tcPr>
                  <w:tcW w:w="1211" w:type="dxa"/>
                  <w:vAlign w:val="center"/>
                </w:tcPr>
                <w:p w14:paraId="4020068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0.1736</w:t>
                  </w:r>
                </w:p>
              </w:tc>
              <w:tc>
                <w:tcPr>
                  <w:tcW w:w="1211" w:type="dxa"/>
                  <w:vAlign w:val="center"/>
                </w:tcPr>
                <w:p w14:paraId="20C3BEA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0.0009</w:t>
                  </w:r>
                </w:p>
              </w:tc>
              <w:tc>
                <w:tcPr>
                  <w:tcW w:w="1077" w:type="dxa"/>
                  <w:vAlign w:val="center"/>
                </w:tcPr>
                <w:p w14:paraId="62A043E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0.0087</w:t>
                  </w:r>
                </w:p>
              </w:tc>
            </w:tr>
            <w:tr w14:paraId="43EB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2356712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211" w:type="dxa"/>
                  <w:vAlign w:val="center"/>
                </w:tcPr>
                <w:p w14:paraId="0A9B62A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0.3328</w:t>
                  </w:r>
                </w:p>
              </w:tc>
              <w:tc>
                <w:tcPr>
                  <w:tcW w:w="1211" w:type="dxa"/>
                  <w:vAlign w:val="center"/>
                </w:tcPr>
                <w:p w14:paraId="0D43F1B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0.1664</w:t>
                  </w:r>
                </w:p>
              </w:tc>
              <w:tc>
                <w:tcPr>
                  <w:tcW w:w="1211" w:type="dxa"/>
                  <w:vAlign w:val="center"/>
                </w:tcPr>
                <w:p w14:paraId="68B6FB2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0.0008</w:t>
                  </w:r>
                </w:p>
              </w:tc>
              <w:tc>
                <w:tcPr>
                  <w:tcW w:w="1077" w:type="dxa"/>
                  <w:vAlign w:val="center"/>
                </w:tcPr>
                <w:p w14:paraId="65DC339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0.0083</w:t>
                  </w:r>
                </w:p>
              </w:tc>
            </w:tr>
            <w:tr w14:paraId="1837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7D958F6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211" w:type="dxa"/>
                  <w:vAlign w:val="center"/>
                </w:tcPr>
                <w:p w14:paraId="7B9FE88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0.3134</w:t>
                  </w:r>
                </w:p>
              </w:tc>
              <w:tc>
                <w:tcPr>
                  <w:tcW w:w="1211" w:type="dxa"/>
                  <w:vAlign w:val="center"/>
                </w:tcPr>
                <w:p w14:paraId="75A0CF6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0.1567</w:t>
                  </w:r>
                </w:p>
              </w:tc>
              <w:tc>
                <w:tcPr>
                  <w:tcW w:w="1211" w:type="dxa"/>
                  <w:vAlign w:val="center"/>
                </w:tcPr>
                <w:p w14:paraId="0BD59F5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0.0008</w:t>
                  </w:r>
                </w:p>
              </w:tc>
              <w:tc>
                <w:tcPr>
                  <w:tcW w:w="1077" w:type="dxa"/>
                  <w:vAlign w:val="center"/>
                </w:tcPr>
                <w:p w14:paraId="2F415BF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0.0078</w:t>
                  </w:r>
                </w:p>
              </w:tc>
            </w:tr>
            <w:tr w14:paraId="1D3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05A292F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211" w:type="dxa"/>
                  <w:vAlign w:val="center"/>
                </w:tcPr>
                <w:p w14:paraId="16A3340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0.2927</w:t>
                  </w:r>
                </w:p>
              </w:tc>
              <w:tc>
                <w:tcPr>
                  <w:tcW w:w="1211" w:type="dxa"/>
                  <w:vAlign w:val="center"/>
                </w:tcPr>
                <w:p w14:paraId="4F718E7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0.1464</w:t>
                  </w:r>
                </w:p>
              </w:tc>
              <w:tc>
                <w:tcPr>
                  <w:tcW w:w="1211" w:type="dxa"/>
                  <w:vAlign w:val="center"/>
                </w:tcPr>
                <w:p w14:paraId="45BE1FB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c>
                <w:tcPr>
                  <w:tcW w:w="1077" w:type="dxa"/>
                  <w:vAlign w:val="center"/>
                </w:tcPr>
                <w:p w14:paraId="4B52A0C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0.0073</w:t>
                  </w:r>
                </w:p>
              </w:tc>
            </w:tr>
            <w:tr w14:paraId="73A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6DFE5F5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211" w:type="dxa"/>
                  <w:vAlign w:val="center"/>
                </w:tcPr>
                <w:p w14:paraId="2C33292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0.2725</w:t>
                  </w:r>
                </w:p>
              </w:tc>
              <w:tc>
                <w:tcPr>
                  <w:tcW w:w="1211" w:type="dxa"/>
                  <w:vAlign w:val="center"/>
                </w:tcPr>
                <w:p w14:paraId="7E1D8E1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0.1363</w:t>
                  </w:r>
                </w:p>
              </w:tc>
              <w:tc>
                <w:tcPr>
                  <w:tcW w:w="1211" w:type="dxa"/>
                  <w:vAlign w:val="center"/>
                </w:tcPr>
                <w:p w14:paraId="4759121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c>
                <w:tcPr>
                  <w:tcW w:w="1077" w:type="dxa"/>
                  <w:vAlign w:val="center"/>
                </w:tcPr>
                <w:p w14:paraId="3EC49CC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0.0068</w:t>
                  </w:r>
                </w:p>
              </w:tc>
            </w:tr>
            <w:tr w14:paraId="62C3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3D67061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211" w:type="dxa"/>
                  <w:vAlign w:val="center"/>
                </w:tcPr>
                <w:p w14:paraId="3818621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0.2275</w:t>
                  </w:r>
                </w:p>
              </w:tc>
              <w:tc>
                <w:tcPr>
                  <w:tcW w:w="1211" w:type="dxa"/>
                  <w:vAlign w:val="center"/>
                </w:tcPr>
                <w:p w14:paraId="087600F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0.1137</w:t>
                  </w:r>
                </w:p>
              </w:tc>
              <w:tc>
                <w:tcPr>
                  <w:tcW w:w="1211" w:type="dxa"/>
                  <w:vAlign w:val="center"/>
                </w:tcPr>
                <w:p w14:paraId="48E10BF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0.0006</w:t>
                  </w:r>
                </w:p>
              </w:tc>
              <w:tc>
                <w:tcPr>
                  <w:tcW w:w="1077" w:type="dxa"/>
                  <w:vAlign w:val="center"/>
                </w:tcPr>
                <w:p w14:paraId="0F76AB2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0.0057</w:t>
                  </w:r>
                </w:p>
              </w:tc>
            </w:tr>
            <w:tr w14:paraId="5D1A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5F0890D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211" w:type="dxa"/>
                  <w:vAlign w:val="center"/>
                </w:tcPr>
                <w:p w14:paraId="16734C6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0.1466</w:t>
                  </w:r>
                </w:p>
              </w:tc>
              <w:tc>
                <w:tcPr>
                  <w:tcW w:w="1211" w:type="dxa"/>
                  <w:vAlign w:val="center"/>
                </w:tcPr>
                <w:p w14:paraId="3738C83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0.0733</w:t>
                  </w:r>
                </w:p>
              </w:tc>
              <w:tc>
                <w:tcPr>
                  <w:tcW w:w="1211" w:type="dxa"/>
                  <w:vAlign w:val="center"/>
                </w:tcPr>
                <w:p w14:paraId="4E3AAEF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0.0004</w:t>
                  </w:r>
                </w:p>
              </w:tc>
              <w:tc>
                <w:tcPr>
                  <w:tcW w:w="1077" w:type="dxa"/>
                  <w:vAlign w:val="center"/>
                </w:tcPr>
                <w:p w14:paraId="7EF3935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0.0037</w:t>
                  </w:r>
                </w:p>
              </w:tc>
            </w:tr>
            <w:tr w14:paraId="12AD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6FC1003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211" w:type="dxa"/>
                  <w:vAlign w:val="center"/>
                </w:tcPr>
                <w:p w14:paraId="7113F1D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0.7405</w:t>
                  </w:r>
                </w:p>
              </w:tc>
              <w:tc>
                <w:tcPr>
                  <w:tcW w:w="1211" w:type="dxa"/>
                  <w:vAlign w:val="center"/>
                </w:tcPr>
                <w:p w14:paraId="338CEA2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0.3703</w:t>
                  </w:r>
                </w:p>
              </w:tc>
              <w:tc>
                <w:tcPr>
                  <w:tcW w:w="1211" w:type="dxa"/>
                  <w:vAlign w:val="center"/>
                </w:tcPr>
                <w:p w14:paraId="24B8E25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0.0019</w:t>
                  </w:r>
                </w:p>
              </w:tc>
              <w:tc>
                <w:tcPr>
                  <w:tcW w:w="1077" w:type="dxa"/>
                  <w:vAlign w:val="center"/>
                </w:tcPr>
                <w:p w14:paraId="5D9A742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0.0185</w:t>
                  </w:r>
                </w:p>
              </w:tc>
            </w:tr>
            <w:tr w14:paraId="72EF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45DD05E6">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211" w:type="dxa"/>
                  <w:vAlign w:val="center"/>
                </w:tcPr>
                <w:p w14:paraId="7B3A186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78.0</w:t>
                  </w:r>
                </w:p>
              </w:tc>
              <w:tc>
                <w:tcPr>
                  <w:tcW w:w="1211" w:type="dxa"/>
                  <w:vAlign w:val="center"/>
                </w:tcPr>
                <w:p w14:paraId="7E4319C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78.0</w:t>
                  </w:r>
                </w:p>
              </w:tc>
              <w:tc>
                <w:tcPr>
                  <w:tcW w:w="1211" w:type="dxa"/>
                  <w:vAlign w:val="center"/>
                </w:tcPr>
                <w:p w14:paraId="6B225E6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78.0</w:t>
                  </w:r>
                </w:p>
              </w:tc>
              <w:tc>
                <w:tcPr>
                  <w:tcW w:w="1077" w:type="dxa"/>
                  <w:vAlign w:val="center"/>
                </w:tcPr>
                <w:p w14:paraId="090C388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78.0</w:t>
                  </w:r>
                </w:p>
              </w:tc>
            </w:tr>
            <w:tr w14:paraId="2CB6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6ECA7AD6">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211" w:type="dxa"/>
                  <w:vAlign w:val="center"/>
                </w:tcPr>
                <w:p w14:paraId="15FF8189">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2CBE60B5">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1122364D">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077" w:type="dxa"/>
                  <w:vAlign w:val="center"/>
                </w:tcPr>
                <w:p w14:paraId="371BD091">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r>
          </w:tbl>
          <w:p w14:paraId="2036F4B9">
            <w:pPr>
              <w:pStyle w:val="2"/>
              <w:pBdr>
                <w:bottom w:val="none" w:color="auto" w:sz="0" w:space="0"/>
              </w:pBdr>
            </w:pPr>
          </w:p>
          <w:p w14:paraId="1691EF8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rPr>
              <w:t>无</w:t>
            </w:r>
            <w:r>
              <w:rPr>
                <w:rFonts w:ascii="Times New Roman" w:hAnsi="Times New Roman" w:cs="Times New Roman"/>
              </w:rPr>
              <w:t>组织预测</w:t>
            </w:r>
          </w:p>
          <w:p w14:paraId="6E4FA4AD">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根据工程分析，项目</w:t>
            </w:r>
            <w:r>
              <w:rPr>
                <w:rFonts w:hint="eastAsia" w:ascii="Times New Roman" w:hAnsi="Times New Roman" w:cs="Times New Roman"/>
              </w:rPr>
              <w:t>无</w:t>
            </w:r>
            <w:r>
              <w:rPr>
                <w:rFonts w:ascii="Times New Roman" w:hAnsi="Times New Roman" w:cs="Times New Roman"/>
              </w:rPr>
              <w:t>组织废气污染物排放源</w:t>
            </w:r>
            <w:r>
              <w:rPr>
                <w:rFonts w:hint="eastAsia" w:ascii="Times New Roman" w:hAnsi="Times New Roman" w:cs="Times New Roman"/>
              </w:rPr>
              <w:t>情况</w:t>
            </w:r>
            <w:r>
              <w:rPr>
                <w:rFonts w:ascii="Times New Roman" w:hAnsi="Times New Roman" w:cs="Times New Roman"/>
              </w:rPr>
              <w:t>见下表。</w:t>
            </w:r>
          </w:p>
          <w:p w14:paraId="74861472">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表4-9    面源参数一览表</w:t>
            </w:r>
          </w:p>
          <w:tbl>
            <w:tblPr>
              <w:tblStyle w:val="18"/>
              <w:tblW w:w="75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9"/>
              <w:gridCol w:w="1251"/>
              <w:gridCol w:w="1161"/>
              <w:gridCol w:w="653"/>
              <w:gridCol w:w="599"/>
              <w:gridCol w:w="932"/>
              <w:gridCol w:w="714"/>
              <w:gridCol w:w="1170"/>
            </w:tblGrid>
            <w:tr w14:paraId="4A881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1109" w:type="dxa"/>
                  <w:vMerge w:val="restart"/>
                  <w:tcBorders>
                    <w:top w:val="single" w:color="auto" w:sz="8" w:space="0"/>
                    <w:left w:val="single" w:color="auto" w:sz="8" w:space="0"/>
                    <w:bottom w:val="single" w:color="auto" w:sz="8" w:space="0"/>
                    <w:right w:val="single" w:color="auto" w:sz="8" w:space="0"/>
                  </w:tcBorders>
                  <w:vAlign w:val="center"/>
                </w:tcPr>
                <w:p w14:paraId="0E01A2B2">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污染源名称</w:t>
                  </w:r>
                </w:p>
              </w:tc>
              <w:tc>
                <w:tcPr>
                  <w:tcW w:w="2412" w:type="dxa"/>
                  <w:gridSpan w:val="2"/>
                  <w:tcBorders>
                    <w:top w:val="single" w:color="auto" w:sz="8" w:space="0"/>
                    <w:left w:val="single" w:color="auto" w:sz="8" w:space="0"/>
                    <w:bottom w:val="single" w:color="auto" w:sz="8" w:space="0"/>
                    <w:right w:val="single" w:color="auto" w:sz="8" w:space="0"/>
                  </w:tcBorders>
                  <w:vAlign w:val="center"/>
                </w:tcPr>
                <w:p w14:paraId="2D51F6C3">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坐标</w:t>
                  </w:r>
                </w:p>
              </w:tc>
              <w:tc>
                <w:tcPr>
                  <w:tcW w:w="2184" w:type="dxa"/>
                  <w:gridSpan w:val="3"/>
                  <w:tcBorders>
                    <w:top w:val="single" w:color="auto" w:sz="8" w:space="0"/>
                    <w:left w:val="single" w:color="auto" w:sz="8" w:space="0"/>
                    <w:bottom w:val="single" w:color="auto" w:sz="8" w:space="0"/>
                    <w:right w:val="single" w:color="auto" w:sz="8" w:space="0"/>
                  </w:tcBorders>
                  <w:vAlign w:val="center"/>
                </w:tcPr>
                <w:p w14:paraId="65A3C4A4">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矩形面源</w:t>
                  </w:r>
                </w:p>
              </w:tc>
              <w:tc>
                <w:tcPr>
                  <w:tcW w:w="714" w:type="dxa"/>
                  <w:vMerge w:val="restart"/>
                  <w:tcBorders>
                    <w:top w:val="single" w:color="auto" w:sz="8" w:space="0"/>
                    <w:left w:val="single" w:color="auto" w:sz="8" w:space="0"/>
                    <w:bottom w:val="single" w:color="auto" w:sz="8" w:space="0"/>
                    <w:right w:val="single" w:color="auto" w:sz="8" w:space="0"/>
                  </w:tcBorders>
                  <w:vAlign w:val="center"/>
                </w:tcPr>
                <w:p w14:paraId="5C075B24">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污染物</w:t>
                  </w:r>
                </w:p>
              </w:tc>
              <w:tc>
                <w:tcPr>
                  <w:tcW w:w="1170" w:type="dxa"/>
                  <w:vMerge w:val="restart"/>
                  <w:tcBorders>
                    <w:top w:val="single" w:color="auto" w:sz="8" w:space="0"/>
                    <w:left w:val="single" w:color="auto" w:sz="8" w:space="0"/>
                    <w:bottom w:val="single" w:color="auto" w:sz="8" w:space="0"/>
                    <w:right w:val="single" w:color="auto" w:sz="8" w:space="0"/>
                  </w:tcBorders>
                  <w:vAlign w:val="center"/>
                </w:tcPr>
                <w:p w14:paraId="16CB33F2">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排放速率(kg/h)</w:t>
                  </w:r>
                </w:p>
              </w:tc>
            </w:tr>
            <w:tr w14:paraId="0DD24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1" w:hRule="atLeast"/>
                <w:jc w:val="center"/>
              </w:trPr>
              <w:tc>
                <w:tcPr>
                  <w:tcW w:w="1109" w:type="dxa"/>
                  <w:vMerge w:val="continue"/>
                  <w:tcBorders>
                    <w:top w:val="single" w:color="auto" w:sz="8" w:space="0"/>
                    <w:left w:val="single" w:color="auto" w:sz="8" w:space="0"/>
                    <w:bottom w:val="single" w:color="auto" w:sz="8" w:space="0"/>
                    <w:right w:val="single" w:color="auto" w:sz="8" w:space="0"/>
                  </w:tcBorders>
                  <w:vAlign w:val="center"/>
                </w:tcPr>
                <w:p w14:paraId="1626B840">
                  <w:pPr>
                    <w:snapToGrid w:val="0"/>
                    <w:jc w:val="center"/>
                    <w:rPr>
                      <w:rFonts w:ascii="Times New Roman" w:hAnsi="Times New Roman" w:eastAsia="宋体" w:cs="Times New Roman"/>
                      <w:b/>
                      <w:bCs/>
                      <w:kern w:val="0"/>
                      <w:sz w:val="18"/>
                      <w:szCs w:val="18"/>
                      <w:lang w:bidi="ar"/>
                    </w:rPr>
                  </w:pPr>
                </w:p>
              </w:tc>
              <w:tc>
                <w:tcPr>
                  <w:tcW w:w="1251" w:type="dxa"/>
                  <w:tcBorders>
                    <w:top w:val="single" w:color="auto" w:sz="8" w:space="0"/>
                    <w:left w:val="single" w:color="auto" w:sz="8" w:space="0"/>
                    <w:bottom w:val="single" w:color="auto" w:sz="8" w:space="0"/>
                    <w:right w:val="single" w:color="auto" w:sz="8" w:space="0"/>
                  </w:tcBorders>
                  <w:vAlign w:val="center"/>
                </w:tcPr>
                <w:p w14:paraId="75CB36C0">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X</w:t>
                  </w:r>
                </w:p>
              </w:tc>
              <w:tc>
                <w:tcPr>
                  <w:tcW w:w="1161" w:type="dxa"/>
                  <w:tcBorders>
                    <w:top w:val="single" w:color="auto" w:sz="8" w:space="0"/>
                    <w:left w:val="single" w:color="auto" w:sz="8" w:space="0"/>
                    <w:bottom w:val="single" w:color="auto" w:sz="8" w:space="0"/>
                    <w:right w:val="single" w:color="auto" w:sz="8" w:space="0"/>
                  </w:tcBorders>
                  <w:vAlign w:val="center"/>
                </w:tcPr>
                <w:p w14:paraId="0F8F5069">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Y</w:t>
                  </w:r>
                </w:p>
              </w:tc>
              <w:tc>
                <w:tcPr>
                  <w:tcW w:w="653" w:type="dxa"/>
                  <w:tcBorders>
                    <w:top w:val="single" w:color="auto" w:sz="8" w:space="0"/>
                    <w:left w:val="single" w:color="auto" w:sz="8" w:space="0"/>
                    <w:bottom w:val="single" w:color="auto" w:sz="8" w:space="0"/>
                    <w:right w:val="single" w:color="auto" w:sz="8" w:space="0"/>
                  </w:tcBorders>
                  <w:vAlign w:val="center"/>
                </w:tcPr>
                <w:p w14:paraId="139902DD">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长度(m)</w:t>
                  </w:r>
                </w:p>
              </w:tc>
              <w:tc>
                <w:tcPr>
                  <w:tcW w:w="599" w:type="dxa"/>
                  <w:tcBorders>
                    <w:top w:val="single" w:color="auto" w:sz="8" w:space="0"/>
                    <w:left w:val="single" w:color="auto" w:sz="8" w:space="0"/>
                    <w:bottom w:val="single" w:color="auto" w:sz="8" w:space="0"/>
                    <w:right w:val="single" w:color="auto" w:sz="8" w:space="0"/>
                  </w:tcBorders>
                  <w:vAlign w:val="center"/>
                </w:tcPr>
                <w:p w14:paraId="3B33F67E">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宽度(m)</w:t>
                  </w:r>
                </w:p>
              </w:tc>
              <w:tc>
                <w:tcPr>
                  <w:tcW w:w="932" w:type="dxa"/>
                  <w:tcBorders>
                    <w:top w:val="single" w:color="auto" w:sz="8" w:space="0"/>
                    <w:left w:val="single" w:color="auto" w:sz="8" w:space="0"/>
                    <w:bottom w:val="single" w:color="auto" w:sz="8" w:space="0"/>
                    <w:right w:val="single" w:color="auto" w:sz="8" w:space="0"/>
                  </w:tcBorders>
                  <w:vAlign w:val="center"/>
                </w:tcPr>
                <w:p w14:paraId="7194A1D0">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有效高度(m)</w:t>
                  </w:r>
                </w:p>
              </w:tc>
              <w:tc>
                <w:tcPr>
                  <w:tcW w:w="714" w:type="dxa"/>
                  <w:vMerge w:val="continue"/>
                  <w:tcBorders>
                    <w:top w:val="single" w:color="auto" w:sz="8" w:space="0"/>
                    <w:left w:val="single" w:color="auto" w:sz="8" w:space="0"/>
                    <w:bottom w:val="single" w:color="auto" w:sz="8" w:space="0"/>
                    <w:right w:val="single" w:color="auto" w:sz="8" w:space="0"/>
                  </w:tcBorders>
                  <w:vAlign w:val="center"/>
                </w:tcPr>
                <w:p w14:paraId="271FD7E6">
                  <w:pPr>
                    <w:snapToGrid w:val="0"/>
                    <w:jc w:val="center"/>
                    <w:rPr>
                      <w:rFonts w:ascii="Times New Roman" w:hAnsi="Times New Roman" w:eastAsia="宋体" w:cs="Times New Roman"/>
                      <w:kern w:val="0"/>
                      <w:sz w:val="18"/>
                      <w:szCs w:val="18"/>
                      <w:lang w:bidi="ar"/>
                    </w:rPr>
                  </w:pPr>
                </w:p>
              </w:tc>
              <w:tc>
                <w:tcPr>
                  <w:tcW w:w="1170" w:type="dxa"/>
                  <w:vMerge w:val="continue"/>
                  <w:tcBorders>
                    <w:top w:val="single" w:color="auto" w:sz="8" w:space="0"/>
                    <w:left w:val="single" w:color="auto" w:sz="8" w:space="0"/>
                    <w:bottom w:val="single" w:color="auto" w:sz="8" w:space="0"/>
                    <w:right w:val="single" w:color="auto" w:sz="8" w:space="0"/>
                  </w:tcBorders>
                  <w:vAlign w:val="center"/>
                </w:tcPr>
                <w:p w14:paraId="54679C42">
                  <w:pPr>
                    <w:snapToGrid w:val="0"/>
                    <w:jc w:val="center"/>
                    <w:rPr>
                      <w:rFonts w:ascii="Times New Roman" w:hAnsi="Times New Roman" w:eastAsia="宋体" w:cs="Times New Roman"/>
                      <w:kern w:val="0"/>
                      <w:sz w:val="18"/>
                      <w:szCs w:val="18"/>
                      <w:lang w:bidi="ar"/>
                    </w:rPr>
                  </w:pPr>
                </w:p>
              </w:tc>
            </w:tr>
            <w:tr w14:paraId="0E747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1109" w:type="dxa"/>
                  <w:vMerge w:val="restart"/>
                  <w:tcBorders>
                    <w:top w:val="single" w:color="auto" w:sz="8" w:space="0"/>
                    <w:left w:val="single" w:color="auto" w:sz="8" w:space="0"/>
                    <w:right w:val="single" w:color="auto" w:sz="8" w:space="0"/>
                  </w:tcBorders>
                  <w:vAlign w:val="center"/>
                </w:tcPr>
                <w:p w14:paraId="02ACE1CB">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无害化车间</w:t>
                  </w:r>
                </w:p>
              </w:tc>
              <w:tc>
                <w:tcPr>
                  <w:tcW w:w="1251" w:type="dxa"/>
                  <w:vMerge w:val="restart"/>
                  <w:tcBorders>
                    <w:top w:val="single" w:color="auto" w:sz="8" w:space="0"/>
                    <w:left w:val="single" w:color="auto" w:sz="8" w:space="0"/>
                    <w:right w:val="single" w:color="auto" w:sz="8" w:space="0"/>
                  </w:tcBorders>
                  <w:vAlign w:val="center"/>
                </w:tcPr>
                <w:p w14:paraId="460275F5">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98.398398</w:t>
                  </w:r>
                </w:p>
              </w:tc>
              <w:tc>
                <w:tcPr>
                  <w:tcW w:w="1161" w:type="dxa"/>
                  <w:vMerge w:val="restart"/>
                  <w:tcBorders>
                    <w:top w:val="single" w:color="auto" w:sz="8" w:space="0"/>
                    <w:left w:val="single" w:color="auto" w:sz="8" w:space="0"/>
                    <w:right w:val="single" w:color="auto" w:sz="8" w:space="0"/>
                  </w:tcBorders>
                  <w:vAlign w:val="center"/>
                </w:tcPr>
                <w:p w14:paraId="5A8813D2">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24.378700</w:t>
                  </w:r>
                </w:p>
              </w:tc>
              <w:tc>
                <w:tcPr>
                  <w:tcW w:w="653" w:type="dxa"/>
                  <w:vMerge w:val="restart"/>
                  <w:tcBorders>
                    <w:top w:val="single" w:color="auto" w:sz="8" w:space="0"/>
                    <w:left w:val="single" w:color="auto" w:sz="8" w:space="0"/>
                    <w:right w:val="single" w:color="auto" w:sz="8" w:space="0"/>
                  </w:tcBorders>
                  <w:vAlign w:val="center"/>
                </w:tcPr>
                <w:p w14:paraId="39BD16D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60</w:t>
                  </w:r>
                </w:p>
              </w:tc>
              <w:tc>
                <w:tcPr>
                  <w:tcW w:w="599" w:type="dxa"/>
                  <w:vMerge w:val="restart"/>
                  <w:tcBorders>
                    <w:top w:val="single" w:color="auto" w:sz="8" w:space="0"/>
                    <w:left w:val="single" w:color="auto" w:sz="8" w:space="0"/>
                    <w:right w:val="single" w:color="auto" w:sz="8" w:space="0"/>
                  </w:tcBorders>
                  <w:vAlign w:val="center"/>
                </w:tcPr>
                <w:p w14:paraId="30A11967">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25</w:t>
                  </w:r>
                </w:p>
              </w:tc>
              <w:tc>
                <w:tcPr>
                  <w:tcW w:w="932" w:type="dxa"/>
                  <w:vMerge w:val="restart"/>
                  <w:tcBorders>
                    <w:top w:val="single" w:color="auto" w:sz="8" w:space="0"/>
                    <w:left w:val="single" w:color="auto" w:sz="8" w:space="0"/>
                    <w:right w:val="single" w:color="auto" w:sz="8" w:space="0"/>
                  </w:tcBorders>
                  <w:vAlign w:val="center"/>
                </w:tcPr>
                <w:p w14:paraId="0B243D5E">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w:t>
                  </w:r>
                </w:p>
              </w:tc>
              <w:tc>
                <w:tcPr>
                  <w:tcW w:w="714" w:type="dxa"/>
                  <w:tcBorders>
                    <w:top w:val="single" w:color="auto" w:sz="8" w:space="0"/>
                    <w:left w:val="single" w:color="auto" w:sz="8" w:space="0"/>
                    <w:right w:val="single" w:color="auto" w:sz="8" w:space="0"/>
                  </w:tcBorders>
                  <w:vAlign w:val="center"/>
                </w:tcPr>
                <w:p w14:paraId="54CBD20E">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170" w:type="dxa"/>
                  <w:tcBorders>
                    <w:top w:val="single" w:color="auto" w:sz="8" w:space="0"/>
                    <w:left w:val="single" w:color="auto" w:sz="8" w:space="0"/>
                    <w:right w:val="single" w:color="auto" w:sz="8" w:space="0"/>
                  </w:tcBorders>
                  <w:vAlign w:val="center"/>
                </w:tcPr>
                <w:p w14:paraId="170E25BD">
                  <w:pPr>
                    <w:snapToGrid w:val="0"/>
                    <w:jc w:val="center"/>
                    <w:rPr>
                      <w:rFonts w:ascii="Times New Roman" w:hAnsi="Times New Roman" w:eastAsia="宋体" w:cs="Times New Roman"/>
                      <w:kern w:val="0"/>
                      <w:sz w:val="18"/>
                      <w:szCs w:val="18"/>
                      <w:lang w:bidi="ar"/>
                    </w:rPr>
                  </w:pPr>
                  <w:r>
                    <w:rPr>
                      <w:rFonts w:ascii="Times New Roman" w:hAnsi="Times New Roman" w:cs="Times New Roman"/>
                      <w:bCs/>
                      <w:sz w:val="18"/>
                      <w:szCs w:val="18"/>
                    </w:rPr>
                    <w:t>0.0096</w:t>
                  </w:r>
                </w:p>
              </w:tc>
            </w:tr>
            <w:tr w14:paraId="6E49E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1109" w:type="dxa"/>
                  <w:vMerge w:val="continue"/>
                  <w:tcBorders>
                    <w:left w:val="single" w:color="auto" w:sz="8" w:space="0"/>
                    <w:right w:val="single" w:color="auto" w:sz="8" w:space="0"/>
                  </w:tcBorders>
                  <w:vAlign w:val="center"/>
                </w:tcPr>
                <w:p w14:paraId="04D9C411">
                  <w:pPr>
                    <w:snapToGrid w:val="0"/>
                    <w:jc w:val="center"/>
                    <w:rPr>
                      <w:rFonts w:ascii="Times New Roman" w:hAnsi="Times New Roman" w:eastAsia="宋体" w:cs="Times New Roman"/>
                      <w:kern w:val="0"/>
                      <w:sz w:val="18"/>
                      <w:szCs w:val="18"/>
                      <w:lang w:bidi="ar"/>
                    </w:rPr>
                  </w:pPr>
                </w:p>
              </w:tc>
              <w:tc>
                <w:tcPr>
                  <w:tcW w:w="1251" w:type="dxa"/>
                  <w:vMerge w:val="continue"/>
                  <w:tcBorders>
                    <w:left w:val="single" w:color="auto" w:sz="8" w:space="0"/>
                    <w:right w:val="single" w:color="auto" w:sz="8" w:space="0"/>
                  </w:tcBorders>
                  <w:vAlign w:val="center"/>
                </w:tcPr>
                <w:p w14:paraId="3F74559E">
                  <w:pPr>
                    <w:snapToGrid w:val="0"/>
                    <w:jc w:val="center"/>
                    <w:rPr>
                      <w:rFonts w:ascii="Times New Roman" w:hAnsi="Times New Roman" w:eastAsia="宋体" w:cs="Times New Roman"/>
                      <w:kern w:val="0"/>
                      <w:sz w:val="18"/>
                      <w:szCs w:val="18"/>
                      <w:lang w:bidi="ar"/>
                    </w:rPr>
                  </w:pPr>
                </w:p>
              </w:tc>
              <w:tc>
                <w:tcPr>
                  <w:tcW w:w="1161" w:type="dxa"/>
                  <w:vMerge w:val="continue"/>
                  <w:tcBorders>
                    <w:left w:val="single" w:color="auto" w:sz="8" w:space="0"/>
                    <w:right w:val="single" w:color="auto" w:sz="8" w:space="0"/>
                  </w:tcBorders>
                  <w:vAlign w:val="center"/>
                </w:tcPr>
                <w:p w14:paraId="6EB5458F">
                  <w:pPr>
                    <w:snapToGrid w:val="0"/>
                    <w:jc w:val="center"/>
                    <w:rPr>
                      <w:rFonts w:ascii="Times New Roman" w:hAnsi="Times New Roman" w:eastAsia="宋体" w:cs="Times New Roman"/>
                      <w:kern w:val="0"/>
                      <w:sz w:val="18"/>
                      <w:szCs w:val="18"/>
                      <w:lang w:bidi="ar"/>
                    </w:rPr>
                  </w:pPr>
                </w:p>
              </w:tc>
              <w:tc>
                <w:tcPr>
                  <w:tcW w:w="653" w:type="dxa"/>
                  <w:vMerge w:val="continue"/>
                  <w:tcBorders>
                    <w:left w:val="single" w:color="auto" w:sz="8" w:space="0"/>
                    <w:right w:val="single" w:color="auto" w:sz="8" w:space="0"/>
                  </w:tcBorders>
                  <w:vAlign w:val="center"/>
                </w:tcPr>
                <w:p w14:paraId="6A7156E5">
                  <w:pPr>
                    <w:snapToGrid w:val="0"/>
                    <w:jc w:val="center"/>
                    <w:rPr>
                      <w:rFonts w:ascii="Times New Roman" w:hAnsi="Times New Roman" w:eastAsia="宋体" w:cs="Times New Roman"/>
                      <w:kern w:val="0"/>
                      <w:sz w:val="18"/>
                      <w:szCs w:val="18"/>
                      <w:lang w:bidi="ar"/>
                    </w:rPr>
                  </w:pPr>
                </w:p>
              </w:tc>
              <w:tc>
                <w:tcPr>
                  <w:tcW w:w="599" w:type="dxa"/>
                  <w:vMerge w:val="continue"/>
                  <w:tcBorders>
                    <w:left w:val="single" w:color="auto" w:sz="8" w:space="0"/>
                    <w:right w:val="single" w:color="auto" w:sz="8" w:space="0"/>
                  </w:tcBorders>
                  <w:vAlign w:val="center"/>
                </w:tcPr>
                <w:p w14:paraId="6FE8D774">
                  <w:pPr>
                    <w:snapToGrid w:val="0"/>
                    <w:jc w:val="center"/>
                    <w:rPr>
                      <w:rFonts w:ascii="Times New Roman" w:hAnsi="Times New Roman" w:eastAsia="宋体" w:cs="Times New Roman"/>
                      <w:kern w:val="0"/>
                      <w:sz w:val="18"/>
                      <w:szCs w:val="18"/>
                      <w:lang w:bidi="ar"/>
                    </w:rPr>
                  </w:pPr>
                </w:p>
              </w:tc>
              <w:tc>
                <w:tcPr>
                  <w:tcW w:w="932" w:type="dxa"/>
                  <w:vMerge w:val="continue"/>
                  <w:tcBorders>
                    <w:left w:val="single" w:color="auto" w:sz="8" w:space="0"/>
                    <w:right w:val="single" w:color="auto" w:sz="8" w:space="0"/>
                  </w:tcBorders>
                  <w:vAlign w:val="center"/>
                </w:tcPr>
                <w:p w14:paraId="4DD3FA89">
                  <w:pPr>
                    <w:snapToGrid w:val="0"/>
                    <w:jc w:val="center"/>
                    <w:rPr>
                      <w:rFonts w:ascii="Times New Roman" w:hAnsi="Times New Roman" w:eastAsia="宋体" w:cs="Times New Roman"/>
                      <w:kern w:val="0"/>
                      <w:sz w:val="18"/>
                      <w:szCs w:val="18"/>
                      <w:lang w:bidi="ar"/>
                    </w:rPr>
                  </w:pPr>
                </w:p>
              </w:tc>
              <w:tc>
                <w:tcPr>
                  <w:tcW w:w="714" w:type="dxa"/>
                  <w:tcBorders>
                    <w:top w:val="single" w:color="auto" w:sz="8" w:space="0"/>
                    <w:left w:val="single" w:color="auto" w:sz="8" w:space="0"/>
                    <w:right w:val="single" w:color="auto" w:sz="8" w:space="0"/>
                  </w:tcBorders>
                  <w:vAlign w:val="center"/>
                </w:tcPr>
                <w:p w14:paraId="2C0C7A93">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170" w:type="dxa"/>
                  <w:tcBorders>
                    <w:top w:val="single" w:color="auto" w:sz="8" w:space="0"/>
                    <w:left w:val="single" w:color="auto" w:sz="8" w:space="0"/>
                    <w:right w:val="single" w:color="auto" w:sz="8" w:space="0"/>
                  </w:tcBorders>
                  <w:vAlign w:val="center"/>
                </w:tcPr>
                <w:p w14:paraId="2F2B8F32">
                  <w:pPr>
                    <w:snapToGrid w:val="0"/>
                    <w:jc w:val="center"/>
                    <w:rPr>
                      <w:rFonts w:ascii="Times New Roman" w:hAnsi="Times New Roman" w:eastAsia="宋体" w:cs="Times New Roman"/>
                      <w:kern w:val="0"/>
                      <w:sz w:val="18"/>
                      <w:szCs w:val="18"/>
                      <w:lang w:bidi="ar"/>
                    </w:rPr>
                  </w:pPr>
                  <w:r>
                    <w:rPr>
                      <w:rFonts w:ascii="Times New Roman" w:hAnsi="Times New Roman" w:cs="Times New Roman"/>
                      <w:bCs/>
                      <w:sz w:val="18"/>
                      <w:szCs w:val="18"/>
                    </w:rPr>
                    <w:t>0.30×10</w:t>
                  </w:r>
                  <w:r>
                    <w:rPr>
                      <w:rFonts w:ascii="Times New Roman" w:hAnsi="Times New Roman" w:cs="Times New Roman"/>
                      <w:bCs/>
                      <w:sz w:val="18"/>
                      <w:szCs w:val="18"/>
                      <w:vertAlign w:val="superscript"/>
                    </w:rPr>
                    <w:t>-4</w:t>
                  </w:r>
                </w:p>
              </w:tc>
            </w:tr>
            <w:tr w14:paraId="2105E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jc w:val="center"/>
              </w:trPr>
              <w:tc>
                <w:tcPr>
                  <w:tcW w:w="1109" w:type="dxa"/>
                  <w:vMerge w:val="restart"/>
                  <w:tcBorders>
                    <w:left w:val="single" w:color="auto" w:sz="8" w:space="0"/>
                    <w:right w:val="single" w:color="auto" w:sz="8" w:space="0"/>
                  </w:tcBorders>
                  <w:vAlign w:val="center"/>
                </w:tcPr>
                <w:p w14:paraId="4572171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污水站</w:t>
                  </w:r>
                </w:p>
              </w:tc>
              <w:tc>
                <w:tcPr>
                  <w:tcW w:w="1251" w:type="dxa"/>
                  <w:vMerge w:val="restart"/>
                  <w:tcBorders>
                    <w:left w:val="single" w:color="auto" w:sz="8" w:space="0"/>
                    <w:right w:val="single" w:color="auto" w:sz="8" w:space="0"/>
                  </w:tcBorders>
                  <w:vAlign w:val="center"/>
                </w:tcPr>
                <w:p w14:paraId="1867C14F">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98.398757</w:t>
                  </w:r>
                </w:p>
              </w:tc>
              <w:tc>
                <w:tcPr>
                  <w:tcW w:w="1161" w:type="dxa"/>
                  <w:vMerge w:val="restart"/>
                  <w:tcBorders>
                    <w:left w:val="single" w:color="auto" w:sz="8" w:space="0"/>
                    <w:right w:val="single" w:color="auto" w:sz="8" w:space="0"/>
                  </w:tcBorders>
                  <w:vAlign w:val="center"/>
                </w:tcPr>
                <w:p w14:paraId="2724470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24.378798</w:t>
                  </w:r>
                </w:p>
              </w:tc>
              <w:tc>
                <w:tcPr>
                  <w:tcW w:w="653" w:type="dxa"/>
                  <w:vMerge w:val="restart"/>
                  <w:tcBorders>
                    <w:left w:val="single" w:color="auto" w:sz="8" w:space="0"/>
                    <w:right w:val="single" w:color="auto" w:sz="8" w:space="0"/>
                  </w:tcBorders>
                  <w:vAlign w:val="center"/>
                </w:tcPr>
                <w:p w14:paraId="01775CA3">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w:t>
                  </w:r>
                </w:p>
              </w:tc>
              <w:tc>
                <w:tcPr>
                  <w:tcW w:w="599" w:type="dxa"/>
                  <w:vMerge w:val="restart"/>
                  <w:tcBorders>
                    <w:left w:val="single" w:color="auto" w:sz="8" w:space="0"/>
                    <w:right w:val="single" w:color="auto" w:sz="8" w:space="0"/>
                  </w:tcBorders>
                  <w:vAlign w:val="center"/>
                </w:tcPr>
                <w:p w14:paraId="115CFFF1">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w:t>
                  </w:r>
                </w:p>
              </w:tc>
              <w:tc>
                <w:tcPr>
                  <w:tcW w:w="932" w:type="dxa"/>
                  <w:vMerge w:val="restart"/>
                  <w:tcBorders>
                    <w:left w:val="single" w:color="auto" w:sz="8" w:space="0"/>
                    <w:right w:val="single" w:color="auto" w:sz="8" w:space="0"/>
                  </w:tcBorders>
                  <w:vAlign w:val="center"/>
                </w:tcPr>
                <w:p w14:paraId="62E03802">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w:t>
                  </w:r>
                </w:p>
              </w:tc>
              <w:tc>
                <w:tcPr>
                  <w:tcW w:w="714" w:type="dxa"/>
                  <w:tcBorders>
                    <w:top w:val="single" w:color="auto" w:sz="8" w:space="0"/>
                    <w:left w:val="single" w:color="auto" w:sz="8" w:space="0"/>
                    <w:bottom w:val="single" w:color="auto" w:sz="8" w:space="0"/>
                    <w:right w:val="single" w:color="auto" w:sz="8" w:space="0"/>
                  </w:tcBorders>
                  <w:vAlign w:val="center"/>
                </w:tcPr>
                <w:p w14:paraId="7E5CD968">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170" w:type="dxa"/>
                  <w:tcBorders>
                    <w:top w:val="single" w:color="auto" w:sz="8" w:space="0"/>
                    <w:left w:val="single" w:color="auto" w:sz="8" w:space="0"/>
                    <w:bottom w:val="single" w:color="auto" w:sz="8" w:space="0"/>
                    <w:right w:val="single" w:color="auto" w:sz="8" w:space="0"/>
                  </w:tcBorders>
                  <w:vAlign w:val="center"/>
                </w:tcPr>
                <w:p w14:paraId="05FDBE72">
                  <w:pPr>
                    <w:snapToGrid w:val="0"/>
                    <w:jc w:val="center"/>
                    <w:rPr>
                      <w:rFonts w:ascii="Times New Roman" w:hAnsi="Times New Roman" w:eastAsia="宋体" w:cs="Times New Roman"/>
                      <w:kern w:val="0"/>
                      <w:sz w:val="18"/>
                      <w:szCs w:val="18"/>
                      <w:lang w:bidi="ar"/>
                    </w:rPr>
                  </w:pPr>
                  <w:r>
                    <w:rPr>
                      <w:rFonts w:ascii="Times New Roman" w:hAnsi="Times New Roman" w:cs="Times New Roman"/>
                      <w:bCs/>
                      <w:sz w:val="18"/>
                      <w:szCs w:val="18"/>
                    </w:rPr>
                    <w:t>0.0009</w:t>
                  </w:r>
                </w:p>
              </w:tc>
            </w:tr>
            <w:tr w14:paraId="44563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jc w:val="center"/>
              </w:trPr>
              <w:tc>
                <w:tcPr>
                  <w:tcW w:w="1109" w:type="dxa"/>
                  <w:vMerge w:val="continue"/>
                  <w:tcBorders>
                    <w:left w:val="single" w:color="auto" w:sz="8" w:space="0"/>
                    <w:right w:val="single" w:color="auto" w:sz="8" w:space="0"/>
                  </w:tcBorders>
                  <w:vAlign w:val="center"/>
                </w:tcPr>
                <w:p w14:paraId="06E033EA">
                  <w:pPr>
                    <w:snapToGrid w:val="0"/>
                    <w:jc w:val="center"/>
                    <w:rPr>
                      <w:rFonts w:ascii="Times New Roman" w:hAnsi="Times New Roman" w:eastAsia="宋体" w:cs="Times New Roman"/>
                      <w:kern w:val="0"/>
                      <w:sz w:val="18"/>
                      <w:szCs w:val="18"/>
                      <w:lang w:bidi="ar"/>
                    </w:rPr>
                  </w:pPr>
                </w:p>
              </w:tc>
              <w:tc>
                <w:tcPr>
                  <w:tcW w:w="1251" w:type="dxa"/>
                  <w:vMerge w:val="continue"/>
                  <w:tcBorders>
                    <w:left w:val="single" w:color="auto" w:sz="8" w:space="0"/>
                    <w:right w:val="single" w:color="auto" w:sz="8" w:space="0"/>
                  </w:tcBorders>
                  <w:vAlign w:val="center"/>
                </w:tcPr>
                <w:p w14:paraId="546F62B7">
                  <w:pPr>
                    <w:snapToGrid w:val="0"/>
                    <w:jc w:val="center"/>
                    <w:rPr>
                      <w:rFonts w:ascii="Times New Roman" w:hAnsi="Times New Roman" w:eastAsia="宋体" w:cs="Times New Roman"/>
                      <w:kern w:val="0"/>
                      <w:sz w:val="18"/>
                      <w:szCs w:val="18"/>
                      <w:lang w:bidi="ar"/>
                    </w:rPr>
                  </w:pPr>
                </w:p>
              </w:tc>
              <w:tc>
                <w:tcPr>
                  <w:tcW w:w="1161" w:type="dxa"/>
                  <w:vMerge w:val="continue"/>
                  <w:tcBorders>
                    <w:left w:val="single" w:color="auto" w:sz="8" w:space="0"/>
                    <w:right w:val="single" w:color="auto" w:sz="8" w:space="0"/>
                  </w:tcBorders>
                  <w:vAlign w:val="center"/>
                </w:tcPr>
                <w:p w14:paraId="21C33B67">
                  <w:pPr>
                    <w:snapToGrid w:val="0"/>
                    <w:jc w:val="center"/>
                    <w:rPr>
                      <w:rFonts w:ascii="Times New Roman" w:hAnsi="Times New Roman" w:eastAsia="宋体" w:cs="Times New Roman"/>
                      <w:kern w:val="0"/>
                      <w:sz w:val="18"/>
                      <w:szCs w:val="18"/>
                      <w:lang w:bidi="ar"/>
                    </w:rPr>
                  </w:pPr>
                </w:p>
              </w:tc>
              <w:tc>
                <w:tcPr>
                  <w:tcW w:w="653" w:type="dxa"/>
                  <w:vMerge w:val="continue"/>
                  <w:tcBorders>
                    <w:left w:val="single" w:color="auto" w:sz="8" w:space="0"/>
                    <w:right w:val="single" w:color="auto" w:sz="8" w:space="0"/>
                  </w:tcBorders>
                  <w:vAlign w:val="center"/>
                </w:tcPr>
                <w:p w14:paraId="6B27F7FF">
                  <w:pPr>
                    <w:snapToGrid w:val="0"/>
                    <w:jc w:val="center"/>
                    <w:rPr>
                      <w:rFonts w:ascii="Times New Roman" w:hAnsi="Times New Roman" w:eastAsia="宋体" w:cs="Times New Roman"/>
                      <w:kern w:val="0"/>
                      <w:sz w:val="18"/>
                      <w:szCs w:val="18"/>
                      <w:lang w:bidi="ar"/>
                    </w:rPr>
                  </w:pPr>
                </w:p>
              </w:tc>
              <w:tc>
                <w:tcPr>
                  <w:tcW w:w="599" w:type="dxa"/>
                  <w:vMerge w:val="continue"/>
                  <w:tcBorders>
                    <w:left w:val="single" w:color="auto" w:sz="8" w:space="0"/>
                    <w:right w:val="single" w:color="auto" w:sz="8" w:space="0"/>
                  </w:tcBorders>
                  <w:vAlign w:val="center"/>
                </w:tcPr>
                <w:p w14:paraId="303CAABA">
                  <w:pPr>
                    <w:snapToGrid w:val="0"/>
                    <w:jc w:val="center"/>
                    <w:rPr>
                      <w:rFonts w:ascii="Times New Roman" w:hAnsi="Times New Roman" w:eastAsia="宋体" w:cs="Times New Roman"/>
                      <w:kern w:val="0"/>
                      <w:sz w:val="18"/>
                      <w:szCs w:val="18"/>
                      <w:lang w:bidi="ar"/>
                    </w:rPr>
                  </w:pPr>
                </w:p>
              </w:tc>
              <w:tc>
                <w:tcPr>
                  <w:tcW w:w="932" w:type="dxa"/>
                  <w:vMerge w:val="continue"/>
                  <w:tcBorders>
                    <w:left w:val="single" w:color="auto" w:sz="8" w:space="0"/>
                    <w:right w:val="single" w:color="auto" w:sz="8" w:space="0"/>
                  </w:tcBorders>
                  <w:vAlign w:val="center"/>
                </w:tcPr>
                <w:p w14:paraId="4F763ABD">
                  <w:pPr>
                    <w:snapToGrid w:val="0"/>
                    <w:jc w:val="center"/>
                    <w:rPr>
                      <w:rFonts w:ascii="Times New Roman" w:hAnsi="Times New Roman" w:eastAsia="宋体" w:cs="Times New Roman"/>
                      <w:kern w:val="0"/>
                      <w:sz w:val="18"/>
                      <w:szCs w:val="18"/>
                      <w:lang w:bidi="ar"/>
                    </w:rPr>
                  </w:pPr>
                </w:p>
              </w:tc>
              <w:tc>
                <w:tcPr>
                  <w:tcW w:w="714" w:type="dxa"/>
                  <w:tcBorders>
                    <w:top w:val="single" w:color="auto" w:sz="8" w:space="0"/>
                    <w:left w:val="single" w:color="auto" w:sz="8" w:space="0"/>
                    <w:bottom w:val="single" w:color="auto" w:sz="8" w:space="0"/>
                    <w:right w:val="single" w:color="auto" w:sz="8" w:space="0"/>
                  </w:tcBorders>
                  <w:vAlign w:val="center"/>
                </w:tcPr>
                <w:p w14:paraId="40CE4C46">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170" w:type="dxa"/>
                  <w:tcBorders>
                    <w:top w:val="single" w:color="auto" w:sz="8" w:space="0"/>
                    <w:left w:val="single" w:color="auto" w:sz="8" w:space="0"/>
                    <w:bottom w:val="single" w:color="auto" w:sz="8" w:space="0"/>
                    <w:right w:val="single" w:color="auto" w:sz="8" w:space="0"/>
                  </w:tcBorders>
                  <w:vAlign w:val="center"/>
                </w:tcPr>
                <w:p w14:paraId="4DDDC5FF">
                  <w:pPr>
                    <w:snapToGrid w:val="0"/>
                    <w:jc w:val="center"/>
                    <w:rPr>
                      <w:rFonts w:ascii="Times New Roman" w:hAnsi="Times New Roman" w:eastAsia="宋体" w:cs="Times New Roman"/>
                      <w:kern w:val="0"/>
                      <w:sz w:val="18"/>
                      <w:szCs w:val="18"/>
                      <w:lang w:bidi="ar"/>
                    </w:rPr>
                  </w:pPr>
                  <w:r>
                    <w:rPr>
                      <w:rFonts w:ascii="Times New Roman" w:hAnsi="Times New Roman" w:cs="Times New Roman"/>
                      <w:bCs/>
                      <w:sz w:val="18"/>
                      <w:szCs w:val="18"/>
                    </w:rPr>
                    <w:t>0.55×10</w:t>
                  </w:r>
                  <w:r>
                    <w:rPr>
                      <w:rFonts w:ascii="Times New Roman" w:hAnsi="Times New Roman" w:cs="Times New Roman"/>
                      <w:bCs/>
                      <w:sz w:val="18"/>
                      <w:szCs w:val="18"/>
                      <w:vertAlign w:val="superscript"/>
                    </w:rPr>
                    <w:t>-4</w:t>
                  </w:r>
                </w:p>
              </w:tc>
            </w:tr>
          </w:tbl>
          <w:p w14:paraId="617A30AA">
            <w:pPr>
              <w:snapToGrid w:val="0"/>
              <w:ind w:firstLine="630" w:firstLineChars="300"/>
              <w:rPr>
                <w:szCs w:val="21"/>
              </w:rPr>
            </w:pPr>
          </w:p>
          <w:p w14:paraId="4F9CBD85">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 xml:space="preserve">表4-10    </w:t>
            </w:r>
            <w:r>
              <w:rPr>
                <w:rFonts w:hint="eastAsia" w:ascii="Times New Roman" w:hAnsi="Times New Roman" w:eastAsia="宋体" w:cs="Times New Roman"/>
                <w:b/>
                <w:szCs w:val="21"/>
              </w:rPr>
              <w:t>车间</w:t>
            </w:r>
            <w:r>
              <w:rPr>
                <w:rFonts w:ascii="Times New Roman" w:hAnsi="Times New Roman" w:eastAsia="宋体" w:cs="Times New Roman"/>
                <w:b/>
                <w:szCs w:val="21"/>
              </w:rPr>
              <w:t>无组织</w:t>
            </w:r>
            <w:r>
              <w:rPr>
                <w:rFonts w:hint="eastAsia" w:ascii="Times New Roman" w:hAnsi="Times New Roman" w:eastAsia="宋体" w:cs="Times New Roman"/>
                <w:b/>
                <w:szCs w:val="21"/>
              </w:rPr>
              <w:t>臭气</w:t>
            </w:r>
            <w:r>
              <w:rPr>
                <w:rFonts w:ascii="Times New Roman" w:hAnsi="Times New Roman" w:eastAsia="宋体" w:cs="Times New Roman"/>
                <w:b/>
                <w:szCs w:val="21"/>
              </w:rPr>
              <w:t>下风向地面浓度及占标率预测表</w:t>
            </w:r>
          </w:p>
          <w:bookmarkEnd w:id="71"/>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211"/>
              <w:gridCol w:w="1211"/>
              <w:gridCol w:w="1211"/>
              <w:gridCol w:w="1077"/>
            </w:tblGrid>
            <w:tr w14:paraId="291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Merge w:val="restart"/>
                  <w:vAlign w:val="center"/>
                </w:tcPr>
                <w:p w14:paraId="083CED1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4710" w:type="dxa"/>
                  <w:gridSpan w:val="4"/>
                  <w:vAlign w:val="center"/>
                </w:tcPr>
                <w:p w14:paraId="2544754D">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无害化车间</w:t>
                  </w:r>
                </w:p>
              </w:tc>
            </w:tr>
            <w:tr w14:paraId="539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Merge w:val="continue"/>
                  <w:vAlign w:val="center"/>
                </w:tcPr>
                <w:p w14:paraId="73523B87">
                  <w:pPr>
                    <w:widowControl/>
                    <w:snapToGrid w:val="0"/>
                    <w:jc w:val="center"/>
                    <w:textAlignment w:val="center"/>
                    <w:rPr>
                      <w:rFonts w:ascii="Times New Roman" w:hAnsi="Times New Roman" w:eastAsia="宋体" w:cs="Times New Roman"/>
                      <w:b/>
                      <w:szCs w:val="21"/>
                    </w:rPr>
                  </w:pPr>
                </w:p>
              </w:tc>
              <w:tc>
                <w:tcPr>
                  <w:tcW w:w="2422" w:type="dxa"/>
                  <w:gridSpan w:val="2"/>
                  <w:vAlign w:val="center"/>
                </w:tcPr>
                <w:p w14:paraId="452E10AA">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N</w:t>
                  </w:r>
                  <w:r>
                    <w:rPr>
                      <w:rFonts w:ascii="Times New Roman" w:hAnsi="Times New Roman" w:eastAsia="宋体" w:cs="Times New Roman"/>
                      <w:b/>
                      <w:bCs/>
                      <w:kern w:val="0"/>
                      <w:sz w:val="18"/>
                      <w:szCs w:val="18"/>
                      <w:lang w:bidi="ar"/>
                    </w:rPr>
                    <w:t>H</w:t>
                  </w:r>
                  <w:r>
                    <w:rPr>
                      <w:rFonts w:ascii="Times New Roman" w:hAnsi="Times New Roman" w:eastAsia="宋体" w:cs="Times New Roman"/>
                      <w:b/>
                      <w:bCs/>
                      <w:kern w:val="0"/>
                      <w:sz w:val="18"/>
                      <w:szCs w:val="18"/>
                      <w:vertAlign w:val="subscript"/>
                      <w:lang w:bidi="ar"/>
                    </w:rPr>
                    <w:t>3</w:t>
                  </w:r>
                </w:p>
              </w:tc>
              <w:tc>
                <w:tcPr>
                  <w:tcW w:w="2288" w:type="dxa"/>
                  <w:gridSpan w:val="2"/>
                  <w:vAlign w:val="center"/>
                </w:tcPr>
                <w:p w14:paraId="6FCB03B9">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szCs w:val="21"/>
                    </w:rPr>
                    <w:t>H</w:t>
                  </w:r>
                  <w:r>
                    <w:rPr>
                      <w:rFonts w:ascii="Times New Roman" w:hAnsi="Times New Roman" w:eastAsia="宋体" w:cs="Times New Roman"/>
                      <w:b/>
                      <w:szCs w:val="21"/>
                      <w:vertAlign w:val="subscript"/>
                    </w:rPr>
                    <w:t>2</w:t>
                  </w:r>
                  <w:r>
                    <w:rPr>
                      <w:rFonts w:ascii="Times New Roman" w:hAnsi="Times New Roman" w:eastAsia="宋体" w:cs="Times New Roman"/>
                      <w:b/>
                      <w:szCs w:val="21"/>
                    </w:rPr>
                    <w:t>S</w:t>
                  </w:r>
                </w:p>
              </w:tc>
            </w:tr>
            <w:tr w14:paraId="3ADA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Merge w:val="continue"/>
                  <w:vAlign w:val="center"/>
                </w:tcPr>
                <w:p w14:paraId="6C9B12A2">
                  <w:pPr>
                    <w:widowControl/>
                    <w:snapToGrid w:val="0"/>
                    <w:jc w:val="center"/>
                    <w:textAlignment w:val="center"/>
                    <w:rPr>
                      <w:rFonts w:ascii="Times New Roman" w:hAnsi="Times New Roman" w:eastAsia="宋体" w:cs="Times New Roman"/>
                      <w:b/>
                      <w:szCs w:val="21"/>
                    </w:rPr>
                  </w:pPr>
                </w:p>
              </w:tc>
              <w:tc>
                <w:tcPr>
                  <w:tcW w:w="1211" w:type="dxa"/>
                  <w:vAlign w:val="center"/>
                </w:tcPr>
                <w:p w14:paraId="2F501E7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1" w:type="dxa"/>
                  <w:vAlign w:val="center"/>
                </w:tcPr>
                <w:p w14:paraId="6B570A4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1" w:type="dxa"/>
                  <w:vAlign w:val="center"/>
                </w:tcPr>
                <w:p w14:paraId="4F27E89F">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077" w:type="dxa"/>
                  <w:vAlign w:val="center"/>
                </w:tcPr>
                <w:p w14:paraId="0DBA3B66">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7F8F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59F4439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211" w:type="dxa"/>
                  <w:vAlign w:val="center"/>
                </w:tcPr>
                <w:p w14:paraId="0E5DA33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11.6930</w:t>
                  </w:r>
                </w:p>
              </w:tc>
              <w:tc>
                <w:tcPr>
                  <w:tcW w:w="1211" w:type="dxa"/>
                  <w:vAlign w:val="center"/>
                </w:tcPr>
                <w:p w14:paraId="556B7EB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5.8465</w:t>
                  </w:r>
                </w:p>
              </w:tc>
              <w:tc>
                <w:tcPr>
                  <w:tcW w:w="1211" w:type="dxa"/>
                  <w:vAlign w:val="center"/>
                </w:tcPr>
                <w:p w14:paraId="158AB40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0.0365</w:t>
                  </w:r>
                </w:p>
              </w:tc>
              <w:tc>
                <w:tcPr>
                  <w:tcW w:w="1077" w:type="dxa"/>
                  <w:vAlign w:val="center"/>
                </w:tcPr>
                <w:p w14:paraId="2F657FF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0.3654</w:t>
                  </w:r>
                </w:p>
              </w:tc>
            </w:tr>
            <w:tr w14:paraId="5C4A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13E2F41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211" w:type="dxa"/>
                  <w:vAlign w:val="center"/>
                </w:tcPr>
                <w:p w14:paraId="303369C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7.5541</w:t>
                  </w:r>
                </w:p>
              </w:tc>
              <w:tc>
                <w:tcPr>
                  <w:tcW w:w="1211" w:type="dxa"/>
                  <w:vAlign w:val="center"/>
                </w:tcPr>
                <w:p w14:paraId="7842A61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3.7771</w:t>
                  </w:r>
                </w:p>
              </w:tc>
              <w:tc>
                <w:tcPr>
                  <w:tcW w:w="1211" w:type="dxa"/>
                  <w:vAlign w:val="center"/>
                </w:tcPr>
                <w:p w14:paraId="212C23E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0.0236</w:t>
                  </w:r>
                </w:p>
              </w:tc>
              <w:tc>
                <w:tcPr>
                  <w:tcW w:w="1077" w:type="dxa"/>
                  <w:vAlign w:val="center"/>
                </w:tcPr>
                <w:p w14:paraId="188CCEA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0.2361</w:t>
                  </w:r>
                </w:p>
              </w:tc>
            </w:tr>
            <w:tr w14:paraId="2A3E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30532F77">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211" w:type="dxa"/>
                  <w:vAlign w:val="center"/>
                </w:tcPr>
                <w:p w14:paraId="70D6F36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6.1200</w:t>
                  </w:r>
                </w:p>
              </w:tc>
              <w:tc>
                <w:tcPr>
                  <w:tcW w:w="1211" w:type="dxa"/>
                  <w:vAlign w:val="center"/>
                </w:tcPr>
                <w:p w14:paraId="28C52A6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3.0600</w:t>
                  </w:r>
                </w:p>
              </w:tc>
              <w:tc>
                <w:tcPr>
                  <w:tcW w:w="1211" w:type="dxa"/>
                  <w:vAlign w:val="center"/>
                </w:tcPr>
                <w:p w14:paraId="4DE6941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0.0191</w:t>
                  </w:r>
                </w:p>
              </w:tc>
              <w:tc>
                <w:tcPr>
                  <w:tcW w:w="1077" w:type="dxa"/>
                  <w:vAlign w:val="center"/>
                </w:tcPr>
                <w:p w14:paraId="1810983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0.1913</w:t>
                  </w:r>
                </w:p>
              </w:tc>
            </w:tr>
            <w:tr w14:paraId="49F8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5789EF8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211" w:type="dxa"/>
                  <w:vAlign w:val="center"/>
                </w:tcPr>
                <w:p w14:paraId="2B88815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5.0308</w:t>
                  </w:r>
                </w:p>
              </w:tc>
              <w:tc>
                <w:tcPr>
                  <w:tcW w:w="1211" w:type="dxa"/>
                  <w:vAlign w:val="center"/>
                </w:tcPr>
                <w:p w14:paraId="7523DE3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2.5154</w:t>
                  </w:r>
                </w:p>
              </w:tc>
              <w:tc>
                <w:tcPr>
                  <w:tcW w:w="1211" w:type="dxa"/>
                  <w:vAlign w:val="center"/>
                </w:tcPr>
                <w:p w14:paraId="08958A8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0.0157</w:t>
                  </w:r>
                </w:p>
              </w:tc>
              <w:tc>
                <w:tcPr>
                  <w:tcW w:w="1077" w:type="dxa"/>
                  <w:vAlign w:val="center"/>
                </w:tcPr>
                <w:p w14:paraId="3EF2496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0.1572</w:t>
                  </w:r>
                </w:p>
              </w:tc>
            </w:tr>
            <w:tr w14:paraId="413F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5632CB4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211" w:type="dxa"/>
                  <w:vAlign w:val="center"/>
                </w:tcPr>
                <w:p w14:paraId="29F08CE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4.3153</w:t>
                  </w:r>
                </w:p>
              </w:tc>
              <w:tc>
                <w:tcPr>
                  <w:tcW w:w="1211" w:type="dxa"/>
                  <w:vAlign w:val="center"/>
                </w:tcPr>
                <w:p w14:paraId="342FEEC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2.1576</w:t>
                  </w:r>
                </w:p>
              </w:tc>
              <w:tc>
                <w:tcPr>
                  <w:tcW w:w="1211" w:type="dxa"/>
                  <w:vAlign w:val="center"/>
                </w:tcPr>
                <w:p w14:paraId="5F9E5C7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0.0135</w:t>
                  </w:r>
                </w:p>
              </w:tc>
              <w:tc>
                <w:tcPr>
                  <w:tcW w:w="1077" w:type="dxa"/>
                  <w:vAlign w:val="center"/>
                </w:tcPr>
                <w:p w14:paraId="2FF7E77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0.1349</w:t>
                  </w:r>
                </w:p>
              </w:tc>
            </w:tr>
            <w:tr w14:paraId="7295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0D68506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211" w:type="dxa"/>
                  <w:vAlign w:val="center"/>
                </w:tcPr>
                <w:p w14:paraId="54B95C3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3.9383</w:t>
                  </w:r>
                </w:p>
              </w:tc>
              <w:tc>
                <w:tcPr>
                  <w:tcW w:w="1211" w:type="dxa"/>
                  <w:vAlign w:val="center"/>
                </w:tcPr>
                <w:p w14:paraId="2AB39CA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1.9691</w:t>
                  </w:r>
                </w:p>
              </w:tc>
              <w:tc>
                <w:tcPr>
                  <w:tcW w:w="1211" w:type="dxa"/>
                  <w:vAlign w:val="center"/>
                </w:tcPr>
                <w:p w14:paraId="386DD1F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0.0123</w:t>
                  </w:r>
                </w:p>
              </w:tc>
              <w:tc>
                <w:tcPr>
                  <w:tcW w:w="1077" w:type="dxa"/>
                  <w:vAlign w:val="center"/>
                </w:tcPr>
                <w:p w14:paraId="67F3BF4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0.1231</w:t>
                  </w:r>
                </w:p>
              </w:tc>
            </w:tr>
            <w:tr w14:paraId="07E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79F1AC8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211" w:type="dxa"/>
                  <w:vAlign w:val="center"/>
                </w:tcPr>
                <w:p w14:paraId="2FC0493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3.6230</w:t>
                  </w:r>
                </w:p>
              </w:tc>
              <w:tc>
                <w:tcPr>
                  <w:tcW w:w="1211" w:type="dxa"/>
                  <w:vAlign w:val="center"/>
                </w:tcPr>
                <w:p w14:paraId="34F5088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1.8115</w:t>
                  </w:r>
                </w:p>
              </w:tc>
              <w:tc>
                <w:tcPr>
                  <w:tcW w:w="1211" w:type="dxa"/>
                  <w:vAlign w:val="center"/>
                </w:tcPr>
                <w:p w14:paraId="6989838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0.0113</w:t>
                  </w:r>
                </w:p>
              </w:tc>
              <w:tc>
                <w:tcPr>
                  <w:tcW w:w="1077" w:type="dxa"/>
                  <w:vAlign w:val="center"/>
                </w:tcPr>
                <w:p w14:paraId="5DB1B2F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0.1132</w:t>
                  </w:r>
                </w:p>
              </w:tc>
            </w:tr>
            <w:tr w14:paraId="71AE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0C70C2E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211" w:type="dxa"/>
                  <w:vAlign w:val="center"/>
                </w:tcPr>
                <w:p w14:paraId="3B89D35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3.3497</w:t>
                  </w:r>
                </w:p>
              </w:tc>
              <w:tc>
                <w:tcPr>
                  <w:tcW w:w="1211" w:type="dxa"/>
                  <w:vAlign w:val="center"/>
                </w:tcPr>
                <w:p w14:paraId="63186F6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1.6748</w:t>
                  </w:r>
                </w:p>
              </w:tc>
              <w:tc>
                <w:tcPr>
                  <w:tcW w:w="1211" w:type="dxa"/>
                  <w:vAlign w:val="center"/>
                </w:tcPr>
                <w:p w14:paraId="0C7BBEA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0.0105</w:t>
                  </w:r>
                </w:p>
              </w:tc>
              <w:tc>
                <w:tcPr>
                  <w:tcW w:w="1077" w:type="dxa"/>
                  <w:vAlign w:val="center"/>
                </w:tcPr>
                <w:p w14:paraId="1C04B1E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0.1047</w:t>
                  </w:r>
                </w:p>
              </w:tc>
            </w:tr>
            <w:tr w14:paraId="68D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618F52A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211" w:type="dxa"/>
                  <w:vAlign w:val="center"/>
                </w:tcPr>
                <w:p w14:paraId="3CD6EC2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3.1251</w:t>
                  </w:r>
                </w:p>
              </w:tc>
              <w:tc>
                <w:tcPr>
                  <w:tcW w:w="1211" w:type="dxa"/>
                  <w:vAlign w:val="center"/>
                </w:tcPr>
                <w:p w14:paraId="1FEB6C8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1.5626</w:t>
                  </w:r>
                </w:p>
              </w:tc>
              <w:tc>
                <w:tcPr>
                  <w:tcW w:w="1211" w:type="dxa"/>
                  <w:vAlign w:val="center"/>
                </w:tcPr>
                <w:p w14:paraId="712D82A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0.0098</w:t>
                  </w:r>
                </w:p>
              </w:tc>
              <w:tc>
                <w:tcPr>
                  <w:tcW w:w="1077" w:type="dxa"/>
                  <w:vAlign w:val="center"/>
                </w:tcPr>
                <w:p w14:paraId="688C452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0.0977</w:t>
                  </w:r>
                </w:p>
              </w:tc>
            </w:tr>
            <w:tr w14:paraId="4A7E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605CCB9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211" w:type="dxa"/>
                  <w:vAlign w:val="center"/>
                </w:tcPr>
                <w:p w14:paraId="6790C5F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2.9112</w:t>
                  </w:r>
                </w:p>
              </w:tc>
              <w:tc>
                <w:tcPr>
                  <w:tcW w:w="1211" w:type="dxa"/>
                  <w:vAlign w:val="center"/>
                </w:tcPr>
                <w:p w14:paraId="19812CE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1.4556</w:t>
                  </w:r>
                </w:p>
              </w:tc>
              <w:tc>
                <w:tcPr>
                  <w:tcW w:w="1211" w:type="dxa"/>
                  <w:vAlign w:val="center"/>
                </w:tcPr>
                <w:p w14:paraId="30FA516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0.0091</w:t>
                  </w:r>
                </w:p>
              </w:tc>
              <w:tc>
                <w:tcPr>
                  <w:tcW w:w="1077" w:type="dxa"/>
                  <w:vAlign w:val="center"/>
                </w:tcPr>
                <w:p w14:paraId="0FD9E52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0.0910</w:t>
                  </w:r>
                </w:p>
              </w:tc>
            </w:tr>
            <w:tr w14:paraId="2086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3DA6279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211" w:type="dxa"/>
                  <w:vAlign w:val="center"/>
                </w:tcPr>
                <w:p w14:paraId="24D57AE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2.7221</w:t>
                  </w:r>
                </w:p>
              </w:tc>
              <w:tc>
                <w:tcPr>
                  <w:tcW w:w="1211" w:type="dxa"/>
                  <w:vAlign w:val="center"/>
                </w:tcPr>
                <w:p w14:paraId="77742E1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1.3611</w:t>
                  </w:r>
                </w:p>
              </w:tc>
              <w:tc>
                <w:tcPr>
                  <w:tcW w:w="1211" w:type="dxa"/>
                  <w:vAlign w:val="center"/>
                </w:tcPr>
                <w:p w14:paraId="072BC0C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0.0085</w:t>
                  </w:r>
                </w:p>
              </w:tc>
              <w:tc>
                <w:tcPr>
                  <w:tcW w:w="1077" w:type="dxa"/>
                  <w:vAlign w:val="center"/>
                </w:tcPr>
                <w:p w14:paraId="38E530C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0.0851</w:t>
                  </w:r>
                </w:p>
              </w:tc>
            </w:tr>
            <w:tr w14:paraId="715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05BFBE2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211" w:type="dxa"/>
                  <w:vAlign w:val="center"/>
                </w:tcPr>
                <w:p w14:paraId="6370A9A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2.1464</w:t>
                  </w:r>
                </w:p>
              </w:tc>
              <w:tc>
                <w:tcPr>
                  <w:tcW w:w="1211" w:type="dxa"/>
                  <w:vAlign w:val="center"/>
                </w:tcPr>
                <w:p w14:paraId="50208EC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1.0732</w:t>
                  </w:r>
                </w:p>
              </w:tc>
              <w:tc>
                <w:tcPr>
                  <w:tcW w:w="1211" w:type="dxa"/>
                  <w:vAlign w:val="center"/>
                </w:tcPr>
                <w:p w14:paraId="18FE0D6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0.0067</w:t>
                  </w:r>
                </w:p>
              </w:tc>
              <w:tc>
                <w:tcPr>
                  <w:tcW w:w="1077" w:type="dxa"/>
                  <w:vAlign w:val="center"/>
                </w:tcPr>
                <w:p w14:paraId="6024FE2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0.0671</w:t>
                  </w:r>
                </w:p>
              </w:tc>
            </w:tr>
            <w:tr w14:paraId="754C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5F3980A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211" w:type="dxa"/>
                  <w:vAlign w:val="center"/>
                </w:tcPr>
                <w:p w14:paraId="16AE559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1.3680</w:t>
                  </w:r>
                </w:p>
              </w:tc>
              <w:tc>
                <w:tcPr>
                  <w:tcW w:w="1211" w:type="dxa"/>
                  <w:vAlign w:val="center"/>
                </w:tcPr>
                <w:p w14:paraId="0DEE794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0.6840</w:t>
                  </w:r>
                </w:p>
              </w:tc>
              <w:tc>
                <w:tcPr>
                  <w:tcW w:w="1211" w:type="dxa"/>
                  <w:vAlign w:val="center"/>
                </w:tcPr>
                <w:p w14:paraId="4750877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0.0043</w:t>
                  </w:r>
                </w:p>
              </w:tc>
              <w:tc>
                <w:tcPr>
                  <w:tcW w:w="1077" w:type="dxa"/>
                  <w:vAlign w:val="center"/>
                </w:tcPr>
                <w:p w14:paraId="7A5F6DD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0.0428</w:t>
                  </w:r>
                </w:p>
              </w:tc>
            </w:tr>
            <w:tr w14:paraId="32CD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103D620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211" w:type="dxa"/>
                  <w:vAlign w:val="center"/>
                </w:tcPr>
                <w:p w14:paraId="4AE0CD2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12.0510</w:t>
                  </w:r>
                </w:p>
              </w:tc>
              <w:tc>
                <w:tcPr>
                  <w:tcW w:w="1211" w:type="dxa"/>
                  <w:vAlign w:val="center"/>
                </w:tcPr>
                <w:p w14:paraId="390F6FF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6.0255</w:t>
                  </w:r>
                </w:p>
              </w:tc>
              <w:tc>
                <w:tcPr>
                  <w:tcW w:w="1211" w:type="dxa"/>
                  <w:vAlign w:val="center"/>
                </w:tcPr>
                <w:p w14:paraId="63F9450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0.0377</w:t>
                  </w:r>
                </w:p>
              </w:tc>
              <w:tc>
                <w:tcPr>
                  <w:tcW w:w="1077" w:type="dxa"/>
                  <w:vAlign w:val="center"/>
                </w:tcPr>
                <w:p w14:paraId="31D7701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0.3766</w:t>
                  </w:r>
                </w:p>
              </w:tc>
            </w:tr>
            <w:tr w14:paraId="0A2A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2890650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211" w:type="dxa"/>
                  <w:vAlign w:val="center"/>
                </w:tcPr>
                <w:p w14:paraId="1CA928C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43.0</w:t>
                  </w:r>
                </w:p>
              </w:tc>
              <w:tc>
                <w:tcPr>
                  <w:tcW w:w="1211" w:type="dxa"/>
                  <w:vAlign w:val="center"/>
                </w:tcPr>
                <w:p w14:paraId="12E4385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43.0</w:t>
                  </w:r>
                </w:p>
              </w:tc>
              <w:tc>
                <w:tcPr>
                  <w:tcW w:w="1211" w:type="dxa"/>
                  <w:vAlign w:val="center"/>
                </w:tcPr>
                <w:p w14:paraId="1C3927C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43.0</w:t>
                  </w:r>
                </w:p>
              </w:tc>
              <w:tc>
                <w:tcPr>
                  <w:tcW w:w="1077" w:type="dxa"/>
                  <w:vAlign w:val="center"/>
                </w:tcPr>
                <w:p w14:paraId="69FFE89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43.0</w:t>
                  </w:r>
                </w:p>
              </w:tc>
            </w:tr>
            <w:tr w14:paraId="31B6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7188002E">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211" w:type="dxa"/>
                  <w:vAlign w:val="center"/>
                </w:tcPr>
                <w:p w14:paraId="6BCCA50E">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11676081">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57AFD532">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077" w:type="dxa"/>
                  <w:vAlign w:val="center"/>
                </w:tcPr>
                <w:p w14:paraId="157F7333">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r>
          </w:tbl>
          <w:p w14:paraId="2CF1B8B3">
            <w:pPr>
              <w:snapToGrid w:val="0"/>
              <w:jc w:val="center"/>
              <w:rPr>
                <w:b/>
                <w:bCs/>
                <w:szCs w:val="21"/>
                <w:highlight w:val="red"/>
              </w:rPr>
            </w:pPr>
          </w:p>
          <w:p w14:paraId="2E64D52E">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 xml:space="preserve">表4-11    </w:t>
            </w:r>
            <w:r>
              <w:rPr>
                <w:rFonts w:hint="eastAsia" w:ascii="Times New Roman" w:hAnsi="Times New Roman" w:eastAsia="宋体" w:cs="Times New Roman"/>
                <w:b/>
                <w:szCs w:val="21"/>
              </w:rPr>
              <w:t>污水处理站</w:t>
            </w:r>
            <w:r>
              <w:rPr>
                <w:rFonts w:ascii="Times New Roman" w:hAnsi="Times New Roman" w:eastAsia="宋体" w:cs="Times New Roman"/>
                <w:b/>
                <w:szCs w:val="21"/>
              </w:rPr>
              <w:t>无组织</w:t>
            </w:r>
            <w:r>
              <w:rPr>
                <w:rFonts w:hint="eastAsia" w:ascii="Times New Roman" w:hAnsi="Times New Roman" w:eastAsia="宋体" w:cs="Times New Roman"/>
                <w:b/>
                <w:szCs w:val="21"/>
              </w:rPr>
              <w:t>臭气</w:t>
            </w:r>
            <w:r>
              <w:rPr>
                <w:rFonts w:ascii="Times New Roman" w:hAnsi="Times New Roman" w:eastAsia="宋体" w:cs="Times New Roman"/>
                <w:b/>
                <w:szCs w:val="21"/>
              </w:rPr>
              <w:t>下风向地面浓度及占标率预测表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211"/>
              <w:gridCol w:w="1211"/>
              <w:gridCol w:w="1211"/>
              <w:gridCol w:w="1077"/>
            </w:tblGrid>
            <w:tr w14:paraId="2B3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Merge w:val="restart"/>
                  <w:vAlign w:val="center"/>
                </w:tcPr>
                <w:p w14:paraId="74BC60E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4710" w:type="dxa"/>
                  <w:gridSpan w:val="4"/>
                  <w:vAlign w:val="center"/>
                </w:tcPr>
                <w:p w14:paraId="1591ECAF">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污水处理站</w:t>
                  </w:r>
                </w:p>
              </w:tc>
            </w:tr>
            <w:tr w14:paraId="1A2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Merge w:val="continue"/>
                  <w:vAlign w:val="center"/>
                </w:tcPr>
                <w:p w14:paraId="213C696F">
                  <w:pPr>
                    <w:widowControl/>
                    <w:snapToGrid w:val="0"/>
                    <w:jc w:val="center"/>
                    <w:textAlignment w:val="center"/>
                    <w:rPr>
                      <w:rFonts w:ascii="Times New Roman" w:hAnsi="Times New Roman" w:eastAsia="宋体" w:cs="Times New Roman"/>
                      <w:b/>
                      <w:szCs w:val="21"/>
                    </w:rPr>
                  </w:pPr>
                </w:p>
              </w:tc>
              <w:tc>
                <w:tcPr>
                  <w:tcW w:w="2422" w:type="dxa"/>
                  <w:gridSpan w:val="2"/>
                  <w:vAlign w:val="center"/>
                </w:tcPr>
                <w:p w14:paraId="6A8E4D77">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N</w:t>
                  </w:r>
                  <w:r>
                    <w:rPr>
                      <w:rFonts w:ascii="Times New Roman" w:hAnsi="Times New Roman" w:eastAsia="宋体" w:cs="Times New Roman"/>
                      <w:b/>
                      <w:bCs/>
                      <w:kern w:val="0"/>
                      <w:sz w:val="18"/>
                      <w:szCs w:val="18"/>
                      <w:lang w:bidi="ar"/>
                    </w:rPr>
                    <w:t>H</w:t>
                  </w:r>
                  <w:r>
                    <w:rPr>
                      <w:rFonts w:ascii="Times New Roman" w:hAnsi="Times New Roman" w:eastAsia="宋体" w:cs="Times New Roman"/>
                      <w:b/>
                      <w:bCs/>
                      <w:kern w:val="0"/>
                      <w:sz w:val="18"/>
                      <w:szCs w:val="18"/>
                      <w:vertAlign w:val="subscript"/>
                      <w:lang w:bidi="ar"/>
                    </w:rPr>
                    <w:t>3</w:t>
                  </w:r>
                </w:p>
              </w:tc>
              <w:tc>
                <w:tcPr>
                  <w:tcW w:w="2288" w:type="dxa"/>
                  <w:gridSpan w:val="2"/>
                  <w:vAlign w:val="center"/>
                </w:tcPr>
                <w:p w14:paraId="5147724E">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szCs w:val="21"/>
                    </w:rPr>
                    <w:t>H</w:t>
                  </w:r>
                  <w:r>
                    <w:rPr>
                      <w:rFonts w:ascii="Times New Roman" w:hAnsi="Times New Roman" w:eastAsia="宋体" w:cs="Times New Roman"/>
                      <w:b/>
                      <w:szCs w:val="21"/>
                      <w:vertAlign w:val="subscript"/>
                    </w:rPr>
                    <w:t>2</w:t>
                  </w:r>
                  <w:r>
                    <w:rPr>
                      <w:rFonts w:ascii="Times New Roman" w:hAnsi="Times New Roman" w:eastAsia="宋体" w:cs="Times New Roman"/>
                      <w:b/>
                      <w:szCs w:val="21"/>
                    </w:rPr>
                    <w:t>S</w:t>
                  </w:r>
                </w:p>
              </w:tc>
            </w:tr>
            <w:tr w14:paraId="522C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Merge w:val="continue"/>
                  <w:vAlign w:val="center"/>
                </w:tcPr>
                <w:p w14:paraId="480E8B45">
                  <w:pPr>
                    <w:widowControl/>
                    <w:snapToGrid w:val="0"/>
                    <w:jc w:val="center"/>
                    <w:textAlignment w:val="center"/>
                    <w:rPr>
                      <w:rFonts w:ascii="Times New Roman" w:hAnsi="Times New Roman" w:eastAsia="宋体" w:cs="Times New Roman"/>
                      <w:b/>
                      <w:szCs w:val="21"/>
                    </w:rPr>
                  </w:pPr>
                </w:p>
              </w:tc>
              <w:tc>
                <w:tcPr>
                  <w:tcW w:w="1211" w:type="dxa"/>
                  <w:vAlign w:val="center"/>
                </w:tcPr>
                <w:p w14:paraId="6AA64DC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1" w:type="dxa"/>
                  <w:vAlign w:val="center"/>
                </w:tcPr>
                <w:p w14:paraId="23677DA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1" w:type="dxa"/>
                  <w:vAlign w:val="center"/>
                </w:tcPr>
                <w:p w14:paraId="3141A17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077" w:type="dxa"/>
                  <w:vAlign w:val="center"/>
                </w:tcPr>
                <w:p w14:paraId="69737AF6">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6868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4987040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211" w:type="dxa"/>
                  <w:vAlign w:val="center"/>
                </w:tcPr>
                <w:p w14:paraId="6A2547D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24.5620</w:t>
                  </w:r>
                </w:p>
              </w:tc>
              <w:tc>
                <w:tcPr>
                  <w:tcW w:w="1211" w:type="dxa"/>
                  <w:vAlign w:val="center"/>
                </w:tcPr>
                <w:p w14:paraId="4522E35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12.2810</w:t>
                  </w:r>
                </w:p>
              </w:tc>
              <w:tc>
                <w:tcPr>
                  <w:tcW w:w="1211" w:type="dxa"/>
                  <w:vAlign w:val="center"/>
                </w:tcPr>
                <w:p w14:paraId="0C82470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1.5010</w:t>
                  </w:r>
                </w:p>
              </w:tc>
              <w:tc>
                <w:tcPr>
                  <w:tcW w:w="1077" w:type="dxa"/>
                  <w:vAlign w:val="center"/>
                </w:tcPr>
                <w:p w14:paraId="246E665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15.0101</w:t>
                  </w:r>
                </w:p>
              </w:tc>
            </w:tr>
            <w:tr w14:paraId="647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0EE84D1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211" w:type="dxa"/>
                  <w:vAlign w:val="center"/>
                </w:tcPr>
                <w:p w14:paraId="231FAC4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14.6740</w:t>
                  </w:r>
                </w:p>
              </w:tc>
              <w:tc>
                <w:tcPr>
                  <w:tcW w:w="1211" w:type="dxa"/>
                  <w:vAlign w:val="center"/>
                </w:tcPr>
                <w:p w14:paraId="2B29EFE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7.3370</w:t>
                  </w:r>
                </w:p>
              </w:tc>
              <w:tc>
                <w:tcPr>
                  <w:tcW w:w="1211" w:type="dxa"/>
                  <w:vAlign w:val="center"/>
                </w:tcPr>
                <w:p w14:paraId="53B5963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0.8967</w:t>
                  </w:r>
                </w:p>
              </w:tc>
              <w:tc>
                <w:tcPr>
                  <w:tcW w:w="1077" w:type="dxa"/>
                  <w:vAlign w:val="center"/>
                </w:tcPr>
                <w:p w14:paraId="54E8569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8.9674</w:t>
                  </w:r>
                </w:p>
              </w:tc>
            </w:tr>
            <w:tr w14:paraId="3633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0421816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211" w:type="dxa"/>
                  <w:vAlign w:val="center"/>
                </w:tcPr>
                <w:p w14:paraId="57E55E9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8.7033</w:t>
                  </w:r>
                </w:p>
              </w:tc>
              <w:tc>
                <w:tcPr>
                  <w:tcW w:w="1211" w:type="dxa"/>
                  <w:vAlign w:val="center"/>
                </w:tcPr>
                <w:p w14:paraId="0766A5D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4.3517</w:t>
                  </w:r>
                </w:p>
              </w:tc>
              <w:tc>
                <w:tcPr>
                  <w:tcW w:w="1211" w:type="dxa"/>
                  <w:vAlign w:val="center"/>
                </w:tcPr>
                <w:p w14:paraId="17114B0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0.5319</w:t>
                  </w:r>
                </w:p>
              </w:tc>
              <w:tc>
                <w:tcPr>
                  <w:tcW w:w="1077" w:type="dxa"/>
                  <w:vAlign w:val="center"/>
                </w:tcPr>
                <w:p w14:paraId="11AE00B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5.3187</w:t>
                  </w:r>
                </w:p>
              </w:tc>
            </w:tr>
            <w:tr w14:paraId="54F5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17AF1BE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211" w:type="dxa"/>
                  <w:vAlign w:val="center"/>
                </w:tcPr>
                <w:p w14:paraId="6370614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6.2060</w:t>
                  </w:r>
                </w:p>
              </w:tc>
              <w:tc>
                <w:tcPr>
                  <w:tcW w:w="1211" w:type="dxa"/>
                  <w:vAlign w:val="center"/>
                </w:tcPr>
                <w:p w14:paraId="31B3CBE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3.1030</w:t>
                  </w:r>
                </w:p>
              </w:tc>
              <w:tc>
                <w:tcPr>
                  <w:tcW w:w="1211" w:type="dxa"/>
                  <w:vAlign w:val="center"/>
                </w:tcPr>
                <w:p w14:paraId="0E1DF8F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0.3793</w:t>
                  </w:r>
                </w:p>
              </w:tc>
              <w:tc>
                <w:tcPr>
                  <w:tcW w:w="1077" w:type="dxa"/>
                  <w:vAlign w:val="center"/>
                </w:tcPr>
                <w:p w14:paraId="4A94E34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3.7926</w:t>
                  </w:r>
                </w:p>
              </w:tc>
            </w:tr>
            <w:tr w14:paraId="693C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1B7783A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211" w:type="dxa"/>
                  <w:vAlign w:val="center"/>
                </w:tcPr>
                <w:p w14:paraId="32B7D4C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4.6201</w:t>
                  </w:r>
                </w:p>
              </w:tc>
              <w:tc>
                <w:tcPr>
                  <w:tcW w:w="1211" w:type="dxa"/>
                  <w:vAlign w:val="center"/>
                </w:tcPr>
                <w:p w14:paraId="055CE8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2.3100</w:t>
                  </w:r>
                </w:p>
              </w:tc>
              <w:tc>
                <w:tcPr>
                  <w:tcW w:w="1211" w:type="dxa"/>
                  <w:vAlign w:val="center"/>
                </w:tcPr>
                <w:p w14:paraId="4D63CA9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0.2823</w:t>
                  </w:r>
                </w:p>
              </w:tc>
              <w:tc>
                <w:tcPr>
                  <w:tcW w:w="1077" w:type="dxa"/>
                  <w:vAlign w:val="center"/>
                </w:tcPr>
                <w:p w14:paraId="3E2FACA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2.8234</w:t>
                  </w:r>
                </w:p>
              </w:tc>
            </w:tr>
            <w:tr w14:paraId="2356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19D42AE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211" w:type="dxa"/>
                  <w:vAlign w:val="center"/>
                </w:tcPr>
                <w:p w14:paraId="77159B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3.6152</w:t>
                  </w:r>
                </w:p>
              </w:tc>
              <w:tc>
                <w:tcPr>
                  <w:tcW w:w="1211" w:type="dxa"/>
                  <w:vAlign w:val="center"/>
                </w:tcPr>
                <w:p w14:paraId="06AC3D9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1.8076</w:t>
                  </w:r>
                </w:p>
              </w:tc>
              <w:tc>
                <w:tcPr>
                  <w:tcW w:w="1211" w:type="dxa"/>
                  <w:vAlign w:val="center"/>
                </w:tcPr>
                <w:p w14:paraId="42204BC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0.2209</w:t>
                  </w:r>
                </w:p>
              </w:tc>
              <w:tc>
                <w:tcPr>
                  <w:tcW w:w="1077" w:type="dxa"/>
                  <w:vAlign w:val="center"/>
                </w:tcPr>
                <w:p w14:paraId="7D6C2D9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2.2093</w:t>
                  </w:r>
                </w:p>
              </w:tc>
            </w:tr>
            <w:tr w14:paraId="4E69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729EAD6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211" w:type="dxa"/>
                  <w:vAlign w:val="center"/>
                </w:tcPr>
                <w:p w14:paraId="54701D3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2.9332</w:t>
                  </w:r>
                </w:p>
              </w:tc>
              <w:tc>
                <w:tcPr>
                  <w:tcW w:w="1211" w:type="dxa"/>
                  <w:vAlign w:val="center"/>
                </w:tcPr>
                <w:p w14:paraId="6655129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1.4666</w:t>
                  </w:r>
                </w:p>
              </w:tc>
              <w:tc>
                <w:tcPr>
                  <w:tcW w:w="1211" w:type="dxa"/>
                  <w:vAlign w:val="center"/>
                </w:tcPr>
                <w:p w14:paraId="57561A5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0.1793</w:t>
                  </w:r>
                </w:p>
              </w:tc>
              <w:tc>
                <w:tcPr>
                  <w:tcW w:w="1077" w:type="dxa"/>
                  <w:vAlign w:val="center"/>
                </w:tcPr>
                <w:p w14:paraId="25BCD48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1.7925</w:t>
                  </w:r>
                </w:p>
              </w:tc>
            </w:tr>
            <w:tr w14:paraId="3EF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43B5CD5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211" w:type="dxa"/>
                  <w:vAlign w:val="center"/>
                </w:tcPr>
                <w:p w14:paraId="21ECCBC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2.4457</w:t>
                  </w:r>
                </w:p>
              </w:tc>
              <w:tc>
                <w:tcPr>
                  <w:tcW w:w="1211" w:type="dxa"/>
                  <w:vAlign w:val="center"/>
                </w:tcPr>
                <w:p w14:paraId="2084111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1.2228</w:t>
                  </w:r>
                </w:p>
              </w:tc>
              <w:tc>
                <w:tcPr>
                  <w:tcW w:w="1211" w:type="dxa"/>
                  <w:vAlign w:val="center"/>
                </w:tcPr>
                <w:p w14:paraId="524B378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0.1495</w:t>
                  </w:r>
                </w:p>
              </w:tc>
              <w:tc>
                <w:tcPr>
                  <w:tcW w:w="1077" w:type="dxa"/>
                  <w:vAlign w:val="center"/>
                </w:tcPr>
                <w:p w14:paraId="220228A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1.4946</w:t>
                  </w:r>
                </w:p>
              </w:tc>
            </w:tr>
            <w:tr w14:paraId="770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492A970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211" w:type="dxa"/>
                  <w:vAlign w:val="center"/>
                </w:tcPr>
                <w:p w14:paraId="13CC36C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2.0826</w:t>
                  </w:r>
                </w:p>
              </w:tc>
              <w:tc>
                <w:tcPr>
                  <w:tcW w:w="1211" w:type="dxa"/>
                  <w:vAlign w:val="center"/>
                </w:tcPr>
                <w:p w14:paraId="1F71A8C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1.0413</w:t>
                  </w:r>
                </w:p>
              </w:tc>
              <w:tc>
                <w:tcPr>
                  <w:tcW w:w="1211" w:type="dxa"/>
                  <w:vAlign w:val="center"/>
                </w:tcPr>
                <w:p w14:paraId="69FF8DE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0.1273</w:t>
                  </w:r>
                </w:p>
              </w:tc>
              <w:tc>
                <w:tcPr>
                  <w:tcW w:w="1077" w:type="dxa"/>
                  <w:vAlign w:val="center"/>
                </w:tcPr>
                <w:p w14:paraId="7CA47AE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1.2727</w:t>
                  </w:r>
                </w:p>
              </w:tc>
            </w:tr>
            <w:tr w14:paraId="5215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40AA0E3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211" w:type="dxa"/>
                  <w:vAlign w:val="center"/>
                </w:tcPr>
                <w:p w14:paraId="7D957D1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1.8036</w:t>
                  </w:r>
                </w:p>
              </w:tc>
              <w:tc>
                <w:tcPr>
                  <w:tcW w:w="1211" w:type="dxa"/>
                  <w:vAlign w:val="center"/>
                </w:tcPr>
                <w:p w14:paraId="332F9A5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0.9018</w:t>
                  </w:r>
                </w:p>
              </w:tc>
              <w:tc>
                <w:tcPr>
                  <w:tcW w:w="1211" w:type="dxa"/>
                  <w:vAlign w:val="center"/>
                </w:tcPr>
                <w:p w14:paraId="1AF829E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0.1102</w:t>
                  </w:r>
                </w:p>
              </w:tc>
              <w:tc>
                <w:tcPr>
                  <w:tcW w:w="1077" w:type="dxa"/>
                  <w:vAlign w:val="center"/>
                </w:tcPr>
                <w:p w14:paraId="546C763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1.1022</w:t>
                  </w:r>
                </w:p>
              </w:tc>
            </w:tr>
            <w:tr w14:paraId="5827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2E97CE0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211" w:type="dxa"/>
                  <w:vAlign w:val="center"/>
                </w:tcPr>
                <w:p w14:paraId="7274368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1.5834</w:t>
                  </w:r>
                </w:p>
              </w:tc>
              <w:tc>
                <w:tcPr>
                  <w:tcW w:w="1211" w:type="dxa"/>
                  <w:vAlign w:val="center"/>
                </w:tcPr>
                <w:p w14:paraId="294EDA3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0.7917</w:t>
                  </w:r>
                </w:p>
              </w:tc>
              <w:tc>
                <w:tcPr>
                  <w:tcW w:w="1211" w:type="dxa"/>
                  <w:vAlign w:val="center"/>
                </w:tcPr>
                <w:p w14:paraId="11C3651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0.0968</w:t>
                  </w:r>
                </w:p>
              </w:tc>
              <w:tc>
                <w:tcPr>
                  <w:tcW w:w="1077" w:type="dxa"/>
                  <w:vAlign w:val="center"/>
                </w:tcPr>
                <w:p w14:paraId="3F7EA88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0.9676</w:t>
                  </w:r>
                </w:p>
              </w:tc>
            </w:tr>
            <w:tr w14:paraId="3F29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3CC3B22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211" w:type="dxa"/>
                  <w:vAlign w:val="center"/>
                </w:tcPr>
                <w:p w14:paraId="65B8C64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1.0367</w:t>
                  </w:r>
                </w:p>
              </w:tc>
              <w:tc>
                <w:tcPr>
                  <w:tcW w:w="1211" w:type="dxa"/>
                  <w:vAlign w:val="center"/>
                </w:tcPr>
                <w:p w14:paraId="44897BA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0.5183</w:t>
                  </w:r>
                </w:p>
              </w:tc>
              <w:tc>
                <w:tcPr>
                  <w:tcW w:w="1211" w:type="dxa"/>
                  <w:vAlign w:val="center"/>
                </w:tcPr>
                <w:p w14:paraId="72AFC51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0.0634</w:t>
                  </w:r>
                </w:p>
              </w:tc>
              <w:tc>
                <w:tcPr>
                  <w:tcW w:w="1077" w:type="dxa"/>
                  <w:vAlign w:val="center"/>
                </w:tcPr>
                <w:p w14:paraId="5C0D25C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0.6335</w:t>
                  </w:r>
                </w:p>
              </w:tc>
            </w:tr>
            <w:tr w14:paraId="147D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2A547C5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211" w:type="dxa"/>
                  <w:vAlign w:val="center"/>
                </w:tcPr>
                <w:p w14:paraId="61869E6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0.4902</w:t>
                  </w:r>
                </w:p>
              </w:tc>
              <w:tc>
                <w:tcPr>
                  <w:tcW w:w="1211" w:type="dxa"/>
                  <w:vAlign w:val="center"/>
                </w:tcPr>
                <w:p w14:paraId="10DF5C9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0.2451</w:t>
                  </w:r>
                </w:p>
              </w:tc>
              <w:tc>
                <w:tcPr>
                  <w:tcW w:w="1211" w:type="dxa"/>
                  <w:vAlign w:val="center"/>
                </w:tcPr>
                <w:p w14:paraId="61A85FB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0.0300</w:t>
                  </w:r>
                </w:p>
              </w:tc>
              <w:tc>
                <w:tcPr>
                  <w:tcW w:w="1077" w:type="dxa"/>
                  <w:vAlign w:val="center"/>
                </w:tcPr>
                <w:p w14:paraId="3401601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0.2996</w:t>
                  </w:r>
                </w:p>
              </w:tc>
            </w:tr>
            <w:tr w14:paraId="621C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3C618A9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211" w:type="dxa"/>
                  <w:vAlign w:val="center"/>
                </w:tcPr>
                <w:p w14:paraId="1601E91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33.2440</w:t>
                  </w:r>
                </w:p>
              </w:tc>
              <w:tc>
                <w:tcPr>
                  <w:tcW w:w="1211" w:type="dxa"/>
                  <w:vAlign w:val="center"/>
                </w:tcPr>
                <w:p w14:paraId="44F14A3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16.6220</w:t>
                  </w:r>
                </w:p>
              </w:tc>
              <w:tc>
                <w:tcPr>
                  <w:tcW w:w="1211" w:type="dxa"/>
                  <w:vAlign w:val="center"/>
                </w:tcPr>
                <w:p w14:paraId="2541C9C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2.0316</w:t>
                  </w:r>
                </w:p>
              </w:tc>
              <w:tc>
                <w:tcPr>
                  <w:tcW w:w="1077" w:type="dxa"/>
                  <w:vAlign w:val="center"/>
                </w:tcPr>
                <w:p w14:paraId="23AE889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20.3158</w:t>
                  </w:r>
                </w:p>
              </w:tc>
            </w:tr>
            <w:tr w14:paraId="3863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21DEAD8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211" w:type="dxa"/>
                  <w:vAlign w:val="center"/>
                </w:tcPr>
                <w:p w14:paraId="23C1BB9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20.0</w:t>
                  </w:r>
                </w:p>
              </w:tc>
              <w:tc>
                <w:tcPr>
                  <w:tcW w:w="1211" w:type="dxa"/>
                  <w:vAlign w:val="center"/>
                </w:tcPr>
                <w:p w14:paraId="576929F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20.0</w:t>
                  </w:r>
                </w:p>
              </w:tc>
              <w:tc>
                <w:tcPr>
                  <w:tcW w:w="1211" w:type="dxa"/>
                  <w:vAlign w:val="center"/>
                </w:tcPr>
                <w:p w14:paraId="03BF7B3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20.0</w:t>
                  </w:r>
                </w:p>
              </w:tc>
              <w:tc>
                <w:tcPr>
                  <w:tcW w:w="1077" w:type="dxa"/>
                  <w:vAlign w:val="center"/>
                </w:tcPr>
                <w:p w14:paraId="6E103D7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20.0</w:t>
                  </w:r>
                </w:p>
              </w:tc>
            </w:tr>
            <w:tr w14:paraId="73DE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14:paraId="121426FB">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211" w:type="dxa"/>
                  <w:vAlign w:val="center"/>
                </w:tcPr>
                <w:p w14:paraId="3A17F807">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7</w:t>
                  </w:r>
                  <w:r>
                    <w:rPr>
                      <w:rFonts w:ascii="Times New Roman" w:hAnsi="Times New Roman" w:eastAsia="宋体" w:cs="Times New Roman"/>
                      <w:kern w:val="0"/>
                      <w:sz w:val="18"/>
                      <w:szCs w:val="18"/>
                      <w:lang w:bidi="ar"/>
                    </w:rPr>
                    <w:t>5</w:t>
                  </w:r>
                </w:p>
              </w:tc>
              <w:tc>
                <w:tcPr>
                  <w:tcW w:w="1211" w:type="dxa"/>
                  <w:vAlign w:val="center"/>
                </w:tcPr>
                <w:p w14:paraId="403A3F6B">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7</w:t>
                  </w:r>
                  <w:r>
                    <w:rPr>
                      <w:rFonts w:ascii="Times New Roman" w:hAnsi="Times New Roman" w:eastAsia="宋体" w:cs="Times New Roman"/>
                      <w:kern w:val="0"/>
                      <w:sz w:val="18"/>
                      <w:szCs w:val="18"/>
                      <w:lang w:bidi="ar"/>
                    </w:rPr>
                    <w:t>5</w:t>
                  </w:r>
                </w:p>
              </w:tc>
              <w:tc>
                <w:tcPr>
                  <w:tcW w:w="1211" w:type="dxa"/>
                  <w:vAlign w:val="center"/>
                </w:tcPr>
                <w:p w14:paraId="7EA1AE0C">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00</w:t>
                  </w:r>
                </w:p>
              </w:tc>
              <w:tc>
                <w:tcPr>
                  <w:tcW w:w="1077" w:type="dxa"/>
                  <w:vAlign w:val="center"/>
                </w:tcPr>
                <w:p w14:paraId="43B0230E">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00</w:t>
                  </w:r>
                </w:p>
              </w:tc>
            </w:tr>
          </w:tbl>
          <w:p w14:paraId="639942C9">
            <w:pPr>
              <w:snapToGrid w:val="0"/>
              <w:jc w:val="center"/>
              <w:rPr>
                <w:b/>
                <w:bCs/>
                <w:szCs w:val="21"/>
                <w:highlight w:val="red"/>
              </w:rPr>
            </w:pPr>
          </w:p>
          <w:p w14:paraId="0CB41F1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有组织废气非正常排放影响</w:t>
            </w:r>
          </w:p>
          <w:p w14:paraId="3D4B3C0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本项目最大污染源来自锅炉尾气，在工艺的</w:t>
            </w:r>
            <w:r>
              <w:rPr>
                <w:rFonts w:ascii="Times New Roman" w:hAnsi="Times New Roman" w:cs="Times New Roman"/>
              </w:rPr>
              <w:t>开停车、检修</w:t>
            </w:r>
            <w:r>
              <w:rPr>
                <w:rFonts w:hint="eastAsia" w:ascii="Times New Roman" w:hAnsi="Times New Roman" w:cs="Times New Roman"/>
              </w:rPr>
              <w:t>阶段，或</w:t>
            </w:r>
            <w:r>
              <w:rPr>
                <w:rFonts w:ascii="Times New Roman" w:hAnsi="Times New Roman" w:cs="Times New Roman"/>
              </w:rPr>
              <w:t>操作不正常</w:t>
            </w:r>
            <w:r>
              <w:rPr>
                <w:rFonts w:hint="eastAsia" w:ascii="Times New Roman" w:hAnsi="Times New Roman" w:cs="Times New Roman"/>
              </w:rPr>
              <w:t>、</w:t>
            </w:r>
            <w:r>
              <w:rPr>
                <w:rFonts w:ascii="Times New Roman" w:hAnsi="Times New Roman" w:cs="Times New Roman"/>
              </w:rPr>
              <w:t>设备故障</w:t>
            </w:r>
            <w:r>
              <w:rPr>
                <w:rFonts w:hint="eastAsia" w:ascii="Times New Roman" w:hAnsi="Times New Roman" w:cs="Times New Roman"/>
              </w:rPr>
              <w:t>情况下会出现非正常排放情况</w:t>
            </w:r>
            <w:r>
              <w:rPr>
                <w:rFonts w:ascii="Times New Roman" w:hAnsi="Times New Roman" w:cs="Times New Roman"/>
              </w:rPr>
              <w:t>，</w:t>
            </w:r>
            <w:r>
              <w:rPr>
                <w:rFonts w:hint="eastAsia" w:ascii="Times New Roman" w:hAnsi="Times New Roman" w:cs="Times New Roman"/>
              </w:rPr>
              <w:t>本次评价按烟气处理系统降低至原处理效率的5</w:t>
            </w:r>
            <w:r>
              <w:rPr>
                <w:rFonts w:ascii="Times New Roman" w:hAnsi="Times New Roman" w:cs="Times New Roman"/>
              </w:rPr>
              <w:t>0</w:t>
            </w:r>
            <w:r>
              <w:rPr>
                <w:rFonts w:hint="eastAsia" w:ascii="Times New Roman" w:hAnsi="Times New Roman" w:cs="Times New Roman"/>
              </w:rPr>
              <w:t>%考虑，则锅炉</w:t>
            </w:r>
            <w:r>
              <w:rPr>
                <w:rFonts w:ascii="Times New Roman" w:hAnsi="Times New Roman" w:cs="Times New Roman"/>
              </w:rPr>
              <w:t>有组织废气污染物排放源源强</w:t>
            </w:r>
            <w:r>
              <w:rPr>
                <w:rFonts w:hint="eastAsia" w:ascii="Times New Roman" w:hAnsi="Times New Roman" w:cs="Times New Roman"/>
              </w:rPr>
              <w:t>情况</w:t>
            </w:r>
            <w:r>
              <w:rPr>
                <w:rFonts w:ascii="Times New Roman" w:hAnsi="Times New Roman" w:cs="Times New Roman"/>
              </w:rPr>
              <w:t>见下表。</w:t>
            </w:r>
          </w:p>
          <w:p w14:paraId="175A5930">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表4-12    点源调查参数清单</w:t>
            </w:r>
            <w:r>
              <w:rPr>
                <w:rFonts w:hint="eastAsia" w:ascii="Times New Roman" w:hAnsi="Times New Roman" w:eastAsia="宋体" w:cs="Times New Roman"/>
                <w:b/>
                <w:szCs w:val="21"/>
              </w:rPr>
              <w:t>（非正常）</w:t>
            </w:r>
          </w:p>
          <w:tbl>
            <w:tblPr>
              <w:tblStyle w:val="18"/>
              <w:tblW w:w="7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3"/>
              <w:gridCol w:w="1323"/>
              <w:gridCol w:w="1405"/>
              <w:gridCol w:w="665"/>
              <w:gridCol w:w="643"/>
              <w:gridCol w:w="572"/>
              <w:gridCol w:w="687"/>
              <w:gridCol w:w="929"/>
              <w:gridCol w:w="1003"/>
            </w:tblGrid>
            <w:tr w14:paraId="2ACF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vAlign w:val="center"/>
                </w:tcPr>
                <w:p w14:paraId="5442456E">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污染源</w:t>
                  </w:r>
                </w:p>
              </w:tc>
              <w:tc>
                <w:tcPr>
                  <w:tcW w:w="2728" w:type="dxa"/>
                  <w:gridSpan w:val="2"/>
                  <w:tcBorders>
                    <w:top w:val="single" w:color="000000" w:sz="4" w:space="0"/>
                    <w:left w:val="single" w:color="000000" w:sz="4" w:space="0"/>
                    <w:bottom w:val="single" w:color="000000" w:sz="4" w:space="0"/>
                    <w:right w:val="single" w:color="000000" w:sz="4" w:space="0"/>
                  </w:tcBorders>
                  <w:vAlign w:val="center"/>
                </w:tcPr>
                <w:p w14:paraId="760E1379">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排气筒底部中心坐标(o)</w:t>
                  </w:r>
                </w:p>
              </w:tc>
              <w:tc>
                <w:tcPr>
                  <w:tcW w:w="2567" w:type="dxa"/>
                  <w:gridSpan w:val="4"/>
                  <w:tcBorders>
                    <w:top w:val="single" w:color="000000" w:sz="4" w:space="0"/>
                    <w:left w:val="single" w:color="000000" w:sz="4" w:space="0"/>
                    <w:bottom w:val="single" w:color="000000" w:sz="4" w:space="0"/>
                    <w:right w:val="single" w:color="000000" w:sz="4" w:space="0"/>
                  </w:tcBorders>
                  <w:vAlign w:val="center"/>
                </w:tcPr>
                <w:p w14:paraId="14430CB2">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排气筒参数</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26D8C722">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污染物名称</w:t>
                  </w:r>
                </w:p>
              </w:tc>
              <w:tc>
                <w:tcPr>
                  <w:tcW w:w="1003" w:type="dxa"/>
                  <w:vMerge w:val="restart"/>
                  <w:tcBorders>
                    <w:top w:val="single" w:color="000000" w:sz="4" w:space="0"/>
                    <w:left w:val="single" w:color="000000" w:sz="4" w:space="0"/>
                    <w:bottom w:val="single" w:color="000000" w:sz="4" w:space="0"/>
                    <w:right w:val="single" w:color="000000" w:sz="4" w:space="0"/>
                  </w:tcBorders>
                  <w:vAlign w:val="center"/>
                </w:tcPr>
                <w:p w14:paraId="3393455A">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排放速率</w:t>
                  </w: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rPr>
                    <w:t>kg/h</w:t>
                  </w:r>
                  <w:r>
                    <w:rPr>
                      <w:rFonts w:hint="eastAsia" w:ascii="Times New Roman" w:hAnsi="Times New Roman" w:eastAsia="宋体" w:cs="Times New Roman"/>
                      <w:b/>
                      <w:bCs/>
                      <w:sz w:val="18"/>
                      <w:szCs w:val="18"/>
                    </w:rPr>
                    <w:t>）</w:t>
                  </w:r>
                </w:p>
              </w:tc>
            </w:tr>
            <w:tr w14:paraId="2A2D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14:paraId="1C727610">
                  <w:pPr>
                    <w:snapToGrid w:val="0"/>
                    <w:jc w:val="center"/>
                    <w:rPr>
                      <w:rFonts w:ascii="Times New Roman" w:hAnsi="Times New Roman" w:eastAsia="宋体" w:cs="Times New Roman"/>
                      <w:b/>
                      <w:bCs/>
                      <w:sz w:val="18"/>
                      <w:szCs w:val="18"/>
                    </w:rPr>
                  </w:pPr>
                </w:p>
              </w:tc>
              <w:tc>
                <w:tcPr>
                  <w:tcW w:w="1323" w:type="dxa"/>
                  <w:tcBorders>
                    <w:top w:val="single" w:color="000000" w:sz="4" w:space="0"/>
                    <w:left w:val="single" w:color="000000" w:sz="4" w:space="0"/>
                    <w:bottom w:val="single" w:color="000000" w:sz="4" w:space="0"/>
                    <w:right w:val="single" w:color="000000" w:sz="4" w:space="0"/>
                  </w:tcBorders>
                  <w:vAlign w:val="center"/>
                </w:tcPr>
                <w:p w14:paraId="7BF6720D">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经度</w:t>
                  </w:r>
                </w:p>
              </w:tc>
              <w:tc>
                <w:tcPr>
                  <w:tcW w:w="1405" w:type="dxa"/>
                  <w:tcBorders>
                    <w:top w:val="single" w:color="000000" w:sz="4" w:space="0"/>
                    <w:left w:val="single" w:color="000000" w:sz="4" w:space="0"/>
                    <w:bottom w:val="single" w:color="000000" w:sz="4" w:space="0"/>
                    <w:right w:val="single" w:color="000000" w:sz="4" w:space="0"/>
                  </w:tcBorders>
                  <w:vAlign w:val="center"/>
                </w:tcPr>
                <w:p w14:paraId="139F7932">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纬度</w:t>
                  </w:r>
                </w:p>
              </w:tc>
              <w:tc>
                <w:tcPr>
                  <w:tcW w:w="665" w:type="dxa"/>
                  <w:tcBorders>
                    <w:top w:val="single" w:color="000000" w:sz="4" w:space="0"/>
                    <w:left w:val="single" w:color="000000" w:sz="4" w:space="0"/>
                    <w:bottom w:val="single" w:color="000000" w:sz="4" w:space="0"/>
                    <w:right w:val="single" w:color="000000" w:sz="4" w:space="0"/>
                  </w:tcBorders>
                  <w:vAlign w:val="center"/>
                </w:tcPr>
                <w:p w14:paraId="217B697D">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高度</w:t>
                  </w:r>
                </w:p>
                <w:p w14:paraId="5CCD5AE6">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(m)</w:t>
                  </w:r>
                </w:p>
              </w:tc>
              <w:tc>
                <w:tcPr>
                  <w:tcW w:w="643" w:type="dxa"/>
                  <w:tcBorders>
                    <w:top w:val="single" w:color="000000" w:sz="4" w:space="0"/>
                    <w:left w:val="single" w:color="000000" w:sz="4" w:space="0"/>
                    <w:bottom w:val="single" w:color="000000" w:sz="4" w:space="0"/>
                    <w:right w:val="single" w:color="000000" w:sz="4" w:space="0"/>
                  </w:tcBorders>
                  <w:vAlign w:val="center"/>
                </w:tcPr>
                <w:p w14:paraId="66641805">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内径</w:t>
                  </w:r>
                </w:p>
                <w:p w14:paraId="5ED0E161">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(m)</w:t>
                  </w:r>
                </w:p>
              </w:tc>
              <w:tc>
                <w:tcPr>
                  <w:tcW w:w="572" w:type="dxa"/>
                  <w:tcBorders>
                    <w:top w:val="single" w:color="000000" w:sz="4" w:space="0"/>
                    <w:left w:val="single" w:color="000000" w:sz="4" w:space="0"/>
                    <w:bottom w:val="single" w:color="000000" w:sz="4" w:space="0"/>
                    <w:right w:val="single" w:color="000000" w:sz="4" w:space="0"/>
                  </w:tcBorders>
                  <w:vAlign w:val="center"/>
                </w:tcPr>
                <w:p w14:paraId="75AD4195">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温度</w:t>
                  </w:r>
                </w:p>
                <w:p w14:paraId="4E7BBCF2">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21DE4569">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流速</w:t>
                  </w:r>
                </w:p>
                <w:p w14:paraId="604280CB">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(m/s)</w:t>
                  </w: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7A547355">
                  <w:pPr>
                    <w:snapToGrid w:val="0"/>
                    <w:jc w:val="center"/>
                    <w:rPr>
                      <w:rFonts w:ascii="Times New Roman" w:hAnsi="Times New Roman" w:eastAsia="宋体" w:cs="Times New Roman"/>
                      <w:sz w:val="18"/>
                      <w:szCs w:val="18"/>
                    </w:rPr>
                  </w:pPr>
                </w:p>
              </w:tc>
              <w:tc>
                <w:tcPr>
                  <w:tcW w:w="1003" w:type="dxa"/>
                  <w:vMerge w:val="continue"/>
                  <w:tcBorders>
                    <w:top w:val="single" w:color="000000" w:sz="4" w:space="0"/>
                    <w:left w:val="single" w:color="000000" w:sz="4" w:space="0"/>
                    <w:bottom w:val="single" w:color="000000" w:sz="4" w:space="0"/>
                    <w:right w:val="single" w:color="000000" w:sz="4" w:space="0"/>
                  </w:tcBorders>
                  <w:vAlign w:val="center"/>
                </w:tcPr>
                <w:p w14:paraId="2D555F70">
                  <w:pPr>
                    <w:snapToGrid w:val="0"/>
                    <w:jc w:val="center"/>
                    <w:rPr>
                      <w:rFonts w:ascii="Times New Roman" w:hAnsi="Times New Roman" w:eastAsia="宋体" w:cs="Times New Roman"/>
                      <w:sz w:val="18"/>
                      <w:szCs w:val="18"/>
                    </w:rPr>
                  </w:pPr>
                </w:p>
              </w:tc>
            </w:tr>
            <w:tr w14:paraId="50EA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restart"/>
                  <w:tcBorders>
                    <w:top w:val="single" w:color="000000" w:sz="4" w:space="0"/>
                    <w:left w:val="single" w:color="000000" w:sz="4" w:space="0"/>
                    <w:right w:val="single" w:color="000000" w:sz="4" w:space="0"/>
                  </w:tcBorders>
                  <w:vAlign w:val="center"/>
                </w:tcPr>
                <w:p w14:paraId="5C3D3D43">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w:t>
                  </w:r>
                </w:p>
                <w:p w14:paraId="0809688D">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001</w:t>
                  </w:r>
                </w:p>
              </w:tc>
              <w:tc>
                <w:tcPr>
                  <w:tcW w:w="1323" w:type="dxa"/>
                  <w:vMerge w:val="restart"/>
                  <w:tcBorders>
                    <w:top w:val="single" w:color="000000" w:sz="4" w:space="0"/>
                    <w:left w:val="single" w:color="000000" w:sz="4" w:space="0"/>
                    <w:right w:val="single" w:color="000000" w:sz="4" w:space="0"/>
                  </w:tcBorders>
                  <w:vAlign w:val="center"/>
                </w:tcPr>
                <w:p w14:paraId="6E71F0C8">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E98°23′56.72″</w:t>
                  </w:r>
                </w:p>
              </w:tc>
              <w:tc>
                <w:tcPr>
                  <w:tcW w:w="1405" w:type="dxa"/>
                  <w:vMerge w:val="restart"/>
                  <w:tcBorders>
                    <w:top w:val="single" w:color="000000" w:sz="4" w:space="0"/>
                    <w:left w:val="single" w:color="000000" w:sz="4" w:space="0"/>
                    <w:right w:val="single" w:color="000000" w:sz="4" w:space="0"/>
                  </w:tcBorders>
                  <w:vAlign w:val="center"/>
                </w:tcPr>
                <w:p w14:paraId="781A58A2">
                  <w:pPr>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N24°22′33.97″</w:t>
                  </w:r>
                </w:p>
              </w:tc>
              <w:tc>
                <w:tcPr>
                  <w:tcW w:w="665" w:type="dxa"/>
                  <w:vMerge w:val="restart"/>
                  <w:tcBorders>
                    <w:top w:val="single" w:color="000000" w:sz="4" w:space="0"/>
                    <w:left w:val="single" w:color="000000" w:sz="4" w:space="0"/>
                    <w:right w:val="single" w:color="000000" w:sz="4" w:space="0"/>
                  </w:tcBorders>
                  <w:vAlign w:val="center"/>
                </w:tcPr>
                <w:p w14:paraId="6BE27DEE">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35</w:t>
                  </w:r>
                </w:p>
              </w:tc>
              <w:tc>
                <w:tcPr>
                  <w:tcW w:w="643" w:type="dxa"/>
                  <w:vMerge w:val="restart"/>
                  <w:tcBorders>
                    <w:top w:val="single" w:color="000000" w:sz="4" w:space="0"/>
                    <w:left w:val="single" w:color="000000" w:sz="4" w:space="0"/>
                    <w:right w:val="single" w:color="000000" w:sz="4" w:space="0"/>
                  </w:tcBorders>
                  <w:vAlign w:val="center"/>
                </w:tcPr>
                <w:p w14:paraId="14DBAB56">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0.4</w:t>
                  </w:r>
                </w:p>
              </w:tc>
              <w:tc>
                <w:tcPr>
                  <w:tcW w:w="572" w:type="dxa"/>
                  <w:vMerge w:val="restart"/>
                  <w:tcBorders>
                    <w:top w:val="single" w:color="000000" w:sz="4" w:space="0"/>
                    <w:left w:val="single" w:color="000000" w:sz="4" w:space="0"/>
                    <w:right w:val="single" w:color="000000" w:sz="4" w:space="0"/>
                  </w:tcBorders>
                  <w:vAlign w:val="center"/>
                </w:tcPr>
                <w:p w14:paraId="1F00333B">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687" w:type="dxa"/>
                  <w:vMerge w:val="restart"/>
                  <w:tcBorders>
                    <w:top w:val="single" w:color="000000" w:sz="4" w:space="0"/>
                    <w:left w:val="single" w:color="000000" w:sz="4" w:space="0"/>
                    <w:right w:val="single" w:color="000000" w:sz="4" w:space="0"/>
                  </w:tcBorders>
                  <w:vAlign w:val="center"/>
                </w:tcPr>
                <w:p w14:paraId="4E9D256C">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13.00</w:t>
                  </w:r>
                </w:p>
              </w:tc>
              <w:tc>
                <w:tcPr>
                  <w:tcW w:w="929" w:type="dxa"/>
                  <w:tcBorders>
                    <w:top w:val="single" w:color="000000" w:sz="4" w:space="0"/>
                    <w:left w:val="single" w:color="000000" w:sz="4" w:space="0"/>
                    <w:right w:val="single" w:color="000000" w:sz="4" w:space="0"/>
                  </w:tcBorders>
                  <w:vAlign w:val="center"/>
                </w:tcPr>
                <w:p w14:paraId="2E1A17A7">
                  <w:pPr>
                    <w:snapToGrid w:val="0"/>
                    <w:jc w:val="center"/>
                    <w:rPr>
                      <w:rFonts w:ascii="Times New Roman" w:hAnsi="Times New Roman" w:eastAsia="宋体" w:cs="Times New Roman"/>
                      <w:sz w:val="18"/>
                      <w:szCs w:val="18"/>
                    </w:rPr>
                  </w:pPr>
                  <w:r>
                    <w:rPr>
                      <w:rFonts w:ascii="Times New Roman" w:hAnsi="Times New Roman" w:cs="Times New Roman"/>
                      <w:sz w:val="18"/>
                      <w:szCs w:val="18"/>
                    </w:rPr>
                    <w:t>烟尘</w:t>
                  </w:r>
                </w:p>
              </w:tc>
              <w:tc>
                <w:tcPr>
                  <w:tcW w:w="1003" w:type="dxa"/>
                  <w:tcBorders>
                    <w:top w:val="single" w:color="000000" w:sz="4" w:space="0"/>
                    <w:left w:val="single" w:color="000000" w:sz="4" w:space="0"/>
                    <w:right w:val="single" w:color="000000" w:sz="4" w:space="0"/>
                  </w:tcBorders>
                  <w:vAlign w:val="center"/>
                </w:tcPr>
                <w:p w14:paraId="6CB833FB">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0.211</w:t>
                  </w:r>
                  <w:r>
                    <w:rPr>
                      <w:rFonts w:ascii="Times New Roman" w:hAnsi="Times New Roman" w:cs="Times New Roman"/>
                      <w:sz w:val="18"/>
                      <w:szCs w:val="18"/>
                    </w:rPr>
                    <w:t>9</w:t>
                  </w:r>
                </w:p>
              </w:tc>
            </w:tr>
            <w:tr w14:paraId="66FC1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4BED33D6">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198C7BB7">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3C7BA98F">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25438825">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2AEC4E22">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381CAF55">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65B2E86A">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1E2392FA">
                  <w:pPr>
                    <w:snapToGrid w:val="0"/>
                    <w:jc w:val="center"/>
                    <w:rPr>
                      <w:rFonts w:ascii="Times New Roman" w:hAnsi="Times New Roman" w:eastAsia="宋体" w:cs="Times New Roman"/>
                      <w:sz w:val="18"/>
                      <w:szCs w:val="18"/>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1003" w:type="dxa"/>
                  <w:tcBorders>
                    <w:top w:val="single" w:color="000000" w:sz="4" w:space="0"/>
                    <w:left w:val="single" w:color="000000" w:sz="4" w:space="0"/>
                    <w:right w:val="single" w:color="000000" w:sz="4" w:space="0"/>
                  </w:tcBorders>
                  <w:vAlign w:val="center"/>
                </w:tcPr>
                <w:p w14:paraId="518155E6">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0.231</w:t>
                  </w:r>
                  <w:r>
                    <w:rPr>
                      <w:rFonts w:ascii="Times New Roman" w:hAnsi="Times New Roman" w:cs="Times New Roman"/>
                      <w:sz w:val="18"/>
                      <w:szCs w:val="18"/>
                    </w:rPr>
                    <w:t>0</w:t>
                  </w:r>
                </w:p>
              </w:tc>
            </w:tr>
            <w:tr w14:paraId="0235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07904CB4">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56982415">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177B5E46">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2BD04CE0">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00DAF805">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7CA18054">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25B992C5">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04065D2B">
                  <w:pPr>
                    <w:snapToGrid w:val="0"/>
                    <w:jc w:val="center"/>
                    <w:rPr>
                      <w:rFonts w:ascii="Times New Roman" w:hAnsi="Times New Roman" w:eastAsia="宋体" w:cs="Times New Roman"/>
                      <w:sz w:val="18"/>
                      <w:szCs w:val="18"/>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1003" w:type="dxa"/>
                  <w:tcBorders>
                    <w:top w:val="single" w:color="000000" w:sz="4" w:space="0"/>
                    <w:left w:val="single" w:color="000000" w:sz="4" w:space="0"/>
                    <w:right w:val="single" w:color="000000" w:sz="4" w:space="0"/>
                  </w:tcBorders>
                  <w:vAlign w:val="center"/>
                </w:tcPr>
                <w:p w14:paraId="2991EA96">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1.7349</w:t>
                  </w:r>
                </w:p>
              </w:tc>
            </w:tr>
            <w:tr w14:paraId="64D3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4742DB03">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14D803A3">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0D40DAF1">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484836F9">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58FE3E8A">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6B91C77A">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70DFDD31">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0C0B54D9">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003" w:type="dxa"/>
                  <w:tcBorders>
                    <w:top w:val="single" w:color="000000" w:sz="4" w:space="0"/>
                    <w:left w:val="single" w:color="000000" w:sz="4" w:space="0"/>
                    <w:right w:val="single" w:color="000000" w:sz="4" w:space="0"/>
                  </w:tcBorders>
                  <w:vAlign w:val="center"/>
                </w:tcPr>
                <w:p w14:paraId="5610E14E">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0.02</w:t>
                  </w:r>
                  <w:r>
                    <w:rPr>
                      <w:rFonts w:ascii="Times New Roman" w:hAnsi="Times New Roman" w:cs="Times New Roman"/>
                      <w:sz w:val="18"/>
                      <w:szCs w:val="18"/>
                    </w:rPr>
                    <w:t>63</w:t>
                  </w:r>
                </w:p>
              </w:tc>
            </w:tr>
            <w:tr w14:paraId="12674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3" w:type="dxa"/>
                  <w:vMerge w:val="continue"/>
                  <w:tcBorders>
                    <w:left w:val="single" w:color="000000" w:sz="4" w:space="0"/>
                    <w:right w:val="single" w:color="000000" w:sz="4" w:space="0"/>
                  </w:tcBorders>
                  <w:vAlign w:val="center"/>
                </w:tcPr>
                <w:p w14:paraId="1B5E22B7">
                  <w:pPr>
                    <w:snapToGrid w:val="0"/>
                    <w:jc w:val="center"/>
                    <w:rPr>
                      <w:rFonts w:ascii="Times New Roman" w:hAnsi="Times New Roman" w:eastAsia="宋体" w:cs="Times New Roman"/>
                      <w:kern w:val="0"/>
                      <w:sz w:val="18"/>
                      <w:szCs w:val="18"/>
                      <w:lang w:bidi="ar"/>
                    </w:rPr>
                  </w:pPr>
                </w:p>
              </w:tc>
              <w:tc>
                <w:tcPr>
                  <w:tcW w:w="1323" w:type="dxa"/>
                  <w:vMerge w:val="continue"/>
                  <w:tcBorders>
                    <w:left w:val="single" w:color="000000" w:sz="4" w:space="0"/>
                    <w:right w:val="single" w:color="000000" w:sz="4" w:space="0"/>
                  </w:tcBorders>
                  <w:vAlign w:val="center"/>
                </w:tcPr>
                <w:p w14:paraId="03FCB40B">
                  <w:pPr>
                    <w:snapToGrid w:val="0"/>
                    <w:jc w:val="center"/>
                    <w:rPr>
                      <w:rFonts w:ascii="Times New Roman" w:hAnsi="Times New Roman" w:eastAsia="宋体" w:cs="Times New Roman"/>
                      <w:kern w:val="0"/>
                      <w:sz w:val="18"/>
                      <w:szCs w:val="18"/>
                      <w:lang w:bidi="ar"/>
                    </w:rPr>
                  </w:pPr>
                </w:p>
              </w:tc>
              <w:tc>
                <w:tcPr>
                  <w:tcW w:w="1405" w:type="dxa"/>
                  <w:vMerge w:val="continue"/>
                  <w:tcBorders>
                    <w:left w:val="single" w:color="000000" w:sz="4" w:space="0"/>
                    <w:right w:val="single" w:color="000000" w:sz="4" w:space="0"/>
                  </w:tcBorders>
                  <w:vAlign w:val="center"/>
                </w:tcPr>
                <w:p w14:paraId="538E5CCB">
                  <w:pPr>
                    <w:snapToGrid w:val="0"/>
                    <w:jc w:val="center"/>
                    <w:rPr>
                      <w:rFonts w:ascii="Times New Roman" w:hAnsi="Times New Roman" w:eastAsia="宋体" w:cs="Times New Roman"/>
                      <w:kern w:val="0"/>
                      <w:sz w:val="18"/>
                      <w:szCs w:val="18"/>
                      <w:lang w:bidi="ar"/>
                    </w:rPr>
                  </w:pPr>
                </w:p>
              </w:tc>
              <w:tc>
                <w:tcPr>
                  <w:tcW w:w="665" w:type="dxa"/>
                  <w:vMerge w:val="continue"/>
                  <w:tcBorders>
                    <w:left w:val="single" w:color="000000" w:sz="4" w:space="0"/>
                    <w:right w:val="single" w:color="000000" w:sz="4" w:space="0"/>
                  </w:tcBorders>
                  <w:vAlign w:val="center"/>
                </w:tcPr>
                <w:p w14:paraId="46170213">
                  <w:pPr>
                    <w:snapToGrid w:val="0"/>
                    <w:jc w:val="center"/>
                    <w:rPr>
                      <w:rFonts w:ascii="Times New Roman" w:hAnsi="Times New Roman" w:eastAsia="宋体" w:cs="Times New Roman"/>
                      <w:sz w:val="18"/>
                      <w:szCs w:val="18"/>
                    </w:rPr>
                  </w:pPr>
                </w:p>
              </w:tc>
              <w:tc>
                <w:tcPr>
                  <w:tcW w:w="643" w:type="dxa"/>
                  <w:vMerge w:val="continue"/>
                  <w:tcBorders>
                    <w:left w:val="single" w:color="000000" w:sz="4" w:space="0"/>
                    <w:right w:val="single" w:color="000000" w:sz="4" w:space="0"/>
                  </w:tcBorders>
                  <w:vAlign w:val="center"/>
                </w:tcPr>
                <w:p w14:paraId="47129AA9">
                  <w:pPr>
                    <w:snapToGrid w:val="0"/>
                    <w:jc w:val="center"/>
                    <w:rPr>
                      <w:rFonts w:ascii="Times New Roman" w:hAnsi="Times New Roman" w:eastAsia="宋体" w:cs="Times New Roman"/>
                      <w:sz w:val="18"/>
                      <w:szCs w:val="18"/>
                    </w:rPr>
                  </w:pPr>
                </w:p>
              </w:tc>
              <w:tc>
                <w:tcPr>
                  <w:tcW w:w="572" w:type="dxa"/>
                  <w:vMerge w:val="continue"/>
                  <w:tcBorders>
                    <w:left w:val="single" w:color="000000" w:sz="4" w:space="0"/>
                    <w:right w:val="single" w:color="000000" w:sz="4" w:space="0"/>
                  </w:tcBorders>
                  <w:vAlign w:val="center"/>
                </w:tcPr>
                <w:p w14:paraId="025306EE">
                  <w:pPr>
                    <w:snapToGrid w:val="0"/>
                    <w:jc w:val="center"/>
                    <w:rPr>
                      <w:rFonts w:ascii="Times New Roman" w:hAnsi="Times New Roman" w:eastAsia="宋体" w:cs="Times New Roman"/>
                      <w:sz w:val="18"/>
                      <w:szCs w:val="18"/>
                    </w:rPr>
                  </w:pPr>
                </w:p>
              </w:tc>
              <w:tc>
                <w:tcPr>
                  <w:tcW w:w="687" w:type="dxa"/>
                  <w:vMerge w:val="continue"/>
                  <w:tcBorders>
                    <w:left w:val="single" w:color="000000" w:sz="4" w:space="0"/>
                    <w:right w:val="single" w:color="000000" w:sz="4" w:space="0"/>
                  </w:tcBorders>
                  <w:vAlign w:val="center"/>
                </w:tcPr>
                <w:p w14:paraId="1221CFAD">
                  <w:pPr>
                    <w:snapToGrid w:val="0"/>
                    <w:jc w:val="center"/>
                    <w:rPr>
                      <w:rFonts w:ascii="Times New Roman" w:hAnsi="Times New Roman" w:eastAsia="宋体" w:cs="Times New Roman"/>
                      <w:sz w:val="18"/>
                      <w:szCs w:val="18"/>
                    </w:rPr>
                  </w:pPr>
                </w:p>
              </w:tc>
              <w:tc>
                <w:tcPr>
                  <w:tcW w:w="929" w:type="dxa"/>
                  <w:tcBorders>
                    <w:top w:val="single" w:color="000000" w:sz="4" w:space="0"/>
                    <w:left w:val="single" w:color="000000" w:sz="4" w:space="0"/>
                    <w:right w:val="single" w:color="000000" w:sz="4" w:space="0"/>
                  </w:tcBorders>
                  <w:vAlign w:val="center"/>
                </w:tcPr>
                <w:p w14:paraId="74549192">
                  <w:pPr>
                    <w:snapToGrid w:val="0"/>
                    <w:jc w:val="center"/>
                    <w:rPr>
                      <w:rFonts w:ascii="Times New Roman" w:hAnsi="Times New Roman" w:eastAsia="宋体" w:cs="Times New Roman"/>
                      <w:sz w:val="18"/>
                      <w:szCs w:val="18"/>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003" w:type="dxa"/>
                  <w:tcBorders>
                    <w:top w:val="single" w:color="000000" w:sz="4" w:space="0"/>
                    <w:left w:val="single" w:color="000000" w:sz="4" w:space="0"/>
                    <w:right w:val="single" w:color="000000" w:sz="4" w:space="0"/>
                  </w:tcBorders>
                  <w:vAlign w:val="center"/>
                </w:tcPr>
                <w:p w14:paraId="23B371F0">
                  <w:pPr>
                    <w:snapToGrid w:val="0"/>
                    <w:jc w:val="center"/>
                    <w:rPr>
                      <w:rFonts w:ascii="Times New Roman" w:hAnsi="Times New Roman" w:eastAsia="宋体" w:cs="Times New Roman"/>
                      <w:sz w:val="18"/>
                      <w:szCs w:val="18"/>
                    </w:rPr>
                  </w:pPr>
                  <w:r>
                    <w:rPr>
                      <w:rFonts w:hint="eastAsia" w:ascii="Times New Roman" w:hAnsi="Times New Roman" w:cs="Times New Roman"/>
                      <w:sz w:val="18"/>
                      <w:szCs w:val="18"/>
                    </w:rPr>
                    <w:t>0.0001</w:t>
                  </w:r>
                </w:p>
              </w:tc>
            </w:tr>
          </w:tbl>
          <w:p w14:paraId="61ED82CA">
            <w:pPr>
              <w:widowControl/>
              <w:spacing w:before="156" w:beforeLines="50"/>
              <w:jc w:val="center"/>
              <w:textAlignment w:val="center"/>
              <w:rPr>
                <w:rFonts w:ascii="Times New Roman" w:hAnsi="Times New Roman" w:eastAsia="宋体" w:cs="Times New Roman"/>
                <w:b/>
                <w:szCs w:val="21"/>
              </w:rPr>
            </w:pPr>
          </w:p>
          <w:p w14:paraId="3CEAEDFF">
            <w:pPr>
              <w:widowControl/>
              <w:spacing w:before="156" w:beforeLines="50"/>
              <w:jc w:val="center"/>
              <w:textAlignment w:val="center"/>
              <w:rPr>
                <w:rFonts w:ascii="Times New Roman" w:hAnsi="Times New Roman" w:eastAsia="宋体" w:cs="Times New Roman"/>
                <w:b/>
                <w:szCs w:val="21"/>
              </w:rPr>
            </w:pPr>
          </w:p>
          <w:p w14:paraId="66143081">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 xml:space="preserve">表4-13    </w:t>
            </w:r>
            <w:r>
              <w:rPr>
                <w:rFonts w:hint="eastAsia" w:ascii="Times New Roman" w:hAnsi="Times New Roman" w:eastAsia="宋体" w:cs="Times New Roman"/>
                <w:b/>
                <w:szCs w:val="21"/>
              </w:rPr>
              <w:t>锅炉</w:t>
            </w:r>
            <w:r>
              <w:rPr>
                <w:rFonts w:ascii="Times New Roman" w:hAnsi="Times New Roman" w:eastAsia="宋体" w:cs="Times New Roman"/>
                <w:b/>
                <w:szCs w:val="21"/>
              </w:rPr>
              <w:t>排气筒下风向地面浓度及占标率预测表</w:t>
            </w:r>
            <w:r>
              <w:rPr>
                <w:rFonts w:hint="eastAsia" w:ascii="Times New Roman" w:hAnsi="Times New Roman" w:eastAsia="宋体" w:cs="Times New Roman"/>
                <w:b/>
                <w:szCs w:val="21"/>
              </w:rPr>
              <w:t>（非正常）</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156"/>
              <w:gridCol w:w="1169"/>
              <w:gridCol w:w="1156"/>
              <w:gridCol w:w="1170"/>
              <w:gridCol w:w="1157"/>
              <w:gridCol w:w="1170"/>
            </w:tblGrid>
            <w:tr w14:paraId="69EC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restart"/>
                  <w:vAlign w:val="center"/>
                </w:tcPr>
                <w:p w14:paraId="603C6D7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6978" w:type="dxa"/>
                  <w:gridSpan w:val="6"/>
                  <w:vAlign w:val="center"/>
                </w:tcPr>
                <w:p w14:paraId="00E814F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点源：</w:t>
                  </w:r>
                  <w:r>
                    <w:rPr>
                      <w:rFonts w:hint="eastAsia" w:ascii="Times New Roman" w:hAnsi="Times New Roman" w:eastAsia="宋体" w:cs="Times New Roman"/>
                      <w:b/>
                      <w:bCs/>
                      <w:kern w:val="0"/>
                      <w:sz w:val="18"/>
                      <w:szCs w:val="18"/>
                      <w:lang w:bidi="ar"/>
                    </w:rPr>
                    <w:t>锅炉</w:t>
                  </w:r>
                  <w:r>
                    <w:rPr>
                      <w:rFonts w:ascii="Times New Roman" w:hAnsi="Times New Roman" w:eastAsia="宋体" w:cs="Times New Roman"/>
                      <w:b/>
                      <w:bCs/>
                      <w:kern w:val="0"/>
                      <w:sz w:val="18"/>
                      <w:szCs w:val="18"/>
                      <w:lang w:bidi="ar"/>
                    </w:rPr>
                    <w:t>排气筒</w:t>
                  </w:r>
                </w:p>
              </w:tc>
            </w:tr>
            <w:tr w14:paraId="4761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continue"/>
                  <w:vAlign w:val="center"/>
                </w:tcPr>
                <w:p w14:paraId="129509A8">
                  <w:pPr>
                    <w:widowControl/>
                    <w:snapToGrid w:val="0"/>
                    <w:jc w:val="center"/>
                    <w:textAlignment w:val="center"/>
                    <w:rPr>
                      <w:rFonts w:ascii="Times New Roman" w:hAnsi="Times New Roman" w:eastAsia="宋体" w:cs="Times New Roman"/>
                      <w:b/>
                      <w:szCs w:val="21"/>
                    </w:rPr>
                  </w:pPr>
                </w:p>
              </w:tc>
              <w:tc>
                <w:tcPr>
                  <w:tcW w:w="2325" w:type="dxa"/>
                  <w:gridSpan w:val="2"/>
                  <w:vAlign w:val="center"/>
                </w:tcPr>
                <w:p w14:paraId="68194288">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颗粒物</w:t>
                  </w:r>
                  <w:r>
                    <w:rPr>
                      <w:rFonts w:hint="eastAsia" w:ascii="Times New Roman" w:hAnsi="Times New Roman" w:eastAsia="宋体" w:cs="Times New Roman"/>
                      <w:b/>
                      <w:bCs/>
                      <w:kern w:val="0"/>
                      <w:sz w:val="18"/>
                      <w:szCs w:val="18"/>
                      <w:lang w:bidi="ar"/>
                    </w:rPr>
                    <w:t>（P</w:t>
                  </w:r>
                  <w:r>
                    <w:rPr>
                      <w:rFonts w:ascii="Times New Roman" w:hAnsi="Times New Roman" w:eastAsia="宋体" w:cs="Times New Roman"/>
                      <w:b/>
                      <w:bCs/>
                      <w:kern w:val="0"/>
                      <w:sz w:val="18"/>
                      <w:szCs w:val="18"/>
                      <w:lang w:bidi="ar"/>
                    </w:rPr>
                    <w:t>M</w:t>
                  </w:r>
                  <w:r>
                    <w:rPr>
                      <w:rFonts w:ascii="Times New Roman" w:hAnsi="Times New Roman" w:eastAsia="宋体" w:cs="Times New Roman"/>
                      <w:b/>
                      <w:bCs/>
                      <w:kern w:val="0"/>
                      <w:sz w:val="18"/>
                      <w:szCs w:val="18"/>
                      <w:vertAlign w:val="subscript"/>
                      <w:lang w:bidi="ar"/>
                    </w:rPr>
                    <w:t>10</w:t>
                  </w:r>
                  <w:r>
                    <w:rPr>
                      <w:rFonts w:hint="eastAsia" w:ascii="Times New Roman" w:hAnsi="Times New Roman" w:eastAsia="宋体" w:cs="Times New Roman"/>
                      <w:b/>
                      <w:bCs/>
                      <w:kern w:val="0"/>
                      <w:sz w:val="18"/>
                      <w:szCs w:val="18"/>
                      <w:lang w:bidi="ar"/>
                    </w:rPr>
                    <w:t>）</w:t>
                  </w:r>
                </w:p>
              </w:tc>
              <w:tc>
                <w:tcPr>
                  <w:tcW w:w="2326" w:type="dxa"/>
                  <w:gridSpan w:val="2"/>
                  <w:vAlign w:val="center"/>
                </w:tcPr>
                <w:p w14:paraId="3AB3B324">
                  <w:pPr>
                    <w:widowControl/>
                    <w:snapToGrid w:val="0"/>
                    <w:jc w:val="center"/>
                    <w:textAlignment w:val="center"/>
                    <w:rPr>
                      <w:rFonts w:ascii="Times New Roman" w:hAnsi="Times New Roman" w:eastAsia="宋体" w:cs="Times New Roman"/>
                      <w:b/>
                      <w:szCs w:val="21"/>
                    </w:rPr>
                  </w:pPr>
                  <w:r>
                    <w:rPr>
                      <w:rFonts w:ascii="Times New Roman" w:hAnsi="Times New Roman" w:cs="Times New Roman"/>
                      <w:b/>
                      <w:bCs/>
                      <w:sz w:val="18"/>
                      <w:szCs w:val="18"/>
                    </w:rPr>
                    <w:t>SO</w:t>
                  </w:r>
                  <w:r>
                    <w:rPr>
                      <w:rFonts w:ascii="Times New Roman" w:hAnsi="Times New Roman" w:cs="Times New Roman"/>
                      <w:b/>
                      <w:bCs/>
                      <w:sz w:val="18"/>
                      <w:szCs w:val="18"/>
                      <w:vertAlign w:val="subscript"/>
                    </w:rPr>
                    <w:t>2</w:t>
                  </w:r>
                </w:p>
              </w:tc>
              <w:tc>
                <w:tcPr>
                  <w:tcW w:w="2327" w:type="dxa"/>
                  <w:gridSpan w:val="2"/>
                  <w:vAlign w:val="center"/>
                </w:tcPr>
                <w:p w14:paraId="2426BD53">
                  <w:pPr>
                    <w:widowControl/>
                    <w:snapToGrid w:val="0"/>
                    <w:jc w:val="center"/>
                    <w:textAlignment w:val="center"/>
                    <w:rPr>
                      <w:rFonts w:ascii="Times New Roman" w:hAnsi="Times New Roman" w:eastAsia="宋体" w:cs="Times New Roman"/>
                      <w:b/>
                      <w:szCs w:val="21"/>
                    </w:rPr>
                  </w:pPr>
                  <w:r>
                    <w:rPr>
                      <w:rFonts w:ascii="Times New Roman" w:hAnsi="Times New Roman" w:cs="Times New Roman"/>
                      <w:b/>
                      <w:bCs/>
                      <w:sz w:val="18"/>
                      <w:szCs w:val="18"/>
                    </w:rPr>
                    <w:t>NO</w:t>
                  </w:r>
                  <w:r>
                    <w:rPr>
                      <w:rFonts w:hint="eastAsia" w:ascii="Times New Roman" w:hAnsi="Times New Roman" w:cs="Times New Roman"/>
                      <w:b/>
                      <w:bCs/>
                      <w:sz w:val="18"/>
                      <w:szCs w:val="18"/>
                    </w:rPr>
                    <w:t>x</w:t>
                  </w:r>
                </w:p>
              </w:tc>
            </w:tr>
            <w:tr w14:paraId="7E00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continue"/>
                  <w:vAlign w:val="center"/>
                </w:tcPr>
                <w:p w14:paraId="5D3E57C3">
                  <w:pPr>
                    <w:widowControl/>
                    <w:snapToGrid w:val="0"/>
                    <w:jc w:val="center"/>
                    <w:textAlignment w:val="center"/>
                    <w:rPr>
                      <w:rFonts w:ascii="Times New Roman" w:hAnsi="Times New Roman" w:eastAsia="宋体" w:cs="Times New Roman"/>
                      <w:b/>
                      <w:szCs w:val="21"/>
                    </w:rPr>
                  </w:pPr>
                </w:p>
              </w:tc>
              <w:tc>
                <w:tcPr>
                  <w:tcW w:w="1156" w:type="dxa"/>
                  <w:vAlign w:val="center"/>
                </w:tcPr>
                <w:p w14:paraId="245117D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169" w:type="dxa"/>
                  <w:vAlign w:val="center"/>
                </w:tcPr>
                <w:p w14:paraId="25AC7A3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156" w:type="dxa"/>
                  <w:vAlign w:val="center"/>
                </w:tcPr>
                <w:p w14:paraId="0F24F47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170" w:type="dxa"/>
                  <w:vAlign w:val="center"/>
                </w:tcPr>
                <w:p w14:paraId="0E4CB5CE">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157" w:type="dxa"/>
                  <w:vAlign w:val="center"/>
                </w:tcPr>
                <w:p w14:paraId="2F67A01F">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170" w:type="dxa"/>
                  <w:vAlign w:val="center"/>
                </w:tcPr>
                <w:p w14:paraId="1DDFBD9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2FB4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0E502E3A">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156" w:type="dxa"/>
                  <w:vAlign w:val="center"/>
                </w:tcPr>
                <w:p w14:paraId="496D00E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2.3910</w:t>
                  </w:r>
                </w:p>
              </w:tc>
              <w:tc>
                <w:tcPr>
                  <w:tcW w:w="1169" w:type="dxa"/>
                  <w:vAlign w:val="center"/>
                </w:tcPr>
                <w:p w14:paraId="054A89C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0.5313</w:t>
                  </w:r>
                </w:p>
              </w:tc>
              <w:tc>
                <w:tcPr>
                  <w:tcW w:w="1156" w:type="dxa"/>
                  <w:vAlign w:val="center"/>
                </w:tcPr>
                <w:p w14:paraId="222EBA9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2.6065</w:t>
                  </w:r>
                </w:p>
              </w:tc>
              <w:tc>
                <w:tcPr>
                  <w:tcW w:w="1170" w:type="dxa"/>
                  <w:vAlign w:val="center"/>
                </w:tcPr>
                <w:p w14:paraId="05FBC86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0.5213</w:t>
                  </w:r>
                </w:p>
              </w:tc>
              <w:tc>
                <w:tcPr>
                  <w:tcW w:w="1157" w:type="dxa"/>
                  <w:vAlign w:val="center"/>
                </w:tcPr>
                <w:p w14:paraId="6C80135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19.5760</w:t>
                  </w:r>
                </w:p>
              </w:tc>
              <w:tc>
                <w:tcPr>
                  <w:tcW w:w="1170" w:type="dxa"/>
                  <w:vAlign w:val="center"/>
                </w:tcPr>
                <w:p w14:paraId="45AEE28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7.8304</w:t>
                  </w:r>
                </w:p>
              </w:tc>
            </w:tr>
            <w:tr w14:paraId="34CD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2FDC3EB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156" w:type="dxa"/>
                  <w:vAlign w:val="center"/>
                </w:tcPr>
                <w:p w14:paraId="3396426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1.9023</w:t>
                  </w:r>
                </w:p>
              </w:tc>
              <w:tc>
                <w:tcPr>
                  <w:tcW w:w="1169" w:type="dxa"/>
                  <w:vAlign w:val="center"/>
                </w:tcPr>
                <w:p w14:paraId="228454F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0.4227</w:t>
                  </w:r>
                </w:p>
              </w:tc>
              <w:tc>
                <w:tcPr>
                  <w:tcW w:w="1156" w:type="dxa"/>
                  <w:vAlign w:val="center"/>
                </w:tcPr>
                <w:p w14:paraId="1B9A0DC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2.0738</w:t>
                  </w:r>
                </w:p>
              </w:tc>
              <w:tc>
                <w:tcPr>
                  <w:tcW w:w="1170" w:type="dxa"/>
                  <w:vAlign w:val="center"/>
                </w:tcPr>
                <w:p w14:paraId="54F3107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0.4148</w:t>
                  </w:r>
                </w:p>
              </w:tc>
              <w:tc>
                <w:tcPr>
                  <w:tcW w:w="1157" w:type="dxa"/>
                  <w:vAlign w:val="center"/>
                </w:tcPr>
                <w:p w14:paraId="01C39B9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15.5748</w:t>
                  </w:r>
                </w:p>
              </w:tc>
              <w:tc>
                <w:tcPr>
                  <w:tcW w:w="1170" w:type="dxa"/>
                  <w:vAlign w:val="center"/>
                </w:tcPr>
                <w:p w14:paraId="411016D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6.2299</w:t>
                  </w:r>
                </w:p>
              </w:tc>
            </w:tr>
            <w:tr w14:paraId="2228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001807C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156" w:type="dxa"/>
                  <w:vAlign w:val="center"/>
                </w:tcPr>
                <w:p w14:paraId="103CA19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3.1160</w:t>
                  </w:r>
                </w:p>
              </w:tc>
              <w:tc>
                <w:tcPr>
                  <w:tcW w:w="1169" w:type="dxa"/>
                  <w:vAlign w:val="center"/>
                </w:tcPr>
                <w:p w14:paraId="7282DD8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0.6924</w:t>
                  </w:r>
                </w:p>
              </w:tc>
              <w:tc>
                <w:tcPr>
                  <w:tcW w:w="1156" w:type="dxa"/>
                  <w:vAlign w:val="center"/>
                </w:tcPr>
                <w:p w14:paraId="560D70F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3.3969</w:t>
                  </w:r>
                </w:p>
              </w:tc>
              <w:tc>
                <w:tcPr>
                  <w:tcW w:w="1170" w:type="dxa"/>
                  <w:vAlign w:val="center"/>
                </w:tcPr>
                <w:p w14:paraId="4915F0A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0.6794</w:t>
                  </w:r>
                </w:p>
              </w:tc>
              <w:tc>
                <w:tcPr>
                  <w:tcW w:w="1157" w:type="dxa"/>
                  <w:vAlign w:val="center"/>
                </w:tcPr>
                <w:p w14:paraId="3236229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25.5118</w:t>
                  </w:r>
                </w:p>
              </w:tc>
              <w:tc>
                <w:tcPr>
                  <w:tcW w:w="1170" w:type="dxa"/>
                  <w:vAlign w:val="center"/>
                </w:tcPr>
                <w:p w14:paraId="7C0036A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10.2047</w:t>
                  </w:r>
                </w:p>
              </w:tc>
            </w:tr>
            <w:tr w14:paraId="5BFA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5B9EC34C">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156" w:type="dxa"/>
                  <w:vAlign w:val="center"/>
                </w:tcPr>
                <w:p w14:paraId="605075D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3.3779</w:t>
                  </w:r>
                </w:p>
              </w:tc>
              <w:tc>
                <w:tcPr>
                  <w:tcW w:w="1169" w:type="dxa"/>
                  <w:vAlign w:val="center"/>
                </w:tcPr>
                <w:p w14:paraId="7FCFAC9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0.7506</w:t>
                  </w:r>
                </w:p>
              </w:tc>
              <w:tc>
                <w:tcPr>
                  <w:tcW w:w="1156" w:type="dxa"/>
                  <w:vAlign w:val="center"/>
                </w:tcPr>
                <w:p w14:paraId="4497E06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3.6824</w:t>
                  </w:r>
                </w:p>
              </w:tc>
              <w:tc>
                <w:tcPr>
                  <w:tcW w:w="1170" w:type="dxa"/>
                  <w:vAlign w:val="center"/>
                </w:tcPr>
                <w:p w14:paraId="5EA9237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0.7365</w:t>
                  </w:r>
                </w:p>
              </w:tc>
              <w:tc>
                <w:tcPr>
                  <w:tcW w:w="1157" w:type="dxa"/>
                  <w:vAlign w:val="center"/>
                </w:tcPr>
                <w:p w14:paraId="4AC386D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27.6561</w:t>
                  </w:r>
                </w:p>
              </w:tc>
              <w:tc>
                <w:tcPr>
                  <w:tcW w:w="1170" w:type="dxa"/>
                  <w:vAlign w:val="center"/>
                </w:tcPr>
                <w:p w14:paraId="1B0C9D0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11.0624</w:t>
                  </w:r>
                </w:p>
              </w:tc>
            </w:tr>
            <w:tr w14:paraId="0F50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0A43820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156" w:type="dxa"/>
                  <w:vAlign w:val="center"/>
                </w:tcPr>
                <w:p w14:paraId="5964161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2.9446</w:t>
                  </w:r>
                </w:p>
              </w:tc>
              <w:tc>
                <w:tcPr>
                  <w:tcW w:w="1169" w:type="dxa"/>
                  <w:vAlign w:val="center"/>
                </w:tcPr>
                <w:p w14:paraId="3C91D13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0.6544</w:t>
                  </w:r>
                </w:p>
              </w:tc>
              <w:tc>
                <w:tcPr>
                  <w:tcW w:w="1156" w:type="dxa"/>
                  <w:vAlign w:val="center"/>
                </w:tcPr>
                <w:p w14:paraId="5E60363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3.2100</w:t>
                  </w:r>
                </w:p>
              </w:tc>
              <w:tc>
                <w:tcPr>
                  <w:tcW w:w="1170" w:type="dxa"/>
                  <w:vAlign w:val="center"/>
                </w:tcPr>
                <w:p w14:paraId="3D14A9E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0.6420</w:t>
                  </w:r>
                </w:p>
              </w:tc>
              <w:tc>
                <w:tcPr>
                  <w:tcW w:w="1157" w:type="dxa"/>
                  <w:vAlign w:val="center"/>
                </w:tcPr>
                <w:p w14:paraId="79F844C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24.1085</w:t>
                  </w:r>
                </w:p>
              </w:tc>
              <w:tc>
                <w:tcPr>
                  <w:tcW w:w="1170" w:type="dxa"/>
                  <w:vAlign w:val="center"/>
                </w:tcPr>
                <w:p w14:paraId="7505325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9.6434</w:t>
                  </w:r>
                </w:p>
              </w:tc>
            </w:tr>
            <w:tr w14:paraId="65AA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26F8822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156" w:type="dxa"/>
                  <w:vAlign w:val="center"/>
                </w:tcPr>
                <w:p w14:paraId="47FD2A3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2.5351</w:t>
                  </w:r>
                </w:p>
              </w:tc>
              <w:tc>
                <w:tcPr>
                  <w:tcW w:w="1169" w:type="dxa"/>
                  <w:vAlign w:val="center"/>
                </w:tcPr>
                <w:p w14:paraId="455412A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0.5634</w:t>
                  </w:r>
                </w:p>
              </w:tc>
              <w:tc>
                <w:tcPr>
                  <w:tcW w:w="1156" w:type="dxa"/>
                  <w:vAlign w:val="center"/>
                </w:tcPr>
                <w:p w14:paraId="681B054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2.7636</w:t>
                  </w:r>
                </w:p>
              </w:tc>
              <w:tc>
                <w:tcPr>
                  <w:tcW w:w="1170" w:type="dxa"/>
                  <w:vAlign w:val="center"/>
                </w:tcPr>
                <w:p w14:paraId="2D8E437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0.5527</w:t>
                  </w:r>
                </w:p>
              </w:tc>
              <w:tc>
                <w:tcPr>
                  <w:tcW w:w="1157" w:type="dxa"/>
                  <w:vAlign w:val="center"/>
                </w:tcPr>
                <w:p w14:paraId="3EAC58A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20.7558</w:t>
                  </w:r>
                </w:p>
              </w:tc>
              <w:tc>
                <w:tcPr>
                  <w:tcW w:w="1170" w:type="dxa"/>
                  <w:vAlign w:val="center"/>
                </w:tcPr>
                <w:p w14:paraId="6CC6586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8.3023</w:t>
                  </w:r>
                </w:p>
              </w:tc>
            </w:tr>
            <w:tr w14:paraId="0601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1A9465E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156" w:type="dxa"/>
                  <w:vAlign w:val="center"/>
                </w:tcPr>
                <w:p w14:paraId="1F97177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2.2017</w:t>
                  </w:r>
                </w:p>
              </w:tc>
              <w:tc>
                <w:tcPr>
                  <w:tcW w:w="1169" w:type="dxa"/>
                  <w:vAlign w:val="center"/>
                </w:tcPr>
                <w:p w14:paraId="1AE7786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0.4893</w:t>
                  </w:r>
                </w:p>
              </w:tc>
              <w:tc>
                <w:tcPr>
                  <w:tcW w:w="1156" w:type="dxa"/>
                  <w:vAlign w:val="center"/>
                </w:tcPr>
                <w:p w14:paraId="68CD729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2.4002</w:t>
                  </w:r>
                </w:p>
              </w:tc>
              <w:tc>
                <w:tcPr>
                  <w:tcW w:w="1170" w:type="dxa"/>
                  <w:vAlign w:val="center"/>
                </w:tcPr>
                <w:p w14:paraId="4EB67B5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0.4800</w:t>
                  </w:r>
                </w:p>
              </w:tc>
              <w:tc>
                <w:tcPr>
                  <w:tcW w:w="1157" w:type="dxa"/>
                  <w:vAlign w:val="center"/>
                </w:tcPr>
                <w:p w14:paraId="44A8E2B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18.0261</w:t>
                  </w:r>
                </w:p>
              </w:tc>
              <w:tc>
                <w:tcPr>
                  <w:tcW w:w="1170" w:type="dxa"/>
                  <w:vAlign w:val="center"/>
                </w:tcPr>
                <w:p w14:paraId="2E1C6BE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7.2104</w:t>
                  </w:r>
                </w:p>
              </w:tc>
            </w:tr>
            <w:tr w14:paraId="2E4C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5FDCE99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156" w:type="dxa"/>
                  <w:vAlign w:val="center"/>
                </w:tcPr>
                <w:p w14:paraId="038996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1.9380</w:t>
                  </w:r>
                </w:p>
              </w:tc>
              <w:tc>
                <w:tcPr>
                  <w:tcW w:w="1169" w:type="dxa"/>
                  <w:vAlign w:val="center"/>
                </w:tcPr>
                <w:p w14:paraId="55F46B3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0.4307</w:t>
                  </w:r>
                </w:p>
              </w:tc>
              <w:tc>
                <w:tcPr>
                  <w:tcW w:w="1156" w:type="dxa"/>
                  <w:vAlign w:val="center"/>
                </w:tcPr>
                <w:p w14:paraId="17633CF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2.1127</w:t>
                  </w:r>
                </w:p>
              </w:tc>
              <w:tc>
                <w:tcPr>
                  <w:tcW w:w="1170" w:type="dxa"/>
                  <w:vAlign w:val="center"/>
                </w:tcPr>
                <w:p w14:paraId="20BEADA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0.4225</w:t>
                  </w:r>
                </w:p>
              </w:tc>
              <w:tc>
                <w:tcPr>
                  <w:tcW w:w="1157" w:type="dxa"/>
                  <w:vAlign w:val="center"/>
                </w:tcPr>
                <w:p w14:paraId="000BA02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15.8671</w:t>
                  </w:r>
                </w:p>
              </w:tc>
              <w:tc>
                <w:tcPr>
                  <w:tcW w:w="1170" w:type="dxa"/>
                  <w:vAlign w:val="center"/>
                </w:tcPr>
                <w:p w14:paraId="2E3138E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6.3468</w:t>
                  </w:r>
                </w:p>
              </w:tc>
            </w:tr>
            <w:tr w14:paraId="6033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3F80A58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156" w:type="dxa"/>
                  <w:vAlign w:val="center"/>
                </w:tcPr>
                <w:p w14:paraId="17DDBFD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1.7864</w:t>
                  </w:r>
                </w:p>
              </w:tc>
              <w:tc>
                <w:tcPr>
                  <w:tcW w:w="1169" w:type="dxa"/>
                  <w:vAlign w:val="center"/>
                </w:tcPr>
                <w:p w14:paraId="2C31BD3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0.3970</w:t>
                  </w:r>
                </w:p>
              </w:tc>
              <w:tc>
                <w:tcPr>
                  <w:tcW w:w="1156" w:type="dxa"/>
                  <w:vAlign w:val="center"/>
                </w:tcPr>
                <w:p w14:paraId="6C4EA9A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1.9474</w:t>
                  </w:r>
                </w:p>
              </w:tc>
              <w:tc>
                <w:tcPr>
                  <w:tcW w:w="1170" w:type="dxa"/>
                  <w:vAlign w:val="center"/>
                </w:tcPr>
                <w:p w14:paraId="58C7B73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0.3895</w:t>
                  </w:r>
                </w:p>
              </w:tc>
              <w:tc>
                <w:tcPr>
                  <w:tcW w:w="1157" w:type="dxa"/>
                  <w:vAlign w:val="center"/>
                </w:tcPr>
                <w:p w14:paraId="1A205EF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14.6259</w:t>
                  </w:r>
                </w:p>
              </w:tc>
              <w:tc>
                <w:tcPr>
                  <w:tcW w:w="1170" w:type="dxa"/>
                  <w:vAlign w:val="center"/>
                </w:tcPr>
                <w:p w14:paraId="2EC0981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5.8504</w:t>
                  </w:r>
                </w:p>
              </w:tc>
            </w:tr>
            <w:tr w14:paraId="7C78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78989F5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156" w:type="dxa"/>
                  <w:vAlign w:val="center"/>
                </w:tcPr>
                <w:p w14:paraId="50C7D28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1.6509</w:t>
                  </w:r>
                </w:p>
              </w:tc>
              <w:tc>
                <w:tcPr>
                  <w:tcW w:w="1169" w:type="dxa"/>
                  <w:vAlign w:val="center"/>
                </w:tcPr>
                <w:p w14:paraId="63A64E8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0.3669</w:t>
                  </w:r>
                </w:p>
              </w:tc>
              <w:tc>
                <w:tcPr>
                  <w:tcW w:w="1156" w:type="dxa"/>
                  <w:vAlign w:val="center"/>
                </w:tcPr>
                <w:p w14:paraId="0EE164A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1.7997</w:t>
                  </w:r>
                </w:p>
              </w:tc>
              <w:tc>
                <w:tcPr>
                  <w:tcW w:w="1170" w:type="dxa"/>
                  <w:vAlign w:val="center"/>
                </w:tcPr>
                <w:p w14:paraId="574827F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0.3599</w:t>
                  </w:r>
                </w:p>
              </w:tc>
              <w:tc>
                <w:tcPr>
                  <w:tcW w:w="1157" w:type="dxa"/>
                  <w:vAlign w:val="center"/>
                </w:tcPr>
                <w:p w14:paraId="4006600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13.5165</w:t>
                  </w:r>
                </w:p>
              </w:tc>
              <w:tc>
                <w:tcPr>
                  <w:tcW w:w="1170" w:type="dxa"/>
                  <w:vAlign w:val="center"/>
                </w:tcPr>
                <w:p w14:paraId="66BB5CB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5.4066</w:t>
                  </w:r>
                </w:p>
              </w:tc>
            </w:tr>
            <w:tr w14:paraId="402A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28DB77C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156" w:type="dxa"/>
                  <w:vAlign w:val="center"/>
                </w:tcPr>
                <w:p w14:paraId="3F4D483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1.6211</w:t>
                  </w:r>
                </w:p>
              </w:tc>
              <w:tc>
                <w:tcPr>
                  <w:tcW w:w="1169" w:type="dxa"/>
                  <w:vAlign w:val="center"/>
                </w:tcPr>
                <w:p w14:paraId="248076F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0.3602</w:t>
                  </w:r>
                </w:p>
              </w:tc>
              <w:tc>
                <w:tcPr>
                  <w:tcW w:w="1156" w:type="dxa"/>
                  <w:vAlign w:val="center"/>
                </w:tcPr>
                <w:p w14:paraId="353D89B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1.7672</w:t>
                  </w:r>
                </w:p>
              </w:tc>
              <w:tc>
                <w:tcPr>
                  <w:tcW w:w="1170" w:type="dxa"/>
                  <w:vAlign w:val="center"/>
                </w:tcPr>
                <w:p w14:paraId="371FC26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0.3534</w:t>
                  </w:r>
                </w:p>
              </w:tc>
              <w:tc>
                <w:tcPr>
                  <w:tcW w:w="1157" w:type="dxa"/>
                  <w:vAlign w:val="center"/>
                </w:tcPr>
                <w:p w14:paraId="017F78E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13.2725</w:t>
                  </w:r>
                </w:p>
              </w:tc>
              <w:tc>
                <w:tcPr>
                  <w:tcW w:w="1170" w:type="dxa"/>
                  <w:vAlign w:val="center"/>
                </w:tcPr>
                <w:p w14:paraId="0586A68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5.3090</w:t>
                  </w:r>
                </w:p>
              </w:tc>
            </w:tr>
            <w:tr w14:paraId="0EC9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0DC4E3EF">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156" w:type="dxa"/>
                  <w:vAlign w:val="center"/>
                </w:tcPr>
                <w:p w14:paraId="519A0C6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1.4375</w:t>
                  </w:r>
                </w:p>
              </w:tc>
              <w:tc>
                <w:tcPr>
                  <w:tcW w:w="1169" w:type="dxa"/>
                  <w:vAlign w:val="center"/>
                </w:tcPr>
                <w:p w14:paraId="55A2929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0.3194</w:t>
                  </w:r>
                </w:p>
              </w:tc>
              <w:tc>
                <w:tcPr>
                  <w:tcW w:w="1156" w:type="dxa"/>
                  <w:vAlign w:val="center"/>
                </w:tcPr>
                <w:p w14:paraId="5F125FF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1.5671</w:t>
                  </w:r>
                </w:p>
              </w:tc>
              <w:tc>
                <w:tcPr>
                  <w:tcW w:w="1170" w:type="dxa"/>
                  <w:vAlign w:val="center"/>
                </w:tcPr>
                <w:p w14:paraId="70025C9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0.3134</w:t>
                  </w:r>
                </w:p>
              </w:tc>
              <w:tc>
                <w:tcPr>
                  <w:tcW w:w="1157" w:type="dxa"/>
                  <w:vAlign w:val="center"/>
                </w:tcPr>
                <w:p w14:paraId="0E90FFC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11.7693</w:t>
                  </w:r>
                </w:p>
              </w:tc>
              <w:tc>
                <w:tcPr>
                  <w:tcW w:w="1170" w:type="dxa"/>
                  <w:vAlign w:val="center"/>
                </w:tcPr>
                <w:p w14:paraId="666613D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4.7077</w:t>
                  </w:r>
                </w:p>
              </w:tc>
            </w:tr>
            <w:tr w14:paraId="087E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1012347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156" w:type="dxa"/>
                  <w:vAlign w:val="center"/>
                </w:tcPr>
                <w:p w14:paraId="3682AEB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0.9834</w:t>
                  </w:r>
                </w:p>
              </w:tc>
              <w:tc>
                <w:tcPr>
                  <w:tcW w:w="1169" w:type="dxa"/>
                  <w:vAlign w:val="center"/>
                </w:tcPr>
                <w:p w14:paraId="325C705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0.2185</w:t>
                  </w:r>
                </w:p>
              </w:tc>
              <w:tc>
                <w:tcPr>
                  <w:tcW w:w="1156" w:type="dxa"/>
                  <w:vAlign w:val="center"/>
                </w:tcPr>
                <w:p w14:paraId="0F6E717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1.0720</w:t>
                  </w:r>
                </w:p>
              </w:tc>
              <w:tc>
                <w:tcPr>
                  <w:tcW w:w="1170" w:type="dxa"/>
                  <w:vAlign w:val="center"/>
                </w:tcPr>
                <w:p w14:paraId="31BD3B8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0.2144</w:t>
                  </w:r>
                </w:p>
              </w:tc>
              <w:tc>
                <w:tcPr>
                  <w:tcW w:w="1157" w:type="dxa"/>
                  <w:vAlign w:val="center"/>
                </w:tcPr>
                <w:p w14:paraId="44233A4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8.0513</w:t>
                  </w:r>
                </w:p>
              </w:tc>
              <w:tc>
                <w:tcPr>
                  <w:tcW w:w="1170" w:type="dxa"/>
                  <w:vAlign w:val="center"/>
                </w:tcPr>
                <w:p w14:paraId="3959F51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3.2205</w:t>
                  </w:r>
                </w:p>
              </w:tc>
            </w:tr>
            <w:tr w14:paraId="26F5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7F631B94">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156" w:type="dxa"/>
                  <w:vAlign w:val="center"/>
                </w:tcPr>
                <w:p w14:paraId="386718F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3.4380</w:t>
                  </w:r>
                </w:p>
              </w:tc>
              <w:tc>
                <w:tcPr>
                  <w:tcW w:w="1169" w:type="dxa"/>
                  <w:vAlign w:val="center"/>
                </w:tcPr>
                <w:p w14:paraId="24A96B1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0.7640</w:t>
                  </w:r>
                </w:p>
              </w:tc>
              <w:tc>
                <w:tcPr>
                  <w:tcW w:w="1156" w:type="dxa"/>
                  <w:vAlign w:val="center"/>
                </w:tcPr>
                <w:p w14:paraId="7D98544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3.7479</w:t>
                  </w:r>
                </w:p>
              </w:tc>
              <w:tc>
                <w:tcPr>
                  <w:tcW w:w="1170" w:type="dxa"/>
                  <w:vAlign w:val="center"/>
                </w:tcPr>
                <w:p w14:paraId="5E8D95F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0.7496</w:t>
                  </w:r>
                </w:p>
              </w:tc>
              <w:tc>
                <w:tcPr>
                  <w:tcW w:w="1157" w:type="dxa"/>
                  <w:vAlign w:val="center"/>
                </w:tcPr>
                <w:p w14:paraId="4AB0DF2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28.1481</w:t>
                  </w:r>
                </w:p>
              </w:tc>
              <w:tc>
                <w:tcPr>
                  <w:tcW w:w="1170" w:type="dxa"/>
                  <w:vAlign w:val="center"/>
                </w:tcPr>
                <w:p w14:paraId="7D64229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11.2592</w:t>
                  </w:r>
                </w:p>
              </w:tc>
            </w:tr>
            <w:tr w14:paraId="60B7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5E2F1C4E">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156" w:type="dxa"/>
                  <w:vAlign w:val="center"/>
                </w:tcPr>
                <w:p w14:paraId="6925F99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169" w:type="dxa"/>
                  <w:vAlign w:val="center"/>
                </w:tcPr>
                <w:p w14:paraId="19A23CA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156" w:type="dxa"/>
                  <w:vAlign w:val="center"/>
                </w:tcPr>
                <w:p w14:paraId="1033B751">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170" w:type="dxa"/>
                  <w:vAlign w:val="center"/>
                </w:tcPr>
                <w:p w14:paraId="35888B2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157" w:type="dxa"/>
                  <w:vAlign w:val="center"/>
                </w:tcPr>
                <w:p w14:paraId="2046D46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170" w:type="dxa"/>
                  <w:vAlign w:val="center"/>
                </w:tcPr>
                <w:p w14:paraId="5AA0F05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r>
            <w:tr w14:paraId="066F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6D810D15">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156" w:type="dxa"/>
                  <w:vAlign w:val="center"/>
                </w:tcPr>
                <w:p w14:paraId="7815B1B8">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169" w:type="dxa"/>
                  <w:vAlign w:val="center"/>
                </w:tcPr>
                <w:p w14:paraId="7AC90FA2">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156" w:type="dxa"/>
                  <w:vAlign w:val="center"/>
                </w:tcPr>
                <w:p w14:paraId="79538D54">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170" w:type="dxa"/>
                  <w:vAlign w:val="center"/>
                </w:tcPr>
                <w:p w14:paraId="7DC8C034">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157" w:type="dxa"/>
                  <w:vAlign w:val="center"/>
                </w:tcPr>
                <w:p w14:paraId="69AD6AC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400.0</w:t>
                  </w:r>
                </w:p>
              </w:tc>
              <w:tc>
                <w:tcPr>
                  <w:tcW w:w="1170" w:type="dxa"/>
                  <w:vAlign w:val="center"/>
                </w:tcPr>
                <w:p w14:paraId="1E6D85D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400.0</w:t>
                  </w:r>
                </w:p>
              </w:tc>
            </w:tr>
          </w:tbl>
          <w:p w14:paraId="0E75F81F">
            <w:pPr>
              <w:widowControl/>
              <w:snapToGrid w:val="0"/>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续上表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211"/>
              <w:gridCol w:w="1211"/>
              <w:gridCol w:w="1211"/>
              <w:gridCol w:w="1077"/>
            </w:tblGrid>
            <w:tr w14:paraId="07FF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vAlign w:val="center"/>
                </w:tcPr>
                <w:p w14:paraId="0D3FC3E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距源中心下风向距离D/m</w:t>
                  </w:r>
                </w:p>
              </w:tc>
              <w:tc>
                <w:tcPr>
                  <w:tcW w:w="4710" w:type="dxa"/>
                  <w:gridSpan w:val="4"/>
                  <w:vAlign w:val="center"/>
                </w:tcPr>
                <w:p w14:paraId="1EE172E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点源：</w:t>
                  </w:r>
                  <w:r>
                    <w:rPr>
                      <w:rFonts w:hint="eastAsia" w:ascii="Times New Roman" w:hAnsi="Times New Roman" w:eastAsia="宋体" w:cs="Times New Roman"/>
                      <w:b/>
                      <w:bCs/>
                      <w:kern w:val="0"/>
                      <w:sz w:val="18"/>
                      <w:szCs w:val="18"/>
                      <w:lang w:bidi="ar"/>
                    </w:rPr>
                    <w:t>锅炉</w:t>
                  </w:r>
                  <w:r>
                    <w:rPr>
                      <w:rFonts w:ascii="Times New Roman" w:hAnsi="Times New Roman" w:eastAsia="宋体" w:cs="Times New Roman"/>
                      <w:b/>
                      <w:bCs/>
                      <w:kern w:val="0"/>
                      <w:sz w:val="18"/>
                      <w:szCs w:val="18"/>
                      <w:lang w:bidi="ar"/>
                    </w:rPr>
                    <w:t>排气筒</w:t>
                  </w:r>
                </w:p>
              </w:tc>
            </w:tr>
            <w:tr w14:paraId="5CC6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5D60B17F">
                  <w:pPr>
                    <w:widowControl/>
                    <w:snapToGrid w:val="0"/>
                    <w:jc w:val="center"/>
                    <w:textAlignment w:val="center"/>
                    <w:rPr>
                      <w:rFonts w:ascii="Times New Roman" w:hAnsi="Times New Roman" w:eastAsia="宋体" w:cs="Times New Roman"/>
                      <w:b/>
                      <w:szCs w:val="21"/>
                    </w:rPr>
                  </w:pPr>
                </w:p>
              </w:tc>
              <w:tc>
                <w:tcPr>
                  <w:tcW w:w="2422" w:type="dxa"/>
                  <w:gridSpan w:val="2"/>
                  <w:vAlign w:val="center"/>
                </w:tcPr>
                <w:p w14:paraId="18C568DA">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bCs/>
                      <w:kern w:val="0"/>
                      <w:sz w:val="18"/>
                      <w:szCs w:val="18"/>
                      <w:lang w:bidi="ar"/>
                    </w:rPr>
                    <w:t>N</w:t>
                  </w:r>
                  <w:r>
                    <w:rPr>
                      <w:rFonts w:ascii="Times New Roman" w:hAnsi="Times New Roman" w:eastAsia="宋体" w:cs="Times New Roman"/>
                      <w:b/>
                      <w:bCs/>
                      <w:kern w:val="0"/>
                      <w:sz w:val="18"/>
                      <w:szCs w:val="18"/>
                      <w:lang w:bidi="ar"/>
                    </w:rPr>
                    <w:t>H</w:t>
                  </w:r>
                  <w:r>
                    <w:rPr>
                      <w:rFonts w:ascii="Times New Roman" w:hAnsi="Times New Roman" w:eastAsia="宋体" w:cs="Times New Roman"/>
                      <w:b/>
                      <w:bCs/>
                      <w:kern w:val="0"/>
                      <w:sz w:val="18"/>
                      <w:szCs w:val="18"/>
                      <w:vertAlign w:val="subscript"/>
                      <w:lang w:bidi="ar"/>
                    </w:rPr>
                    <w:t>3</w:t>
                  </w:r>
                </w:p>
              </w:tc>
              <w:tc>
                <w:tcPr>
                  <w:tcW w:w="2288" w:type="dxa"/>
                  <w:gridSpan w:val="2"/>
                  <w:vAlign w:val="center"/>
                </w:tcPr>
                <w:p w14:paraId="67EAD535">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b/>
                      <w:szCs w:val="21"/>
                    </w:rPr>
                    <w:t>H</w:t>
                  </w:r>
                  <w:r>
                    <w:rPr>
                      <w:rFonts w:ascii="Times New Roman" w:hAnsi="Times New Roman" w:eastAsia="宋体" w:cs="Times New Roman"/>
                      <w:b/>
                      <w:szCs w:val="21"/>
                      <w:vertAlign w:val="subscript"/>
                    </w:rPr>
                    <w:t>2</w:t>
                  </w:r>
                  <w:r>
                    <w:rPr>
                      <w:rFonts w:ascii="Times New Roman" w:hAnsi="Times New Roman" w:eastAsia="宋体" w:cs="Times New Roman"/>
                      <w:b/>
                      <w:szCs w:val="21"/>
                    </w:rPr>
                    <w:t>S</w:t>
                  </w:r>
                </w:p>
              </w:tc>
            </w:tr>
            <w:tr w14:paraId="555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024C5A35">
                  <w:pPr>
                    <w:widowControl/>
                    <w:snapToGrid w:val="0"/>
                    <w:jc w:val="center"/>
                    <w:textAlignment w:val="center"/>
                    <w:rPr>
                      <w:rFonts w:ascii="Times New Roman" w:hAnsi="Times New Roman" w:eastAsia="宋体" w:cs="Times New Roman"/>
                      <w:b/>
                      <w:szCs w:val="21"/>
                    </w:rPr>
                  </w:pPr>
                </w:p>
              </w:tc>
              <w:tc>
                <w:tcPr>
                  <w:tcW w:w="1211" w:type="dxa"/>
                  <w:vAlign w:val="center"/>
                </w:tcPr>
                <w:p w14:paraId="243A841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11" w:type="dxa"/>
                  <w:vAlign w:val="center"/>
                </w:tcPr>
                <w:p w14:paraId="6057615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c>
                <w:tcPr>
                  <w:tcW w:w="1211" w:type="dxa"/>
                  <w:vAlign w:val="center"/>
                </w:tcPr>
                <w:p w14:paraId="41FCC45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预测浓度C</w:t>
                  </w:r>
                  <w:r>
                    <w:rPr>
                      <w:rFonts w:ascii="Times New Roman" w:hAnsi="Times New Roman" w:eastAsia="宋体" w:cs="Times New Roman"/>
                      <w:b/>
                      <w:bCs/>
                      <w:kern w:val="0"/>
                      <w:sz w:val="18"/>
                      <w:szCs w:val="18"/>
                      <w:vertAlign w:val="subscript"/>
                      <w:lang w:bidi="ar"/>
                    </w:rPr>
                    <w:t>i</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μ</w:t>
                  </w:r>
                  <w:r>
                    <w:rPr>
                      <w:rFonts w:ascii="Times New Roman" w:hAnsi="Times New Roman" w:eastAsia="宋体" w:cs="Times New Roman"/>
                      <w:b/>
                      <w:bCs/>
                      <w:kern w:val="0"/>
                      <w:sz w:val="18"/>
                      <w:szCs w:val="18"/>
                      <w:lang w:bidi="ar"/>
                    </w:rPr>
                    <w:t>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077" w:type="dxa"/>
                  <w:vAlign w:val="center"/>
                </w:tcPr>
                <w:p w14:paraId="0A5DB20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b/>
                      <w:bCs/>
                      <w:kern w:val="0"/>
                      <w:sz w:val="18"/>
                      <w:szCs w:val="18"/>
                      <w:lang w:bidi="ar"/>
                    </w:rPr>
                    <w:t>占标率P</w:t>
                  </w:r>
                  <w:r>
                    <w:rPr>
                      <w:rFonts w:ascii="Times New Roman" w:hAnsi="Times New Roman" w:eastAsia="宋体" w:cs="Times New Roman"/>
                      <w:b/>
                      <w:bCs/>
                      <w:kern w:val="0"/>
                      <w:sz w:val="18"/>
                      <w:szCs w:val="18"/>
                      <w:vertAlign w:val="subscript"/>
                      <w:lang w:bidi="ar"/>
                    </w:rPr>
                    <w:t>i</w:t>
                  </w: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w:t>
                  </w:r>
                  <w:r>
                    <w:rPr>
                      <w:rFonts w:hint="eastAsia" w:ascii="Times New Roman" w:hAnsi="Times New Roman" w:eastAsia="宋体" w:cs="Times New Roman"/>
                      <w:b/>
                      <w:bCs/>
                      <w:kern w:val="0"/>
                      <w:sz w:val="18"/>
                      <w:szCs w:val="18"/>
                      <w:lang w:bidi="ar"/>
                    </w:rPr>
                    <w:t>）</w:t>
                  </w:r>
                </w:p>
              </w:tc>
            </w:tr>
            <w:tr w14:paraId="75C2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7B48E2B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w:t>
                  </w:r>
                </w:p>
              </w:tc>
              <w:tc>
                <w:tcPr>
                  <w:tcW w:w="1211" w:type="dxa"/>
                  <w:vAlign w:val="center"/>
                </w:tcPr>
                <w:p w14:paraId="553F5C8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0.2968</w:t>
                  </w:r>
                </w:p>
              </w:tc>
              <w:tc>
                <w:tcPr>
                  <w:tcW w:w="1211" w:type="dxa"/>
                  <w:vAlign w:val="center"/>
                </w:tcPr>
                <w:p w14:paraId="185FB3E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0.1484</w:t>
                  </w:r>
                </w:p>
              </w:tc>
              <w:tc>
                <w:tcPr>
                  <w:tcW w:w="1211" w:type="dxa"/>
                  <w:vAlign w:val="center"/>
                </w:tcPr>
                <w:p w14:paraId="2D46B17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0.0011</w:t>
                  </w:r>
                </w:p>
              </w:tc>
              <w:tc>
                <w:tcPr>
                  <w:tcW w:w="1077" w:type="dxa"/>
                  <w:vAlign w:val="center"/>
                </w:tcPr>
                <w:p w14:paraId="6B8A91F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0.0113</w:t>
                  </w:r>
                </w:p>
              </w:tc>
            </w:tr>
            <w:tr w14:paraId="7F36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2E2067B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w:t>
                  </w:r>
                </w:p>
              </w:tc>
              <w:tc>
                <w:tcPr>
                  <w:tcW w:w="1211" w:type="dxa"/>
                  <w:vAlign w:val="center"/>
                </w:tcPr>
                <w:p w14:paraId="1CD1CB5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0.2361</w:t>
                  </w:r>
                </w:p>
              </w:tc>
              <w:tc>
                <w:tcPr>
                  <w:tcW w:w="1211" w:type="dxa"/>
                  <w:vAlign w:val="center"/>
                </w:tcPr>
                <w:p w14:paraId="1207207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0.1181</w:t>
                  </w:r>
                </w:p>
              </w:tc>
              <w:tc>
                <w:tcPr>
                  <w:tcW w:w="1211" w:type="dxa"/>
                  <w:vAlign w:val="center"/>
                </w:tcPr>
                <w:p w14:paraId="290F150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0.0009</w:t>
                  </w:r>
                </w:p>
              </w:tc>
              <w:tc>
                <w:tcPr>
                  <w:tcW w:w="1077" w:type="dxa"/>
                  <w:vAlign w:val="center"/>
                </w:tcPr>
                <w:p w14:paraId="7134817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0.0090</w:t>
                  </w:r>
                </w:p>
              </w:tc>
            </w:tr>
            <w:tr w14:paraId="0A9B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9B266EE">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200</w:t>
                  </w:r>
                </w:p>
              </w:tc>
              <w:tc>
                <w:tcPr>
                  <w:tcW w:w="1211" w:type="dxa"/>
                  <w:vAlign w:val="center"/>
                </w:tcPr>
                <w:p w14:paraId="017DE3B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0.3867</w:t>
                  </w:r>
                </w:p>
              </w:tc>
              <w:tc>
                <w:tcPr>
                  <w:tcW w:w="1211" w:type="dxa"/>
                  <w:vAlign w:val="center"/>
                </w:tcPr>
                <w:p w14:paraId="0BCD853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0.1934</w:t>
                  </w:r>
                </w:p>
              </w:tc>
              <w:tc>
                <w:tcPr>
                  <w:tcW w:w="1211" w:type="dxa"/>
                  <w:vAlign w:val="center"/>
                </w:tcPr>
                <w:p w14:paraId="4A5FFA1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0.0015</w:t>
                  </w:r>
                </w:p>
              </w:tc>
              <w:tc>
                <w:tcPr>
                  <w:tcW w:w="1077" w:type="dxa"/>
                  <w:vAlign w:val="center"/>
                </w:tcPr>
                <w:p w14:paraId="20C0B92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0.0147</w:t>
                  </w:r>
                </w:p>
              </w:tc>
            </w:tr>
            <w:tr w14:paraId="0892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41508F4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300</w:t>
                  </w:r>
                </w:p>
              </w:tc>
              <w:tc>
                <w:tcPr>
                  <w:tcW w:w="1211" w:type="dxa"/>
                  <w:vAlign w:val="center"/>
                </w:tcPr>
                <w:p w14:paraId="6502AD4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0.4192</w:t>
                  </w:r>
                </w:p>
              </w:tc>
              <w:tc>
                <w:tcPr>
                  <w:tcW w:w="1211" w:type="dxa"/>
                  <w:vAlign w:val="center"/>
                </w:tcPr>
                <w:p w14:paraId="64B3A43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0.2096</w:t>
                  </w:r>
                </w:p>
              </w:tc>
              <w:tc>
                <w:tcPr>
                  <w:tcW w:w="1211" w:type="dxa"/>
                  <w:vAlign w:val="center"/>
                </w:tcPr>
                <w:p w14:paraId="2145EB7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0.0016</w:t>
                  </w:r>
                </w:p>
              </w:tc>
              <w:tc>
                <w:tcPr>
                  <w:tcW w:w="1077" w:type="dxa"/>
                  <w:vAlign w:val="center"/>
                </w:tcPr>
                <w:p w14:paraId="2D961C4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0.0159</w:t>
                  </w:r>
                </w:p>
              </w:tc>
            </w:tr>
            <w:tr w14:paraId="4C4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3DE86A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400</w:t>
                  </w:r>
                </w:p>
              </w:tc>
              <w:tc>
                <w:tcPr>
                  <w:tcW w:w="1211" w:type="dxa"/>
                  <w:vAlign w:val="center"/>
                </w:tcPr>
                <w:p w14:paraId="2B5D4BC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0.3655</w:t>
                  </w:r>
                </w:p>
              </w:tc>
              <w:tc>
                <w:tcPr>
                  <w:tcW w:w="1211" w:type="dxa"/>
                  <w:vAlign w:val="center"/>
                </w:tcPr>
                <w:p w14:paraId="49FBB76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0.1827</w:t>
                  </w:r>
                </w:p>
              </w:tc>
              <w:tc>
                <w:tcPr>
                  <w:tcW w:w="1211" w:type="dxa"/>
                  <w:vAlign w:val="center"/>
                </w:tcPr>
                <w:p w14:paraId="238B4AD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0.0014</w:t>
                  </w:r>
                </w:p>
              </w:tc>
              <w:tc>
                <w:tcPr>
                  <w:tcW w:w="1077" w:type="dxa"/>
                  <w:vAlign w:val="center"/>
                </w:tcPr>
                <w:p w14:paraId="1862EB9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0.0139</w:t>
                  </w:r>
                </w:p>
              </w:tc>
            </w:tr>
            <w:tr w14:paraId="3003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7777FEE2">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500</w:t>
                  </w:r>
                </w:p>
              </w:tc>
              <w:tc>
                <w:tcPr>
                  <w:tcW w:w="1211" w:type="dxa"/>
                  <w:vAlign w:val="center"/>
                </w:tcPr>
                <w:p w14:paraId="354C810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0.3146</w:t>
                  </w:r>
                </w:p>
              </w:tc>
              <w:tc>
                <w:tcPr>
                  <w:tcW w:w="1211" w:type="dxa"/>
                  <w:vAlign w:val="center"/>
                </w:tcPr>
                <w:p w14:paraId="2A16BDB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0.1573</w:t>
                  </w:r>
                </w:p>
              </w:tc>
              <w:tc>
                <w:tcPr>
                  <w:tcW w:w="1211" w:type="dxa"/>
                  <w:vAlign w:val="center"/>
                </w:tcPr>
                <w:p w14:paraId="4C834B7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0.0012</w:t>
                  </w:r>
                </w:p>
              </w:tc>
              <w:tc>
                <w:tcPr>
                  <w:tcW w:w="1077" w:type="dxa"/>
                  <w:vAlign w:val="center"/>
                </w:tcPr>
                <w:p w14:paraId="2B10EAA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0.0120</w:t>
                  </w:r>
                </w:p>
              </w:tc>
            </w:tr>
            <w:tr w14:paraId="7678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AC966C9">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600</w:t>
                  </w:r>
                </w:p>
              </w:tc>
              <w:tc>
                <w:tcPr>
                  <w:tcW w:w="1211" w:type="dxa"/>
                  <w:vAlign w:val="center"/>
                </w:tcPr>
                <w:p w14:paraId="3DFB5D7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0.2733</w:t>
                  </w:r>
                </w:p>
              </w:tc>
              <w:tc>
                <w:tcPr>
                  <w:tcW w:w="1211" w:type="dxa"/>
                  <w:vAlign w:val="center"/>
                </w:tcPr>
                <w:p w14:paraId="3A8CB44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0.1366</w:t>
                  </w:r>
                </w:p>
              </w:tc>
              <w:tc>
                <w:tcPr>
                  <w:tcW w:w="1211" w:type="dxa"/>
                  <w:vAlign w:val="center"/>
                </w:tcPr>
                <w:p w14:paraId="4E7DF3C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0.0010</w:t>
                  </w:r>
                </w:p>
              </w:tc>
              <w:tc>
                <w:tcPr>
                  <w:tcW w:w="1077" w:type="dxa"/>
                  <w:vAlign w:val="center"/>
                </w:tcPr>
                <w:p w14:paraId="700438A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0.0104</w:t>
                  </w:r>
                </w:p>
              </w:tc>
            </w:tr>
            <w:tr w14:paraId="6A9C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8843CFD">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700</w:t>
                  </w:r>
                </w:p>
              </w:tc>
              <w:tc>
                <w:tcPr>
                  <w:tcW w:w="1211" w:type="dxa"/>
                  <w:vAlign w:val="center"/>
                </w:tcPr>
                <w:p w14:paraId="63981F4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0.2405</w:t>
                  </w:r>
                </w:p>
              </w:tc>
              <w:tc>
                <w:tcPr>
                  <w:tcW w:w="1211" w:type="dxa"/>
                  <w:vAlign w:val="center"/>
                </w:tcPr>
                <w:p w14:paraId="5BE986B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0.1203</w:t>
                  </w:r>
                </w:p>
              </w:tc>
              <w:tc>
                <w:tcPr>
                  <w:tcW w:w="1211" w:type="dxa"/>
                  <w:vAlign w:val="center"/>
                </w:tcPr>
                <w:p w14:paraId="0E29138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0.0009</w:t>
                  </w:r>
                </w:p>
              </w:tc>
              <w:tc>
                <w:tcPr>
                  <w:tcW w:w="1077" w:type="dxa"/>
                  <w:vAlign w:val="center"/>
                </w:tcPr>
                <w:p w14:paraId="5AAA3E3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0.0091</w:t>
                  </w:r>
                </w:p>
              </w:tc>
            </w:tr>
            <w:tr w14:paraId="77C3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7730AE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800</w:t>
                  </w:r>
                </w:p>
              </w:tc>
              <w:tc>
                <w:tcPr>
                  <w:tcW w:w="1211" w:type="dxa"/>
                  <w:vAlign w:val="center"/>
                </w:tcPr>
                <w:p w14:paraId="3195EA5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0.2217</w:t>
                  </w:r>
                </w:p>
              </w:tc>
              <w:tc>
                <w:tcPr>
                  <w:tcW w:w="1211" w:type="dxa"/>
                  <w:vAlign w:val="center"/>
                </w:tcPr>
                <w:p w14:paraId="17B6F23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0.1109</w:t>
                  </w:r>
                </w:p>
              </w:tc>
              <w:tc>
                <w:tcPr>
                  <w:tcW w:w="1211" w:type="dxa"/>
                  <w:vAlign w:val="center"/>
                </w:tcPr>
                <w:p w14:paraId="509ACE6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0.0008</w:t>
                  </w:r>
                </w:p>
              </w:tc>
              <w:tc>
                <w:tcPr>
                  <w:tcW w:w="1077" w:type="dxa"/>
                  <w:vAlign w:val="center"/>
                </w:tcPr>
                <w:p w14:paraId="7C97996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0.0084</w:t>
                  </w:r>
                </w:p>
              </w:tc>
            </w:tr>
            <w:tr w14:paraId="1EE4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F9FF70E">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900</w:t>
                  </w:r>
                </w:p>
              </w:tc>
              <w:tc>
                <w:tcPr>
                  <w:tcW w:w="1211" w:type="dxa"/>
                  <w:vAlign w:val="center"/>
                </w:tcPr>
                <w:p w14:paraId="2C32915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0.2049</w:t>
                  </w:r>
                </w:p>
              </w:tc>
              <w:tc>
                <w:tcPr>
                  <w:tcW w:w="1211" w:type="dxa"/>
                  <w:vAlign w:val="center"/>
                </w:tcPr>
                <w:p w14:paraId="4B1EBC6F">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0.1025</w:t>
                  </w:r>
                </w:p>
              </w:tc>
              <w:tc>
                <w:tcPr>
                  <w:tcW w:w="1211" w:type="dxa"/>
                  <w:vAlign w:val="center"/>
                </w:tcPr>
                <w:p w14:paraId="1E2F0680">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0.0008</w:t>
                  </w:r>
                </w:p>
              </w:tc>
              <w:tc>
                <w:tcPr>
                  <w:tcW w:w="1077" w:type="dxa"/>
                  <w:vAlign w:val="center"/>
                </w:tcPr>
                <w:p w14:paraId="78FE864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0.0078</w:t>
                  </w:r>
                </w:p>
              </w:tc>
            </w:tr>
            <w:tr w14:paraId="513F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33BECC1">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1000</w:t>
                  </w:r>
                </w:p>
              </w:tc>
              <w:tc>
                <w:tcPr>
                  <w:tcW w:w="1211" w:type="dxa"/>
                  <w:vAlign w:val="center"/>
                </w:tcPr>
                <w:p w14:paraId="65DF7E9C">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0.2012</w:t>
                  </w:r>
                </w:p>
              </w:tc>
              <w:tc>
                <w:tcPr>
                  <w:tcW w:w="1211" w:type="dxa"/>
                  <w:vAlign w:val="center"/>
                </w:tcPr>
                <w:p w14:paraId="18A91FF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0.1006</w:t>
                  </w:r>
                </w:p>
              </w:tc>
              <w:tc>
                <w:tcPr>
                  <w:tcW w:w="1211" w:type="dxa"/>
                  <w:vAlign w:val="center"/>
                </w:tcPr>
                <w:p w14:paraId="5ED5508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0.0008</w:t>
                  </w:r>
                </w:p>
              </w:tc>
              <w:tc>
                <w:tcPr>
                  <w:tcW w:w="1077" w:type="dxa"/>
                  <w:vAlign w:val="center"/>
                </w:tcPr>
                <w:p w14:paraId="689C852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0.0077</w:t>
                  </w:r>
                </w:p>
              </w:tc>
            </w:tr>
            <w:tr w14:paraId="0116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5DFA33E3">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1400</w:t>
                  </w:r>
                </w:p>
              </w:tc>
              <w:tc>
                <w:tcPr>
                  <w:tcW w:w="1211" w:type="dxa"/>
                  <w:vAlign w:val="center"/>
                </w:tcPr>
                <w:p w14:paraId="76FC118B">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0.1784</w:t>
                  </w:r>
                </w:p>
              </w:tc>
              <w:tc>
                <w:tcPr>
                  <w:tcW w:w="1211" w:type="dxa"/>
                  <w:vAlign w:val="center"/>
                </w:tcPr>
                <w:p w14:paraId="6DD1CE0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0.0892</w:t>
                  </w:r>
                </w:p>
              </w:tc>
              <w:tc>
                <w:tcPr>
                  <w:tcW w:w="1211" w:type="dxa"/>
                  <w:vAlign w:val="center"/>
                </w:tcPr>
                <w:p w14:paraId="1C3C6273">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c>
                <w:tcPr>
                  <w:tcW w:w="1077" w:type="dxa"/>
                  <w:vAlign w:val="center"/>
                </w:tcPr>
                <w:p w14:paraId="4585DEDE">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0.0068</w:t>
                  </w:r>
                </w:p>
              </w:tc>
            </w:tr>
            <w:tr w14:paraId="47B1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899A955">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2500</w:t>
                  </w:r>
                </w:p>
              </w:tc>
              <w:tc>
                <w:tcPr>
                  <w:tcW w:w="1211" w:type="dxa"/>
                  <w:vAlign w:val="center"/>
                </w:tcPr>
                <w:p w14:paraId="50A11497">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0.1221</w:t>
                  </w:r>
                </w:p>
              </w:tc>
              <w:tc>
                <w:tcPr>
                  <w:tcW w:w="1211" w:type="dxa"/>
                  <w:vAlign w:val="center"/>
                </w:tcPr>
                <w:p w14:paraId="3FDC5B8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0.0610</w:t>
                  </w:r>
                </w:p>
              </w:tc>
              <w:tc>
                <w:tcPr>
                  <w:tcW w:w="1211" w:type="dxa"/>
                  <w:vAlign w:val="center"/>
                </w:tcPr>
                <w:p w14:paraId="1AC1DF0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0.0005</w:t>
                  </w:r>
                </w:p>
              </w:tc>
              <w:tc>
                <w:tcPr>
                  <w:tcW w:w="1077" w:type="dxa"/>
                  <w:vAlign w:val="center"/>
                </w:tcPr>
                <w:p w14:paraId="0E650136">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0.0046</w:t>
                  </w:r>
                </w:p>
              </w:tc>
            </w:tr>
            <w:tr w14:paraId="65E4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A31D350">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最大落地浓度</w:t>
                  </w:r>
                </w:p>
              </w:tc>
              <w:tc>
                <w:tcPr>
                  <w:tcW w:w="1211" w:type="dxa"/>
                  <w:vAlign w:val="center"/>
                </w:tcPr>
                <w:p w14:paraId="7D6B29E8">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0.4267</w:t>
                  </w:r>
                </w:p>
              </w:tc>
              <w:tc>
                <w:tcPr>
                  <w:tcW w:w="1211" w:type="dxa"/>
                  <w:vAlign w:val="center"/>
                </w:tcPr>
                <w:p w14:paraId="7738800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0.2134</w:t>
                  </w:r>
                </w:p>
              </w:tc>
              <w:tc>
                <w:tcPr>
                  <w:tcW w:w="1211" w:type="dxa"/>
                  <w:vAlign w:val="center"/>
                </w:tcPr>
                <w:p w14:paraId="4D6AB155">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0.0016</w:t>
                  </w:r>
                </w:p>
              </w:tc>
              <w:tc>
                <w:tcPr>
                  <w:tcW w:w="1077" w:type="dxa"/>
                  <w:vAlign w:val="center"/>
                </w:tcPr>
                <w:p w14:paraId="4DC16F8D">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0.0162</w:t>
                  </w:r>
                </w:p>
              </w:tc>
            </w:tr>
            <w:tr w14:paraId="3907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CDDEABB">
                  <w:pPr>
                    <w:widowControl/>
                    <w:snapToGrid w:val="0"/>
                    <w:jc w:val="center"/>
                    <w:textAlignment w:val="center"/>
                    <w:rPr>
                      <w:rFonts w:ascii="Times New Roman" w:hAnsi="Times New Roman" w:eastAsia="宋体" w:cs="Times New Roman"/>
                      <w:b/>
                      <w:szCs w:val="21"/>
                    </w:rPr>
                  </w:pPr>
                  <w:r>
                    <w:rPr>
                      <w:rFonts w:ascii="Times New Roman" w:hAnsi="Times New Roman" w:eastAsia="宋体" w:cs="Times New Roman"/>
                      <w:kern w:val="0"/>
                      <w:sz w:val="18"/>
                      <w:szCs w:val="18"/>
                      <w:lang w:bidi="ar"/>
                    </w:rPr>
                    <w:t>最大浓度出现距离</w:t>
                  </w:r>
                  <w:r>
                    <w:rPr>
                      <w:rFonts w:hint="eastAsia" w:ascii="Times New Roman" w:hAnsi="Times New Roman" w:eastAsia="宋体" w:cs="Times New Roman"/>
                      <w:kern w:val="0"/>
                      <w:sz w:val="18"/>
                      <w:szCs w:val="18"/>
                      <w:lang w:bidi="ar"/>
                    </w:rPr>
                    <w:t>（m）</w:t>
                  </w:r>
                </w:p>
              </w:tc>
              <w:tc>
                <w:tcPr>
                  <w:tcW w:w="1211" w:type="dxa"/>
                  <w:vAlign w:val="center"/>
                </w:tcPr>
                <w:p w14:paraId="5A88B67A">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211" w:type="dxa"/>
                  <w:vAlign w:val="center"/>
                </w:tcPr>
                <w:p w14:paraId="4DF07EC4">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211" w:type="dxa"/>
                  <w:vAlign w:val="center"/>
                </w:tcPr>
                <w:p w14:paraId="7D2162C2">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c>
                <w:tcPr>
                  <w:tcW w:w="1077" w:type="dxa"/>
                  <w:vAlign w:val="center"/>
                </w:tcPr>
                <w:p w14:paraId="0E2388A9">
                  <w:pPr>
                    <w:widowControl/>
                    <w:snapToGrid w:val="0"/>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265.0</w:t>
                  </w:r>
                </w:p>
              </w:tc>
            </w:tr>
            <w:tr w14:paraId="4DEA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2BDFE9F">
                  <w:pPr>
                    <w:widowControl/>
                    <w:snapToGrid w:val="0"/>
                    <w:jc w:val="center"/>
                    <w:textAlignment w:val="center"/>
                    <w:rPr>
                      <w:rFonts w:ascii="Times New Roman" w:hAnsi="Times New Roman" w:eastAsia="宋体" w:cs="Times New Roman"/>
                      <w:b/>
                      <w:szCs w:val="21"/>
                    </w:rPr>
                  </w:pPr>
                  <w:r>
                    <w:rPr>
                      <w:rFonts w:hint="eastAsia" w:ascii="Times New Roman" w:hAnsi="Times New Roman" w:eastAsia="宋体" w:cs="Times New Roman"/>
                      <w:kern w:val="0"/>
                      <w:sz w:val="18"/>
                      <w:szCs w:val="18"/>
                      <w:lang w:bidi="ar"/>
                    </w:rPr>
                    <w:t>D</w:t>
                  </w:r>
                  <w:r>
                    <w:rPr>
                      <w:rFonts w:hint="eastAsia"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最远距离</w:t>
                  </w:r>
                </w:p>
              </w:tc>
              <w:tc>
                <w:tcPr>
                  <w:tcW w:w="1211" w:type="dxa"/>
                  <w:vAlign w:val="center"/>
                </w:tcPr>
                <w:p w14:paraId="0DA9E47D">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1E54C371">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211" w:type="dxa"/>
                  <w:vAlign w:val="center"/>
                </w:tcPr>
                <w:p w14:paraId="5E25532E">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c>
                <w:tcPr>
                  <w:tcW w:w="1077" w:type="dxa"/>
                  <w:vAlign w:val="center"/>
                </w:tcPr>
                <w:p w14:paraId="2D25ECB3">
                  <w:pPr>
                    <w:widowControl/>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w:t>
                  </w:r>
                </w:p>
              </w:tc>
            </w:tr>
            <w:bookmarkEnd w:id="69"/>
          </w:tbl>
          <w:p w14:paraId="4B499649">
            <w:pPr>
              <w:jc w:val="center"/>
              <w:rPr>
                <w:b/>
                <w:bCs/>
                <w:szCs w:val="21"/>
              </w:rPr>
            </w:pPr>
          </w:p>
          <w:p w14:paraId="06E6698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估算结果</w:t>
            </w:r>
          </w:p>
          <w:bookmarkEnd w:id="70"/>
          <w:p w14:paraId="4E360C27">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项目</w:t>
            </w:r>
            <w:r>
              <w:rPr>
                <w:rFonts w:ascii="Times New Roman" w:hAnsi="Times New Roman" w:cs="Times New Roman"/>
              </w:rPr>
              <w:t>AERSCREEN 计算结果见</w:t>
            </w:r>
            <w:r>
              <w:rPr>
                <w:rFonts w:hint="eastAsia" w:ascii="Times New Roman" w:hAnsi="Times New Roman" w:cs="Times New Roman"/>
              </w:rPr>
              <w:t>下</w:t>
            </w:r>
            <w:r>
              <w:rPr>
                <w:rFonts w:ascii="Times New Roman" w:hAnsi="Times New Roman" w:cs="Times New Roman"/>
              </w:rPr>
              <w:t>表。</w:t>
            </w:r>
          </w:p>
          <w:p w14:paraId="07A7ADF0">
            <w:pPr>
              <w:widowControl/>
              <w:spacing w:before="156" w:beforeLines="50"/>
              <w:jc w:val="center"/>
              <w:textAlignment w:val="center"/>
              <w:rPr>
                <w:rFonts w:ascii="Times New Roman" w:hAnsi="Times New Roman" w:eastAsia="宋体" w:cs="Times New Roman"/>
                <w:b/>
                <w:szCs w:val="21"/>
              </w:rPr>
            </w:pPr>
            <w:bookmarkStart w:id="72" w:name="_Hlk86089455"/>
          </w:p>
          <w:p w14:paraId="1CCAB1DA">
            <w:pPr>
              <w:widowControl/>
              <w:spacing w:before="156" w:beforeLines="50"/>
              <w:jc w:val="center"/>
              <w:textAlignment w:val="center"/>
              <w:rPr>
                <w:rFonts w:ascii="Times New Roman" w:hAnsi="Times New Roman" w:eastAsia="宋体" w:cs="Times New Roman"/>
                <w:b/>
                <w:szCs w:val="21"/>
              </w:rPr>
            </w:pPr>
          </w:p>
          <w:p w14:paraId="76CE9D29">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表4-14    各排放源大气污染物最大地面落地浓度及占标率筛选一览</w:t>
            </w:r>
            <w:r>
              <w:rPr>
                <w:rFonts w:hint="eastAsia" w:ascii="Times New Roman" w:hAnsi="Times New Roman" w:eastAsia="宋体" w:cs="Times New Roman"/>
                <w:b/>
                <w:szCs w:val="21"/>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992"/>
              <w:gridCol w:w="1035"/>
              <w:gridCol w:w="1274"/>
              <w:gridCol w:w="1274"/>
              <w:gridCol w:w="991"/>
              <w:gridCol w:w="1134"/>
              <w:gridCol w:w="792"/>
            </w:tblGrid>
            <w:tr w14:paraId="7446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shd w:val="clear" w:color="auto" w:fill="auto"/>
                  <w:vAlign w:val="center"/>
                </w:tcPr>
                <w:p w14:paraId="3B7FDC61">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排放类型</w:t>
                  </w:r>
                </w:p>
              </w:tc>
              <w:tc>
                <w:tcPr>
                  <w:tcW w:w="992" w:type="dxa"/>
                  <w:shd w:val="clear" w:color="auto" w:fill="auto"/>
                  <w:vAlign w:val="center"/>
                </w:tcPr>
                <w:p w14:paraId="7188D525">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污染源</w:t>
                  </w:r>
                </w:p>
              </w:tc>
              <w:tc>
                <w:tcPr>
                  <w:tcW w:w="1035" w:type="dxa"/>
                  <w:shd w:val="clear" w:color="auto" w:fill="auto"/>
                  <w:vAlign w:val="center"/>
                </w:tcPr>
                <w:p w14:paraId="56929BCE">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污染物</w:t>
                  </w:r>
                </w:p>
              </w:tc>
              <w:tc>
                <w:tcPr>
                  <w:tcW w:w="1274" w:type="dxa"/>
                  <w:shd w:val="clear" w:color="auto" w:fill="auto"/>
                  <w:vAlign w:val="center"/>
                </w:tcPr>
                <w:p w14:paraId="27EBBFC3">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最大落地浓度</w:t>
                  </w:r>
                  <w:r>
                    <w:rPr>
                      <w:rFonts w:ascii="Times New Roman" w:hAnsi="Times New Roman" w:eastAsia="宋体" w:cs="Times New Roman"/>
                      <w:b/>
                      <w:bCs/>
                      <w:kern w:val="0"/>
                      <w:sz w:val="18"/>
                      <w:szCs w:val="18"/>
                      <w:lang w:bidi="ar"/>
                    </w:rPr>
                    <w:t>(μg/m</w:t>
                  </w:r>
                  <w:r>
                    <w:rPr>
                      <w:rFonts w:ascii="Times New Roman" w:hAnsi="Times New Roman" w:eastAsia="宋体" w:cs="Times New Roman"/>
                      <w:b/>
                      <w:bCs/>
                      <w:kern w:val="0"/>
                      <w:sz w:val="18"/>
                      <w:szCs w:val="18"/>
                      <w:vertAlign w:val="superscript"/>
                      <w:lang w:bidi="ar"/>
                    </w:rPr>
                    <w:t>3</w:t>
                  </w:r>
                  <w:r>
                    <w:rPr>
                      <w:rFonts w:ascii="Times New Roman" w:hAnsi="Times New Roman" w:eastAsia="宋体" w:cs="Times New Roman"/>
                      <w:b/>
                      <w:bCs/>
                      <w:kern w:val="0"/>
                      <w:sz w:val="18"/>
                      <w:szCs w:val="18"/>
                      <w:lang w:bidi="ar"/>
                    </w:rPr>
                    <w:t>)</w:t>
                  </w:r>
                </w:p>
              </w:tc>
              <w:tc>
                <w:tcPr>
                  <w:tcW w:w="1274" w:type="dxa"/>
                  <w:shd w:val="clear" w:color="auto" w:fill="auto"/>
                  <w:vAlign w:val="center"/>
                </w:tcPr>
                <w:p w14:paraId="172D0E7B">
                  <w:pPr>
                    <w:snapToGrid w:val="0"/>
                    <w:jc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最大浓度出现距离</w:t>
                  </w:r>
                  <w:r>
                    <w:rPr>
                      <w:rFonts w:hint="eastAsia" w:ascii="Times New Roman" w:hAnsi="Times New Roman" w:eastAsia="宋体" w:cs="Times New Roman"/>
                      <w:b/>
                      <w:bCs/>
                      <w:kern w:val="0"/>
                      <w:sz w:val="18"/>
                      <w:szCs w:val="18"/>
                      <w:lang w:bidi="ar"/>
                    </w:rPr>
                    <w:t>（m）</w:t>
                  </w:r>
                </w:p>
              </w:tc>
              <w:tc>
                <w:tcPr>
                  <w:tcW w:w="991" w:type="dxa"/>
                  <w:shd w:val="clear" w:color="auto" w:fill="auto"/>
                  <w:vAlign w:val="center"/>
                </w:tcPr>
                <w:p w14:paraId="7396267F">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P</w:t>
                  </w:r>
                  <w:r>
                    <w:rPr>
                      <w:rFonts w:hint="eastAsia" w:ascii="Times New Roman" w:hAnsi="Times New Roman" w:eastAsia="宋体" w:cs="Times New Roman"/>
                      <w:b/>
                      <w:bCs/>
                      <w:kern w:val="0"/>
                      <w:sz w:val="18"/>
                      <w:szCs w:val="18"/>
                      <w:vertAlign w:val="subscript"/>
                      <w:lang w:bidi="ar"/>
                    </w:rPr>
                    <w:t>max</w:t>
                  </w:r>
                </w:p>
                <w:p w14:paraId="206FAA6A">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w:t>
                  </w:r>
                </w:p>
              </w:tc>
              <w:tc>
                <w:tcPr>
                  <w:tcW w:w="1134" w:type="dxa"/>
                  <w:shd w:val="clear" w:color="auto" w:fill="auto"/>
                  <w:vAlign w:val="center"/>
                </w:tcPr>
                <w:p w14:paraId="42B5E511">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标准值</w:t>
                  </w:r>
                </w:p>
                <w:p w14:paraId="16D5E983">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w:t>
                  </w:r>
                  <w:r>
                    <w:rPr>
                      <w:rFonts w:ascii="Times New Roman" w:hAnsi="Times New Roman" w:eastAsia="宋体" w:cs="Times New Roman"/>
                      <w:b/>
                      <w:bCs/>
                      <w:kern w:val="0"/>
                      <w:sz w:val="18"/>
                      <w:szCs w:val="18"/>
                      <w:lang w:bidi="ar"/>
                    </w:rPr>
                    <w:t>μg/m</w:t>
                  </w:r>
                  <w:r>
                    <w:rPr>
                      <w:rFonts w:ascii="Times New Roman" w:hAnsi="Times New Roman" w:eastAsia="宋体" w:cs="Times New Roman"/>
                      <w:b/>
                      <w:bCs/>
                      <w:kern w:val="0"/>
                      <w:sz w:val="18"/>
                      <w:szCs w:val="18"/>
                      <w:vertAlign w:val="superscript"/>
                      <w:lang w:bidi="ar"/>
                    </w:rPr>
                    <w:t>3</w:t>
                  </w:r>
                  <w:r>
                    <w:rPr>
                      <w:rFonts w:hint="eastAsia" w:ascii="Times New Roman" w:hAnsi="Times New Roman" w:eastAsia="宋体" w:cs="Times New Roman"/>
                      <w:b/>
                      <w:bCs/>
                      <w:kern w:val="0"/>
                      <w:sz w:val="18"/>
                      <w:szCs w:val="18"/>
                      <w:lang w:bidi="ar"/>
                    </w:rPr>
                    <w:t>）</w:t>
                  </w:r>
                </w:p>
              </w:tc>
              <w:tc>
                <w:tcPr>
                  <w:tcW w:w="792" w:type="dxa"/>
                  <w:shd w:val="clear" w:color="auto" w:fill="auto"/>
                  <w:vAlign w:val="center"/>
                </w:tcPr>
                <w:p w14:paraId="548283EF">
                  <w:pPr>
                    <w:snapToGrid w:val="0"/>
                    <w:jc w:val="center"/>
                    <w:rPr>
                      <w:rFonts w:ascii="Times New Roman" w:hAnsi="Times New Roman" w:eastAsia="宋体" w:cs="Times New Roman"/>
                      <w:b/>
                      <w:bCs/>
                      <w:kern w:val="0"/>
                      <w:sz w:val="18"/>
                      <w:szCs w:val="18"/>
                      <w:lang w:bidi="ar"/>
                    </w:rPr>
                  </w:pPr>
                  <w:r>
                    <w:rPr>
                      <w:rFonts w:hint="eastAsia" w:ascii="Times New Roman" w:hAnsi="Times New Roman" w:eastAsia="宋体" w:cs="Times New Roman"/>
                      <w:b/>
                      <w:bCs/>
                      <w:kern w:val="0"/>
                      <w:sz w:val="18"/>
                      <w:szCs w:val="18"/>
                      <w:lang w:bidi="ar"/>
                    </w:rPr>
                    <w:t>达标性分析</w:t>
                  </w:r>
                </w:p>
              </w:tc>
            </w:tr>
            <w:tr w14:paraId="1C11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shd w:val="clear" w:color="auto" w:fill="auto"/>
                  <w:vAlign w:val="center"/>
                </w:tcPr>
                <w:p w14:paraId="2A39F4F8">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有组织</w:t>
                  </w:r>
                </w:p>
              </w:tc>
              <w:tc>
                <w:tcPr>
                  <w:tcW w:w="992" w:type="dxa"/>
                  <w:vMerge w:val="restart"/>
                  <w:shd w:val="clear" w:color="auto" w:fill="auto"/>
                  <w:vAlign w:val="center"/>
                </w:tcPr>
                <w:p w14:paraId="7065FFB4">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DA001</w:t>
                  </w:r>
                </w:p>
              </w:tc>
              <w:tc>
                <w:tcPr>
                  <w:tcW w:w="1035" w:type="dxa"/>
                  <w:shd w:val="clear" w:color="auto" w:fill="auto"/>
                  <w:vAlign w:val="center"/>
                </w:tcPr>
                <w:p w14:paraId="7F8B2A05">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颗粒物（</w:t>
                  </w:r>
                  <w:r>
                    <w:rPr>
                      <w:rFonts w:ascii="Times New Roman" w:hAnsi="Times New Roman" w:eastAsia="宋体" w:cs="Times New Roman"/>
                      <w:kern w:val="0"/>
                      <w:sz w:val="18"/>
                      <w:szCs w:val="18"/>
                      <w:lang w:bidi="ar"/>
                    </w:rPr>
                    <w:t>PM</w:t>
                  </w:r>
                  <w:r>
                    <w:rPr>
                      <w:rFonts w:ascii="Times New Roman" w:hAnsi="Times New Roman" w:eastAsia="宋体" w:cs="Times New Roman"/>
                      <w:kern w:val="0"/>
                      <w:sz w:val="18"/>
                      <w:szCs w:val="18"/>
                      <w:vertAlign w:val="subscript"/>
                      <w:lang w:bidi="ar"/>
                    </w:rPr>
                    <w:t>10</w:t>
                  </w:r>
                  <w:r>
                    <w:rPr>
                      <w:rFonts w:hint="eastAsia" w:ascii="Times New Roman" w:hAnsi="Times New Roman" w:eastAsia="宋体" w:cs="Times New Roman"/>
                      <w:kern w:val="0"/>
                      <w:sz w:val="18"/>
                      <w:szCs w:val="18"/>
                      <w:lang w:bidi="ar"/>
                    </w:rPr>
                    <w:t>）</w:t>
                  </w:r>
                </w:p>
              </w:tc>
              <w:tc>
                <w:tcPr>
                  <w:tcW w:w="1274" w:type="dxa"/>
                  <w:shd w:val="clear" w:color="auto" w:fill="auto"/>
                  <w:vAlign w:val="center"/>
                </w:tcPr>
                <w:p w14:paraId="05DB1FD4">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0.7920</w:t>
                  </w:r>
                </w:p>
              </w:tc>
              <w:tc>
                <w:tcPr>
                  <w:tcW w:w="1274" w:type="dxa"/>
                  <w:vMerge w:val="restart"/>
                  <w:shd w:val="clear" w:color="auto" w:fill="auto"/>
                  <w:vAlign w:val="center"/>
                </w:tcPr>
                <w:p w14:paraId="288773A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65</w:t>
                  </w:r>
                </w:p>
              </w:tc>
              <w:tc>
                <w:tcPr>
                  <w:tcW w:w="991" w:type="dxa"/>
                  <w:shd w:val="clear" w:color="auto" w:fill="auto"/>
                  <w:vAlign w:val="center"/>
                </w:tcPr>
                <w:p w14:paraId="65D26598">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0.1760</w:t>
                  </w:r>
                </w:p>
              </w:tc>
              <w:tc>
                <w:tcPr>
                  <w:tcW w:w="1134" w:type="dxa"/>
                  <w:shd w:val="clear" w:color="auto" w:fill="auto"/>
                  <w:vAlign w:val="center"/>
                </w:tcPr>
                <w:p w14:paraId="3EB0229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450</w:t>
                  </w:r>
                </w:p>
              </w:tc>
              <w:tc>
                <w:tcPr>
                  <w:tcW w:w="792" w:type="dxa"/>
                  <w:shd w:val="clear" w:color="auto" w:fill="auto"/>
                  <w:vAlign w:val="center"/>
                </w:tcPr>
                <w:p w14:paraId="2C2EEB68">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1843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2F5792BC">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4F8B4F02">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59A033B1">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SO</w:t>
                  </w:r>
                  <w:r>
                    <w:rPr>
                      <w:rFonts w:ascii="Times New Roman" w:hAnsi="Times New Roman" w:cs="Times New Roman"/>
                      <w:sz w:val="18"/>
                      <w:szCs w:val="18"/>
                      <w:vertAlign w:val="subscript"/>
                    </w:rPr>
                    <w:t>2</w:t>
                  </w:r>
                </w:p>
              </w:tc>
              <w:tc>
                <w:tcPr>
                  <w:tcW w:w="1274" w:type="dxa"/>
                  <w:shd w:val="clear" w:color="auto" w:fill="auto"/>
                  <w:vAlign w:val="center"/>
                </w:tcPr>
                <w:p w14:paraId="628B2848">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1.2449</w:t>
                  </w:r>
                </w:p>
              </w:tc>
              <w:tc>
                <w:tcPr>
                  <w:tcW w:w="1274" w:type="dxa"/>
                  <w:vMerge w:val="continue"/>
                  <w:shd w:val="clear" w:color="auto" w:fill="auto"/>
                  <w:vAlign w:val="center"/>
                </w:tcPr>
                <w:p w14:paraId="54EA3EB5">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3B1F75D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0.2490</w:t>
                  </w:r>
                </w:p>
              </w:tc>
              <w:tc>
                <w:tcPr>
                  <w:tcW w:w="1134" w:type="dxa"/>
                  <w:shd w:val="clear" w:color="auto" w:fill="auto"/>
                  <w:vAlign w:val="center"/>
                </w:tcPr>
                <w:p w14:paraId="101B42B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5</w:t>
                  </w:r>
                  <w:r>
                    <w:rPr>
                      <w:rFonts w:ascii="Times New Roman" w:hAnsi="Times New Roman" w:eastAsia="宋体" w:cs="Times New Roman"/>
                      <w:kern w:val="0"/>
                      <w:sz w:val="18"/>
                      <w:szCs w:val="18"/>
                      <w:lang w:bidi="ar"/>
                    </w:rPr>
                    <w:t>00</w:t>
                  </w:r>
                </w:p>
              </w:tc>
              <w:tc>
                <w:tcPr>
                  <w:tcW w:w="792" w:type="dxa"/>
                  <w:shd w:val="clear" w:color="auto" w:fill="auto"/>
                  <w:vAlign w:val="center"/>
                </w:tcPr>
                <w:p w14:paraId="14A1BCD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7328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3D2BE529">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3FFA3A51">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7124DAD4">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NO</w:t>
                  </w:r>
                  <w:r>
                    <w:rPr>
                      <w:rFonts w:hint="eastAsia" w:ascii="Times New Roman" w:hAnsi="Times New Roman" w:cs="Times New Roman"/>
                      <w:sz w:val="18"/>
                      <w:szCs w:val="18"/>
                    </w:rPr>
                    <w:t>x</w:t>
                  </w:r>
                </w:p>
              </w:tc>
              <w:tc>
                <w:tcPr>
                  <w:tcW w:w="1274" w:type="dxa"/>
                  <w:shd w:val="clear" w:color="auto" w:fill="auto"/>
                  <w:vAlign w:val="center"/>
                </w:tcPr>
                <w:p w14:paraId="04D360CB">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14.9674</w:t>
                  </w:r>
                </w:p>
              </w:tc>
              <w:tc>
                <w:tcPr>
                  <w:tcW w:w="1274" w:type="dxa"/>
                  <w:vMerge w:val="continue"/>
                  <w:shd w:val="clear" w:color="auto" w:fill="auto"/>
                  <w:vAlign w:val="center"/>
                </w:tcPr>
                <w:p w14:paraId="05A09792">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20108E5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5.9870</w:t>
                  </w:r>
                </w:p>
              </w:tc>
              <w:tc>
                <w:tcPr>
                  <w:tcW w:w="1134" w:type="dxa"/>
                  <w:shd w:val="clear" w:color="auto" w:fill="auto"/>
                  <w:vAlign w:val="center"/>
                </w:tcPr>
                <w:p w14:paraId="3658A36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50</w:t>
                  </w:r>
                </w:p>
              </w:tc>
              <w:tc>
                <w:tcPr>
                  <w:tcW w:w="792" w:type="dxa"/>
                  <w:shd w:val="clear" w:color="auto" w:fill="auto"/>
                  <w:vAlign w:val="center"/>
                </w:tcPr>
                <w:p w14:paraId="017CD950">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36D3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081645A4">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668BF577">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7F5C2A88">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4FF43105">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0.0260</w:t>
                  </w:r>
                </w:p>
              </w:tc>
              <w:tc>
                <w:tcPr>
                  <w:tcW w:w="1274" w:type="dxa"/>
                  <w:vMerge w:val="continue"/>
                  <w:shd w:val="clear" w:color="auto" w:fill="auto"/>
                  <w:vAlign w:val="center"/>
                </w:tcPr>
                <w:p w14:paraId="53AA671C">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548DE30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0.0130</w:t>
                  </w:r>
                </w:p>
              </w:tc>
              <w:tc>
                <w:tcPr>
                  <w:tcW w:w="1134" w:type="dxa"/>
                  <w:shd w:val="clear" w:color="auto" w:fill="auto"/>
                  <w:vAlign w:val="center"/>
                </w:tcPr>
                <w:p w14:paraId="6BE8EF7D">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534D14CE">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0AD0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1F6E3D0E">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33EB5BC8">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7ED07B02">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53AECE39">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0.0001</w:t>
                  </w:r>
                </w:p>
              </w:tc>
              <w:tc>
                <w:tcPr>
                  <w:tcW w:w="1274" w:type="dxa"/>
                  <w:vMerge w:val="continue"/>
                  <w:shd w:val="clear" w:color="auto" w:fill="auto"/>
                  <w:vAlign w:val="center"/>
                </w:tcPr>
                <w:p w14:paraId="07E9FA20">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442BFE1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0.0007</w:t>
                  </w:r>
                </w:p>
              </w:tc>
              <w:tc>
                <w:tcPr>
                  <w:tcW w:w="1134" w:type="dxa"/>
                  <w:shd w:val="clear" w:color="auto" w:fill="auto"/>
                  <w:vAlign w:val="center"/>
                </w:tcPr>
                <w:p w14:paraId="037C5A24">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3AA71970">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3D27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7E9A7DA9">
                  <w:pPr>
                    <w:snapToGrid w:val="0"/>
                    <w:jc w:val="center"/>
                    <w:rPr>
                      <w:rFonts w:ascii="Times New Roman" w:hAnsi="Times New Roman" w:eastAsia="宋体" w:cs="Times New Roman"/>
                      <w:kern w:val="0"/>
                      <w:sz w:val="18"/>
                      <w:szCs w:val="18"/>
                      <w:lang w:bidi="ar"/>
                    </w:rPr>
                  </w:pPr>
                </w:p>
              </w:tc>
              <w:tc>
                <w:tcPr>
                  <w:tcW w:w="992" w:type="dxa"/>
                  <w:vMerge w:val="restart"/>
                  <w:shd w:val="clear" w:color="auto" w:fill="auto"/>
                  <w:vAlign w:val="center"/>
                </w:tcPr>
                <w:p w14:paraId="31FB138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DA002</w:t>
                  </w:r>
                </w:p>
              </w:tc>
              <w:tc>
                <w:tcPr>
                  <w:tcW w:w="1035" w:type="dxa"/>
                  <w:shd w:val="clear" w:color="auto" w:fill="auto"/>
                  <w:vAlign w:val="center"/>
                </w:tcPr>
                <w:p w14:paraId="30B00572">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7330363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0.7405</w:t>
                  </w:r>
                </w:p>
              </w:tc>
              <w:tc>
                <w:tcPr>
                  <w:tcW w:w="1274" w:type="dxa"/>
                  <w:vMerge w:val="restart"/>
                  <w:shd w:val="clear" w:color="auto" w:fill="auto"/>
                  <w:vAlign w:val="center"/>
                </w:tcPr>
                <w:p w14:paraId="175CBD43">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78</w:t>
                  </w:r>
                </w:p>
              </w:tc>
              <w:tc>
                <w:tcPr>
                  <w:tcW w:w="991" w:type="dxa"/>
                  <w:shd w:val="clear" w:color="auto" w:fill="auto"/>
                  <w:vAlign w:val="center"/>
                </w:tcPr>
                <w:p w14:paraId="35FF634C">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0.3703</w:t>
                  </w:r>
                </w:p>
              </w:tc>
              <w:tc>
                <w:tcPr>
                  <w:tcW w:w="1134" w:type="dxa"/>
                  <w:shd w:val="clear" w:color="auto" w:fill="auto"/>
                  <w:vAlign w:val="center"/>
                </w:tcPr>
                <w:p w14:paraId="20190725">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60019E0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143F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53FF956F">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5548AA0A">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40E029A3">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101F1C43">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0.0019</w:t>
                  </w:r>
                </w:p>
              </w:tc>
              <w:tc>
                <w:tcPr>
                  <w:tcW w:w="1274" w:type="dxa"/>
                  <w:vMerge w:val="continue"/>
                  <w:shd w:val="clear" w:color="auto" w:fill="auto"/>
                  <w:vAlign w:val="center"/>
                </w:tcPr>
                <w:p w14:paraId="7AD7CD33">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356958F7">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0.0185</w:t>
                  </w:r>
                </w:p>
              </w:tc>
              <w:tc>
                <w:tcPr>
                  <w:tcW w:w="1134" w:type="dxa"/>
                  <w:shd w:val="clear" w:color="auto" w:fill="auto"/>
                  <w:vAlign w:val="center"/>
                </w:tcPr>
                <w:p w14:paraId="75DEA8EA">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25B673BA">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7630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shd w:val="clear" w:color="auto" w:fill="auto"/>
                  <w:vAlign w:val="center"/>
                </w:tcPr>
                <w:p w14:paraId="27459896">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无组织</w:t>
                  </w:r>
                </w:p>
              </w:tc>
              <w:tc>
                <w:tcPr>
                  <w:tcW w:w="992" w:type="dxa"/>
                  <w:vMerge w:val="restart"/>
                  <w:shd w:val="clear" w:color="auto" w:fill="auto"/>
                  <w:vAlign w:val="center"/>
                </w:tcPr>
                <w:p w14:paraId="3424262F">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无害化车间</w:t>
                  </w:r>
                </w:p>
              </w:tc>
              <w:tc>
                <w:tcPr>
                  <w:tcW w:w="1035" w:type="dxa"/>
                  <w:shd w:val="clear" w:color="auto" w:fill="auto"/>
                  <w:vAlign w:val="center"/>
                </w:tcPr>
                <w:p w14:paraId="066B12E1">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645984E6">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12.0510</w:t>
                  </w:r>
                </w:p>
              </w:tc>
              <w:tc>
                <w:tcPr>
                  <w:tcW w:w="1274" w:type="dxa"/>
                  <w:vMerge w:val="restart"/>
                  <w:shd w:val="clear" w:color="auto" w:fill="auto"/>
                  <w:vAlign w:val="center"/>
                </w:tcPr>
                <w:p w14:paraId="2D5325A7">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4</w:t>
                  </w:r>
                  <w:r>
                    <w:rPr>
                      <w:rFonts w:ascii="Times New Roman" w:hAnsi="Times New Roman" w:eastAsia="宋体" w:cs="Times New Roman"/>
                      <w:kern w:val="0"/>
                      <w:sz w:val="18"/>
                      <w:szCs w:val="18"/>
                      <w:lang w:bidi="ar"/>
                    </w:rPr>
                    <w:t>3</w:t>
                  </w:r>
                </w:p>
              </w:tc>
              <w:tc>
                <w:tcPr>
                  <w:tcW w:w="991" w:type="dxa"/>
                  <w:shd w:val="clear" w:color="auto" w:fill="auto"/>
                  <w:vAlign w:val="center"/>
                </w:tcPr>
                <w:p w14:paraId="29A796F1">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6.0255</w:t>
                  </w:r>
                </w:p>
              </w:tc>
              <w:tc>
                <w:tcPr>
                  <w:tcW w:w="1134" w:type="dxa"/>
                  <w:shd w:val="clear" w:color="auto" w:fill="auto"/>
                  <w:vAlign w:val="center"/>
                </w:tcPr>
                <w:p w14:paraId="00AAB963">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56A1C73A">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1524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4882816D">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22152913">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77504253">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753BC5BD">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0.0377</w:t>
                  </w:r>
                </w:p>
              </w:tc>
              <w:tc>
                <w:tcPr>
                  <w:tcW w:w="1274" w:type="dxa"/>
                  <w:vMerge w:val="continue"/>
                  <w:shd w:val="clear" w:color="auto" w:fill="auto"/>
                  <w:vAlign w:val="center"/>
                </w:tcPr>
                <w:p w14:paraId="69DAC5E4">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5020989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0.3766</w:t>
                  </w:r>
                </w:p>
              </w:tc>
              <w:tc>
                <w:tcPr>
                  <w:tcW w:w="1134" w:type="dxa"/>
                  <w:shd w:val="clear" w:color="auto" w:fill="auto"/>
                  <w:vAlign w:val="center"/>
                </w:tcPr>
                <w:p w14:paraId="25393C3F">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40FB2374">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4C8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063E6636">
                  <w:pPr>
                    <w:snapToGrid w:val="0"/>
                    <w:jc w:val="center"/>
                    <w:rPr>
                      <w:rFonts w:ascii="Times New Roman" w:hAnsi="Times New Roman" w:eastAsia="宋体" w:cs="Times New Roman"/>
                      <w:kern w:val="0"/>
                      <w:sz w:val="18"/>
                      <w:szCs w:val="18"/>
                      <w:lang w:bidi="ar"/>
                    </w:rPr>
                  </w:pPr>
                </w:p>
              </w:tc>
              <w:tc>
                <w:tcPr>
                  <w:tcW w:w="992" w:type="dxa"/>
                  <w:vMerge w:val="restart"/>
                  <w:shd w:val="clear" w:color="auto" w:fill="auto"/>
                  <w:vAlign w:val="center"/>
                </w:tcPr>
                <w:p w14:paraId="3778217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污水处理站</w:t>
                  </w:r>
                </w:p>
              </w:tc>
              <w:tc>
                <w:tcPr>
                  <w:tcW w:w="1035" w:type="dxa"/>
                  <w:shd w:val="clear" w:color="auto" w:fill="auto"/>
                  <w:vAlign w:val="center"/>
                </w:tcPr>
                <w:p w14:paraId="0F7F620D">
                  <w:pPr>
                    <w:snapToGrid w:val="0"/>
                    <w:jc w:val="center"/>
                    <w:rPr>
                      <w:rFonts w:ascii="Times New Roman" w:hAnsi="Times New Roman" w:eastAsia="宋体" w:cs="Times New Roman"/>
                      <w:kern w:val="0"/>
                      <w:sz w:val="18"/>
                      <w:szCs w:val="18"/>
                      <w:lang w:bidi="ar"/>
                    </w:rPr>
                  </w:pPr>
                  <w:r>
                    <w:rPr>
                      <w:rFonts w:hint="eastAsia" w:ascii="Times New Roman" w:hAnsi="Times New Roman" w:cs="Times New Roman"/>
                      <w:sz w:val="18"/>
                      <w:szCs w:val="18"/>
                    </w:rPr>
                    <w:t>N</w:t>
                  </w:r>
                  <w:r>
                    <w:rPr>
                      <w:rFonts w:ascii="Times New Roman" w:hAnsi="Times New Roman" w:cs="Times New Roman"/>
                      <w:sz w:val="18"/>
                      <w:szCs w:val="18"/>
                    </w:rPr>
                    <w:t>H</w:t>
                  </w:r>
                  <w:r>
                    <w:rPr>
                      <w:rFonts w:ascii="Times New Roman" w:hAnsi="Times New Roman" w:cs="Times New Roman"/>
                      <w:sz w:val="18"/>
                      <w:szCs w:val="18"/>
                      <w:vertAlign w:val="subscript"/>
                    </w:rPr>
                    <w:t>3</w:t>
                  </w:r>
                </w:p>
              </w:tc>
              <w:tc>
                <w:tcPr>
                  <w:tcW w:w="1274" w:type="dxa"/>
                  <w:shd w:val="clear" w:color="auto" w:fill="auto"/>
                  <w:vAlign w:val="center"/>
                </w:tcPr>
                <w:p w14:paraId="13E1C735">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33.2440</w:t>
                  </w:r>
                </w:p>
              </w:tc>
              <w:tc>
                <w:tcPr>
                  <w:tcW w:w="1274" w:type="dxa"/>
                  <w:vMerge w:val="restart"/>
                  <w:shd w:val="clear" w:color="auto" w:fill="auto"/>
                  <w:vAlign w:val="center"/>
                </w:tcPr>
                <w:p w14:paraId="123DEAB2">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w:t>
                  </w:r>
                </w:p>
              </w:tc>
              <w:tc>
                <w:tcPr>
                  <w:tcW w:w="991" w:type="dxa"/>
                  <w:shd w:val="clear" w:color="auto" w:fill="auto"/>
                  <w:vAlign w:val="center"/>
                </w:tcPr>
                <w:p w14:paraId="7088A75A">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16.6220</w:t>
                  </w:r>
                </w:p>
              </w:tc>
              <w:tc>
                <w:tcPr>
                  <w:tcW w:w="1134" w:type="dxa"/>
                  <w:shd w:val="clear" w:color="auto" w:fill="auto"/>
                  <w:vAlign w:val="center"/>
                </w:tcPr>
                <w:p w14:paraId="775B4679">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00</w:t>
                  </w:r>
                </w:p>
              </w:tc>
              <w:tc>
                <w:tcPr>
                  <w:tcW w:w="792" w:type="dxa"/>
                  <w:shd w:val="clear" w:color="auto" w:fill="auto"/>
                  <w:vAlign w:val="center"/>
                </w:tcPr>
                <w:p w14:paraId="6DF1BBF8">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tr w14:paraId="464A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shd w:val="clear" w:color="auto" w:fill="auto"/>
                  <w:vAlign w:val="center"/>
                </w:tcPr>
                <w:p w14:paraId="52C7D452">
                  <w:pPr>
                    <w:snapToGrid w:val="0"/>
                    <w:jc w:val="center"/>
                    <w:rPr>
                      <w:rFonts w:ascii="Times New Roman" w:hAnsi="Times New Roman" w:eastAsia="宋体" w:cs="Times New Roman"/>
                      <w:kern w:val="0"/>
                      <w:sz w:val="18"/>
                      <w:szCs w:val="18"/>
                      <w:lang w:bidi="ar"/>
                    </w:rPr>
                  </w:pPr>
                </w:p>
              </w:tc>
              <w:tc>
                <w:tcPr>
                  <w:tcW w:w="992" w:type="dxa"/>
                  <w:vMerge w:val="continue"/>
                  <w:shd w:val="clear" w:color="auto" w:fill="auto"/>
                  <w:vAlign w:val="center"/>
                </w:tcPr>
                <w:p w14:paraId="44BF550D">
                  <w:pPr>
                    <w:snapToGrid w:val="0"/>
                    <w:jc w:val="center"/>
                    <w:rPr>
                      <w:rFonts w:ascii="Times New Roman" w:hAnsi="Times New Roman" w:eastAsia="宋体" w:cs="Times New Roman"/>
                      <w:kern w:val="0"/>
                      <w:sz w:val="18"/>
                      <w:szCs w:val="18"/>
                      <w:lang w:bidi="ar"/>
                    </w:rPr>
                  </w:pPr>
                </w:p>
              </w:tc>
              <w:tc>
                <w:tcPr>
                  <w:tcW w:w="1035" w:type="dxa"/>
                  <w:shd w:val="clear" w:color="auto" w:fill="auto"/>
                  <w:vAlign w:val="center"/>
                </w:tcPr>
                <w:p w14:paraId="34C8F704">
                  <w:pPr>
                    <w:snapToGrid w:val="0"/>
                    <w:jc w:val="center"/>
                    <w:rPr>
                      <w:rFonts w:ascii="Times New Roman" w:hAnsi="Times New Roman" w:eastAsia="宋体" w:cs="Times New Roman"/>
                      <w:kern w:val="0"/>
                      <w:sz w:val="18"/>
                      <w:szCs w:val="18"/>
                      <w:lang w:bidi="ar"/>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w:t>
                  </w:r>
                </w:p>
              </w:tc>
              <w:tc>
                <w:tcPr>
                  <w:tcW w:w="1274" w:type="dxa"/>
                  <w:shd w:val="clear" w:color="auto" w:fill="auto"/>
                  <w:vAlign w:val="center"/>
                </w:tcPr>
                <w:p w14:paraId="65D30EFC">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2.0316</w:t>
                  </w:r>
                </w:p>
              </w:tc>
              <w:tc>
                <w:tcPr>
                  <w:tcW w:w="1274" w:type="dxa"/>
                  <w:vMerge w:val="continue"/>
                  <w:shd w:val="clear" w:color="auto" w:fill="auto"/>
                  <w:vAlign w:val="center"/>
                </w:tcPr>
                <w:p w14:paraId="46E541C0">
                  <w:pPr>
                    <w:snapToGrid w:val="0"/>
                    <w:jc w:val="center"/>
                    <w:rPr>
                      <w:rFonts w:ascii="Times New Roman" w:hAnsi="Times New Roman" w:eastAsia="宋体" w:cs="Times New Roman"/>
                      <w:kern w:val="0"/>
                      <w:sz w:val="18"/>
                      <w:szCs w:val="18"/>
                      <w:lang w:bidi="ar"/>
                    </w:rPr>
                  </w:pPr>
                </w:p>
              </w:tc>
              <w:tc>
                <w:tcPr>
                  <w:tcW w:w="991" w:type="dxa"/>
                  <w:shd w:val="clear" w:color="auto" w:fill="auto"/>
                  <w:vAlign w:val="center"/>
                </w:tcPr>
                <w:p w14:paraId="310B9D8D">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20.3158</w:t>
                  </w:r>
                </w:p>
              </w:tc>
              <w:tc>
                <w:tcPr>
                  <w:tcW w:w="1134" w:type="dxa"/>
                  <w:shd w:val="clear" w:color="auto" w:fill="auto"/>
                  <w:vAlign w:val="center"/>
                </w:tcPr>
                <w:p w14:paraId="56F9EB30">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0</w:t>
                  </w:r>
                </w:p>
              </w:tc>
              <w:tc>
                <w:tcPr>
                  <w:tcW w:w="792" w:type="dxa"/>
                  <w:shd w:val="clear" w:color="auto" w:fill="auto"/>
                  <w:vAlign w:val="center"/>
                </w:tcPr>
                <w:p w14:paraId="4FA955F2">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w:t>
                  </w:r>
                </w:p>
              </w:tc>
            </w:tr>
            <w:bookmarkEnd w:id="72"/>
          </w:tbl>
          <w:p w14:paraId="5ADFC35B">
            <w:pPr>
              <w:jc w:val="center"/>
              <w:rPr>
                <w:b/>
                <w:bCs/>
                <w:szCs w:val="21"/>
                <w:highlight w:val="red"/>
              </w:rPr>
            </w:pPr>
          </w:p>
          <w:p w14:paraId="41ED949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根据上表可知，本项目</w:t>
            </w:r>
            <w:r>
              <w:rPr>
                <w:rFonts w:hint="eastAsia" w:ascii="Times New Roman" w:hAnsi="Times New Roman" w:cs="Times New Roman"/>
              </w:rPr>
              <w:t>生产废气</w:t>
            </w:r>
            <w:r>
              <w:rPr>
                <w:rFonts w:ascii="Times New Roman" w:hAnsi="Times New Roman" w:cs="Times New Roman"/>
              </w:rPr>
              <w:t>对区域大气环境的环境影响较小，不会改变当地环境空气质量级别</w:t>
            </w:r>
            <w:r>
              <w:rPr>
                <w:rFonts w:hint="eastAsia" w:ascii="Times New Roman" w:hAnsi="Times New Roman" w:cs="Times New Roman"/>
              </w:rPr>
              <w:t>。</w:t>
            </w:r>
          </w:p>
          <w:p w14:paraId="07970B9D">
            <w:pPr>
              <w:pStyle w:val="10"/>
              <w:spacing w:line="360" w:lineRule="auto"/>
              <w:ind w:left="0" w:right="105" w:rightChars="50" w:firstLine="240" w:firstLineChars="100"/>
            </w:pPr>
            <w:r>
              <w:rPr>
                <w:rFonts w:hint="eastAsia" w:ascii="Times New Roman" w:hAnsi="Times New Roman" w:cs="Times New Roman"/>
              </w:rPr>
              <w:t>运行期的车辆尾气及食堂油烟产生强度和产生量均较小，对区域大气环境影响轻微。</w:t>
            </w:r>
          </w:p>
          <w:p w14:paraId="46BA8126">
            <w:pPr>
              <w:pStyle w:val="10"/>
              <w:spacing w:line="360" w:lineRule="auto"/>
              <w:ind w:left="0" w:right="105" w:rightChars="50" w:firstLine="240" w:firstLineChars="100"/>
              <w:rPr>
                <w:rFonts w:ascii="Times New Roman" w:hAnsi="Times New Roman" w:cs="Times New Roman"/>
              </w:rPr>
            </w:pPr>
            <w:bookmarkStart w:id="73" w:name="_Hlk76582020"/>
            <w:r>
              <w:rPr>
                <w:rFonts w:hint="eastAsia" w:ascii="Times New Roman" w:hAnsi="Times New Roman" w:cs="Times New Roman"/>
              </w:rPr>
              <w:t>6、</w:t>
            </w:r>
            <w:r>
              <w:rPr>
                <w:rFonts w:ascii="Times New Roman" w:hAnsi="Times New Roman" w:cs="Times New Roman"/>
              </w:rPr>
              <w:t>自行监测方案</w:t>
            </w:r>
          </w:p>
          <w:bookmarkEnd w:id="73"/>
          <w:p w14:paraId="006C2819">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建设单位废气污染源应依据《排污单位自行监测技术指南总则》</w:t>
            </w:r>
          </w:p>
          <w:p w14:paraId="12FFEC3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(HJ819-2017)</w:t>
            </w:r>
            <w:r>
              <w:rPr>
                <w:rFonts w:hint="eastAsia" w:ascii="Times New Roman" w:hAnsi="Times New Roman" w:cs="Times New Roman"/>
              </w:rPr>
              <w:t>、《排污许可证申请与核发技术规范</w:t>
            </w:r>
            <w:r>
              <w:rPr>
                <w:rFonts w:ascii="Times New Roman" w:hAnsi="Times New Roman" w:cs="Times New Roman"/>
              </w:rPr>
              <w:t>农副食品加工业——屠宰及肉类加工工业</w:t>
            </w:r>
            <w:r>
              <w:rPr>
                <w:rFonts w:hint="eastAsia" w:ascii="Times New Roman" w:hAnsi="Times New Roman" w:cs="Times New Roman"/>
              </w:rPr>
              <w:t>》</w:t>
            </w:r>
            <w:r>
              <w:rPr>
                <w:rFonts w:ascii="Times New Roman" w:hAnsi="Times New Roman" w:cs="Times New Roman"/>
              </w:rPr>
              <w:t>(HJ 860.3-2018)</w:t>
            </w:r>
            <w:r>
              <w:rPr>
                <w:rFonts w:hint="eastAsia" w:ascii="Times New Roman" w:hAnsi="Times New Roman" w:cs="Times New Roman"/>
              </w:rPr>
              <w:t>等要求开展自行监测，营运期环境监测计划详见下表。</w:t>
            </w:r>
          </w:p>
          <w:p w14:paraId="6CE56CCA">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表4-15    项目废气监测方</w:t>
            </w:r>
            <w:r>
              <w:rPr>
                <w:rFonts w:hint="eastAsia" w:ascii="Times New Roman" w:hAnsi="Times New Roman" w:eastAsia="宋体" w:cs="Times New Roman"/>
                <w:b/>
                <w:szCs w:val="21"/>
              </w:rPr>
              <w:t>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5"/>
              <w:gridCol w:w="1290"/>
              <w:gridCol w:w="1045"/>
              <w:gridCol w:w="970"/>
              <w:gridCol w:w="3097"/>
            </w:tblGrid>
            <w:tr w14:paraId="04045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dxa"/>
                  <w:tcBorders>
                    <w:top w:val="single" w:color="auto" w:sz="12" w:space="0"/>
                    <w:left w:val="single" w:color="auto" w:sz="12" w:space="0"/>
                    <w:bottom w:val="single" w:color="auto" w:sz="4" w:space="0"/>
                    <w:right w:val="single" w:color="auto" w:sz="4" w:space="0"/>
                  </w:tcBorders>
                  <w:vAlign w:val="center"/>
                </w:tcPr>
                <w:p w14:paraId="13A04189">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监测类别</w:t>
                  </w:r>
                </w:p>
              </w:tc>
              <w:tc>
                <w:tcPr>
                  <w:tcW w:w="835" w:type="dxa"/>
                  <w:tcBorders>
                    <w:top w:val="single" w:color="auto" w:sz="12" w:space="0"/>
                    <w:left w:val="single" w:color="auto" w:sz="4" w:space="0"/>
                    <w:bottom w:val="single" w:color="auto" w:sz="4" w:space="0"/>
                    <w:right w:val="single" w:color="auto" w:sz="4" w:space="0"/>
                  </w:tcBorders>
                  <w:vAlign w:val="center"/>
                </w:tcPr>
                <w:p w14:paraId="79CE1303">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监测地点</w:t>
                  </w:r>
                </w:p>
              </w:tc>
              <w:tc>
                <w:tcPr>
                  <w:tcW w:w="1290" w:type="dxa"/>
                  <w:tcBorders>
                    <w:top w:val="single" w:color="auto" w:sz="12" w:space="0"/>
                    <w:left w:val="single" w:color="auto" w:sz="4" w:space="0"/>
                    <w:bottom w:val="single" w:color="auto" w:sz="4" w:space="0"/>
                    <w:right w:val="single" w:color="auto" w:sz="4" w:space="0"/>
                  </w:tcBorders>
                  <w:vAlign w:val="center"/>
                </w:tcPr>
                <w:p w14:paraId="6A5A3DAA">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监测点位</w:t>
                  </w:r>
                </w:p>
              </w:tc>
              <w:tc>
                <w:tcPr>
                  <w:tcW w:w="1045" w:type="dxa"/>
                  <w:tcBorders>
                    <w:top w:val="single" w:color="auto" w:sz="12" w:space="0"/>
                    <w:left w:val="single" w:color="auto" w:sz="4" w:space="0"/>
                    <w:bottom w:val="single" w:color="auto" w:sz="4" w:space="0"/>
                    <w:right w:val="single" w:color="auto" w:sz="4" w:space="0"/>
                  </w:tcBorders>
                  <w:vAlign w:val="center"/>
                </w:tcPr>
                <w:p w14:paraId="623A5C94">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监测项目</w:t>
                  </w:r>
                </w:p>
              </w:tc>
              <w:tc>
                <w:tcPr>
                  <w:tcW w:w="970" w:type="dxa"/>
                  <w:tcBorders>
                    <w:top w:val="single" w:color="auto" w:sz="12" w:space="0"/>
                    <w:left w:val="single" w:color="auto" w:sz="4" w:space="0"/>
                    <w:bottom w:val="single" w:color="auto" w:sz="4" w:space="0"/>
                    <w:right w:val="single" w:color="auto" w:sz="4" w:space="0"/>
                  </w:tcBorders>
                  <w:vAlign w:val="center"/>
                </w:tcPr>
                <w:p w14:paraId="1B525288">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监测频次</w:t>
                  </w:r>
                </w:p>
              </w:tc>
              <w:tc>
                <w:tcPr>
                  <w:tcW w:w="3097" w:type="dxa"/>
                  <w:tcBorders>
                    <w:top w:val="single" w:color="auto" w:sz="12" w:space="0"/>
                    <w:left w:val="single" w:color="auto" w:sz="4" w:space="0"/>
                    <w:bottom w:val="single" w:color="auto" w:sz="4" w:space="0"/>
                    <w:right w:val="single" w:color="auto" w:sz="12" w:space="0"/>
                  </w:tcBorders>
                  <w:vAlign w:val="center"/>
                </w:tcPr>
                <w:p w14:paraId="0D2B9F1C">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执行标准</w:t>
                  </w:r>
                </w:p>
              </w:tc>
            </w:tr>
            <w:tr w14:paraId="15C7E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12" w:space="0"/>
                    <w:bottom w:val="single" w:color="auto" w:sz="4" w:space="0"/>
                    <w:right w:val="single" w:color="auto" w:sz="4" w:space="0"/>
                  </w:tcBorders>
                  <w:vAlign w:val="center"/>
                </w:tcPr>
                <w:p w14:paraId="3D661109">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有组织废气</w:t>
                  </w:r>
                </w:p>
              </w:tc>
              <w:tc>
                <w:tcPr>
                  <w:tcW w:w="835" w:type="dxa"/>
                  <w:tcBorders>
                    <w:top w:val="single" w:color="auto" w:sz="4" w:space="0"/>
                    <w:left w:val="single" w:color="auto" w:sz="4" w:space="0"/>
                    <w:bottom w:val="single" w:color="auto" w:sz="4" w:space="0"/>
                    <w:right w:val="single" w:color="auto" w:sz="4" w:space="0"/>
                  </w:tcBorders>
                  <w:vAlign w:val="center"/>
                </w:tcPr>
                <w:p w14:paraId="49298244">
                  <w:pPr>
                    <w:snapToGrid w:val="0"/>
                    <w:jc w:val="center"/>
                    <w:rPr>
                      <w:rFonts w:ascii="Times New Roman" w:hAnsi="Times New Roman" w:eastAsia="宋体" w:cs="Times New Roman"/>
                      <w:szCs w:val="21"/>
                    </w:rPr>
                  </w:pPr>
                  <w:r>
                    <w:rPr>
                      <w:rFonts w:ascii="Times New Roman" w:hAnsi="Times New Roman" w:eastAsia="宋体" w:cs="Times New Roman"/>
                      <w:szCs w:val="21"/>
                    </w:rPr>
                    <w:t>DA001</w:t>
                  </w:r>
                  <w:r>
                    <w:rPr>
                      <w:rFonts w:hint="eastAsia" w:ascii="Times New Roman" w:hAnsi="Times New Roman" w:eastAsia="宋体" w:cs="Times New Roman"/>
                      <w:szCs w:val="21"/>
                    </w:rPr>
                    <w:t>排气筒</w:t>
                  </w:r>
                </w:p>
              </w:tc>
              <w:tc>
                <w:tcPr>
                  <w:tcW w:w="1290" w:type="dxa"/>
                  <w:tcBorders>
                    <w:top w:val="single" w:color="auto" w:sz="4" w:space="0"/>
                    <w:left w:val="single" w:color="auto" w:sz="4" w:space="0"/>
                    <w:bottom w:val="single" w:color="auto" w:sz="4" w:space="0"/>
                    <w:right w:val="single" w:color="auto" w:sz="4" w:space="0"/>
                  </w:tcBorders>
                  <w:vAlign w:val="center"/>
                </w:tcPr>
                <w:p w14:paraId="4E7AFE92">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锅炉尾气排放口</w:t>
                  </w:r>
                </w:p>
              </w:tc>
              <w:tc>
                <w:tcPr>
                  <w:tcW w:w="1045" w:type="dxa"/>
                  <w:tcBorders>
                    <w:top w:val="single" w:color="auto" w:sz="4" w:space="0"/>
                    <w:left w:val="single" w:color="auto" w:sz="4" w:space="0"/>
                    <w:bottom w:val="single" w:color="auto" w:sz="4" w:space="0"/>
                    <w:right w:val="single" w:color="auto" w:sz="4" w:space="0"/>
                  </w:tcBorders>
                  <w:vAlign w:val="center"/>
                </w:tcPr>
                <w:p w14:paraId="7CC9A366">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颗粒物</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、NO</w:t>
                  </w:r>
                  <w:r>
                    <w:rPr>
                      <w:rFonts w:hint="eastAsia" w:ascii="Times New Roman" w:hAnsi="Times New Roman" w:cs="Times New Roman"/>
                      <w:szCs w:val="21"/>
                    </w:rPr>
                    <w:t>x、N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970" w:type="dxa"/>
                  <w:tcBorders>
                    <w:top w:val="single" w:color="auto" w:sz="4" w:space="0"/>
                    <w:left w:val="single" w:color="auto" w:sz="4" w:space="0"/>
                    <w:bottom w:val="single" w:color="auto" w:sz="4" w:space="0"/>
                    <w:right w:val="single" w:color="auto" w:sz="4" w:space="0"/>
                  </w:tcBorders>
                  <w:vAlign w:val="center"/>
                </w:tcPr>
                <w:p w14:paraId="284B5E04">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1次/半年</w:t>
                  </w:r>
                </w:p>
              </w:tc>
              <w:tc>
                <w:tcPr>
                  <w:tcW w:w="3097" w:type="dxa"/>
                  <w:tcBorders>
                    <w:top w:val="single" w:color="auto" w:sz="4" w:space="0"/>
                    <w:left w:val="single" w:color="auto" w:sz="4" w:space="0"/>
                    <w:bottom w:val="single" w:color="auto" w:sz="4" w:space="0"/>
                    <w:right w:val="single" w:color="auto" w:sz="12" w:space="0"/>
                  </w:tcBorders>
                  <w:vAlign w:val="center"/>
                </w:tcPr>
                <w:p w14:paraId="76A7D5A4">
                  <w:pPr>
                    <w:snapToGrid w:val="0"/>
                    <w:jc w:val="center"/>
                    <w:rPr>
                      <w:rFonts w:ascii="Times New Roman" w:hAnsi="Times New Roman" w:eastAsia="宋体" w:cs="Times New Roman"/>
                      <w:szCs w:val="21"/>
                    </w:rPr>
                  </w:pPr>
                  <w:r>
                    <w:rPr>
                      <w:rFonts w:hint="eastAsia" w:ascii="Times New Roman" w:hAnsi="Times New Roman" w:eastAsia="宋体" w:cs="Times New Roman"/>
                      <w:bCs/>
                      <w:szCs w:val="21"/>
                    </w:rPr>
                    <w:t>烟尘、</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eastAsia="宋体" w:cs="Times New Roman"/>
                      <w:bCs/>
                      <w:szCs w:val="21"/>
                    </w:rPr>
                    <w:t>、</w:t>
                  </w:r>
                  <w:r>
                    <w:rPr>
                      <w:rFonts w:ascii="Times New Roman" w:hAnsi="Times New Roman" w:cs="Times New Roman"/>
                      <w:szCs w:val="21"/>
                    </w:rPr>
                    <w:t>NO</w:t>
                  </w:r>
                  <w:r>
                    <w:rPr>
                      <w:rFonts w:hint="eastAsia" w:ascii="Times New Roman" w:hAnsi="Times New Roman" w:cs="Times New Roman"/>
                      <w:szCs w:val="21"/>
                    </w:rPr>
                    <w:t>x执行</w:t>
                  </w:r>
                  <w:r>
                    <w:rPr>
                      <w:rFonts w:ascii="Times New Roman" w:hAnsi="Times New Roman" w:eastAsia="宋体" w:cs="Times New Roman"/>
                      <w:bCs/>
                      <w:szCs w:val="21"/>
                    </w:rPr>
                    <w:t>《锅炉大气污染物排放标准》（GB13271-2014）</w:t>
                  </w:r>
                  <w:r>
                    <w:rPr>
                      <w:rFonts w:hint="eastAsia" w:ascii="Times New Roman" w:hAnsi="Times New Roman" w:eastAsia="宋体" w:cs="Times New Roman"/>
                      <w:bCs/>
                      <w:szCs w:val="21"/>
                    </w:rPr>
                    <w:t>表2中</w:t>
                  </w:r>
                  <w:r>
                    <w:rPr>
                      <w:rFonts w:ascii="Times New Roman" w:hAnsi="Times New Roman" w:eastAsia="宋体" w:cs="Times New Roman"/>
                      <w:bCs/>
                      <w:szCs w:val="21"/>
                    </w:rPr>
                    <w:t>燃</w:t>
                  </w:r>
                  <w:r>
                    <w:rPr>
                      <w:rFonts w:hint="eastAsia" w:ascii="Times New Roman" w:hAnsi="Times New Roman" w:eastAsia="宋体" w:cs="Times New Roman"/>
                      <w:bCs/>
                      <w:szCs w:val="21"/>
                    </w:rPr>
                    <w:t>煤</w:t>
                  </w:r>
                  <w:r>
                    <w:rPr>
                      <w:rFonts w:ascii="Times New Roman" w:hAnsi="Times New Roman" w:eastAsia="宋体" w:cs="Times New Roman"/>
                      <w:bCs/>
                      <w:szCs w:val="21"/>
                    </w:rPr>
                    <w:t>锅炉排放限值</w:t>
                  </w:r>
                  <w:r>
                    <w:rPr>
                      <w:rFonts w:hint="eastAsia" w:ascii="Times New Roman" w:hAnsi="Times New Roman" w:eastAsia="宋体" w:cs="Times New Roman"/>
                      <w:bCs/>
                      <w:szCs w:val="21"/>
                    </w:rPr>
                    <w:t>，</w:t>
                  </w: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eastAsia="宋体" w:cs="Times New Roman"/>
                      <w:bCs/>
                      <w:szCs w:val="21"/>
                    </w:rPr>
                    <w:t>《恶臭污染物排放标准》(GB14554-93）表2中相应标准</w:t>
                  </w:r>
                </w:p>
              </w:tc>
            </w:tr>
            <w:tr w14:paraId="4379F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880" w:type="dxa"/>
                  <w:tcBorders>
                    <w:top w:val="single" w:color="auto" w:sz="4" w:space="0"/>
                    <w:left w:val="single" w:color="auto" w:sz="12" w:space="0"/>
                    <w:right w:val="single" w:color="auto" w:sz="4" w:space="0"/>
                  </w:tcBorders>
                  <w:vAlign w:val="center"/>
                </w:tcPr>
                <w:p w14:paraId="1E89FD0D">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有组织废气</w:t>
                  </w:r>
                </w:p>
              </w:tc>
              <w:tc>
                <w:tcPr>
                  <w:tcW w:w="835" w:type="dxa"/>
                  <w:tcBorders>
                    <w:top w:val="single" w:color="auto" w:sz="4" w:space="0"/>
                    <w:left w:val="single" w:color="auto" w:sz="4" w:space="0"/>
                    <w:right w:val="single" w:color="auto" w:sz="4" w:space="0"/>
                  </w:tcBorders>
                  <w:vAlign w:val="center"/>
                </w:tcPr>
                <w:p w14:paraId="08C2A2B5">
                  <w:pPr>
                    <w:snapToGrid w:val="0"/>
                    <w:jc w:val="center"/>
                    <w:rPr>
                      <w:rFonts w:ascii="Times New Roman" w:hAnsi="Times New Roman" w:eastAsia="宋体" w:cs="Times New Roman"/>
                      <w:szCs w:val="21"/>
                    </w:rPr>
                  </w:pPr>
                  <w:r>
                    <w:rPr>
                      <w:rFonts w:ascii="Times New Roman" w:hAnsi="Times New Roman" w:eastAsia="宋体" w:cs="Times New Roman"/>
                      <w:szCs w:val="21"/>
                    </w:rPr>
                    <w:t>DA002</w:t>
                  </w:r>
                  <w:r>
                    <w:rPr>
                      <w:rFonts w:hint="eastAsia" w:ascii="Times New Roman" w:hAnsi="Times New Roman" w:eastAsia="宋体" w:cs="Times New Roman"/>
                      <w:szCs w:val="21"/>
                    </w:rPr>
                    <w:t>排气筒</w:t>
                  </w:r>
                </w:p>
              </w:tc>
              <w:tc>
                <w:tcPr>
                  <w:tcW w:w="1290" w:type="dxa"/>
                  <w:tcBorders>
                    <w:top w:val="single" w:color="auto" w:sz="4" w:space="0"/>
                    <w:left w:val="single" w:color="auto" w:sz="4" w:space="0"/>
                    <w:right w:val="single" w:color="auto" w:sz="4" w:space="0"/>
                  </w:tcBorders>
                  <w:vAlign w:val="center"/>
                </w:tcPr>
                <w:p w14:paraId="04C38270">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车间废气排放口</w:t>
                  </w:r>
                </w:p>
              </w:tc>
              <w:tc>
                <w:tcPr>
                  <w:tcW w:w="1045" w:type="dxa"/>
                  <w:tcBorders>
                    <w:top w:val="single" w:color="auto" w:sz="4" w:space="0"/>
                    <w:left w:val="single" w:color="auto" w:sz="4" w:space="0"/>
                    <w:right w:val="single" w:color="auto" w:sz="4" w:space="0"/>
                  </w:tcBorders>
                  <w:vAlign w:val="center"/>
                </w:tcPr>
                <w:p w14:paraId="7A089968">
                  <w:pPr>
                    <w:snapToGrid w:val="0"/>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970" w:type="dxa"/>
                  <w:tcBorders>
                    <w:top w:val="single" w:color="auto" w:sz="4" w:space="0"/>
                    <w:left w:val="single" w:color="auto" w:sz="4" w:space="0"/>
                    <w:right w:val="single" w:color="auto" w:sz="4" w:space="0"/>
                  </w:tcBorders>
                  <w:vAlign w:val="center"/>
                </w:tcPr>
                <w:p w14:paraId="593629AF">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1次/半年</w:t>
                  </w:r>
                </w:p>
              </w:tc>
              <w:tc>
                <w:tcPr>
                  <w:tcW w:w="3097" w:type="dxa"/>
                  <w:tcBorders>
                    <w:top w:val="single" w:color="auto" w:sz="4" w:space="0"/>
                    <w:left w:val="single" w:color="auto" w:sz="4" w:space="0"/>
                    <w:right w:val="single" w:color="auto" w:sz="12" w:space="0"/>
                  </w:tcBorders>
                  <w:vAlign w:val="center"/>
                </w:tcPr>
                <w:p w14:paraId="40B05D72">
                  <w:pPr>
                    <w:snapToGrid w:val="0"/>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eastAsia="宋体" w:cs="Times New Roman"/>
                      <w:bCs/>
                      <w:szCs w:val="21"/>
                    </w:rPr>
                    <w:t>《恶臭污染物排放标准》(GB14554-93）表2中相应标准</w:t>
                  </w:r>
                </w:p>
              </w:tc>
            </w:tr>
            <w:tr w14:paraId="275FD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12" w:space="0"/>
                    <w:bottom w:val="single" w:color="auto" w:sz="12" w:space="0"/>
                    <w:right w:val="single" w:color="auto" w:sz="4" w:space="0"/>
                  </w:tcBorders>
                  <w:vAlign w:val="center"/>
                </w:tcPr>
                <w:p w14:paraId="799F3267">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无组织废气</w:t>
                  </w:r>
                </w:p>
              </w:tc>
              <w:tc>
                <w:tcPr>
                  <w:tcW w:w="835" w:type="dxa"/>
                  <w:tcBorders>
                    <w:top w:val="single" w:color="auto" w:sz="4" w:space="0"/>
                    <w:left w:val="single" w:color="auto" w:sz="4" w:space="0"/>
                    <w:bottom w:val="single" w:color="auto" w:sz="12" w:space="0"/>
                    <w:right w:val="single" w:color="auto" w:sz="4" w:space="0"/>
                  </w:tcBorders>
                  <w:vAlign w:val="center"/>
                </w:tcPr>
                <w:p w14:paraId="748A884C">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项目厂界</w:t>
                  </w:r>
                </w:p>
              </w:tc>
              <w:tc>
                <w:tcPr>
                  <w:tcW w:w="1290" w:type="dxa"/>
                  <w:tcBorders>
                    <w:top w:val="single" w:color="auto" w:sz="4" w:space="0"/>
                    <w:left w:val="single" w:color="auto" w:sz="4" w:space="0"/>
                    <w:bottom w:val="single" w:color="auto" w:sz="12" w:space="0"/>
                    <w:right w:val="single" w:color="auto" w:sz="4" w:space="0"/>
                  </w:tcBorders>
                  <w:vAlign w:val="center"/>
                </w:tcPr>
                <w:p w14:paraId="2CFDB91D">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厂界地上风向设</w:t>
                  </w:r>
                  <w:r>
                    <w:rPr>
                      <w:rFonts w:ascii="Times New Roman" w:hAnsi="Times New Roman" w:eastAsia="宋体" w:cs="Times New Roman"/>
                      <w:szCs w:val="21"/>
                    </w:rPr>
                    <w:t>1</w:t>
                  </w:r>
                  <w:r>
                    <w:rPr>
                      <w:rFonts w:hint="eastAsia" w:ascii="Times New Roman" w:hAnsi="Times New Roman" w:eastAsia="宋体" w:cs="Times New Roman"/>
                      <w:szCs w:val="21"/>
                    </w:rPr>
                    <w:t>个参照点，下风向设</w:t>
                  </w:r>
                  <w:r>
                    <w:rPr>
                      <w:rFonts w:ascii="Times New Roman" w:hAnsi="Times New Roman" w:eastAsia="宋体" w:cs="Times New Roman"/>
                      <w:szCs w:val="21"/>
                    </w:rPr>
                    <w:t>2</w:t>
                  </w:r>
                  <w:r>
                    <w:rPr>
                      <w:rFonts w:hint="eastAsia" w:ascii="Times New Roman" w:hAnsi="Times New Roman" w:eastAsia="宋体" w:cs="Times New Roman"/>
                      <w:szCs w:val="21"/>
                    </w:rPr>
                    <w:t>个监控点，共设</w:t>
                  </w:r>
                  <w:r>
                    <w:rPr>
                      <w:rFonts w:ascii="Times New Roman" w:hAnsi="Times New Roman" w:eastAsia="宋体" w:cs="Times New Roman"/>
                      <w:szCs w:val="21"/>
                    </w:rPr>
                    <w:t>3</w:t>
                  </w:r>
                  <w:r>
                    <w:rPr>
                      <w:rFonts w:hint="eastAsia" w:ascii="Times New Roman" w:hAnsi="Times New Roman" w:eastAsia="宋体" w:cs="Times New Roman"/>
                      <w:szCs w:val="21"/>
                    </w:rPr>
                    <w:t>个监控点</w:t>
                  </w:r>
                </w:p>
              </w:tc>
              <w:tc>
                <w:tcPr>
                  <w:tcW w:w="1045" w:type="dxa"/>
                  <w:tcBorders>
                    <w:top w:val="single" w:color="auto" w:sz="4" w:space="0"/>
                    <w:left w:val="single" w:color="auto" w:sz="4" w:space="0"/>
                    <w:bottom w:val="single" w:color="auto" w:sz="12" w:space="0"/>
                    <w:right w:val="single" w:color="auto" w:sz="4" w:space="0"/>
                  </w:tcBorders>
                  <w:vAlign w:val="center"/>
                </w:tcPr>
                <w:p w14:paraId="01F5B196">
                  <w:pPr>
                    <w:snapToGrid w:val="0"/>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、臭气浓度</w:t>
                  </w:r>
                </w:p>
              </w:tc>
              <w:tc>
                <w:tcPr>
                  <w:tcW w:w="970" w:type="dxa"/>
                  <w:tcBorders>
                    <w:top w:val="single" w:color="auto" w:sz="4" w:space="0"/>
                    <w:left w:val="single" w:color="auto" w:sz="4" w:space="0"/>
                    <w:bottom w:val="single" w:color="auto" w:sz="12" w:space="0"/>
                    <w:right w:val="single" w:color="auto" w:sz="4" w:space="0"/>
                  </w:tcBorders>
                  <w:vAlign w:val="center"/>
                </w:tcPr>
                <w:p w14:paraId="0BE288A8">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1次/半年</w:t>
                  </w:r>
                </w:p>
              </w:tc>
              <w:tc>
                <w:tcPr>
                  <w:tcW w:w="3097" w:type="dxa"/>
                  <w:tcBorders>
                    <w:top w:val="single" w:color="auto" w:sz="4" w:space="0"/>
                    <w:left w:val="single" w:color="auto" w:sz="4" w:space="0"/>
                    <w:bottom w:val="single" w:color="auto" w:sz="12" w:space="0"/>
                    <w:right w:val="single" w:color="auto" w:sz="12" w:space="0"/>
                  </w:tcBorders>
                  <w:vAlign w:val="center"/>
                </w:tcPr>
                <w:p w14:paraId="2FBB67AA">
                  <w:pPr>
                    <w:snapToGrid w:val="0"/>
                    <w:jc w:val="center"/>
                    <w:rPr>
                      <w:rFonts w:ascii="Times New Roman" w:hAnsi="Times New Roman" w:eastAsia="宋体" w:cs="Times New Roman"/>
                      <w:szCs w:val="21"/>
                    </w:rPr>
                  </w:pPr>
                  <w:r>
                    <w:rPr>
                      <w:rFonts w:hint="eastAsia" w:ascii="Times New Roman" w:hAnsi="Times New Roman" w:cs="Times New Roman"/>
                      <w:szCs w:val="21"/>
                    </w:rPr>
                    <w:t>执行</w:t>
                  </w:r>
                  <w:r>
                    <w:rPr>
                      <w:rFonts w:hint="eastAsia" w:ascii="Times New Roman" w:hAnsi="Times New Roman" w:eastAsia="宋体" w:cs="Times New Roman"/>
                      <w:kern w:val="0"/>
                      <w:szCs w:val="21"/>
                    </w:rPr>
                    <w:t>《恶臭污染物排放标准》(GB14554-93)</w:t>
                  </w:r>
                  <w:r>
                    <w:rPr>
                      <w:rFonts w:ascii="Times New Roman" w:hAnsi="Times New Roman" w:eastAsia="宋体" w:cs="Times New Roman"/>
                      <w:szCs w:val="21"/>
                    </w:rPr>
                    <w:t xml:space="preserve"> </w:t>
                  </w:r>
                  <w:r>
                    <w:rPr>
                      <w:rFonts w:hint="eastAsia" w:ascii="Times New Roman" w:hAnsi="Times New Roman" w:eastAsia="宋体" w:cs="Times New Roman"/>
                      <w:bCs/>
                      <w:szCs w:val="21"/>
                    </w:rPr>
                    <w:t>表</w:t>
                  </w:r>
                  <w:r>
                    <w:rPr>
                      <w:rFonts w:ascii="Times New Roman" w:hAnsi="Times New Roman" w:eastAsia="宋体" w:cs="Times New Roman"/>
                      <w:bCs/>
                      <w:szCs w:val="21"/>
                    </w:rPr>
                    <w:t>1</w:t>
                  </w:r>
                  <w:r>
                    <w:rPr>
                      <w:rFonts w:hint="eastAsia" w:ascii="Times New Roman" w:hAnsi="Times New Roman" w:eastAsia="宋体" w:cs="Times New Roman"/>
                      <w:bCs/>
                      <w:szCs w:val="21"/>
                    </w:rPr>
                    <w:t>中相应标准</w:t>
                  </w:r>
                </w:p>
              </w:tc>
            </w:tr>
          </w:tbl>
          <w:p w14:paraId="559081A8">
            <w:pPr>
              <w:pStyle w:val="2"/>
              <w:pBdr>
                <w:bottom w:val="none" w:color="auto" w:sz="0" w:space="0"/>
              </w:pBdr>
            </w:pPr>
          </w:p>
          <w:p w14:paraId="56E67146">
            <w:pPr>
              <w:pStyle w:val="10"/>
              <w:spacing w:line="360" w:lineRule="auto"/>
              <w:ind w:left="0" w:right="105" w:rightChars="50" w:firstLine="240" w:firstLineChars="100"/>
              <w:rPr>
                <w:rFonts w:ascii="Times New Roman" w:hAnsi="Times New Roman" w:cs="Times New Roman"/>
              </w:rPr>
            </w:pPr>
            <w:bookmarkStart w:id="74" w:name="_Hlk76582026"/>
            <w:r>
              <w:rPr>
                <w:rFonts w:hint="eastAsia" w:ascii="Times New Roman" w:hAnsi="Times New Roman" w:cs="Times New Roman"/>
              </w:rPr>
              <w:t>7、</w:t>
            </w:r>
            <w:r>
              <w:rPr>
                <w:rFonts w:ascii="Times New Roman" w:hAnsi="Times New Roman" w:cs="Times New Roman"/>
              </w:rPr>
              <w:t>大气环境影响评价结论</w:t>
            </w:r>
          </w:p>
          <w:bookmarkEnd w:id="74"/>
          <w:p w14:paraId="08FDB748">
            <w:pPr>
              <w:pStyle w:val="10"/>
              <w:spacing w:line="360" w:lineRule="auto"/>
              <w:ind w:left="0" w:right="105" w:rightChars="50" w:firstLine="240" w:firstLineChars="100"/>
            </w:pPr>
            <w:r>
              <w:rPr>
                <w:rFonts w:ascii="Times New Roman" w:hAnsi="Times New Roman" w:cs="Times New Roman"/>
              </w:rPr>
              <w:t>本项目生产过程中产生的废气均</w:t>
            </w:r>
            <w:r>
              <w:rPr>
                <w:rFonts w:hint="eastAsia" w:ascii="Times New Roman" w:hAnsi="Times New Roman" w:cs="Times New Roman"/>
              </w:rPr>
              <w:t>可</w:t>
            </w:r>
            <w:r>
              <w:rPr>
                <w:rFonts w:ascii="Times New Roman" w:hAnsi="Times New Roman" w:cs="Times New Roman"/>
              </w:rPr>
              <w:t>得到有效处理，治理措施针对性较强，能够实现达标排放，满足总量控制要求，对周边环境影响较小。</w:t>
            </w:r>
          </w:p>
        </w:tc>
      </w:tr>
    </w:tbl>
    <w:p w14:paraId="312F8103">
      <w:pPr>
        <w:spacing w:line="360" w:lineRule="auto"/>
        <w:rPr>
          <w:rFonts w:ascii="宋体" w:hAnsi="Times New Roman" w:eastAsia="宋体" w:cs="宋体"/>
          <w:b/>
          <w:sz w:val="28"/>
          <w:szCs w:val="28"/>
          <w:lang w:bidi="ar"/>
        </w:rPr>
        <w:sectPr>
          <w:pgSz w:w="11915" w:h="16840"/>
          <w:pgMar w:top="1702" w:right="1531" w:bottom="1702" w:left="1531" w:header="851" w:footer="851" w:gutter="0"/>
          <w:cols w:space="425" w:num="1"/>
          <w:docGrid w:type="lines" w:linePitch="312" w:charSpace="0"/>
        </w:sectPr>
      </w:pPr>
    </w:p>
    <w:tbl>
      <w:tblPr>
        <w:tblStyle w:val="18"/>
        <w:tblW w:w="89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378"/>
      </w:tblGrid>
      <w:tr w14:paraId="63285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37" w:hRule="atLeast"/>
          <w:jc w:val="center"/>
        </w:trPr>
        <w:tc>
          <w:tcPr>
            <w:tcW w:w="529"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14:paraId="2F5522F7">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运</w:t>
            </w:r>
          </w:p>
          <w:p w14:paraId="0B7B7DF9">
            <w:pPr>
              <w:adjustRightInd w:val="0"/>
              <w:snapToGrid w:val="0"/>
              <w:jc w:val="center"/>
              <w:rPr>
                <w:rFonts w:ascii="宋体" w:hAnsi="宋体" w:eastAsia="宋体" w:cs="宋体"/>
                <w:bCs/>
                <w:szCs w:val="21"/>
              </w:rPr>
            </w:pPr>
            <w:r>
              <w:rPr>
                <w:rFonts w:hint="eastAsia" w:ascii="宋体" w:hAnsi="宋体" w:eastAsia="宋体" w:cs="宋体"/>
                <w:bCs/>
                <w:szCs w:val="21"/>
                <w:lang w:bidi="ar"/>
              </w:rPr>
              <w:t>营</w:t>
            </w:r>
          </w:p>
          <w:p w14:paraId="50F89A4F">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期</w:t>
            </w:r>
          </w:p>
          <w:p w14:paraId="4717B879">
            <w:pPr>
              <w:adjustRightInd w:val="0"/>
              <w:snapToGrid w:val="0"/>
              <w:jc w:val="center"/>
              <w:rPr>
                <w:rFonts w:ascii="宋体" w:hAnsi="宋体" w:eastAsia="宋体" w:cs="宋体"/>
                <w:bCs/>
                <w:szCs w:val="21"/>
              </w:rPr>
            </w:pPr>
            <w:r>
              <w:rPr>
                <w:rFonts w:hint="eastAsia" w:ascii="宋体" w:hAnsi="宋体" w:eastAsia="宋体" w:cs="宋体"/>
                <w:bCs/>
                <w:szCs w:val="21"/>
                <w:lang w:bidi="ar"/>
              </w:rPr>
              <w:t>环</w:t>
            </w:r>
          </w:p>
          <w:p w14:paraId="3B406316">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境</w:t>
            </w:r>
          </w:p>
          <w:p w14:paraId="19BCF269">
            <w:pPr>
              <w:adjustRightInd w:val="0"/>
              <w:snapToGrid w:val="0"/>
              <w:jc w:val="center"/>
              <w:rPr>
                <w:rFonts w:ascii="宋体" w:hAnsi="宋体" w:eastAsia="宋体" w:cs="宋体"/>
                <w:bCs/>
                <w:szCs w:val="21"/>
              </w:rPr>
            </w:pPr>
            <w:r>
              <w:rPr>
                <w:rFonts w:hint="eastAsia" w:ascii="宋体" w:hAnsi="宋体" w:eastAsia="宋体" w:cs="宋体"/>
                <w:bCs/>
                <w:szCs w:val="21"/>
                <w:lang w:bidi="ar"/>
              </w:rPr>
              <w:t>影</w:t>
            </w:r>
          </w:p>
          <w:p w14:paraId="698CBBE2">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响</w:t>
            </w:r>
          </w:p>
          <w:p w14:paraId="5B72BFE2">
            <w:pPr>
              <w:adjustRightInd w:val="0"/>
              <w:snapToGrid w:val="0"/>
              <w:jc w:val="center"/>
              <w:rPr>
                <w:rFonts w:ascii="宋体" w:hAnsi="宋体" w:eastAsia="宋体" w:cs="宋体"/>
                <w:bCs/>
                <w:szCs w:val="21"/>
              </w:rPr>
            </w:pPr>
            <w:r>
              <w:rPr>
                <w:rFonts w:hint="eastAsia" w:ascii="宋体" w:hAnsi="宋体" w:eastAsia="宋体" w:cs="宋体"/>
                <w:bCs/>
                <w:szCs w:val="21"/>
                <w:lang w:bidi="ar"/>
              </w:rPr>
              <w:t>和</w:t>
            </w:r>
          </w:p>
          <w:p w14:paraId="387D413A">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保</w:t>
            </w:r>
          </w:p>
          <w:p w14:paraId="3EE7D72F">
            <w:pPr>
              <w:adjustRightInd w:val="0"/>
              <w:snapToGrid w:val="0"/>
              <w:jc w:val="center"/>
              <w:rPr>
                <w:rFonts w:ascii="宋体" w:hAnsi="宋体" w:eastAsia="宋体" w:cs="宋体"/>
                <w:bCs/>
                <w:szCs w:val="21"/>
              </w:rPr>
            </w:pPr>
            <w:r>
              <w:rPr>
                <w:rFonts w:hint="eastAsia" w:ascii="宋体" w:hAnsi="宋体" w:eastAsia="宋体" w:cs="宋体"/>
                <w:bCs/>
                <w:szCs w:val="21"/>
                <w:lang w:bidi="ar"/>
              </w:rPr>
              <w:t>护</w:t>
            </w:r>
          </w:p>
          <w:p w14:paraId="0BF86494">
            <w:pPr>
              <w:adjustRightInd w:val="0"/>
              <w:snapToGrid w:val="0"/>
              <w:jc w:val="center"/>
              <w:rPr>
                <w:rFonts w:ascii="宋体" w:hAnsi="宋体" w:eastAsia="宋体" w:cs="宋体"/>
                <w:bCs/>
                <w:szCs w:val="21"/>
                <w:lang w:bidi="ar"/>
              </w:rPr>
            </w:pPr>
            <w:r>
              <w:rPr>
                <w:rFonts w:hint="eastAsia" w:ascii="宋体" w:hAnsi="宋体" w:eastAsia="宋体" w:cs="宋体"/>
                <w:bCs/>
                <w:szCs w:val="21"/>
                <w:lang w:bidi="ar"/>
              </w:rPr>
              <w:t>措</w:t>
            </w:r>
          </w:p>
          <w:p w14:paraId="4A5A48B4">
            <w:pPr>
              <w:adjustRightInd w:val="0"/>
              <w:snapToGrid w:val="0"/>
              <w:jc w:val="center"/>
              <w:rPr>
                <w:rFonts w:ascii="宋体" w:hAnsi="宋体" w:eastAsia="宋体" w:cs="宋体"/>
                <w:bCs/>
                <w:szCs w:val="21"/>
              </w:rPr>
            </w:pPr>
            <w:r>
              <w:rPr>
                <w:rFonts w:hint="eastAsia" w:ascii="宋体" w:hAnsi="宋体" w:eastAsia="宋体" w:cs="宋体"/>
                <w:bCs/>
                <w:szCs w:val="21"/>
                <w:lang w:bidi="ar"/>
              </w:rPr>
              <w:t>施</w:t>
            </w:r>
          </w:p>
        </w:tc>
        <w:tc>
          <w:tcPr>
            <w:tcW w:w="8378" w:type="dxa"/>
            <w:tcBorders>
              <w:top w:val="single" w:color="auto" w:sz="4" w:space="0"/>
              <w:left w:val="single" w:color="auto" w:sz="4" w:space="0"/>
              <w:bottom w:val="single" w:color="auto" w:sz="8" w:space="0"/>
              <w:right w:val="single" w:color="auto" w:sz="8" w:space="0"/>
            </w:tcBorders>
            <w:shd w:val="clear" w:color="auto" w:fill="auto"/>
            <w:vAlign w:val="center"/>
          </w:tcPr>
          <w:p w14:paraId="0D409DFE">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w:t>
            </w:r>
            <w:r>
              <w:rPr>
                <w:rFonts w:hint="eastAsia" w:ascii="Times New Roman" w:hAnsi="Times New Roman" w:cs="Times New Roman"/>
                <w:b/>
              </w:rPr>
              <w:t>2</w:t>
            </w:r>
            <w:r>
              <w:rPr>
                <w:rFonts w:ascii="Times New Roman" w:hAnsi="Times New Roman" w:cs="Times New Roman"/>
                <w:b/>
              </w:rPr>
              <w:t xml:space="preserve"> </w:t>
            </w:r>
            <w:r>
              <w:rPr>
                <w:rFonts w:hint="eastAsia" w:ascii="Times New Roman" w:hAnsi="Times New Roman" w:cs="Times New Roman"/>
                <w:b/>
              </w:rPr>
              <w:t>废水</w:t>
            </w:r>
          </w:p>
          <w:p w14:paraId="533BA70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本项目运营期废水主要包括高温化制过程产生的污蒸汽冷凝形成的工艺废水、无害化车间地面清洗废水、设备清洗废水、车辆清洗废水、消毒废水、冷却塔定期排水、检验废水、水膜</w:t>
            </w:r>
            <w:r>
              <w:rPr>
                <w:rFonts w:hint="eastAsia" w:ascii="Times New Roman" w:hAnsi="Times New Roman" w:cs="Times New Roman"/>
              </w:rPr>
              <w:t>脱硫除尘塔</w:t>
            </w:r>
            <w:r>
              <w:rPr>
                <w:rFonts w:ascii="Times New Roman" w:hAnsi="Times New Roman" w:cs="Times New Roman"/>
              </w:rPr>
              <w:t>废水</w:t>
            </w:r>
            <w:r>
              <w:rPr>
                <w:rFonts w:hint="eastAsia" w:ascii="Times New Roman" w:hAnsi="Times New Roman" w:cs="Times New Roman"/>
              </w:rPr>
              <w:t>，以及</w:t>
            </w:r>
            <w:r>
              <w:rPr>
                <w:rFonts w:ascii="Times New Roman" w:hAnsi="Times New Roman" w:cs="Times New Roman"/>
              </w:rPr>
              <w:t>生活污水等。</w:t>
            </w:r>
          </w:p>
          <w:p w14:paraId="66BC7810">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本项目污废水收集处理后回用，不排放。故，本报告不设地表水影响评价专项。</w:t>
            </w:r>
          </w:p>
          <w:p w14:paraId="2B9DA3B3">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1、产排污环节</w:t>
            </w:r>
          </w:p>
          <w:p w14:paraId="45E2566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1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①</w:t>
            </w:r>
            <w:r>
              <w:rPr>
                <w:rFonts w:ascii="Times New Roman" w:hAnsi="Times New Roman" w:cs="Times New Roman"/>
                <w:bCs/>
              </w:rPr>
              <w:fldChar w:fldCharType="end"/>
            </w:r>
            <w:r>
              <w:rPr>
                <w:rFonts w:hint="eastAsia" w:ascii="Times New Roman" w:hAnsi="Times New Roman" w:cs="Times New Roman"/>
                <w:bCs/>
              </w:rPr>
              <w:t>消毒废水</w:t>
            </w:r>
          </w:p>
          <w:p w14:paraId="671B2450">
            <w:pPr>
              <w:pStyle w:val="10"/>
              <w:spacing w:line="360" w:lineRule="auto"/>
              <w:ind w:left="105" w:leftChars="50" w:right="105" w:rightChars="50" w:firstLine="240" w:firstLineChars="100"/>
              <w:rPr>
                <w:rFonts w:ascii="Times New Roman" w:hAnsi="Times New Roman" w:cs="Times New Roman"/>
                <w:szCs w:val="21"/>
              </w:rPr>
            </w:pPr>
            <w:r>
              <w:rPr>
                <w:rFonts w:ascii="Times New Roman" w:hAnsi="Times New Roman" w:cs="Times New Roman"/>
                <w:bCs/>
              </w:rPr>
              <w:t>消毒废水</w:t>
            </w:r>
            <w:r>
              <w:rPr>
                <w:rFonts w:hint="eastAsia" w:ascii="Times New Roman" w:hAnsi="Times New Roman" w:cs="Times New Roman"/>
                <w:bCs/>
              </w:rPr>
              <w:t>主要来自</w:t>
            </w:r>
            <w:r>
              <w:rPr>
                <w:rFonts w:ascii="Times New Roman" w:hAnsi="Times New Roman" w:cs="Times New Roman"/>
                <w:bCs/>
              </w:rPr>
              <w:t>车辆</w:t>
            </w:r>
            <w:r>
              <w:rPr>
                <w:rFonts w:ascii="Times New Roman" w:hAnsi="Times New Roman" w:cs="Times New Roman"/>
              </w:rPr>
              <w:t>喷淋</w:t>
            </w:r>
            <w:r>
              <w:rPr>
                <w:rFonts w:hint="eastAsia" w:ascii="Times New Roman" w:hAnsi="Times New Roman" w:cs="Times New Roman"/>
              </w:rPr>
              <w:t>消毒通道，</w:t>
            </w:r>
            <w:r>
              <w:rPr>
                <w:rFonts w:ascii="Times New Roman" w:hAnsi="Times New Roman" w:cs="Times New Roman"/>
                <w:bCs/>
              </w:rPr>
              <w:t>消毒用水量约为0.5m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hint="eastAsia" w:ascii="Times New Roman" w:hAnsi="Times New Roman" w:cs="Times New Roman"/>
              </w:rPr>
              <w:t>设消毒池收集，循环使用不排放。消毒废水主要污染物是</w:t>
            </w:r>
            <w:r>
              <w:rPr>
                <w:rFonts w:ascii="Times New Roman" w:hAnsi="Times New Roman" w:cs="Times New Roman"/>
                <w:szCs w:val="21"/>
              </w:rPr>
              <w:t>COD、SS、</w:t>
            </w:r>
            <w:r>
              <w:rPr>
                <w:rFonts w:hint="eastAsia" w:ascii="Times New Roman" w:hAnsi="Times New Roman" w:cs="Times New Roman"/>
                <w:szCs w:val="21"/>
              </w:rPr>
              <w:t>动植物油等。</w:t>
            </w:r>
          </w:p>
          <w:p w14:paraId="0A038C4C">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2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②</w:t>
            </w:r>
            <w:r>
              <w:rPr>
                <w:rFonts w:ascii="Times New Roman" w:hAnsi="Times New Roman" w:cs="Times New Roman"/>
                <w:bCs/>
              </w:rPr>
              <w:fldChar w:fldCharType="end"/>
            </w:r>
            <w:r>
              <w:rPr>
                <w:rFonts w:ascii="Times New Roman" w:hAnsi="Times New Roman" w:cs="Times New Roman"/>
                <w:bCs/>
              </w:rPr>
              <w:t>工艺废水</w:t>
            </w:r>
          </w:p>
          <w:p w14:paraId="61A893A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病死动物</w:t>
            </w:r>
            <w:r>
              <w:rPr>
                <w:rFonts w:hint="eastAsia" w:ascii="Times New Roman" w:hAnsi="Times New Roman" w:cs="Times New Roman"/>
                <w:bCs/>
              </w:rPr>
              <w:t>在化制、干燥过程</w:t>
            </w:r>
            <w:r>
              <w:rPr>
                <w:rFonts w:ascii="Times New Roman" w:hAnsi="Times New Roman" w:cs="Times New Roman"/>
                <w:bCs/>
              </w:rPr>
              <w:t>中水分大部分蒸发</w:t>
            </w:r>
            <w:r>
              <w:rPr>
                <w:rFonts w:hint="eastAsia" w:ascii="Times New Roman" w:hAnsi="Times New Roman" w:cs="Times New Roman"/>
                <w:bCs/>
              </w:rPr>
              <w:t>形成</w:t>
            </w:r>
            <w:r>
              <w:rPr>
                <w:rFonts w:ascii="Times New Roman" w:hAnsi="Times New Roman" w:cs="Times New Roman"/>
                <w:bCs/>
              </w:rPr>
              <w:t>污蒸汽，</w:t>
            </w:r>
            <w:r>
              <w:rPr>
                <w:rFonts w:hint="eastAsia" w:ascii="Times New Roman" w:hAnsi="Times New Roman" w:cs="Times New Roman"/>
                <w:bCs/>
              </w:rPr>
              <w:t>其中大部分凝结成污水，少部分随废气进入废气处理系统。本</w:t>
            </w:r>
            <w:r>
              <w:rPr>
                <w:rFonts w:ascii="Times New Roman" w:hAnsi="Times New Roman" w:cs="Times New Roman"/>
                <w:bCs/>
              </w:rPr>
              <w:t>项目污冷凝水产生量约为1857m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ascii="Times New Roman" w:hAnsi="Times New Roman" w:cs="Times New Roman"/>
                <w:bCs/>
              </w:rPr>
              <w:t>6.19m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，设1</w:t>
            </w:r>
            <w:r>
              <w:rPr>
                <w:rFonts w:ascii="Times New Roman" w:hAnsi="Times New Roman" w:cs="Times New Roman"/>
                <w:bCs/>
              </w:rPr>
              <w:t>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w:t>
            </w:r>
            <w:r>
              <w:rPr>
                <w:rFonts w:hint="eastAsia" w:ascii="Times New Roman" w:hAnsi="Times New Roman" w:cs="Times New Roman"/>
                <w:bCs/>
              </w:rPr>
              <w:t>然后</w:t>
            </w:r>
            <w:r>
              <w:rPr>
                <w:rFonts w:ascii="Times New Roman" w:hAnsi="Times New Roman" w:cs="Times New Roman"/>
                <w:bCs/>
              </w:rPr>
              <w:t>进入</w:t>
            </w:r>
            <w:r>
              <w:rPr>
                <w:rFonts w:hint="eastAsia" w:ascii="Times New Roman" w:hAnsi="Times New Roman" w:cs="Times New Roman"/>
                <w:bCs/>
              </w:rPr>
              <w:t>厂区</w:t>
            </w:r>
            <w:r>
              <w:rPr>
                <w:rFonts w:ascii="Times New Roman" w:hAnsi="Times New Roman" w:cs="Times New Roman"/>
                <w:bCs/>
              </w:rPr>
              <w:t>污水处理站处理。</w:t>
            </w:r>
            <w:r>
              <w:rPr>
                <w:rFonts w:hint="eastAsia" w:ascii="Times New Roman" w:hAnsi="Times New Roman" w:cs="Times New Roman"/>
                <w:bCs/>
              </w:rPr>
              <w:t>冷凝污水中主要污染物为：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4</w:t>
            </w:r>
            <w:r>
              <w:rPr>
                <w:rFonts w:ascii="Times New Roman" w:hAnsi="Times New Roman" w:cs="Times New Roman"/>
                <w:szCs w:val="21"/>
              </w:rPr>
              <w:t>-N</w:t>
            </w:r>
            <w:r>
              <w:rPr>
                <w:rFonts w:hint="eastAsia" w:ascii="Times New Roman" w:hAnsi="Times New Roman" w:cs="Times New Roman"/>
                <w:szCs w:val="21"/>
              </w:rPr>
              <w:t>、动植物油等。</w:t>
            </w:r>
          </w:p>
          <w:p w14:paraId="546ED6A1">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3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③</w:t>
            </w:r>
            <w:r>
              <w:rPr>
                <w:rFonts w:ascii="Times New Roman" w:hAnsi="Times New Roman" w:cs="Times New Roman"/>
                <w:bCs/>
              </w:rPr>
              <w:fldChar w:fldCharType="end"/>
            </w:r>
            <w:r>
              <w:rPr>
                <w:rFonts w:hint="eastAsia" w:ascii="Times New Roman" w:hAnsi="Times New Roman" w:cs="Times New Roman"/>
                <w:bCs/>
              </w:rPr>
              <w:t>冲洗废水</w:t>
            </w:r>
          </w:p>
          <w:p w14:paraId="19B2A44D">
            <w:pPr>
              <w:pStyle w:val="10"/>
              <w:spacing w:line="360" w:lineRule="auto"/>
              <w:ind w:left="105" w:leftChars="50" w:right="105" w:rightChars="50" w:firstLine="240" w:firstLineChars="100"/>
              <w:rPr>
                <w:rFonts w:ascii="Times New Roman" w:hAnsi="Times New Roman" w:cs="Times New Roman"/>
                <w:bCs/>
              </w:rPr>
            </w:pPr>
            <w:r>
              <w:rPr>
                <w:rFonts w:hint="eastAsia"/>
              </w:rPr>
              <w:t>主要来自</w:t>
            </w:r>
            <w:r>
              <w:t>车间地面</w:t>
            </w:r>
            <w:r>
              <w:rPr>
                <w:rFonts w:hint="eastAsia"/>
              </w:rPr>
              <w:t>冲洗</w:t>
            </w:r>
            <w:r>
              <w:t>、设备</w:t>
            </w:r>
            <w:r>
              <w:rPr>
                <w:rFonts w:hint="eastAsia"/>
              </w:rPr>
              <w:t>冲洗和</w:t>
            </w:r>
            <w:r>
              <w:t>车辆清洗</w:t>
            </w:r>
            <w:r>
              <w:rPr>
                <w:rFonts w:hint="eastAsia"/>
              </w:rPr>
              <w:t>，产生量约为</w:t>
            </w:r>
            <w:r>
              <w:rPr>
                <w:rFonts w:hint="eastAsia" w:ascii="Times New Roman" w:hAnsi="Times New Roman" w:cs="Times New Roman"/>
                <w:bCs/>
              </w:rPr>
              <w:t>3</w:t>
            </w:r>
            <w:r>
              <w:rPr>
                <w:rFonts w:ascii="Times New Roman" w:hAnsi="Times New Roman" w:cs="Times New Roman"/>
                <w:bCs/>
              </w:rPr>
              <w:t>.31m</w:t>
            </w:r>
            <w:r>
              <w:rPr>
                <w:rFonts w:ascii="Times New Roman" w:hAnsi="Times New Roman" w:cs="Times New Roman"/>
                <w:bCs/>
                <w:vertAlign w:val="superscript"/>
              </w:rPr>
              <w:t>3</w:t>
            </w:r>
            <w:r>
              <w:rPr>
                <w:rFonts w:ascii="Times New Roman" w:hAnsi="Times New Roman" w:cs="Times New Roman"/>
                <w:bCs/>
              </w:rPr>
              <w:t>/d</w:t>
            </w:r>
            <w:r>
              <w:rPr>
                <w:rFonts w:hint="eastAsia" w:ascii="Times New Roman" w:hAnsi="Times New Roman" w:cs="Times New Roman"/>
                <w:bCs/>
              </w:rPr>
              <w:t>、</w:t>
            </w:r>
            <w:r>
              <w:rPr>
                <w:rFonts w:ascii="Times New Roman" w:hAnsi="Times New Roman" w:cs="Times New Roman"/>
                <w:bCs/>
              </w:rPr>
              <w:t>993m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w:t>
            </w:r>
            <w:r>
              <w:rPr>
                <w:rFonts w:hint="eastAsia"/>
              </w:rPr>
              <w:t>收集后均送</w:t>
            </w:r>
            <w:r>
              <w:rPr>
                <w:rFonts w:ascii="Times New Roman" w:hAnsi="Times New Roman" w:cs="Times New Roman"/>
                <w:bCs/>
              </w:rPr>
              <w:t>污水处理站处理。</w:t>
            </w:r>
            <w:r>
              <w:rPr>
                <w:rFonts w:hint="eastAsia" w:ascii="Times New Roman" w:hAnsi="Times New Roman" w:cs="Times New Roman"/>
                <w:bCs/>
              </w:rPr>
              <w:t>冲洗废水主要污染物为：</w:t>
            </w: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、SS、NH</w:t>
            </w:r>
            <w:r>
              <w:rPr>
                <w:rFonts w:ascii="Times New Roman" w:hAnsi="Times New Roman" w:cs="Times New Roman"/>
                <w:szCs w:val="21"/>
                <w:vertAlign w:val="subscript"/>
              </w:rPr>
              <w:t>4</w:t>
            </w:r>
            <w:r>
              <w:rPr>
                <w:rFonts w:ascii="Times New Roman" w:hAnsi="Times New Roman" w:cs="Times New Roman"/>
                <w:szCs w:val="21"/>
              </w:rPr>
              <w:t>-N</w:t>
            </w:r>
            <w:r>
              <w:rPr>
                <w:rFonts w:hint="eastAsia" w:ascii="Times New Roman" w:hAnsi="Times New Roman" w:cs="Times New Roman"/>
                <w:szCs w:val="21"/>
              </w:rPr>
              <w:t>、动植物油等。</w:t>
            </w:r>
          </w:p>
          <w:p w14:paraId="34A5E1CD">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4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④</w:t>
            </w:r>
            <w:r>
              <w:rPr>
                <w:rFonts w:ascii="Times New Roman" w:hAnsi="Times New Roman" w:cs="Times New Roman"/>
                <w:bCs/>
              </w:rPr>
              <w:fldChar w:fldCharType="end"/>
            </w:r>
            <w:r>
              <w:rPr>
                <w:rFonts w:ascii="Times New Roman" w:hAnsi="Times New Roman" w:cs="Times New Roman"/>
                <w:bCs/>
              </w:rPr>
              <w:t>冷却塔</w:t>
            </w:r>
            <w:r>
              <w:rPr>
                <w:rFonts w:hint="eastAsia" w:ascii="Times New Roman" w:hAnsi="Times New Roman" w:cs="Times New Roman"/>
                <w:bCs/>
              </w:rPr>
              <w:t>排水</w:t>
            </w:r>
          </w:p>
          <w:p w14:paraId="63C109D1">
            <w:pPr>
              <w:pStyle w:val="10"/>
              <w:spacing w:line="360" w:lineRule="auto"/>
              <w:ind w:left="105" w:leftChars="50" w:right="105" w:rightChars="50" w:firstLine="240" w:firstLineChars="100"/>
              <w:rPr>
                <w:rFonts w:ascii="Times New Roman" w:hAnsi="Times New Roman" w:cs="Times New Roman"/>
              </w:rPr>
            </w:pPr>
            <w:r>
              <w:rPr>
                <w:rFonts w:ascii="Times New Roman" w:hAnsi="Times New Roman" w:cs="Times New Roman"/>
                <w:bCs/>
              </w:rPr>
              <w:t>冷却塔循环水</w:t>
            </w:r>
            <w:r>
              <w:rPr>
                <w:rFonts w:hint="eastAsia" w:ascii="Times New Roman" w:hAnsi="Times New Roman" w:cs="Times New Roman"/>
                <w:bCs/>
              </w:rPr>
              <w:t>每</w:t>
            </w:r>
            <w:r>
              <w:rPr>
                <w:rFonts w:ascii="Times New Roman" w:hAnsi="Times New Roman" w:cs="Times New Roman"/>
                <w:bCs/>
              </w:rPr>
              <w:t>一个月</w:t>
            </w:r>
            <w:r>
              <w:rPr>
                <w:rFonts w:hint="eastAsia" w:ascii="Times New Roman" w:hAnsi="Times New Roman" w:cs="Times New Roman"/>
                <w:bCs/>
              </w:rPr>
              <w:t>需更换</w:t>
            </w:r>
            <w:r>
              <w:rPr>
                <w:rFonts w:ascii="Times New Roman" w:hAnsi="Times New Roman" w:cs="Times New Roman"/>
                <w:bCs/>
              </w:rPr>
              <w:t>一次，每次</w:t>
            </w:r>
            <w:r>
              <w:rPr>
                <w:rFonts w:hint="eastAsia" w:ascii="Times New Roman" w:hAnsi="Times New Roman" w:cs="Times New Roman"/>
                <w:bCs/>
              </w:rPr>
              <w:t>置换</w:t>
            </w:r>
            <w:r>
              <w:rPr>
                <w:rFonts w:ascii="Times New Roman" w:hAnsi="Times New Roman" w:cs="Times New Roman"/>
                <w:bCs/>
              </w:rPr>
              <w:t>水量2m</w:t>
            </w:r>
            <w:r>
              <w:rPr>
                <w:rFonts w:ascii="Times New Roman" w:hAnsi="Times New Roman" w:cs="Times New Roman"/>
                <w:bCs/>
                <w:vertAlign w:val="superscript"/>
              </w:rPr>
              <w:t>3</w:t>
            </w:r>
            <w:r>
              <w:rPr>
                <w:rFonts w:hint="eastAsia" w:ascii="Times New Roman" w:hAnsi="Times New Roman" w:cs="Times New Roman"/>
                <w:bCs/>
              </w:rPr>
              <w:t>（折合0</w:t>
            </w:r>
            <w:r>
              <w:rPr>
                <w:rFonts w:ascii="Times New Roman" w:hAnsi="Times New Roman" w:cs="Times New Roman"/>
                <w:bCs/>
              </w:rPr>
              <w:t>.07</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/d），</w:t>
            </w:r>
            <w:r>
              <w:rPr>
                <w:rFonts w:ascii="Times New Roman" w:hAnsi="Times New Roman" w:cs="Times New Roman"/>
                <w:bCs/>
              </w:rPr>
              <w:t>采用收集桶收集后回用于车间地面冲洗</w:t>
            </w:r>
            <w:r>
              <w:rPr>
                <w:rFonts w:hint="eastAsia" w:ascii="Times New Roman" w:hAnsi="Times New Roman" w:cs="Times New Roman"/>
                <w:bCs/>
              </w:rPr>
              <w:t>，形成冲洗废水，最终进入污水处理站处理。冷却塔排水主要污染物为：</w:t>
            </w:r>
            <w:r>
              <w:rPr>
                <w:rFonts w:ascii="Times New Roman" w:hAnsi="Times New Roman" w:cs="Times New Roman"/>
                <w:szCs w:val="21"/>
              </w:rPr>
              <w:t>COD、SS、</w:t>
            </w:r>
            <w:r>
              <w:rPr>
                <w:rFonts w:hint="eastAsia" w:ascii="Times New Roman" w:hAnsi="Times New Roman" w:cs="Times New Roman"/>
                <w:szCs w:val="21"/>
              </w:rPr>
              <w:t>全盐量。</w:t>
            </w:r>
          </w:p>
          <w:p w14:paraId="454C5616">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5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⑤</w:t>
            </w:r>
            <w:r>
              <w:rPr>
                <w:rFonts w:ascii="Times New Roman" w:hAnsi="Times New Roman" w:cs="Times New Roman"/>
                <w:bCs/>
              </w:rPr>
              <w:fldChar w:fldCharType="end"/>
            </w:r>
            <w:r>
              <w:rPr>
                <w:rFonts w:hint="eastAsia" w:ascii="Times New Roman" w:hAnsi="Times New Roman" w:cs="Times New Roman"/>
                <w:bCs/>
              </w:rPr>
              <w:t>臭气</w:t>
            </w:r>
            <w:r>
              <w:rPr>
                <w:rFonts w:ascii="Times New Roman" w:hAnsi="Times New Roman" w:cs="Times New Roman"/>
                <w:bCs/>
              </w:rPr>
              <w:t>处理系统酸碱喷淋</w:t>
            </w:r>
            <w:r>
              <w:rPr>
                <w:rFonts w:hint="eastAsia" w:ascii="Times New Roman" w:hAnsi="Times New Roman" w:cs="Times New Roman"/>
                <w:bCs/>
              </w:rPr>
              <w:t>废水</w:t>
            </w:r>
          </w:p>
          <w:p w14:paraId="63A233B5">
            <w:pPr>
              <w:pStyle w:val="10"/>
              <w:spacing w:line="360" w:lineRule="auto"/>
              <w:ind w:left="105" w:leftChars="50" w:right="105" w:rightChars="50" w:firstLine="240" w:firstLineChars="100"/>
              <w:rPr>
                <w:rFonts w:ascii="Times New Roman" w:hAnsi="Times New Roman" w:cs="Times New Roman"/>
              </w:rPr>
            </w:pPr>
            <w:r>
              <w:rPr>
                <w:rFonts w:ascii="Times New Roman" w:hAnsi="Times New Roman" w:cs="Times New Roman"/>
                <w:bCs/>
              </w:rPr>
              <w:t>项目酸碱喷淋</w:t>
            </w:r>
            <w:r>
              <w:rPr>
                <w:rFonts w:hint="eastAsia" w:ascii="Times New Roman" w:hAnsi="Times New Roman" w:cs="Times New Roman"/>
                <w:bCs/>
              </w:rPr>
              <w:t>系统内在水量为2</w:t>
            </w:r>
            <w:r>
              <w:rPr>
                <w:rFonts w:ascii="Times New Roman" w:hAnsi="Times New Roman" w:cs="Times New Roman"/>
                <w:bCs/>
              </w:rPr>
              <w:t>0</w:t>
            </w:r>
            <w:r>
              <w:rPr>
                <w:rFonts w:hint="eastAsia" w:ascii="Times New Roman" w:hAnsi="Times New Roman" w:cs="Times New Roman"/>
                <w:bCs/>
              </w:rPr>
              <w:t>m</w:t>
            </w:r>
            <w:r>
              <w:rPr>
                <w:rFonts w:hint="eastAsia" w:ascii="Times New Roman" w:hAnsi="Times New Roman" w:cs="Times New Roman"/>
                <w:bCs/>
                <w:vertAlign w:val="superscript"/>
              </w:rPr>
              <w:t>3</w:t>
            </w:r>
            <w:r>
              <w:rPr>
                <w:rFonts w:hint="eastAsia" w:ascii="Times New Roman" w:hAnsi="Times New Roman" w:cs="Times New Roman"/>
                <w:bCs/>
              </w:rPr>
              <w:t>，循环使用，无废水排放</w:t>
            </w:r>
            <w:r>
              <w:rPr>
                <w:rFonts w:ascii="Times New Roman" w:hAnsi="Times New Roman" w:cs="Times New Roman"/>
                <w:bCs/>
              </w:rPr>
              <w:t>。</w:t>
            </w:r>
          </w:p>
          <w:p w14:paraId="28C4DA9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6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⑥</w:t>
            </w:r>
            <w:r>
              <w:rPr>
                <w:rFonts w:ascii="Times New Roman" w:hAnsi="Times New Roman" w:cs="Times New Roman"/>
                <w:bCs/>
              </w:rPr>
              <w:fldChar w:fldCharType="end"/>
            </w:r>
            <w:r>
              <w:rPr>
                <w:rFonts w:ascii="Times New Roman" w:hAnsi="Times New Roman" w:cs="Times New Roman"/>
                <w:bCs/>
              </w:rPr>
              <w:t>检验废水</w:t>
            </w:r>
          </w:p>
          <w:p w14:paraId="18A1FD19">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检验废水产生量约为0.1m</w:t>
            </w:r>
            <w:r>
              <w:rPr>
                <w:rFonts w:ascii="Times New Roman" w:hAnsi="Times New Roman" w:cs="Times New Roman"/>
                <w:bCs/>
                <w:vertAlign w:val="superscript"/>
              </w:rPr>
              <w:t>3</w:t>
            </w:r>
            <w:r>
              <w:rPr>
                <w:rFonts w:ascii="Times New Roman" w:hAnsi="Times New Roman" w:cs="Times New Roman"/>
                <w:bCs/>
              </w:rPr>
              <w:t>/d，该部分废水</w:t>
            </w:r>
            <w:r>
              <w:rPr>
                <w:rFonts w:hint="eastAsia" w:ascii="Times New Roman" w:hAnsi="Times New Roman" w:cs="Times New Roman"/>
                <w:bCs/>
              </w:rPr>
              <w:t>采用</w:t>
            </w:r>
            <w:r>
              <w:rPr>
                <w:rFonts w:ascii="Times New Roman" w:hAnsi="Times New Roman" w:cs="Times New Roman"/>
                <w:bCs/>
              </w:rPr>
              <w:t>收集桶收集，进行酸碱中和预处理后进入污水处理站处理。检验废水</w:t>
            </w:r>
            <w:r>
              <w:rPr>
                <w:rFonts w:hint="eastAsia" w:ascii="Times New Roman" w:hAnsi="Times New Roman" w:cs="Times New Roman"/>
                <w:bCs/>
              </w:rPr>
              <w:t>主要污染物为：p</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COD、SS、NH</w:t>
            </w:r>
            <w:r>
              <w:rPr>
                <w:rFonts w:ascii="Times New Roman" w:hAnsi="Times New Roman" w:cs="Times New Roman"/>
                <w:bCs/>
                <w:vertAlign w:val="subscript"/>
              </w:rPr>
              <w:t>4</w:t>
            </w:r>
            <w:r>
              <w:rPr>
                <w:rFonts w:ascii="Times New Roman" w:hAnsi="Times New Roman" w:cs="Times New Roman"/>
                <w:bCs/>
              </w:rPr>
              <w:t>-N</w:t>
            </w:r>
            <w:r>
              <w:rPr>
                <w:rFonts w:hint="eastAsia" w:ascii="Times New Roman" w:hAnsi="Times New Roman" w:cs="Times New Roman"/>
                <w:bCs/>
              </w:rPr>
              <w:t>等。</w:t>
            </w:r>
          </w:p>
          <w:p w14:paraId="3123AA4F">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w:instrText>
            </w:r>
            <w:r>
              <w:rPr>
                <w:rFonts w:hint="eastAsia" w:ascii="Times New Roman" w:hAnsi="Times New Roman" w:cs="Times New Roman"/>
                <w:bCs/>
              </w:rPr>
              <w:instrText xml:space="preserve">= 7 \* GB3</w:instrText>
            </w:r>
            <w:r>
              <w:rPr>
                <w:rFonts w:ascii="Times New Roman" w:hAnsi="Times New Roman" w:cs="Times New Roman"/>
                <w:bCs/>
              </w:rPr>
              <w:instrText xml:space="preserve"> </w:instrText>
            </w:r>
            <w:r>
              <w:rPr>
                <w:rFonts w:ascii="Times New Roman" w:hAnsi="Times New Roman" w:cs="Times New Roman"/>
                <w:bCs/>
              </w:rPr>
              <w:fldChar w:fldCharType="separate"/>
            </w:r>
            <w:r>
              <w:rPr>
                <w:rFonts w:hint="eastAsia" w:ascii="Times New Roman" w:hAnsi="Times New Roman" w:cs="Times New Roman"/>
                <w:bCs/>
              </w:rPr>
              <w:t>⑦</w:t>
            </w:r>
            <w:r>
              <w:rPr>
                <w:rFonts w:ascii="Times New Roman" w:hAnsi="Times New Roman" w:cs="Times New Roman"/>
                <w:bCs/>
              </w:rPr>
              <w:fldChar w:fldCharType="end"/>
            </w:r>
            <w:r>
              <w:rPr>
                <w:rFonts w:ascii="Times New Roman" w:hAnsi="Times New Roman" w:cs="Times New Roman"/>
                <w:bCs/>
              </w:rPr>
              <w:t>水膜</w:t>
            </w:r>
            <w:r>
              <w:rPr>
                <w:rFonts w:hint="eastAsia" w:ascii="Times New Roman" w:hAnsi="Times New Roman" w:cs="Times New Roman"/>
                <w:bCs/>
              </w:rPr>
              <w:t>脱硫</w:t>
            </w:r>
            <w:r>
              <w:rPr>
                <w:rFonts w:ascii="Times New Roman" w:hAnsi="Times New Roman" w:cs="Times New Roman"/>
                <w:bCs/>
              </w:rPr>
              <w:t>除尘</w:t>
            </w:r>
            <w:r>
              <w:rPr>
                <w:rFonts w:hint="eastAsia" w:ascii="Times New Roman" w:hAnsi="Times New Roman" w:cs="Times New Roman"/>
                <w:bCs/>
              </w:rPr>
              <w:t>塔废水</w:t>
            </w:r>
          </w:p>
          <w:p w14:paraId="7FF083F6">
            <w:pPr>
              <w:pStyle w:val="10"/>
              <w:spacing w:line="360" w:lineRule="auto"/>
              <w:ind w:left="105" w:leftChars="50" w:right="105" w:rightChars="50" w:firstLine="240" w:firstLineChars="100"/>
              <w:rPr>
                <w:rFonts w:ascii="Times New Roman" w:hAnsi="Times New Roman" w:cs="Times New Roman"/>
                <w:bCs/>
              </w:rPr>
            </w:pPr>
            <w:r>
              <w:rPr>
                <w:rFonts w:hint="eastAsia" w:ascii="Times New Roman" w:hAnsi="Times New Roman" w:cs="Times New Roman"/>
                <w:bCs/>
              </w:rPr>
              <w:t>锅炉尾气</w:t>
            </w:r>
            <w:r>
              <w:rPr>
                <w:rFonts w:ascii="Times New Roman" w:hAnsi="Times New Roman" w:cs="Times New Roman"/>
                <w:bCs/>
              </w:rPr>
              <w:t>拟设置1套水膜除尘</w:t>
            </w:r>
            <w:r>
              <w:rPr>
                <w:rFonts w:hint="eastAsia" w:ascii="Times New Roman" w:hAnsi="Times New Roman" w:cs="Times New Roman"/>
                <w:bCs/>
              </w:rPr>
              <w:t>塔来</w:t>
            </w:r>
            <w:r>
              <w:rPr>
                <w:rFonts w:ascii="Times New Roman" w:hAnsi="Times New Roman" w:cs="Times New Roman"/>
                <w:bCs/>
              </w:rPr>
              <w:t>处理，除尘后的废水经配套循环水池收集</w:t>
            </w:r>
            <w:r>
              <w:rPr>
                <w:rFonts w:hint="eastAsia" w:ascii="Times New Roman" w:hAnsi="Times New Roman" w:cs="Times New Roman"/>
                <w:bCs/>
              </w:rPr>
              <w:t>、</w:t>
            </w:r>
            <w:r>
              <w:rPr>
                <w:rFonts w:ascii="Times New Roman" w:hAnsi="Times New Roman" w:cs="Times New Roman"/>
                <w:bCs/>
              </w:rPr>
              <w:t>沉淀后</w:t>
            </w:r>
            <w:r>
              <w:rPr>
                <w:rFonts w:hint="eastAsia" w:ascii="Times New Roman" w:hAnsi="Times New Roman" w:cs="Times New Roman"/>
                <w:bCs/>
              </w:rPr>
              <w:t>，</w:t>
            </w:r>
            <w:r>
              <w:rPr>
                <w:rFonts w:ascii="Times New Roman" w:hAnsi="Times New Roman" w:cs="Times New Roman"/>
                <w:bCs/>
              </w:rPr>
              <w:t>循环使用，不外排</w:t>
            </w:r>
            <w:r>
              <w:rPr>
                <w:rFonts w:hint="eastAsia" w:ascii="Times New Roman" w:hAnsi="Times New Roman" w:cs="Times New Roman"/>
                <w:bCs/>
              </w:rPr>
              <w:t>。</w:t>
            </w:r>
          </w:p>
          <w:p w14:paraId="30C3E09D">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8 \* GB3</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hint="eastAsia" w:ascii="Times New Roman" w:hAnsi="Times New Roman" w:cs="Times New Roman"/>
                <w:szCs w:val="21"/>
              </w:rPr>
              <w:t>⑧</w:t>
            </w:r>
            <w:r>
              <w:rPr>
                <w:rFonts w:ascii="Times New Roman" w:hAnsi="Times New Roman" w:cs="Times New Roman"/>
                <w:szCs w:val="21"/>
              </w:rPr>
              <w:fldChar w:fldCharType="end"/>
            </w:r>
            <w:r>
              <w:rPr>
                <w:rFonts w:hint="eastAsia" w:ascii="Times New Roman" w:hAnsi="Times New Roman" w:cs="Times New Roman"/>
                <w:bCs/>
              </w:rPr>
              <w:t>职工生活</w:t>
            </w:r>
          </w:p>
          <w:p w14:paraId="38BD69FA">
            <w:pPr>
              <w:pStyle w:val="10"/>
              <w:spacing w:line="360" w:lineRule="auto"/>
              <w:ind w:left="105" w:leftChars="50" w:right="105" w:rightChars="50" w:firstLine="240" w:firstLineChars="100"/>
              <w:rPr>
                <w:rFonts w:ascii="Times New Roman" w:hAnsi="Times New Roman" w:cs="Times New Roman"/>
                <w:bCs/>
              </w:rPr>
            </w:pPr>
            <w:r>
              <w:rPr>
                <w:rFonts w:ascii="Times New Roman" w:hAnsi="Times New Roman" w:cs="Times New Roman"/>
                <w:bCs/>
              </w:rPr>
              <w:t>生活</w:t>
            </w:r>
            <w:r>
              <w:rPr>
                <w:rFonts w:hint="eastAsia" w:ascii="Times New Roman" w:hAnsi="Times New Roman" w:cs="Times New Roman"/>
                <w:bCs/>
              </w:rPr>
              <w:t>污水产生量约为</w:t>
            </w:r>
            <w:r>
              <w:rPr>
                <w:rFonts w:ascii="Times New Roman" w:hAnsi="Times New Roman" w:cs="Times New Roman"/>
                <w:bCs/>
              </w:rPr>
              <w:t>2.38m</w:t>
            </w:r>
            <w:r>
              <w:rPr>
                <w:rFonts w:ascii="Times New Roman" w:hAnsi="Times New Roman" w:cs="Times New Roman"/>
                <w:bCs/>
                <w:vertAlign w:val="superscript"/>
              </w:rPr>
              <w:t>3</w:t>
            </w:r>
            <w:r>
              <w:rPr>
                <w:rFonts w:ascii="Times New Roman" w:hAnsi="Times New Roman" w:cs="Times New Roman"/>
                <w:bCs/>
              </w:rPr>
              <w:t>/d、712.8m</w:t>
            </w:r>
            <w:r>
              <w:rPr>
                <w:rFonts w:ascii="Times New Roman" w:hAnsi="Times New Roman" w:cs="Times New Roman"/>
                <w:bCs/>
                <w:vertAlign w:val="superscript"/>
              </w:rPr>
              <w:t>3</w:t>
            </w:r>
            <w:r>
              <w:rPr>
                <w:rFonts w:ascii="Times New Roman" w:hAnsi="Times New Roman" w:cs="Times New Roman"/>
                <w:bCs/>
              </w:rPr>
              <w:t>/a</w:t>
            </w:r>
            <w:r>
              <w:rPr>
                <w:rFonts w:hint="eastAsia" w:ascii="Times New Roman" w:hAnsi="Times New Roman" w:cs="Times New Roman"/>
                <w:bCs/>
              </w:rPr>
              <w:t>。其中，食堂废水</w:t>
            </w:r>
            <w:r>
              <w:rPr>
                <w:rFonts w:ascii="Times New Roman" w:hAnsi="Times New Roman" w:cs="Times New Roman"/>
                <w:bCs/>
              </w:rPr>
              <w:t>经0.1m</w:t>
            </w:r>
            <w:r>
              <w:rPr>
                <w:rFonts w:ascii="Times New Roman" w:hAnsi="Times New Roman" w:cs="Times New Roman"/>
                <w:bCs/>
                <w:vertAlign w:val="superscript"/>
              </w:rPr>
              <w:t>3</w:t>
            </w:r>
            <w:r>
              <w:rPr>
                <w:rFonts w:ascii="Times New Roman" w:hAnsi="Times New Roman" w:cs="Times New Roman"/>
                <w:bCs/>
              </w:rPr>
              <w:t>的隔油池</w:t>
            </w:r>
            <w:r>
              <w:rPr>
                <w:rFonts w:hint="eastAsia" w:ascii="Times New Roman" w:hAnsi="Times New Roman" w:cs="Times New Roman"/>
                <w:bCs/>
              </w:rPr>
              <w:t>预</w:t>
            </w:r>
            <w:r>
              <w:rPr>
                <w:rFonts w:ascii="Times New Roman" w:hAnsi="Times New Roman" w:cs="Times New Roman"/>
                <w:bCs/>
              </w:rPr>
              <w:t>处理后</w:t>
            </w:r>
            <w:r>
              <w:rPr>
                <w:rFonts w:hint="eastAsia" w:ascii="Times New Roman" w:hAnsi="Times New Roman" w:cs="Times New Roman"/>
                <w:bCs/>
              </w:rPr>
              <w:t>，与其它</w:t>
            </w:r>
            <w:r>
              <w:rPr>
                <w:rFonts w:ascii="Times New Roman" w:hAnsi="Times New Roman" w:cs="Times New Roman"/>
                <w:bCs/>
              </w:rPr>
              <w:t>生活污水一起进入5m</w:t>
            </w:r>
            <w:r>
              <w:rPr>
                <w:rFonts w:ascii="Times New Roman" w:hAnsi="Times New Roman" w:cs="Times New Roman"/>
                <w:bCs/>
                <w:vertAlign w:val="superscript"/>
              </w:rPr>
              <w:t>3</w:t>
            </w:r>
            <w:r>
              <w:rPr>
                <w:rFonts w:ascii="Times New Roman" w:hAnsi="Times New Roman" w:cs="Times New Roman"/>
                <w:bCs/>
              </w:rPr>
              <w:t>化粪池处理</w:t>
            </w:r>
            <w:r>
              <w:rPr>
                <w:rFonts w:hint="eastAsia" w:ascii="Times New Roman" w:hAnsi="Times New Roman" w:cs="Times New Roman"/>
                <w:bCs/>
              </w:rPr>
              <w:t>，然后</w:t>
            </w:r>
            <w:r>
              <w:rPr>
                <w:rFonts w:ascii="Times New Roman" w:hAnsi="Times New Roman" w:cs="Times New Roman"/>
                <w:bCs/>
              </w:rPr>
              <w:t>进入污水处理站</w:t>
            </w:r>
            <w:r>
              <w:rPr>
                <w:rFonts w:hint="eastAsia" w:ascii="Times New Roman" w:hAnsi="Times New Roman" w:cs="Times New Roman"/>
                <w:bCs/>
              </w:rPr>
              <w:t>进一步</w:t>
            </w:r>
            <w:r>
              <w:rPr>
                <w:rFonts w:ascii="Times New Roman" w:hAnsi="Times New Roman" w:cs="Times New Roman"/>
                <w:bCs/>
              </w:rPr>
              <w:t>处理。</w:t>
            </w:r>
            <w:r>
              <w:rPr>
                <w:rFonts w:hint="eastAsia" w:ascii="Times New Roman" w:hAnsi="Times New Roman" w:cs="Times New Roman"/>
                <w:bCs/>
              </w:rPr>
              <w:t>生活污水主要污染物为：</w:t>
            </w:r>
            <w:r>
              <w:rPr>
                <w:rFonts w:ascii="Times New Roman" w:hAnsi="Times New Roman" w:cs="Times New Roman"/>
                <w:bCs/>
              </w:rPr>
              <w:t>SS、CODCr、BOD</w:t>
            </w:r>
            <w:r>
              <w:rPr>
                <w:rFonts w:ascii="Times New Roman" w:hAnsi="Times New Roman" w:cs="Times New Roman"/>
                <w:bCs/>
                <w:vertAlign w:val="subscript"/>
              </w:rPr>
              <w:t>5</w:t>
            </w:r>
            <w:r>
              <w:rPr>
                <w:rFonts w:ascii="Times New Roman" w:hAnsi="Times New Roman" w:cs="Times New Roman"/>
                <w:bCs/>
              </w:rPr>
              <w:t>、氨氮等</w:t>
            </w:r>
            <w:r>
              <w:rPr>
                <w:rFonts w:hint="eastAsia" w:ascii="Times New Roman" w:hAnsi="Times New Roman" w:cs="Times New Roman"/>
                <w:bCs/>
              </w:rPr>
              <w:t>。</w:t>
            </w:r>
          </w:p>
          <w:p w14:paraId="6EE169EC">
            <w:pPr>
              <w:adjustRightInd w:val="0"/>
              <w:snapToGrid w:val="0"/>
              <w:spacing w:line="360" w:lineRule="auto"/>
              <w:ind w:firstLine="240" w:firstLineChars="100"/>
              <w:rPr>
                <w:rFonts w:ascii="Times New Roman" w:hAnsi="Times New Roman" w:cs="Times New Roman"/>
                <w:sz w:val="24"/>
              </w:rPr>
            </w:pPr>
            <w:r>
              <w:rPr>
                <w:rFonts w:hint="eastAsia" w:ascii="Times New Roman" w:hAnsi="Times New Roman" w:cs="Times New Roman"/>
                <w:sz w:val="24"/>
              </w:rPr>
              <w:t>以上污废水经处理站处理后，预计污染物浓度降低为</w:t>
            </w:r>
            <w:r>
              <w:rPr>
                <w:rFonts w:ascii="Times New Roman" w:hAnsi="Times New Roman" w:cs="Times New Roman"/>
                <w:sz w:val="24"/>
              </w:rPr>
              <w:t>：</w:t>
            </w:r>
            <w:r>
              <w:rPr>
                <w:rFonts w:hint="eastAsia" w:ascii="Times New Roman" w:hAnsi="Times New Roman" w:cs="Times New Roman"/>
                <w:sz w:val="24"/>
              </w:rPr>
              <w:t>p</w:t>
            </w:r>
            <w:r>
              <w:rPr>
                <w:rFonts w:ascii="Times New Roman" w:hAnsi="Times New Roman" w:cs="Times New Roman"/>
                <w:sz w:val="24"/>
              </w:rPr>
              <w:t>H 6-9</w:t>
            </w:r>
            <w:r>
              <w:rPr>
                <w:rFonts w:hint="eastAsia" w:ascii="Times New Roman" w:hAnsi="Times New Roman" w:cs="Times New Roman"/>
                <w:sz w:val="24"/>
              </w:rPr>
              <w:t>、</w:t>
            </w:r>
            <w:r>
              <w:rPr>
                <w:rFonts w:ascii="Times New Roman" w:hAnsi="Times New Roman" w:cs="Times New Roman"/>
                <w:sz w:val="24"/>
              </w:rPr>
              <w:t>CODcr</w:t>
            </w:r>
            <w:r>
              <w:rPr>
                <w:rFonts w:hint="eastAsia" w:ascii="Times New Roman" w:hAnsi="Times New Roman" w:cs="Times New Roman"/>
                <w:sz w:val="24"/>
              </w:rPr>
              <w:t xml:space="preserve"> </w:t>
            </w:r>
            <w:r>
              <w:rPr>
                <w:rFonts w:ascii="Times New Roman" w:hAnsi="Times New Roman" w:cs="Times New Roman"/>
                <w:bCs/>
                <w:sz w:val="24"/>
              </w:rPr>
              <w:t>173</w:t>
            </w:r>
            <w:r>
              <w:rPr>
                <w:rFonts w:ascii="Times New Roman" w:hAnsi="Times New Roman" w:cs="Times New Roman"/>
                <w:sz w:val="24"/>
              </w:rPr>
              <w:t>mg/L、BOD</w:t>
            </w:r>
            <w:r>
              <w:rPr>
                <w:rFonts w:ascii="Times New Roman" w:hAnsi="Times New Roman" w:cs="Times New Roman"/>
                <w:sz w:val="24"/>
                <w:vertAlign w:val="subscript"/>
              </w:rPr>
              <w:t>5</w:t>
            </w:r>
            <w:r>
              <w:rPr>
                <w:rFonts w:hint="eastAsia" w:ascii="Times New Roman" w:hAnsi="Times New Roman" w:cs="Times New Roman"/>
                <w:sz w:val="24"/>
              </w:rPr>
              <w:t xml:space="preserve"> </w:t>
            </w:r>
            <w:r>
              <w:rPr>
                <w:rFonts w:ascii="Times New Roman" w:hAnsi="Times New Roman" w:cs="Times New Roman"/>
                <w:bCs/>
                <w:sz w:val="24"/>
              </w:rPr>
              <w:t>56</w:t>
            </w:r>
            <w:r>
              <w:rPr>
                <w:rFonts w:ascii="Times New Roman" w:hAnsi="Times New Roman" w:cs="Times New Roman"/>
                <w:sz w:val="24"/>
              </w:rPr>
              <w:t>mg/L、SS</w:t>
            </w:r>
            <w:r>
              <w:rPr>
                <w:rFonts w:hint="eastAsia" w:ascii="Times New Roman" w:hAnsi="Times New Roman" w:cs="Times New Roman"/>
                <w:sz w:val="24"/>
              </w:rPr>
              <w:t xml:space="preserve"> </w:t>
            </w:r>
            <w:r>
              <w:rPr>
                <w:rFonts w:ascii="Times New Roman" w:hAnsi="Times New Roman" w:cs="Times New Roman"/>
                <w:bCs/>
                <w:sz w:val="24"/>
              </w:rPr>
              <w:t>18.2</w:t>
            </w:r>
            <w:r>
              <w:rPr>
                <w:rFonts w:ascii="Times New Roman" w:hAnsi="Times New Roman" w:cs="Times New Roman"/>
                <w:sz w:val="24"/>
              </w:rPr>
              <w:t>mg/L、氨氮</w:t>
            </w:r>
            <w:r>
              <w:rPr>
                <w:rFonts w:hint="eastAsia" w:ascii="Times New Roman" w:hAnsi="Times New Roman" w:cs="Times New Roman"/>
                <w:sz w:val="24"/>
              </w:rPr>
              <w:t>（N</w:t>
            </w:r>
            <w:r>
              <w:rPr>
                <w:rFonts w:ascii="Times New Roman" w:hAnsi="Times New Roman" w:cs="Times New Roman"/>
                <w:sz w:val="24"/>
              </w:rPr>
              <w:t>H</w:t>
            </w:r>
            <w:r>
              <w:rPr>
                <w:rFonts w:ascii="Times New Roman" w:hAnsi="Times New Roman" w:cs="Times New Roman"/>
                <w:sz w:val="24"/>
                <w:vertAlign w:val="subscript"/>
              </w:rPr>
              <w:t>4</w:t>
            </w:r>
            <w:r>
              <w:rPr>
                <w:rFonts w:ascii="Times New Roman" w:hAnsi="Times New Roman" w:cs="Times New Roman"/>
                <w:sz w:val="24"/>
              </w:rPr>
              <w:t>-N</w:t>
            </w:r>
            <w:r>
              <w:rPr>
                <w:rFonts w:hint="eastAsia" w:ascii="Times New Roman" w:hAnsi="Times New Roman" w:cs="Times New Roman"/>
                <w:sz w:val="24"/>
              </w:rPr>
              <w:t xml:space="preserve">） </w:t>
            </w:r>
            <w:r>
              <w:rPr>
                <w:rFonts w:ascii="Times New Roman" w:hAnsi="Times New Roman" w:cs="Times New Roman"/>
                <w:bCs/>
                <w:sz w:val="24"/>
              </w:rPr>
              <w:t>6.2</w:t>
            </w:r>
            <w:r>
              <w:rPr>
                <w:rFonts w:ascii="Times New Roman" w:hAnsi="Times New Roman" w:cs="Times New Roman"/>
                <w:sz w:val="24"/>
              </w:rPr>
              <w:t>mg/L、</w:t>
            </w:r>
            <w:r>
              <w:rPr>
                <w:rFonts w:hint="eastAsia" w:ascii="Times New Roman" w:hAnsi="Times New Roman" w:cs="Times New Roman"/>
                <w:sz w:val="24"/>
              </w:rPr>
              <w:t xml:space="preserve">总磷 </w:t>
            </w:r>
            <w:r>
              <w:rPr>
                <w:rFonts w:ascii="Times New Roman" w:hAnsi="Times New Roman" w:cs="Times New Roman"/>
                <w:sz w:val="24"/>
              </w:rPr>
              <w:t>2.0mg/L</w:t>
            </w:r>
            <w:r>
              <w:rPr>
                <w:rFonts w:hint="eastAsia" w:ascii="Times New Roman" w:hAnsi="Times New Roman" w:cs="Times New Roman"/>
                <w:sz w:val="24"/>
              </w:rPr>
              <w:t>、动植物油1</w:t>
            </w:r>
            <w:r>
              <w:rPr>
                <w:rFonts w:ascii="Times New Roman" w:hAnsi="Times New Roman" w:cs="Times New Roman"/>
                <w:sz w:val="24"/>
              </w:rPr>
              <w:t>.83mg/L</w:t>
            </w:r>
            <w:r>
              <w:rPr>
                <w:rFonts w:hint="eastAsia" w:ascii="Times New Roman" w:hAnsi="Times New Roman" w:cs="Times New Roman"/>
                <w:sz w:val="24"/>
              </w:rPr>
              <w:t xml:space="preserve">、粪大肠菌群 </w:t>
            </w:r>
            <w:r>
              <w:rPr>
                <w:rFonts w:ascii="Times New Roman" w:hAnsi="Times New Roman" w:cs="Times New Roman"/>
                <w:sz w:val="24"/>
              </w:rPr>
              <w:t>3500</w:t>
            </w:r>
            <w:r>
              <w:rPr>
                <w:rFonts w:hint="eastAsia" w:ascii="Times New Roman" w:hAnsi="Times New Roman" w:cs="Times New Roman"/>
                <w:sz w:val="24"/>
              </w:rPr>
              <w:t>M</w:t>
            </w:r>
            <w:r>
              <w:rPr>
                <w:rFonts w:ascii="Times New Roman" w:hAnsi="Times New Roman" w:cs="Times New Roman"/>
                <w:sz w:val="24"/>
              </w:rPr>
              <w:t>PN/L。</w:t>
            </w:r>
            <w:r>
              <w:rPr>
                <w:rFonts w:hint="eastAsia" w:ascii="Times New Roman" w:hAnsi="Times New Roman" w:cs="Times New Roman"/>
                <w:sz w:val="24"/>
              </w:rPr>
              <w:t>污废水处理后全部用于自有耕地灌溉，不排放。</w:t>
            </w:r>
          </w:p>
          <w:p w14:paraId="7039B177">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废</w:t>
            </w:r>
            <w:r>
              <w:rPr>
                <w:rFonts w:hint="eastAsia" w:ascii="Times New Roman" w:hAnsi="Times New Roman" w:cs="Times New Roman"/>
                <w:szCs w:val="21"/>
              </w:rPr>
              <w:t>水</w:t>
            </w:r>
            <w:r>
              <w:rPr>
                <w:rFonts w:ascii="Times New Roman" w:hAnsi="Times New Roman" w:cs="Times New Roman"/>
                <w:szCs w:val="21"/>
              </w:rPr>
              <w:t>污染防治措</w:t>
            </w:r>
            <w:r>
              <w:rPr>
                <w:rFonts w:hint="eastAsia" w:ascii="Times New Roman" w:hAnsi="Times New Roman" w:cs="Times New Roman"/>
                <w:szCs w:val="21"/>
              </w:rPr>
              <w:t>及可行性分析</w:t>
            </w:r>
          </w:p>
          <w:p w14:paraId="33CD5870">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（1）拟采取的防治措施。</w:t>
            </w:r>
          </w:p>
          <w:p w14:paraId="0F2B38FC">
            <w:pPr>
              <w:pStyle w:val="10"/>
              <w:spacing w:line="360" w:lineRule="auto"/>
              <w:ind w:left="105" w:leftChars="50" w:right="105" w:rightChars="50" w:firstLine="240" w:firstLineChars="100"/>
              <w:rPr>
                <w:rFonts w:ascii="Times New Roman" w:hAnsi="Times New Roman" w:cs="Times New Roman"/>
                <w:szCs w:val="21"/>
              </w:rPr>
            </w:pPr>
            <w:r>
              <w:rPr>
                <w:rFonts w:hint="eastAsia" w:ascii="Times New Roman" w:hAnsi="Times New Roman" w:cs="Times New Roman"/>
                <w:szCs w:val="21"/>
              </w:rPr>
              <w:t>工艺废水设</w:t>
            </w:r>
            <w:r>
              <w:rPr>
                <w:rFonts w:ascii="Times New Roman" w:hAnsi="Times New Roman" w:cs="Times New Roman"/>
                <w:szCs w:val="21"/>
              </w:rPr>
              <w:t>地埋式暂存罐收集、暂存，进入</w:t>
            </w:r>
            <w:r>
              <w:rPr>
                <w:rFonts w:hint="eastAsia" w:ascii="Times New Roman" w:hAnsi="Times New Roman" w:cs="Times New Roman"/>
                <w:szCs w:val="21"/>
              </w:rPr>
              <w:t>厂区</w:t>
            </w:r>
            <w:r>
              <w:rPr>
                <w:rFonts w:ascii="Times New Roman" w:hAnsi="Times New Roman" w:cs="Times New Roman"/>
                <w:szCs w:val="21"/>
              </w:rPr>
              <w:t>污水处理站处理。</w:t>
            </w:r>
            <w:r>
              <w:rPr>
                <w:rFonts w:hint="eastAsia" w:ascii="Times New Roman" w:hAnsi="Times New Roman" w:cs="Times New Roman"/>
                <w:szCs w:val="21"/>
              </w:rPr>
              <w:t>冲洗废水收集后均送</w:t>
            </w:r>
            <w:r>
              <w:rPr>
                <w:rFonts w:ascii="Times New Roman" w:hAnsi="Times New Roman" w:cs="Times New Roman"/>
                <w:szCs w:val="21"/>
              </w:rPr>
              <w:t>污水处理站处理。冷却塔</w:t>
            </w:r>
            <w:r>
              <w:rPr>
                <w:rFonts w:hint="eastAsia" w:ascii="Times New Roman" w:hAnsi="Times New Roman" w:cs="Times New Roman"/>
                <w:szCs w:val="21"/>
              </w:rPr>
              <w:t>定期排水</w:t>
            </w:r>
            <w:r>
              <w:rPr>
                <w:rFonts w:ascii="Times New Roman" w:hAnsi="Times New Roman" w:cs="Times New Roman"/>
                <w:szCs w:val="21"/>
              </w:rPr>
              <w:t>采用收集桶收集后回用于车间地面冲洗</w:t>
            </w:r>
            <w:r>
              <w:rPr>
                <w:rFonts w:hint="eastAsia" w:ascii="Times New Roman" w:hAnsi="Times New Roman" w:cs="Times New Roman"/>
                <w:szCs w:val="21"/>
              </w:rPr>
              <w:t>，形成冲洗废水，最终进入污水处理站处理。消毒废水、臭气处理系统的酸碱洗废水和锅炉烟气脱硫除尘塔废水均循环利用，不排放。</w:t>
            </w:r>
            <w:r>
              <w:rPr>
                <w:rFonts w:ascii="Times New Roman" w:hAnsi="Times New Roman" w:cs="Times New Roman"/>
                <w:szCs w:val="21"/>
              </w:rPr>
              <w:t>检验废水</w:t>
            </w:r>
            <w:r>
              <w:rPr>
                <w:rFonts w:hint="eastAsia" w:ascii="Times New Roman" w:hAnsi="Times New Roman" w:cs="Times New Roman"/>
                <w:szCs w:val="21"/>
              </w:rPr>
              <w:t>采用</w:t>
            </w:r>
            <w:r>
              <w:rPr>
                <w:rFonts w:ascii="Times New Roman" w:hAnsi="Times New Roman" w:cs="Times New Roman"/>
                <w:szCs w:val="21"/>
              </w:rPr>
              <w:t>收集桶收集，进行酸碱中和预处理后进入污水处理站处理。</w:t>
            </w:r>
            <w:r>
              <w:rPr>
                <w:rFonts w:hint="eastAsia" w:ascii="Times New Roman" w:hAnsi="Times New Roman" w:cs="Times New Roman"/>
                <w:szCs w:val="21"/>
              </w:rPr>
              <w:t>食堂废水</w:t>
            </w:r>
            <w:r>
              <w:rPr>
                <w:rFonts w:ascii="Times New Roman" w:hAnsi="Times New Roman" w:cs="Times New Roman"/>
                <w:szCs w:val="21"/>
              </w:rPr>
              <w:t>经隔油池</w:t>
            </w:r>
            <w:r>
              <w:rPr>
                <w:rFonts w:hint="eastAsia" w:ascii="Times New Roman" w:hAnsi="Times New Roman" w:cs="Times New Roman"/>
                <w:szCs w:val="21"/>
              </w:rPr>
              <w:t>预</w:t>
            </w:r>
            <w:r>
              <w:rPr>
                <w:rFonts w:ascii="Times New Roman" w:hAnsi="Times New Roman" w:cs="Times New Roman"/>
                <w:szCs w:val="21"/>
              </w:rPr>
              <w:t>处理后</w:t>
            </w:r>
            <w:r>
              <w:rPr>
                <w:rFonts w:hint="eastAsia" w:ascii="Times New Roman" w:hAnsi="Times New Roman" w:cs="Times New Roman"/>
                <w:szCs w:val="21"/>
              </w:rPr>
              <w:t>，与其它</w:t>
            </w:r>
            <w:r>
              <w:rPr>
                <w:rFonts w:ascii="Times New Roman" w:hAnsi="Times New Roman" w:cs="Times New Roman"/>
                <w:szCs w:val="21"/>
              </w:rPr>
              <w:t>生活污水一起进入化粪池</w:t>
            </w:r>
            <w:r>
              <w:rPr>
                <w:rFonts w:hint="eastAsia" w:ascii="Times New Roman" w:hAnsi="Times New Roman" w:cs="Times New Roman"/>
                <w:szCs w:val="21"/>
              </w:rPr>
              <w:t>，然后</w:t>
            </w:r>
            <w:r>
              <w:rPr>
                <w:rFonts w:ascii="Times New Roman" w:hAnsi="Times New Roman" w:cs="Times New Roman"/>
                <w:szCs w:val="21"/>
              </w:rPr>
              <w:t>进入污水处理站处理。</w:t>
            </w:r>
            <w:r>
              <w:rPr>
                <w:rFonts w:hint="eastAsia" w:ascii="Times New Roman" w:hAnsi="Times New Roman" w:cs="Times New Roman"/>
                <w:szCs w:val="21"/>
              </w:rPr>
              <w:t>处理站出水全部用于自有耕地灌溉，不排放。本项目配套租用1</w:t>
            </w:r>
            <w:r>
              <w:rPr>
                <w:rFonts w:ascii="Times New Roman" w:hAnsi="Times New Roman" w:cs="Times New Roman"/>
                <w:szCs w:val="21"/>
              </w:rPr>
              <w:t>31</w:t>
            </w:r>
            <w:r>
              <w:rPr>
                <w:rFonts w:hint="eastAsia" w:ascii="Times New Roman" w:hAnsi="Times New Roman" w:cs="Times New Roman"/>
                <w:szCs w:val="21"/>
              </w:rPr>
              <w:t>亩耕地，均来自帕当坝村（见附件）。</w:t>
            </w:r>
          </w:p>
          <w:p w14:paraId="19A3620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）防治措施可行性分析</w:t>
            </w:r>
          </w:p>
          <w:p w14:paraId="2C90525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①</w:t>
            </w:r>
            <w:r>
              <w:rPr>
                <w:rFonts w:ascii="Times New Roman" w:hAnsi="Times New Roman" w:cs="Times New Roman"/>
              </w:rPr>
              <w:fldChar w:fldCharType="end"/>
            </w:r>
            <w:r>
              <w:rPr>
                <w:rFonts w:hint="eastAsia" w:ascii="Times New Roman" w:hAnsi="Times New Roman" w:cs="Times New Roman"/>
              </w:rPr>
              <w:t>隔油池</w:t>
            </w:r>
          </w:p>
          <w:p w14:paraId="7D44AF56">
            <w:pPr>
              <w:pStyle w:val="10"/>
              <w:spacing w:line="360" w:lineRule="auto"/>
              <w:ind w:left="0" w:right="105" w:rightChars="50" w:firstLine="240" w:firstLineChars="100"/>
              <w:rPr>
                <w:rFonts w:ascii="Times New Roman" w:hAnsi="Times New Roman" w:cs="Times New Roman"/>
                <w:szCs w:val="21"/>
              </w:rPr>
            </w:pPr>
            <w:r>
              <w:rPr>
                <w:rFonts w:hint="eastAsia" w:ascii="Times New Roman" w:hAnsi="Times New Roman" w:cs="Times New Roman"/>
              </w:rPr>
              <w:t>食堂废水除了含有S</w:t>
            </w:r>
            <w:r>
              <w:rPr>
                <w:rFonts w:ascii="Times New Roman" w:hAnsi="Times New Roman" w:cs="Times New Roman"/>
              </w:rPr>
              <w:t>S</w:t>
            </w:r>
            <w:r>
              <w:rPr>
                <w:rFonts w:hint="eastAsia" w:ascii="Times New Roman" w:hAnsi="Times New Roman" w:cs="Times New Roman"/>
              </w:rPr>
              <w:t>、C</w:t>
            </w:r>
            <w:r>
              <w:rPr>
                <w:rFonts w:ascii="Times New Roman" w:hAnsi="Times New Roman" w:cs="Times New Roman"/>
              </w:rPr>
              <w:t>OD</w:t>
            </w:r>
            <w:r>
              <w:rPr>
                <w:rFonts w:hint="eastAsia" w:ascii="Times New Roman" w:hAnsi="Times New Roman" w:cs="Times New Roman"/>
              </w:rPr>
              <w:t>、B</w:t>
            </w:r>
            <w:r>
              <w:rPr>
                <w:rFonts w:ascii="Times New Roman" w:hAnsi="Times New Roman" w:cs="Times New Roman"/>
              </w:rPr>
              <w:t>OD</w:t>
            </w:r>
            <w:r>
              <w:rPr>
                <w:rFonts w:ascii="Times New Roman" w:hAnsi="Times New Roman" w:cs="Times New Roman"/>
                <w:vertAlign w:val="subscript"/>
              </w:rPr>
              <w:t>5</w:t>
            </w:r>
            <w:r>
              <w:rPr>
                <w:rFonts w:hint="eastAsia" w:ascii="Times New Roman" w:hAnsi="Times New Roman" w:cs="Times New Roman"/>
              </w:rPr>
              <w:t>、氨氮、总磷外，还含有一定量的动植物油。</w:t>
            </w:r>
            <w:r>
              <w:rPr>
                <w:rFonts w:ascii="Times New Roman" w:hAnsi="Times New Roman" w:cs="Times New Roman"/>
                <w:szCs w:val="21"/>
              </w:rPr>
              <w:t>参照《饮食业环境保护技术规范》（HJ554-2010）中“含废油脂水的停留时间不宜小于0.5h计”提出隔油池容积大小，隔油池容积计算公式如下：</w:t>
            </w:r>
          </w:p>
          <w:p w14:paraId="60DA7B8B">
            <w:pPr>
              <w:pStyle w:val="10"/>
              <w:spacing w:line="360" w:lineRule="auto"/>
              <w:ind w:left="0" w:right="105" w:rightChars="50"/>
              <w:jc w:val="center"/>
              <w:rPr>
                <w:rFonts w:ascii="Times New Roman" w:hAnsi="Times New Roman" w:cs="Times New Roman"/>
              </w:rPr>
            </w:pPr>
            <w:r>
              <w:rPr>
                <w:rFonts w:ascii="Times New Roman" w:hAnsi="Times New Roman" w:cs="Times New Roman"/>
              </w:rPr>
              <w:t>V=Q</w:t>
            </w:r>
            <w:r>
              <w:rPr>
                <w:rFonts w:ascii="Times New Roman" w:hAnsi="Times New Roman" w:cs="Times New Roman"/>
                <w:vertAlign w:val="subscript"/>
              </w:rPr>
              <w:t>max</w:t>
            </w:r>
            <w:r>
              <w:rPr>
                <w:rFonts w:ascii="Times New Roman" w:hAnsi="Times New Roman" w:cs="Times New Roman"/>
              </w:rPr>
              <w:t>×t</w:t>
            </w:r>
          </w:p>
          <w:p w14:paraId="56273DD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式中：</w:t>
            </w:r>
            <w:r>
              <w:rPr>
                <w:rFonts w:ascii="Times New Roman" w:hAnsi="Times New Roman" w:cs="Times New Roman"/>
              </w:rPr>
              <w:t>V—隔油池容积；</w:t>
            </w:r>
          </w:p>
          <w:p w14:paraId="5B98DB05">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max</w:t>
            </w:r>
            <w:r>
              <w:rPr>
                <w:rFonts w:ascii="Times New Roman" w:hAnsi="Times New Roman" w:cs="Times New Roman"/>
              </w:rPr>
              <w:t>—污水流量，项目食堂工作时间取4h/d；</w:t>
            </w:r>
          </w:p>
          <w:p w14:paraId="7EA3D82D">
            <w:pPr>
              <w:pStyle w:val="10"/>
              <w:spacing w:line="360" w:lineRule="auto"/>
              <w:ind w:left="0" w:right="105" w:rightChars="50" w:firstLine="960" w:firstLineChars="400"/>
              <w:rPr>
                <w:rFonts w:ascii="Times New Roman" w:hAnsi="Times New Roman" w:cs="Times New Roman"/>
              </w:rPr>
            </w:pPr>
            <w:r>
              <w:rPr>
                <w:rFonts w:ascii="Times New Roman" w:hAnsi="Times New Roman" w:cs="Times New Roman"/>
              </w:rPr>
              <w:t>t—隔油池污水停留时间（取0.5h）。</w:t>
            </w:r>
          </w:p>
          <w:p w14:paraId="434C2AB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w:t>
            </w:r>
            <w:r>
              <w:rPr>
                <w:rFonts w:ascii="Times New Roman" w:hAnsi="Times New Roman" w:cs="Times New Roman"/>
              </w:rPr>
              <w:t>食堂含油污水产生量为 0.22m</w:t>
            </w:r>
            <w:r>
              <w:rPr>
                <w:rFonts w:ascii="Times New Roman" w:hAnsi="Times New Roman" w:cs="Times New Roman"/>
                <w:vertAlign w:val="superscript"/>
              </w:rPr>
              <w:t>3</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食堂污水流量为0.055m</w:t>
            </w:r>
            <w:r>
              <w:rPr>
                <w:rFonts w:ascii="Times New Roman" w:hAnsi="Times New Roman" w:cs="Times New Roman"/>
                <w:vertAlign w:val="superscript"/>
              </w:rPr>
              <w:t>3</w:t>
            </w:r>
            <w:r>
              <w:rPr>
                <w:rFonts w:ascii="Times New Roman" w:hAnsi="Times New Roman" w:cs="Times New Roman"/>
              </w:rPr>
              <w:t>/h，则项目食堂隔油池容积需</w:t>
            </w:r>
            <w:r>
              <w:rPr>
                <w:rFonts w:hint="eastAsia" w:ascii="Times New Roman" w:hAnsi="Times New Roman" w:cs="Times New Roman"/>
              </w:rPr>
              <w:t>不低于</w:t>
            </w:r>
            <w:r>
              <w:rPr>
                <w:rFonts w:ascii="Times New Roman" w:hAnsi="Times New Roman" w:cs="Times New Roman"/>
              </w:rPr>
              <w:t>0.028m</w:t>
            </w:r>
            <w:r>
              <w:rPr>
                <w:rFonts w:ascii="Times New Roman" w:hAnsi="Times New Roman" w:cs="Times New Roman"/>
                <w:vertAlign w:val="superscript"/>
              </w:rPr>
              <w:t>3</w:t>
            </w:r>
            <w:r>
              <w:rPr>
                <w:rFonts w:ascii="Times New Roman" w:hAnsi="Times New Roman" w:cs="Times New Roman"/>
              </w:rPr>
              <w:t>，拟设置</w:t>
            </w:r>
            <w:r>
              <w:rPr>
                <w:rFonts w:hint="eastAsia" w:ascii="Times New Roman" w:hAnsi="Times New Roman" w:cs="Times New Roman"/>
              </w:rPr>
              <w:t>的</w:t>
            </w:r>
            <w:r>
              <w:rPr>
                <w:rFonts w:ascii="Times New Roman" w:hAnsi="Times New Roman" w:cs="Times New Roman"/>
              </w:rPr>
              <w:t>0.1m</w:t>
            </w:r>
            <w:r>
              <w:rPr>
                <w:rFonts w:ascii="Times New Roman" w:hAnsi="Times New Roman" w:cs="Times New Roman"/>
                <w:vertAlign w:val="superscript"/>
              </w:rPr>
              <w:t>3</w:t>
            </w:r>
            <w:r>
              <w:rPr>
                <w:rFonts w:ascii="Times New Roman" w:hAnsi="Times New Roman" w:cs="Times New Roman"/>
              </w:rPr>
              <w:t>的隔油池</w:t>
            </w:r>
            <w:r>
              <w:rPr>
                <w:rFonts w:hint="eastAsia" w:ascii="Times New Roman" w:hAnsi="Times New Roman" w:cs="Times New Roman"/>
              </w:rPr>
              <w:t>满足项目隔油要求，措施可行。</w:t>
            </w:r>
          </w:p>
          <w:p w14:paraId="118E718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hint="eastAsia" w:ascii="Times New Roman" w:hAnsi="Times New Roman" w:cs="Times New Roman"/>
              </w:rPr>
              <w:t>化粪池</w:t>
            </w:r>
          </w:p>
          <w:p w14:paraId="21FE8954">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是最为常见的生活污水预处理设施，</w:t>
            </w:r>
            <w:r>
              <w:rPr>
                <w:rFonts w:ascii="Times New Roman" w:hAnsi="Times New Roman" w:cs="Times New Roman"/>
              </w:rPr>
              <w:t>是一种利用沉淀和厌氧发酵的原理去除生活污水中悬浮性有机物的处理设施，属于初级的过渡性生活</w:t>
            </w:r>
            <w:r>
              <w:rPr>
                <w:rFonts w:hint="eastAsia" w:ascii="Times New Roman" w:hAnsi="Times New Roman" w:cs="Times New Roman"/>
              </w:rPr>
              <w:t>污水</w:t>
            </w:r>
            <w:r>
              <w:rPr>
                <w:rFonts w:ascii="Times New Roman" w:hAnsi="Times New Roman" w:cs="Times New Roman"/>
              </w:rPr>
              <w:t>处理</w:t>
            </w:r>
            <w:r>
              <w:fldChar w:fldCharType="begin"/>
            </w:r>
            <w:r>
              <w:instrText xml:space="preserve"> HYPERLINK "https://baike.baidu.com/item/%E6%9E%84%E7%AD%91%E7%89%A9" \t "_blank" </w:instrText>
            </w:r>
            <w:r>
              <w:fldChar w:fldCharType="separate"/>
            </w:r>
            <w:r>
              <w:rPr>
                <w:rFonts w:ascii="Times New Roman" w:hAnsi="Times New Roman" w:cs="Times New Roman"/>
              </w:rPr>
              <w:t>构筑物</w:t>
            </w:r>
            <w:r>
              <w:rPr>
                <w:rFonts w:ascii="Times New Roman" w:hAnsi="Times New Roman" w:cs="Times New Roman"/>
              </w:rPr>
              <w:fldChar w:fldCharType="end"/>
            </w:r>
            <w:r>
              <w:rPr>
                <w:rFonts w:ascii="Times New Roman" w:hAnsi="Times New Roman" w:cs="Times New Roman"/>
              </w:rPr>
              <w:t>。根据《建筑给水排水设计规范》（2009版）（GB50015-2003）中的规定“污水在化粪池内的停留时间宜采用12h～24h”，</w:t>
            </w:r>
            <w:r>
              <w:rPr>
                <w:rFonts w:hint="eastAsia" w:ascii="Times New Roman" w:hAnsi="Times New Roman" w:cs="Times New Roman"/>
              </w:rPr>
              <w:t>本项目所设化粪池容积为</w:t>
            </w:r>
            <w:r>
              <w:rPr>
                <w:rFonts w:ascii="Times New Roman" w:hAnsi="Times New Roman" w:cs="Times New Roman"/>
              </w:rPr>
              <w:t>5</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，可停留污水</w:t>
            </w:r>
            <w:r>
              <w:rPr>
                <w:rFonts w:ascii="Times New Roman" w:hAnsi="Times New Roman" w:cs="Times New Roman"/>
              </w:rPr>
              <w:t>2</w:t>
            </w:r>
            <w:r>
              <w:rPr>
                <w:rFonts w:hint="eastAsia" w:ascii="Times New Roman" w:hAnsi="Times New Roman" w:cs="Times New Roman"/>
              </w:rPr>
              <w:t>d以上，满足要求。</w:t>
            </w:r>
          </w:p>
          <w:p w14:paraId="43C6AC8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污水处理站</w:t>
            </w:r>
          </w:p>
          <w:p w14:paraId="2E47D080">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a.</w:t>
            </w:r>
            <w:r>
              <w:rPr>
                <w:rFonts w:ascii="Times New Roman" w:hAnsi="Times New Roman" w:cs="Times New Roman"/>
              </w:rPr>
              <w:t>污水处理工艺简述</w:t>
            </w:r>
          </w:p>
          <w:p w14:paraId="3D2094B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本项目拟建设1个处理规模为15m</w:t>
            </w:r>
            <w:r>
              <w:rPr>
                <w:rFonts w:ascii="Times New Roman" w:hAnsi="Times New Roman" w:cs="Times New Roman"/>
                <w:vertAlign w:val="superscript"/>
              </w:rPr>
              <w:t>3</w:t>
            </w:r>
            <w:r>
              <w:rPr>
                <w:rFonts w:ascii="Times New Roman" w:hAnsi="Times New Roman" w:cs="Times New Roman"/>
              </w:rPr>
              <w:t>/d的污水处理站，本次环评推荐采用“隔油池+调节池+A</w:t>
            </w:r>
            <w:r>
              <w:rPr>
                <w:rFonts w:ascii="Times New Roman" w:hAnsi="Times New Roman" w:cs="Times New Roman"/>
                <w:vertAlign w:val="superscript"/>
              </w:rPr>
              <w:t>2</w:t>
            </w:r>
            <w:r>
              <w:rPr>
                <w:rFonts w:ascii="Times New Roman" w:hAnsi="Times New Roman" w:cs="Times New Roman"/>
              </w:rPr>
              <w:t>O池+消毒池”工艺，属排污许可证申请与核发技术规范</w:t>
            </w:r>
            <w:r>
              <w:rPr>
                <w:rFonts w:hint="eastAsia" w:ascii="Times New Roman" w:hAnsi="Times New Roman" w:cs="Times New Roman"/>
              </w:rPr>
              <w:t xml:space="preserve"> </w:t>
            </w:r>
            <w:r>
              <w:rPr>
                <w:rFonts w:ascii="Times New Roman" w:hAnsi="Times New Roman" w:cs="Times New Roman"/>
              </w:rPr>
              <w:t>农副食品加工业——屠宰及肉类加工工业（干法化制无害化处理也适用本标准）推荐的可行技术，工艺简述如下</w:t>
            </w:r>
            <w:r>
              <w:rPr>
                <w:rFonts w:hint="eastAsia" w:ascii="Times New Roman" w:hAnsi="Times New Roman" w:cs="Times New Roman"/>
              </w:rPr>
              <w:t>。</w:t>
            </w:r>
          </w:p>
          <w:p w14:paraId="42C20C7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预处理：包括隔油池和调节池。项目废水中动物油含量相对较高，设计提出采用隔油池进行预处理，利用废水中悬浮物和水的比重不同而达到分离的目的，隔油池的构造多采用平流式，含油废水通过配水槽进入隔油池，沿水平方向缓慢流动，在流动中动植物油上浮水面，由集油管输送到收集桶内。其动植物油的处理效率可达到85％以上。调节池是作为废水水量调节和均质的构筑物。由于要处理的污水在排放具有时段不均匀性、时变化系数较大的特点，要使后续处理系统均衡地运行，尽量减少生产废水冲击负荷的影响，以达到理想的处理效果，则需设调节池，对废水水量进调节并均质，使调节池提升泵始终按平均处理水量向后续处理系统供水。池末端安装提升泵，将污水提升至处理池。调节池中的水位处于高液位时水泵自动启动；处于低液位时水泵自动停止。</w:t>
            </w:r>
          </w:p>
          <w:p w14:paraId="1A60B8E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AAO</w:t>
            </w:r>
            <w:r>
              <w:rPr>
                <w:rFonts w:hint="eastAsia" w:ascii="Times New Roman" w:hAnsi="Times New Roman" w:cs="Times New Roman"/>
              </w:rPr>
              <w:t>处理：</w:t>
            </w:r>
            <w:r>
              <w:rPr>
                <w:rFonts w:ascii="Times New Roman" w:hAnsi="Times New Roman" w:cs="Times New Roman"/>
              </w:rPr>
              <w:t>指通过厌氧区、缺氧区和好氧区的各种组合以及不同的污泥回流方式来去除水中有机污染物和氮、磷等的活性污泥法污水处理方法，简称AAO法。包括厌氧池、缺氧池、好氧池和二沉池，在缺氧段异氧菌将废水中的有机物水解为有机酸，使大分子有机物水解为小分子有机物，不溶性的有机物可转化为可溶性有机物。但进入好氧段处理时，可提高废水的可生化性。在缺氧段异氧菌将蛋白质、脂肪等污染物进行氨化游离出氨（NH</w:t>
            </w:r>
            <w:r>
              <w:rPr>
                <w:rFonts w:ascii="Times New Roman" w:hAnsi="Times New Roman" w:cs="Times New Roman"/>
                <w:vertAlign w:val="subscript"/>
              </w:rPr>
              <w:t>3</w:t>
            </w: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），在充足供氧条件下，自养菌的硝化作用将NH</w:t>
            </w:r>
            <w:r>
              <w:rPr>
                <w:rFonts w:ascii="Times New Roman" w:hAnsi="Times New Roman" w:cs="Times New Roman"/>
                <w:vertAlign w:val="subscript"/>
              </w:rPr>
              <w:t>4</w:t>
            </w:r>
            <w:r>
              <w:rPr>
                <w:rFonts w:ascii="Times New Roman" w:hAnsi="Times New Roman" w:cs="Times New Roman"/>
              </w:rPr>
              <w:t>-N（NH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）氧化为 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，通过回流控制返回至缺氧段，异氧菌的反硝化作用将NO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还原为分子态N</w:t>
            </w:r>
            <w:r>
              <w:rPr>
                <w:rFonts w:ascii="Times New Roman" w:hAnsi="Times New Roman" w:cs="Times New Roman"/>
                <w:vertAlign w:val="subscript"/>
              </w:rPr>
              <w:t>2</w:t>
            </w:r>
            <w:r>
              <w:rPr>
                <w:rFonts w:ascii="Times New Roman" w:hAnsi="Times New Roman" w:cs="Times New Roman"/>
              </w:rPr>
              <w:t>完成C、N、O的循环，实现废水无害化处理。根据《厌氧-缺氧-好氧活性污泥法（AAO）污水处理工程技术规范》，AAO对污染物的去除效果分别为，CODcr 70%~90%、BOD</w:t>
            </w:r>
            <w:r>
              <w:rPr>
                <w:rFonts w:ascii="Times New Roman" w:hAnsi="Times New Roman" w:cs="Times New Roman"/>
                <w:vertAlign w:val="subscript"/>
              </w:rPr>
              <w:t>5</w:t>
            </w:r>
            <w:r>
              <w:rPr>
                <w:rFonts w:ascii="Times New Roman" w:hAnsi="Times New Roman" w:cs="Times New Roman"/>
              </w:rPr>
              <w:t xml:space="preserve"> 85%~95%、SS 80%~95%、氨氮 80%~95%、总磷 60%~90%</w:t>
            </w:r>
            <w:r>
              <w:rPr>
                <w:rFonts w:hint="eastAsia" w:ascii="Times New Roman" w:hAnsi="Times New Roman" w:cs="Times New Roman"/>
              </w:rPr>
              <w:t>。</w:t>
            </w:r>
            <w:r>
              <w:rPr>
                <w:rFonts w:ascii="Times New Roman" w:hAnsi="Times New Roman" w:cs="Times New Roman"/>
              </w:rPr>
              <w:t>综合考虑，本次评价取 CODcr 90%、BOD</w:t>
            </w:r>
            <w:r>
              <w:rPr>
                <w:rFonts w:ascii="Times New Roman" w:hAnsi="Times New Roman" w:cs="Times New Roman"/>
                <w:vertAlign w:val="subscript"/>
              </w:rPr>
              <w:t>5</w:t>
            </w:r>
            <w:r>
              <w:rPr>
                <w:rFonts w:ascii="Times New Roman" w:hAnsi="Times New Roman" w:cs="Times New Roman"/>
              </w:rPr>
              <w:t xml:space="preserve"> 95%、SS 90%、 氨氮 90%、总磷 80%</w:t>
            </w:r>
            <w:r>
              <w:rPr>
                <w:rFonts w:hint="eastAsia" w:ascii="Times New Roman" w:hAnsi="Times New Roman" w:cs="Times New Roman"/>
              </w:rPr>
              <w:t>。</w:t>
            </w:r>
          </w:p>
          <w:p w14:paraId="32DA174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消毒池</w:t>
            </w:r>
            <w:r>
              <w:rPr>
                <w:rFonts w:hint="eastAsia" w:ascii="Times New Roman" w:hAnsi="Times New Roman" w:cs="Times New Roman"/>
              </w:rPr>
              <w:t>：</w:t>
            </w:r>
            <w:r>
              <w:rPr>
                <w:rFonts w:ascii="Times New Roman" w:hAnsi="Times New Roman" w:cs="Times New Roman"/>
              </w:rPr>
              <w:t>本项目消毒池采用臭氧消毒，消毒效率99%。</w:t>
            </w:r>
          </w:p>
          <w:p w14:paraId="39C122F6">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污泥处理</w:t>
            </w:r>
            <w:r>
              <w:rPr>
                <w:rFonts w:hint="eastAsia" w:ascii="Times New Roman" w:hAnsi="Times New Roman" w:cs="Times New Roman"/>
              </w:rPr>
              <w:t>：</w:t>
            </w:r>
            <w:r>
              <w:rPr>
                <w:rFonts w:ascii="Times New Roman" w:hAnsi="Times New Roman" w:cs="Times New Roman"/>
              </w:rPr>
              <w:t>污泥进入贮泥池，经压滤机脱水消毒处理后，暂存于危险废物暂存间，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6CBF9C18">
            <w:pPr>
              <w:pStyle w:val="10"/>
              <w:ind w:left="0" w:right="105" w:rightChars="50"/>
              <w:jc w:val="center"/>
              <w:rPr>
                <w:rFonts w:ascii="Times New Roman" w:hAnsi="Times New Roman" w:cs="Times New Roman"/>
                <w:sz w:val="21"/>
                <w:szCs w:val="21"/>
              </w:rPr>
            </w:pPr>
            <w:r>
              <w:drawing>
                <wp:inline distT="0" distB="0" distL="0" distR="0">
                  <wp:extent cx="3463925" cy="4589145"/>
                  <wp:effectExtent l="0" t="0" r="317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93900" cy="4628650"/>
                          </a:xfrm>
                          <a:prstGeom prst="rect">
                            <a:avLst/>
                          </a:prstGeom>
                          <a:noFill/>
                          <a:ln>
                            <a:noFill/>
                          </a:ln>
                        </pic:spPr>
                      </pic:pic>
                    </a:graphicData>
                  </a:graphic>
                </wp:inline>
              </w:drawing>
            </w:r>
          </w:p>
          <w:p w14:paraId="7D053048">
            <w:pPr>
              <w:pStyle w:val="10"/>
              <w:ind w:left="0" w:right="105" w:rightChars="50"/>
              <w:jc w:val="center"/>
              <w:rPr>
                <w:rFonts w:ascii="Times New Roman" w:hAnsi="Times New Roman" w:cs="Times New Roman"/>
                <w:b/>
                <w:bCs/>
                <w:sz w:val="21"/>
                <w:szCs w:val="21"/>
              </w:rPr>
            </w:pPr>
            <w:r>
              <w:rPr>
                <w:rFonts w:hint="eastAsia" w:ascii="Times New Roman" w:hAnsi="Times New Roman" w:cs="Times New Roman"/>
                <w:b/>
                <w:bCs/>
                <w:sz w:val="21"/>
                <w:szCs w:val="21"/>
              </w:rPr>
              <w:t>图4</w:t>
            </w:r>
            <w:r>
              <w:rPr>
                <w:rFonts w:ascii="Times New Roman" w:hAnsi="Times New Roman" w:cs="Times New Roman"/>
                <w:b/>
                <w:bCs/>
                <w:sz w:val="21"/>
                <w:szCs w:val="21"/>
              </w:rPr>
              <w:t xml:space="preserve">-2    </w:t>
            </w:r>
            <w:r>
              <w:rPr>
                <w:rFonts w:hint="eastAsia" w:ascii="Times New Roman" w:hAnsi="Times New Roman" w:cs="Times New Roman"/>
                <w:b/>
                <w:bCs/>
                <w:sz w:val="21"/>
                <w:szCs w:val="21"/>
              </w:rPr>
              <w:t>污水处理工艺流程图</w:t>
            </w:r>
          </w:p>
          <w:p w14:paraId="3022A63E">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布置位置和处理规模</w:t>
            </w:r>
          </w:p>
          <w:p w14:paraId="747A7FC5">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根据厂区平面布置图，设计提出污水处理站布置在生产车间东</w:t>
            </w:r>
            <w:r>
              <w:rPr>
                <w:rFonts w:hint="eastAsia" w:ascii="Times New Roman" w:hAnsi="Times New Roman" w:cs="Times New Roman"/>
              </w:rPr>
              <w:t>南部</w:t>
            </w:r>
            <w:r>
              <w:rPr>
                <w:rFonts w:ascii="Times New Roman" w:hAnsi="Times New Roman" w:cs="Times New Roman"/>
              </w:rPr>
              <w:t>，进入污水处理站的水量为11.98m</w:t>
            </w:r>
            <w:r>
              <w:rPr>
                <w:rFonts w:ascii="Times New Roman" w:hAnsi="Times New Roman" w:cs="Times New Roman"/>
                <w:vertAlign w:val="superscript"/>
              </w:rPr>
              <w:t>3</w:t>
            </w:r>
            <w:r>
              <w:rPr>
                <w:rFonts w:ascii="Times New Roman" w:hAnsi="Times New Roman" w:cs="Times New Roman"/>
              </w:rPr>
              <w:t>/d。故污水处理站的设计规模为15m</w:t>
            </w:r>
            <w:r>
              <w:rPr>
                <w:rFonts w:ascii="Times New Roman" w:hAnsi="Times New Roman" w:cs="Times New Roman"/>
                <w:vertAlign w:val="superscript"/>
              </w:rPr>
              <w:t>3</w:t>
            </w:r>
            <w:r>
              <w:rPr>
                <w:rFonts w:ascii="Times New Roman" w:hAnsi="Times New Roman" w:cs="Times New Roman"/>
              </w:rPr>
              <w:t>/d，同时预留一定的处理能力，其规模可以满足本项目的处理要求。</w:t>
            </w:r>
          </w:p>
          <w:p w14:paraId="5A9D41E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处理效果</w:t>
            </w:r>
          </w:p>
          <w:p w14:paraId="72B9E21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项目拟建污水处理站处理工艺效果分析详见下表</w:t>
            </w:r>
            <w:r>
              <w:rPr>
                <w:rFonts w:hint="eastAsia" w:ascii="Times New Roman" w:hAnsi="Times New Roman" w:cs="Times New Roman"/>
              </w:rPr>
              <w:t>。</w:t>
            </w:r>
          </w:p>
          <w:p w14:paraId="508FAF81">
            <w:pPr>
              <w:widowControl/>
              <w:spacing w:before="156" w:beforeLines="50"/>
              <w:jc w:val="center"/>
              <w:textAlignment w:val="center"/>
              <w:rPr>
                <w:rFonts w:ascii="Times New Roman" w:hAnsi="Times New Roman" w:eastAsia="宋体" w:cs="Times New Roman"/>
                <w:b/>
                <w:szCs w:val="21"/>
              </w:rPr>
            </w:pPr>
            <w:r>
              <w:rPr>
                <w:rFonts w:ascii="Times New Roman" w:hAnsi="Times New Roman" w:eastAsia="宋体" w:cs="Times New Roman"/>
                <w:b/>
                <w:szCs w:val="21"/>
              </w:rPr>
              <w:t>表4-16    废水处理工艺处理效果分析表  单位</w:t>
            </w:r>
            <w:r>
              <w:rPr>
                <w:rFonts w:hint="eastAsia" w:ascii="Times New Roman" w:hAnsi="Times New Roman" w:eastAsia="宋体" w:cs="Times New Roman"/>
                <w:b/>
                <w:szCs w:val="21"/>
              </w:rPr>
              <w:t>：</w:t>
            </w:r>
            <w:r>
              <w:rPr>
                <w:rFonts w:ascii="Times New Roman" w:hAnsi="Times New Roman" w:eastAsia="宋体" w:cs="Times New Roman"/>
                <w:b/>
                <w:szCs w:val="21"/>
              </w:rPr>
              <w:t>mg/L</w:t>
            </w:r>
            <w:r>
              <w:rPr>
                <w:rFonts w:hint="eastAsia" w:ascii="Times New Roman" w:hAnsi="Times New Roman" w:eastAsia="宋体" w:cs="Times New Roman"/>
                <w:b/>
                <w:szCs w:val="21"/>
              </w:rPr>
              <w:t>，p</w:t>
            </w:r>
            <w:r>
              <w:rPr>
                <w:rFonts w:ascii="Times New Roman" w:hAnsi="Times New Roman" w:eastAsia="宋体" w:cs="Times New Roman"/>
                <w:b/>
                <w:szCs w:val="21"/>
              </w:rPr>
              <w:t>H</w:t>
            </w:r>
            <w:r>
              <w:rPr>
                <w:rFonts w:hint="eastAsia" w:ascii="Times New Roman" w:hAnsi="Times New Roman" w:eastAsia="宋体" w:cs="Times New Roman"/>
                <w:b/>
                <w:szCs w:val="21"/>
              </w:rPr>
              <w:t>无量纲</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806"/>
              <w:gridCol w:w="794"/>
              <w:gridCol w:w="696"/>
              <w:gridCol w:w="696"/>
              <w:gridCol w:w="695"/>
              <w:gridCol w:w="696"/>
              <w:gridCol w:w="976"/>
              <w:gridCol w:w="1187"/>
            </w:tblGrid>
            <w:tr w14:paraId="556C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vAlign w:val="center"/>
                </w:tcPr>
                <w:p w14:paraId="030D66D7">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项目</w:t>
                  </w:r>
                </w:p>
              </w:tc>
              <w:tc>
                <w:tcPr>
                  <w:tcW w:w="6745" w:type="dxa"/>
                  <w:gridSpan w:val="8"/>
                  <w:vAlign w:val="center"/>
                </w:tcPr>
                <w:p w14:paraId="219D0608">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污染物</w:t>
                  </w:r>
                </w:p>
              </w:tc>
            </w:tr>
            <w:tr w14:paraId="507F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vAlign w:val="center"/>
                </w:tcPr>
                <w:p w14:paraId="34DE663E">
                  <w:pPr>
                    <w:snapToGrid w:val="0"/>
                    <w:jc w:val="center"/>
                    <w:rPr>
                      <w:rFonts w:ascii="Times New Roman" w:hAnsi="Times New Roman" w:eastAsia="宋体" w:cs="Times New Roman"/>
                      <w:kern w:val="0"/>
                      <w:sz w:val="18"/>
                      <w:szCs w:val="18"/>
                      <w:lang w:bidi="ar"/>
                    </w:rPr>
                  </w:pPr>
                </w:p>
              </w:tc>
              <w:tc>
                <w:tcPr>
                  <w:tcW w:w="838" w:type="dxa"/>
                  <w:vAlign w:val="center"/>
                </w:tcPr>
                <w:p w14:paraId="2A2A5826">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COD</w:t>
                  </w:r>
                </w:p>
              </w:tc>
              <w:tc>
                <w:tcPr>
                  <w:tcW w:w="804" w:type="dxa"/>
                  <w:vAlign w:val="center"/>
                </w:tcPr>
                <w:p w14:paraId="17DD7B4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BOD</w:t>
                  </w:r>
                  <w:r>
                    <w:rPr>
                      <w:rFonts w:ascii="Times New Roman" w:hAnsi="Times New Roman" w:cs="Times New Roman"/>
                      <w:kern w:val="0"/>
                      <w:sz w:val="18"/>
                      <w:szCs w:val="18"/>
                      <w:vertAlign w:val="subscript"/>
                      <w:lang w:val="en-US" w:bidi="ar"/>
                    </w:rPr>
                    <w:t>5</w:t>
                  </w:r>
                </w:p>
              </w:tc>
              <w:tc>
                <w:tcPr>
                  <w:tcW w:w="709" w:type="dxa"/>
                  <w:vAlign w:val="center"/>
                </w:tcPr>
                <w:p w14:paraId="7951452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SS</w:t>
                  </w:r>
                </w:p>
              </w:tc>
              <w:tc>
                <w:tcPr>
                  <w:tcW w:w="709" w:type="dxa"/>
                  <w:vAlign w:val="center"/>
                </w:tcPr>
                <w:p w14:paraId="15601851">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氨氮</w:t>
                  </w:r>
                </w:p>
              </w:tc>
              <w:tc>
                <w:tcPr>
                  <w:tcW w:w="708" w:type="dxa"/>
                  <w:vAlign w:val="center"/>
                </w:tcPr>
                <w:p w14:paraId="20B5A30D">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TP</w:t>
                  </w:r>
                </w:p>
              </w:tc>
              <w:tc>
                <w:tcPr>
                  <w:tcW w:w="709" w:type="dxa"/>
                  <w:vAlign w:val="center"/>
                </w:tcPr>
                <w:p w14:paraId="79AA4195">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动植物油</w:t>
                  </w:r>
                </w:p>
              </w:tc>
              <w:tc>
                <w:tcPr>
                  <w:tcW w:w="992" w:type="dxa"/>
                  <w:vAlign w:val="center"/>
                </w:tcPr>
                <w:p w14:paraId="557E7C5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pH</w:t>
                  </w:r>
                </w:p>
              </w:tc>
              <w:tc>
                <w:tcPr>
                  <w:tcW w:w="1276" w:type="dxa"/>
                  <w:vAlign w:val="center"/>
                </w:tcPr>
                <w:p w14:paraId="09CF60D4">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粪大肠菌群</w:t>
                  </w:r>
                </w:p>
                <w:p w14:paraId="3469060D">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（MPN /L）</w:t>
                  </w:r>
                </w:p>
              </w:tc>
            </w:tr>
            <w:tr w14:paraId="6720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1A87DFAD">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进水水质</w:t>
                  </w:r>
                </w:p>
              </w:tc>
              <w:tc>
                <w:tcPr>
                  <w:tcW w:w="838" w:type="dxa"/>
                  <w:vAlign w:val="center"/>
                </w:tcPr>
                <w:p w14:paraId="54B4E02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1730</w:t>
                  </w:r>
                </w:p>
              </w:tc>
              <w:tc>
                <w:tcPr>
                  <w:tcW w:w="804" w:type="dxa"/>
                  <w:vAlign w:val="center"/>
                </w:tcPr>
                <w:p w14:paraId="27578D6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1120</w:t>
                  </w:r>
                </w:p>
              </w:tc>
              <w:tc>
                <w:tcPr>
                  <w:tcW w:w="709" w:type="dxa"/>
                  <w:vAlign w:val="center"/>
                </w:tcPr>
                <w:p w14:paraId="0EE69704">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182</w:t>
                  </w:r>
                </w:p>
              </w:tc>
              <w:tc>
                <w:tcPr>
                  <w:tcW w:w="709" w:type="dxa"/>
                  <w:vAlign w:val="center"/>
                </w:tcPr>
                <w:p w14:paraId="6E207015">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61.7</w:t>
                  </w:r>
                </w:p>
              </w:tc>
              <w:tc>
                <w:tcPr>
                  <w:tcW w:w="708" w:type="dxa"/>
                  <w:vAlign w:val="center"/>
                </w:tcPr>
                <w:p w14:paraId="197EC21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8.13</w:t>
                  </w:r>
                </w:p>
              </w:tc>
              <w:tc>
                <w:tcPr>
                  <w:tcW w:w="709" w:type="dxa"/>
                  <w:vAlign w:val="center"/>
                </w:tcPr>
                <w:p w14:paraId="5D0D0A4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12.2</w:t>
                  </w:r>
                </w:p>
              </w:tc>
              <w:tc>
                <w:tcPr>
                  <w:tcW w:w="992" w:type="dxa"/>
                  <w:vAlign w:val="center"/>
                </w:tcPr>
                <w:p w14:paraId="035A869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7.4-7.44</w:t>
                  </w:r>
                </w:p>
              </w:tc>
              <w:tc>
                <w:tcPr>
                  <w:tcW w:w="1276" w:type="dxa"/>
                  <w:vAlign w:val="center"/>
                </w:tcPr>
                <w:p w14:paraId="77F55278">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3.5×10 4</w:t>
                  </w:r>
                </w:p>
              </w:tc>
            </w:tr>
            <w:tr w14:paraId="72F1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3AF8363C">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处理效率</w:t>
                  </w:r>
                </w:p>
              </w:tc>
              <w:tc>
                <w:tcPr>
                  <w:tcW w:w="838" w:type="dxa"/>
                  <w:vAlign w:val="center"/>
                </w:tcPr>
                <w:p w14:paraId="48F5A55B">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9</w:t>
                  </w:r>
                  <w:r>
                    <w:rPr>
                      <w:rFonts w:ascii="Times New Roman" w:hAnsi="Times New Roman" w:cs="Times New Roman"/>
                      <w:kern w:val="0"/>
                      <w:sz w:val="18"/>
                      <w:szCs w:val="18"/>
                      <w:lang w:val="en-US" w:bidi="ar"/>
                    </w:rPr>
                    <w:t>0</w:t>
                  </w:r>
                  <w:r>
                    <w:rPr>
                      <w:rFonts w:hint="eastAsia" w:ascii="Times New Roman" w:hAnsi="Times New Roman" w:cs="Times New Roman"/>
                      <w:kern w:val="0"/>
                      <w:sz w:val="18"/>
                      <w:szCs w:val="18"/>
                      <w:lang w:val="en-US" w:bidi="ar"/>
                    </w:rPr>
                    <w:t>%</w:t>
                  </w:r>
                </w:p>
              </w:tc>
              <w:tc>
                <w:tcPr>
                  <w:tcW w:w="804" w:type="dxa"/>
                  <w:vAlign w:val="center"/>
                </w:tcPr>
                <w:p w14:paraId="7A4710D9">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95%</w:t>
                  </w:r>
                </w:p>
              </w:tc>
              <w:tc>
                <w:tcPr>
                  <w:tcW w:w="709" w:type="dxa"/>
                  <w:vAlign w:val="center"/>
                </w:tcPr>
                <w:p w14:paraId="050944E9">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90%</w:t>
                  </w:r>
                </w:p>
              </w:tc>
              <w:tc>
                <w:tcPr>
                  <w:tcW w:w="709" w:type="dxa"/>
                  <w:vAlign w:val="center"/>
                </w:tcPr>
                <w:p w14:paraId="613B987C">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90%</w:t>
                  </w:r>
                </w:p>
              </w:tc>
              <w:tc>
                <w:tcPr>
                  <w:tcW w:w="708" w:type="dxa"/>
                  <w:vAlign w:val="center"/>
                </w:tcPr>
                <w:p w14:paraId="2403AD9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80%</w:t>
                  </w:r>
                </w:p>
              </w:tc>
              <w:tc>
                <w:tcPr>
                  <w:tcW w:w="709" w:type="dxa"/>
                  <w:vAlign w:val="center"/>
                </w:tcPr>
                <w:p w14:paraId="4CAEADE4">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85%</w:t>
                  </w:r>
                </w:p>
              </w:tc>
              <w:tc>
                <w:tcPr>
                  <w:tcW w:w="992" w:type="dxa"/>
                  <w:vAlign w:val="center"/>
                </w:tcPr>
                <w:p w14:paraId="1A3733E8">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1276" w:type="dxa"/>
                  <w:vAlign w:val="center"/>
                </w:tcPr>
                <w:p w14:paraId="4CD35D86">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99%</w:t>
                  </w:r>
                </w:p>
              </w:tc>
            </w:tr>
            <w:tr w14:paraId="5417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070B0439">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出水水质</w:t>
                  </w:r>
                </w:p>
              </w:tc>
              <w:tc>
                <w:tcPr>
                  <w:tcW w:w="838" w:type="dxa"/>
                  <w:vAlign w:val="center"/>
                </w:tcPr>
                <w:p w14:paraId="718DCF2F">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173</w:t>
                  </w:r>
                </w:p>
              </w:tc>
              <w:tc>
                <w:tcPr>
                  <w:tcW w:w="804" w:type="dxa"/>
                  <w:vAlign w:val="center"/>
                </w:tcPr>
                <w:p w14:paraId="170520B5">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56</w:t>
                  </w:r>
                </w:p>
              </w:tc>
              <w:tc>
                <w:tcPr>
                  <w:tcW w:w="709" w:type="dxa"/>
                  <w:vAlign w:val="center"/>
                </w:tcPr>
                <w:p w14:paraId="66C4F27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18.2</w:t>
                  </w:r>
                </w:p>
              </w:tc>
              <w:tc>
                <w:tcPr>
                  <w:tcW w:w="709" w:type="dxa"/>
                  <w:vAlign w:val="center"/>
                </w:tcPr>
                <w:p w14:paraId="6465FFA6">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6.2</w:t>
                  </w:r>
                </w:p>
              </w:tc>
              <w:tc>
                <w:tcPr>
                  <w:tcW w:w="708" w:type="dxa"/>
                  <w:vAlign w:val="center"/>
                </w:tcPr>
                <w:p w14:paraId="067F0ACB">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2.0</w:t>
                  </w:r>
                </w:p>
              </w:tc>
              <w:tc>
                <w:tcPr>
                  <w:tcW w:w="709" w:type="dxa"/>
                  <w:vAlign w:val="center"/>
                </w:tcPr>
                <w:p w14:paraId="27734AC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1.83</w:t>
                  </w:r>
                </w:p>
              </w:tc>
              <w:tc>
                <w:tcPr>
                  <w:tcW w:w="992" w:type="dxa"/>
                  <w:vAlign w:val="center"/>
                </w:tcPr>
                <w:p w14:paraId="391EE443">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7.4-7.44</w:t>
                  </w:r>
                </w:p>
              </w:tc>
              <w:tc>
                <w:tcPr>
                  <w:tcW w:w="1276" w:type="dxa"/>
                  <w:vAlign w:val="center"/>
                </w:tcPr>
                <w:p w14:paraId="3ABA8848">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3500</w:t>
                  </w:r>
                </w:p>
              </w:tc>
            </w:tr>
            <w:tr w14:paraId="3867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66AFE28D">
                  <w:pPr>
                    <w:snapToGrid w:val="0"/>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（GB5084-2021）《农田灌溉水质 标准》中的旱地灌溉水质标准</w:t>
                  </w:r>
                </w:p>
              </w:tc>
              <w:tc>
                <w:tcPr>
                  <w:tcW w:w="838" w:type="dxa"/>
                  <w:vAlign w:val="center"/>
                </w:tcPr>
                <w:p w14:paraId="652EF41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≤200</w:t>
                  </w:r>
                </w:p>
              </w:tc>
              <w:tc>
                <w:tcPr>
                  <w:tcW w:w="804" w:type="dxa"/>
                  <w:vAlign w:val="center"/>
                </w:tcPr>
                <w:p w14:paraId="10F1BEFD">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≤100</w:t>
                  </w:r>
                </w:p>
              </w:tc>
              <w:tc>
                <w:tcPr>
                  <w:tcW w:w="709" w:type="dxa"/>
                  <w:vAlign w:val="center"/>
                </w:tcPr>
                <w:p w14:paraId="5F8512F9">
                  <w:pPr>
                    <w:snapToGrid w:val="0"/>
                    <w:jc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≤100</w:t>
                  </w:r>
                </w:p>
              </w:tc>
              <w:tc>
                <w:tcPr>
                  <w:tcW w:w="709" w:type="dxa"/>
                  <w:vAlign w:val="center"/>
                </w:tcPr>
                <w:p w14:paraId="12103A4A">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8" w:type="dxa"/>
                  <w:vAlign w:val="center"/>
                </w:tcPr>
                <w:p w14:paraId="20C9F2F7">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9" w:type="dxa"/>
                  <w:vAlign w:val="center"/>
                </w:tcPr>
                <w:p w14:paraId="652CFB12">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992" w:type="dxa"/>
                  <w:vAlign w:val="center"/>
                </w:tcPr>
                <w:p w14:paraId="7E3DA161">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5.5-8.5</w:t>
                  </w:r>
                </w:p>
              </w:tc>
              <w:tc>
                <w:tcPr>
                  <w:tcW w:w="1276" w:type="dxa"/>
                  <w:vAlign w:val="center"/>
                </w:tcPr>
                <w:p w14:paraId="47A5C6A2">
                  <w:pPr>
                    <w:pStyle w:val="10"/>
                    <w:snapToGrid w:val="0"/>
                    <w:ind w:left="0" w:right="105" w:rightChars="50"/>
                    <w:jc w:val="center"/>
                    <w:rPr>
                      <w:rFonts w:ascii="Times New Roman" w:hAnsi="Times New Roman" w:cs="Times New Roman"/>
                      <w:kern w:val="0"/>
                      <w:sz w:val="18"/>
                      <w:szCs w:val="18"/>
                      <w:lang w:val="en-US" w:bidi="ar"/>
                    </w:rPr>
                  </w:pPr>
                  <w:r>
                    <w:rPr>
                      <w:rFonts w:ascii="Times New Roman" w:hAnsi="Times New Roman" w:cs="Times New Roman"/>
                      <w:kern w:val="0"/>
                      <w:sz w:val="18"/>
                      <w:szCs w:val="18"/>
                      <w:lang w:val="en-US" w:bidi="ar"/>
                    </w:rPr>
                    <w:t>40000</w:t>
                  </w:r>
                </w:p>
              </w:tc>
            </w:tr>
            <w:tr w14:paraId="0A3F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14:paraId="49672A11">
                  <w:pPr>
                    <w:snapToGrid w:val="0"/>
                    <w:jc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达标分析</w:t>
                  </w:r>
                </w:p>
              </w:tc>
              <w:tc>
                <w:tcPr>
                  <w:tcW w:w="838" w:type="dxa"/>
                  <w:vAlign w:val="center"/>
                </w:tcPr>
                <w:p w14:paraId="58312C8C">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804" w:type="dxa"/>
                  <w:vAlign w:val="center"/>
                </w:tcPr>
                <w:p w14:paraId="2156BBBD">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709" w:type="dxa"/>
                  <w:vAlign w:val="center"/>
                </w:tcPr>
                <w:p w14:paraId="1AD82309">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709" w:type="dxa"/>
                  <w:vAlign w:val="center"/>
                </w:tcPr>
                <w:p w14:paraId="7A479201">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8" w:type="dxa"/>
                  <w:vAlign w:val="center"/>
                </w:tcPr>
                <w:p w14:paraId="403B1085">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709" w:type="dxa"/>
                  <w:vAlign w:val="center"/>
                </w:tcPr>
                <w:p w14:paraId="1DCD9133">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w:t>
                  </w:r>
                </w:p>
              </w:tc>
              <w:tc>
                <w:tcPr>
                  <w:tcW w:w="992" w:type="dxa"/>
                  <w:vAlign w:val="center"/>
                </w:tcPr>
                <w:p w14:paraId="605E8D31">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c>
                <w:tcPr>
                  <w:tcW w:w="1276" w:type="dxa"/>
                  <w:vAlign w:val="center"/>
                </w:tcPr>
                <w:p w14:paraId="7F428A36">
                  <w:pPr>
                    <w:pStyle w:val="10"/>
                    <w:snapToGrid w:val="0"/>
                    <w:ind w:left="0" w:right="105" w:rightChars="50"/>
                    <w:jc w:val="center"/>
                    <w:rPr>
                      <w:rFonts w:ascii="Times New Roman" w:hAnsi="Times New Roman" w:cs="Times New Roman"/>
                      <w:kern w:val="0"/>
                      <w:sz w:val="18"/>
                      <w:szCs w:val="18"/>
                      <w:lang w:val="en-US" w:bidi="ar"/>
                    </w:rPr>
                  </w:pPr>
                  <w:r>
                    <w:rPr>
                      <w:rFonts w:hint="eastAsia" w:ascii="Times New Roman" w:hAnsi="Times New Roman" w:cs="Times New Roman"/>
                      <w:kern w:val="0"/>
                      <w:sz w:val="18"/>
                      <w:szCs w:val="18"/>
                      <w:lang w:val="en-US" w:bidi="ar"/>
                    </w:rPr>
                    <w:t>达标</w:t>
                  </w:r>
                </w:p>
              </w:tc>
            </w:tr>
          </w:tbl>
          <w:p w14:paraId="2AC30597">
            <w:pPr>
              <w:pStyle w:val="10"/>
              <w:snapToGrid w:val="0"/>
              <w:ind w:left="0" w:right="105" w:rightChars="50"/>
              <w:jc w:val="center"/>
              <w:rPr>
                <w:rFonts w:ascii="Times New Roman" w:hAnsi="Times New Roman" w:cs="Times New Roman"/>
                <w:lang w:val="en-US"/>
              </w:rPr>
            </w:pPr>
          </w:p>
          <w:p w14:paraId="00E5341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根据以上分析可知，项目废水经污水处理站处理后，出水可达到《农田灌溉水质标准》（GB5084-2021）中的旱地灌溉水质标准要求，项目设计处理工艺合理可行，且在实际运用中处理效果可满足排放标准要求</w:t>
            </w:r>
            <w:r>
              <w:rPr>
                <w:rFonts w:hint="eastAsia" w:ascii="Times New Roman" w:hAnsi="Times New Roman" w:cs="Times New Roman"/>
              </w:rPr>
              <w:t>。</w:t>
            </w:r>
          </w:p>
          <w:p w14:paraId="7959DC2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ascii="Times New Roman" w:hAnsi="Times New Roman" w:cs="Times New Roman"/>
              </w:rPr>
              <w:t>废水</w:t>
            </w:r>
            <w:r>
              <w:rPr>
                <w:rFonts w:hint="eastAsia" w:ascii="Times New Roman" w:hAnsi="Times New Roman" w:cs="Times New Roman"/>
              </w:rPr>
              <w:t>零排放</w:t>
            </w:r>
            <w:r>
              <w:rPr>
                <w:rFonts w:ascii="Times New Roman" w:hAnsi="Times New Roman" w:cs="Times New Roman"/>
              </w:rPr>
              <w:t>可行性分析</w:t>
            </w:r>
          </w:p>
          <w:p w14:paraId="7C1F19B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根据建设单位提供的资料</w:t>
            </w:r>
            <w:r>
              <w:rPr>
                <w:rFonts w:hint="eastAsia" w:ascii="Times New Roman" w:hAnsi="Times New Roman" w:cs="Times New Roman"/>
              </w:rPr>
              <w:t>，</w:t>
            </w:r>
            <w:r>
              <w:rPr>
                <w:rFonts w:ascii="Times New Roman" w:hAnsi="Times New Roman" w:cs="Times New Roman"/>
              </w:rPr>
              <w:t>项目已经与</w:t>
            </w:r>
            <w:r>
              <w:rPr>
                <w:rFonts w:hint="eastAsia" w:ascii="Times New Roman" w:hAnsi="Times New Roman" w:cs="Times New Roman"/>
              </w:rPr>
              <w:t>帕当坝村</w:t>
            </w:r>
            <w:r>
              <w:rPr>
                <w:rFonts w:ascii="Times New Roman" w:hAnsi="Times New Roman" w:cs="Times New Roman"/>
              </w:rPr>
              <w:t>签订了土地租赁协议（见附件10），用于种植农作物。本项目处理后的废水暂存于1个250m</w:t>
            </w:r>
            <w:r>
              <w:rPr>
                <w:rFonts w:ascii="Times New Roman" w:hAnsi="Times New Roman" w:cs="Times New Roman"/>
                <w:vertAlign w:val="superscript"/>
              </w:rPr>
              <w:t>3</w:t>
            </w:r>
            <w:r>
              <w:rPr>
                <w:rFonts w:ascii="Times New Roman" w:hAnsi="Times New Roman" w:cs="Times New Roman"/>
              </w:rPr>
              <w:t>的储水池内，灌溉前再次对水质进行检测，确保水质达《农田灌溉水质标准》（GB5084-2021）后，通过水泵、管道抽至租用的耕地内进行灌溉，耕地内设置灌溉沟渠和退水池，收集多余灌溉水。</w:t>
            </w:r>
            <w:r>
              <w:rPr>
                <w:rFonts w:hint="eastAsia" w:ascii="Times New Roman" w:hAnsi="Times New Roman" w:cs="Times New Roman"/>
              </w:rPr>
              <w:t>建设单位租用土地面积</w:t>
            </w:r>
            <w:r>
              <w:rPr>
                <w:rFonts w:ascii="Times New Roman" w:hAnsi="Times New Roman" w:cs="Times New Roman"/>
              </w:rPr>
              <w:t>131</w:t>
            </w:r>
            <w:r>
              <w:rPr>
                <w:rFonts w:hint="eastAsia" w:ascii="Times New Roman" w:hAnsi="Times New Roman" w:cs="Times New Roman"/>
              </w:rPr>
              <w:t>亩，拟种植</w:t>
            </w:r>
            <w:r>
              <w:rPr>
                <w:rFonts w:ascii="Times New Roman" w:hAnsi="Times New Roman" w:cs="Times New Roman"/>
              </w:rPr>
              <w:t>农作物主要是玉米</w:t>
            </w:r>
            <w:r>
              <w:rPr>
                <w:rFonts w:hint="eastAsia" w:ascii="Times New Roman" w:hAnsi="Times New Roman" w:cs="Times New Roman"/>
              </w:rPr>
              <w:t>、经济作物等旱作作物</w:t>
            </w:r>
            <w:r>
              <w:rPr>
                <w:rFonts w:ascii="Times New Roman" w:hAnsi="Times New Roman" w:cs="Times New Roman"/>
              </w:rPr>
              <w:t>。按照《云南省地方标准 用水定额》（DB53/T168-2019），其中</w:t>
            </w:r>
            <w:r>
              <w:rPr>
                <w:rFonts w:hint="eastAsia" w:ascii="Times New Roman" w:hAnsi="Times New Roman" w:cs="Times New Roman"/>
              </w:rPr>
              <w:t>芒市</w:t>
            </w:r>
            <w:r>
              <w:rPr>
                <w:rFonts w:ascii="Times New Roman" w:hAnsi="Times New Roman" w:cs="Times New Roman"/>
              </w:rPr>
              <w:t>属于</w:t>
            </w:r>
            <w:r>
              <w:rPr>
                <w:rFonts w:hint="eastAsia" w:cs="Times New Roman"/>
              </w:rPr>
              <w:t>Ⅲ</w:t>
            </w:r>
            <w:r>
              <w:rPr>
                <w:rFonts w:ascii="Times New Roman" w:hAnsi="Times New Roman" w:cs="Times New Roman"/>
              </w:rPr>
              <w:t>区（滇</w:t>
            </w:r>
            <w:r>
              <w:rPr>
                <w:rFonts w:hint="eastAsia" w:ascii="Times New Roman" w:hAnsi="Times New Roman" w:cs="Times New Roman"/>
              </w:rPr>
              <w:t>西南</w:t>
            </w:r>
            <w:r>
              <w:rPr>
                <w:rFonts w:ascii="Times New Roman" w:hAnsi="Times New Roman" w:cs="Times New Roman"/>
              </w:rPr>
              <w:t>区），平水年（P=50%）玉米（大春）的灌溉用水定额为 1575m</w:t>
            </w:r>
            <w:r>
              <w:rPr>
                <w:rFonts w:ascii="Times New Roman" w:hAnsi="Times New Roman" w:cs="Times New Roman"/>
                <w:vertAlign w:val="superscript"/>
              </w:rPr>
              <w:t>3</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。本项目全年产生的废水为3594m</w:t>
            </w:r>
            <w:r>
              <w:rPr>
                <w:rFonts w:ascii="Times New Roman" w:hAnsi="Times New Roman" w:cs="Times New Roman"/>
                <w:vertAlign w:val="superscript"/>
              </w:rPr>
              <w:t>3</w:t>
            </w:r>
            <w:r>
              <w:rPr>
                <w:rFonts w:ascii="Times New Roman" w:hAnsi="Times New Roman" w:cs="Times New Roman"/>
              </w:rPr>
              <w:t>/a，约需要2.28hm</w:t>
            </w:r>
            <w:r>
              <w:rPr>
                <w:rFonts w:ascii="Times New Roman" w:hAnsi="Times New Roman" w:cs="Times New Roman"/>
                <w:vertAlign w:val="superscript"/>
              </w:rPr>
              <w:t>2</w:t>
            </w:r>
            <w:r>
              <w:rPr>
                <w:rFonts w:ascii="Times New Roman" w:hAnsi="Times New Roman" w:cs="Times New Roman"/>
              </w:rPr>
              <w:t>（34.23亩）农田来消纳，项目已协议灌溉的农田有131亩，完全可以消纳本项目产生的废水。</w:t>
            </w:r>
            <w:r>
              <w:rPr>
                <w:rFonts w:hint="eastAsia" w:ascii="Times New Roman" w:hAnsi="Times New Roman" w:cs="Times New Roman"/>
              </w:rPr>
              <w:t>其中3</w:t>
            </w:r>
            <w:r>
              <w:rPr>
                <w:rFonts w:ascii="Times New Roman" w:hAnsi="Times New Roman" w:cs="Times New Roman"/>
              </w:rPr>
              <w:t>4.23</w:t>
            </w:r>
            <w:r>
              <w:rPr>
                <w:rFonts w:hint="eastAsia" w:ascii="Times New Roman" w:hAnsi="Times New Roman" w:cs="Times New Roman"/>
              </w:rPr>
              <w:t>亩作为本项目配套的中水回用田，其它作为备用田。</w:t>
            </w:r>
            <w:r>
              <w:rPr>
                <w:rFonts w:ascii="Times New Roman" w:hAnsi="Times New Roman" w:cs="Times New Roman"/>
              </w:rPr>
              <w:t>雨天非农灌期时，项目废水暂存于储水池内，项目拟建1个容积为250m</w:t>
            </w:r>
            <w:r>
              <w:rPr>
                <w:rFonts w:ascii="Times New Roman" w:hAnsi="Times New Roman" w:cs="Times New Roman"/>
                <w:vertAlign w:val="superscript"/>
              </w:rPr>
              <w:t>3</w:t>
            </w:r>
            <w:r>
              <w:rPr>
                <w:rFonts w:ascii="Times New Roman" w:hAnsi="Times New Roman" w:cs="Times New Roman"/>
              </w:rPr>
              <w:t>的储水池，其容积可满足连续20天雨天条件下项目废水的储蓄。不会出现因非农灌原因外溢现象。经查阅资料，耕地灌溉退水量约为0.15m</w:t>
            </w:r>
            <w:r>
              <w:rPr>
                <w:rFonts w:ascii="Times New Roman" w:hAnsi="Times New Roman" w:cs="Times New Roman"/>
                <w:vertAlign w:val="superscript"/>
              </w:rPr>
              <w:t>3</w:t>
            </w:r>
            <w:r>
              <w:rPr>
                <w:rFonts w:ascii="Times New Roman" w:hAnsi="Times New Roman" w:cs="Times New Roman"/>
              </w:rPr>
              <w:t>/d</w:t>
            </w:r>
            <w:r>
              <w:rPr>
                <w:rFonts w:hint="eastAsia" w:ascii="微软雅黑" w:hAnsi="微软雅黑" w:eastAsia="微软雅黑" w:cs="微软雅黑"/>
              </w:rPr>
              <w:t>·</w:t>
            </w:r>
            <w:r>
              <w:rPr>
                <w:rFonts w:ascii="Times New Roman" w:hAnsi="Times New Roman" w:cs="Times New Roman"/>
              </w:rPr>
              <w:t>亩，则本项目灌溉渠退水量为5.13m</w:t>
            </w:r>
            <w:r>
              <w:rPr>
                <w:rFonts w:ascii="Times New Roman" w:hAnsi="Times New Roman" w:cs="Times New Roman"/>
                <w:vertAlign w:val="superscript"/>
              </w:rPr>
              <w:t>3</w:t>
            </w:r>
            <w:r>
              <w:rPr>
                <w:rFonts w:ascii="Times New Roman" w:hAnsi="Times New Roman" w:cs="Times New Roman"/>
              </w:rPr>
              <w:t>/d</w:t>
            </w:r>
            <w:r>
              <w:rPr>
                <w:rFonts w:hint="eastAsia" w:ascii="Times New Roman" w:hAnsi="Times New Roman" w:cs="Times New Roman"/>
              </w:rPr>
              <w:t>（按中水可灌溉面积3</w:t>
            </w:r>
            <w:r>
              <w:rPr>
                <w:rFonts w:ascii="Times New Roman" w:hAnsi="Times New Roman" w:cs="Times New Roman"/>
              </w:rPr>
              <w:t>4.23</w:t>
            </w:r>
            <w:r>
              <w:rPr>
                <w:rFonts w:hint="eastAsia" w:ascii="Times New Roman" w:hAnsi="Times New Roman" w:cs="Times New Roman"/>
              </w:rPr>
              <w:t>亩计）</w:t>
            </w:r>
            <w:r>
              <w:rPr>
                <w:rFonts w:ascii="Times New Roman" w:hAnsi="Times New Roman" w:cs="Times New Roman"/>
              </w:rPr>
              <w:t>。项目灌溉渠建设于灌溉区四周及田间，拟在项目灌溉区设置总长</w:t>
            </w:r>
            <w:r>
              <w:rPr>
                <w:rFonts w:hint="eastAsia" w:ascii="Times New Roman" w:hAnsi="Times New Roman" w:cs="Times New Roman"/>
              </w:rPr>
              <w:t>约</w:t>
            </w:r>
            <w:r>
              <w:rPr>
                <w:rFonts w:ascii="Times New Roman" w:hAnsi="Times New Roman" w:cs="Times New Roman"/>
              </w:rPr>
              <w:t>650m的灌溉沟渠和1个55m</w:t>
            </w:r>
            <w:r>
              <w:rPr>
                <w:rFonts w:ascii="Times New Roman" w:hAnsi="Times New Roman" w:cs="Times New Roman"/>
                <w:vertAlign w:val="superscript"/>
              </w:rPr>
              <w:t>3</w:t>
            </w:r>
            <w:r>
              <w:rPr>
                <w:rFonts w:ascii="Times New Roman" w:hAnsi="Times New Roman" w:cs="Times New Roman"/>
              </w:rPr>
              <w:t>的退水池，收集多余灌溉水，退水池可满足连续10天以上灌溉退水的收集，收集的退水回用于农灌。</w:t>
            </w:r>
          </w:p>
          <w:p w14:paraId="3A073607">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3、污染物达标性分析</w:t>
            </w:r>
          </w:p>
          <w:p w14:paraId="7E1A59CB">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处理站出水满足</w:t>
            </w:r>
            <w:r>
              <w:rPr>
                <w:rFonts w:ascii="Times New Roman" w:hAnsi="Times New Roman" w:cs="Times New Roman"/>
              </w:rPr>
              <w:t>《农田灌溉水质标准》（GB5084-2021）中的旱地灌溉水质标准</w:t>
            </w:r>
            <w:r>
              <w:rPr>
                <w:rFonts w:hint="eastAsia" w:ascii="Times New Roman" w:hAnsi="Times New Roman" w:cs="Times New Roman"/>
              </w:rPr>
              <w:t>。</w:t>
            </w:r>
          </w:p>
          <w:p w14:paraId="59991D5F">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4、废水的环境影响</w:t>
            </w:r>
          </w:p>
          <w:p w14:paraId="306377D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本项目所产生产废水、生活污水和含S</w:t>
            </w:r>
            <w:r>
              <w:rPr>
                <w:rFonts w:ascii="Times New Roman" w:hAnsi="Times New Roman" w:cs="Times New Roman"/>
              </w:rPr>
              <w:t>S</w:t>
            </w:r>
            <w:r>
              <w:rPr>
                <w:rFonts w:hint="eastAsia" w:ascii="Times New Roman" w:hAnsi="Times New Roman" w:cs="Times New Roman"/>
              </w:rPr>
              <w:t>雨水均全部回用，不排放，对芒市大河等地表水环境基本无影响。</w:t>
            </w:r>
            <w:bookmarkStart w:id="75" w:name="_Hlk92893338"/>
            <w:r>
              <w:rPr>
                <w:rFonts w:hint="eastAsia" w:ascii="Times New Roman" w:hAnsi="Times New Roman" w:cs="Times New Roman"/>
              </w:rPr>
              <w:t>项目所在区域水系见附图4</w:t>
            </w:r>
            <w:r>
              <w:rPr>
                <w:rFonts w:ascii="Times New Roman" w:hAnsi="Times New Roman" w:cs="Times New Roman"/>
              </w:rPr>
              <w:t>-3</w:t>
            </w:r>
            <w:r>
              <w:rPr>
                <w:rFonts w:hint="eastAsia" w:ascii="Times New Roman" w:hAnsi="Times New Roman" w:cs="Times New Roman"/>
              </w:rPr>
              <w:t>。</w:t>
            </w:r>
            <w:bookmarkEnd w:id="75"/>
          </w:p>
          <w:p w14:paraId="54BC8F1D">
            <w:pPr>
              <w:spacing w:before="156" w:beforeLines="50"/>
              <w:jc w:val="center"/>
              <w:rPr>
                <w:rFonts w:ascii="Times New Roman" w:hAnsi="Times New Roman" w:eastAsia="宋体" w:cs="Times New Roman"/>
                <w:b/>
                <w:bCs/>
                <w:szCs w:val="21"/>
              </w:rPr>
            </w:pPr>
            <w:r>
              <w:rPr>
                <w:rFonts w:ascii="Times New Roman" w:hAnsi="Times New Roman" w:eastAsia="宋体" w:cs="Times New Roman"/>
                <w:b/>
                <w:bCs/>
                <w:szCs w:val="21"/>
              </w:rPr>
              <w:t>表4-17    废水类别、污染物及污染治理设施信息表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709"/>
              <w:gridCol w:w="1148"/>
              <w:gridCol w:w="595"/>
              <w:gridCol w:w="709"/>
              <w:gridCol w:w="667"/>
              <w:gridCol w:w="708"/>
              <w:gridCol w:w="851"/>
              <w:gridCol w:w="567"/>
              <w:gridCol w:w="874"/>
              <w:gridCol w:w="711"/>
            </w:tblGrid>
            <w:tr w14:paraId="1A06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43" w:type="dxa"/>
                  <w:vMerge w:val="restart"/>
                  <w:shd w:val="clear" w:color="auto" w:fill="auto"/>
                  <w:vAlign w:val="center"/>
                </w:tcPr>
                <w:p w14:paraId="3C94F23C">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序号</w:t>
                  </w:r>
                </w:p>
              </w:tc>
              <w:tc>
                <w:tcPr>
                  <w:tcW w:w="709" w:type="dxa"/>
                  <w:vMerge w:val="restart"/>
                  <w:shd w:val="clear" w:color="auto" w:fill="auto"/>
                  <w:vAlign w:val="center"/>
                </w:tcPr>
                <w:p w14:paraId="02633D52">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废水类别</w:t>
                  </w:r>
                </w:p>
              </w:tc>
              <w:tc>
                <w:tcPr>
                  <w:tcW w:w="1148" w:type="dxa"/>
                  <w:vMerge w:val="restart"/>
                  <w:shd w:val="clear" w:color="auto" w:fill="auto"/>
                  <w:vAlign w:val="center"/>
                </w:tcPr>
                <w:p w14:paraId="257DD150">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污染物种类</w:t>
                  </w:r>
                </w:p>
              </w:tc>
              <w:tc>
                <w:tcPr>
                  <w:tcW w:w="595" w:type="dxa"/>
                  <w:vMerge w:val="restart"/>
                  <w:shd w:val="clear" w:color="auto" w:fill="auto"/>
                  <w:vAlign w:val="center"/>
                </w:tcPr>
                <w:p w14:paraId="432BD685">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排放去向</w:t>
                  </w:r>
                </w:p>
              </w:tc>
              <w:tc>
                <w:tcPr>
                  <w:tcW w:w="709" w:type="dxa"/>
                  <w:vMerge w:val="restart"/>
                  <w:shd w:val="clear" w:color="auto" w:fill="auto"/>
                  <w:vAlign w:val="center"/>
                </w:tcPr>
                <w:p w14:paraId="6BA4BACF">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排放规律</w:t>
                  </w:r>
                </w:p>
              </w:tc>
              <w:tc>
                <w:tcPr>
                  <w:tcW w:w="2226" w:type="dxa"/>
                  <w:gridSpan w:val="3"/>
                  <w:shd w:val="clear" w:color="auto" w:fill="auto"/>
                  <w:vAlign w:val="center"/>
                </w:tcPr>
                <w:p w14:paraId="20E9CFC6">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污染治理设施</w:t>
                  </w:r>
                </w:p>
              </w:tc>
              <w:tc>
                <w:tcPr>
                  <w:tcW w:w="567" w:type="dxa"/>
                  <w:vMerge w:val="restart"/>
                  <w:shd w:val="clear" w:color="auto" w:fill="auto"/>
                  <w:vAlign w:val="center"/>
                </w:tcPr>
                <w:p w14:paraId="1DC8FDB3">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排放口</w:t>
                  </w:r>
                </w:p>
              </w:tc>
              <w:tc>
                <w:tcPr>
                  <w:tcW w:w="874" w:type="dxa"/>
                  <w:vMerge w:val="restart"/>
                  <w:shd w:val="clear" w:color="auto" w:fill="auto"/>
                  <w:vAlign w:val="center"/>
                </w:tcPr>
                <w:p w14:paraId="6015D2B1">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排放口是否符合要求</w:t>
                  </w:r>
                </w:p>
              </w:tc>
              <w:tc>
                <w:tcPr>
                  <w:tcW w:w="711" w:type="dxa"/>
                  <w:vMerge w:val="restart"/>
                  <w:shd w:val="clear" w:color="auto" w:fill="auto"/>
                  <w:vAlign w:val="center"/>
                </w:tcPr>
                <w:p w14:paraId="3F7B79B6">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排放口类型</w:t>
                  </w:r>
                </w:p>
              </w:tc>
            </w:tr>
            <w:tr w14:paraId="389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43" w:type="dxa"/>
                  <w:vMerge w:val="continue"/>
                  <w:shd w:val="clear" w:color="auto" w:fill="auto"/>
                  <w:vAlign w:val="center"/>
                </w:tcPr>
                <w:p w14:paraId="779A5D4A">
                  <w:pPr>
                    <w:jc w:val="center"/>
                    <w:rPr>
                      <w:rFonts w:ascii="Times New Roman" w:hAnsi="Times New Roman" w:eastAsia="宋体" w:cs="Times New Roman"/>
                      <w:sz w:val="18"/>
                      <w:szCs w:val="18"/>
                    </w:rPr>
                  </w:pPr>
                </w:p>
              </w:tc>
              <w:tc>
                <w:tcPr>
                  <w:tcW w:w="709" w:type="dxa"/>
                  <w:vMerge w:val="continue"/>
                  <w:shd w:val="clear" w:color="auto" w:fill="auto"/>
                  <w:vAlign w:val="center"/>
                </w:tcPr>
                <w:p w14:paraId="56A98C77">
                  <w:pPr>
                    <w:jc w:val="center"/>
                    <w:rPr>
                      <w:rFonts w:ascii="Times New Roman" w:hAnsi="Times New Roman" w:eastAsia="宋体" w:cs="Times New Roman"/>
                      <w:sz w:val="18"/>
                      <w:szCs w:val="18"/>
                    </w:rPr>
                  </w:pPr>
                </w:p>
              </w:tc>
              <w:tc>
                <w:tcPr>
                  <w:tcW w:w="1148" w:type="dxa"/>
                  <w:vMerge w:val="continue"/>
                  <w:shd w:val="clear" w:color="auto" w:fill="auto"/>
                  <w:vAlign w:val="center"/>
                </w:tcPr>
                <w:p w14:paraId="03258FED">
                  <w:pPr>
                    <w:jc w:val="center"/>
                    <w:rPr>
                      <w:rFonts w:ascii="Times New Roman" w:hAnsi="Times New Roman" w:eastAsia="宋体" w:cs="Times New Roman"/>
                      <w:sz w:val="18"/>
                      <w:szCs w:val="18"/>
                    </w:rPr>
                  </w:pPr>
                </w:p>
              </w:tc>
              <w:tc>
                <w:tcPr>
                  <w:tcW w:w="595" w:type="dxa"/>
                  <w:vMerge w:val="continue"/>
                  <w:shd w:val="clear" w:color="auto" w:fill="auto"/>
                  <w:vAlign w:val="center"/>
                </w:tcPr>
                <w:p w14:paraId="3BF0A900">
                  <w:pPr>
                    <w:jc w:val="center"/>
                    <w:rPr>
                      <w:rFonts w:ascii="Times New Roman" w:hAnsi="Times New Roman" w:eastAsia="宋体" w:cs="Times New Roman"/>
                      <w:sz w:val="18"/>
                      <w:szCs w:val="18"/>
                    </w:rPr>
                  </w:pPr>
                </w:p>
              </w:tc>
              <w:tc>
                <w:tcPr>
                  <w:tcW w:w="709" w:type="dxa"/>
                  <w:vMerge w:val="continue"/>
                  <w:shd w:val="clear" w:color="auto" w:fill="auto"/>
                  <w:vAlign w:val="center"/>
                </w:tcPr>
                <w:p w14:paraId="0BAED4A0">
                  <w:pPr>
                    <w:jc w:val="center"/>
                    <w:rPr>
                      <w:rFonts w:ascii="Times New Roman" w:hAnsi="Times New Roman" w:eastAsia="宋体" w:cs="Times New Roman"/>
                      <w:sz w:val="18"/>
                      <w:szCs w:val="18"/>
                    </w:rPr>
                  </w:pPr>
                </w:p>
              </w:tc>
              <w:tc>
                <w:tcPr>
                  <w:tcW w:w="667" w:type="dxa"/>
                  <w:shd w:val="clear" w:color="auto" w:fill="auto"/>
                  <w:vAlign w:val="center"/>
                </w:tcPr>
                <w:p w14:paraId="38085BE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编号</w:t>
                  </w:r>
                </w:p>
              </w:tc>
              <w:tc>
                <w:tcPr>
                  <w:tcW w:w="708" w:type="dxa"/>
                  <w:shd w:val="clear" w:color="auto" w:fill="auto"/>
                  <w:vAlign w:val="center"/>
                </w:tcPr>
                <w:p w14:paraId="7DABF9A7">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设施名称</w:t>
                  </w:r>
                </w:p>
              </w:tc>
              <w:tc>
                <w:tcPr>
                  <w:tcW w:w="851" w:type="dxa"/>
                  <w:shd w:val="clear" w:color="auto" w:fill="auto"/>
                  <w:vAlign w:val="center"/>
                </w:tcPr>
                <w:p w14:paraId="3035C0C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设施工艺</w:t>
                  </w:r>
                </w:p>
              </w:tc>
              <w:tc>
                <w:tcPr>
                  <w:tcW w:w="567" w:type="dxa"/>
                  <w:vMerge w:val="continue"/>
                  <w:shd w:val="clear" w:color="auto" w:fill="auto"/>
                  <w:vAlign w:val="center"/>
                </w:tcPr>
                <w:p w14:paraId="645CE8AA">
                  <w:pPr>
                    <w:jc w:val="center"/>
                    <w:rPr>
                      <w:rFonts w:ascii="Times New Roman" w:hAnsi="Times New Roman" w:eastAsia="宋体" w:cs="Times New Roman"/>
                      <w:sz w:val="18"/>
                      <w:szCs w:val="18"/>
                    </w:rPr>
                  </w:pPr>
                </w:p>
              </w:tc>
              <w:tc>
                <w:tcPr>
                  <w:tcW w:w="874" w:type="dxa"/>
                  <w:vMerge w:val="continue"/>
                  <w:shd w:val="clear" w:color="auto" w:fill="auto"/>
                  <w:vAlign w:val="center"/>
                </w:tcPr>
                <w:p w14:paraId="1E87011C">
                  <w:pPr>
                    <w:jc w:val="center"/>
                    <w:rPr>
                      <w:rFonts w:ascii="Times New Roman" w:hAnsi="Times New Roman" w:eastAsia="宋体" w:cs="Times New Roman"/>
                      <w:sz w:val="18"/>
                      <w:szCs w:val="18"/>
                    </w:rPr>
                  </w:pPr>
                </w:p>
              </w:tc>
              <w:tc>
                <w:tcPr>
                  <w:tcW w:w="711" w:type="dxa"/>
                  <w:vMerge w:val="continue"/>
                  <w:shd w:val="clear" w:color="auto" w:fill="auto"/>
                  <w:vAlign w:val="center"/>
                </w:tcPr>
                <w:p w14:paraId="7D7C12AE">
                  <w:pPr>
                    <w:jc w:val="center"/>
                    <w:rPr>
                      <w:rFonts w:ascii="Times New Roman" w:hAnsi="Times New Roman" w:eastAsia="宋体" w:cs="Times New Roman"/>
                      <w:sz w:val="18"/>
                      <w:szCs w:val="18"/>
                    </w:rPr>
                  </w:pPr>
                </w:p>
              </w:tc>
            </w:tr>
            <w:tr w14:paraId="192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43" w:type="dxa"/>
                  <w:shd w:val="clear" w:color="auto" w:fill="auto"/>
                  <w:vAlign w:val="center"/>
                </w:tcPr>
                <w:p w14:paraId="3E9BD27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709" w:type="dxa"/>
                  <w:shd w:val="clear" w:color="auto" w:fill="auto"/>
                  <w:vAlign w:val="center"/>
                </w:tcPr>
                <w:p w14:paraId="339D562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生活污水</w:t>
                  </w:r>
                </w:p>
              </w:tc>
              <w:tc>
                <w:tcPr>
                  <w:tcW w:w="1148" w:type="dxa"/>
                  <w:shd w:val="clear" w:color="auto" w:fill="auto"/>
                  <w:vAlign w:val="center"/>
                </w:tcPr>
                <w:p w14:paraId="2E8F7B6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S</w:t>
                  </w:r>
                  <w:r>
                    <w:rPr>
                      <w:rFonts w:ascii="Times New Roman" w:hAnsi="Times New Roman" w:eastAsia="宋体" w:cs="Times New Roman"/>
                      <w:sz w:val="18"/>
                      <w:szCs w:val="18"/>
                    </w:rPr>
                    <w:t>S</w:t>
                  </w:r>
                  <w:r>
                    <w:rPr>
                      <w:rFonts w:hint="eastAsia" w:ascii="Times New Roman" w:hAnsi="Times New Roman" w:eastAsia="宋体" w:cs="Times New Roman"/>
                      <w:sz w:val="18"/>
                      <w:szCs w:val="18"/>
                    </w:rPr>
                    <w:t>、C</w:t>
                  </w:r>
                  <w:r>
                    <w:rPr>
                      <w:rFonts w:ascii="Times New Roman" w:hAnsi="Times New Roman" w:eastAsia="宋体" w:cs="Times New Roman"/>
                      <w:sz w:val="18"/>
                      <w:szCs w:val="18"/>
                    </w:rPr>
                    <w:t>OD</w:t>
                  </w:r>
                  <w:r>
                    <w:rPr>
                      <w:rFonts w:hint="eastAsia" w:ascii="Times New Roman" w:hAnsi="Times New Roman" w:eastAsia="宋体" w:cs="Times New Roman"/>
                      <w:sz w:val="18"/>
                      <w:szCs w:val="18"/>
                    </w:rPr>
                    <w:t>、B</w:t>
                  </w:r>
                  <w:r>
                    <w:rPr>
                      <w:rFonts w:ascii="Times New Roman" w:hAnsi="Times New Roman" w:eastAsia="宋体" w:cs="Times New Roman"/>
                      <w:sz w:val="18"/>
                      <w:szCs w:val="18"/>
                    </w:rPr>
                    <w:t>OD</w:t>
                  </w:r>
                  <w:r>
                    <w:rPr>
                      <w:rFonts w:ascii="Times New Roman" w:hAnsi="Times New Roman" w:eastAsia="宋体" w:cs="Times New Roman"/>
                      <w:sz w:val="18"/>
                      <w:szCs w:val="18"/>
                      <w:vertAlign w:val="subscript"/>
                    </w:rPr>
                    <w:t>5</w:t>
                  </w:r>
                  <w:r>
                    <w:rPr>
                      <w:rFonts w:hint="eastAsia" w:ascii="Times New Roman" w:hAnsi="Times New Roman" w:eastAsia="宋体" w:cs="Times New Roman"/>
                      <w:sz w:val="18"/>
                      <w:szCs w:val="18"/>
                    </w:rPr>
                    <w:t>、氨氮、总磷、动植物油等</w:t>
                  </w:r>
                </w:p>
              </w:tc>
              <w:tc>
                <w:tcPr>
                  <w:tcW w:w="595" w:type="dxa"/>
                  <w:shd w:val="clear" w:color="auto" w:fill="auto"/>
                  <w:vAlign w:val="center"/>
                </w:tcPr>
                <w:p w14:paraId="11AF7E3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不排放</w:t>
                  </w:r>
                </w:p>
              </w:tc>
              <w:tc>
                <w:tcPr>
                  <w:tcW w:w="709" w:type="dxa"/>
                  <w:shd w:val="clear" w:color="auto" w:fill="auto"/>
                  <w:vAlign w:val="center"/>
                </w:tcPr>
                <w:p w14:paraId="27C4FE7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667" w:type="dxa"/>
                  <w:shd w:val="clear" w:color="auto" w:fill="auto"/>
                  <w:vAlign w:val="center"/>
                </w:tcPr>
                <w:p w14:paraId="29CDC370">
                  <w:pPr>
                    <w:jc w:val="center"/>
                    <w:rPr>
                      <w:rFonts w:ascii="Times New Roman" w:hAnsi="Times New Roman" w:eastAsia="宋体" w:cs="Times New Roman"/>
                      <w:sz w:val="18"/>
                      <w:szCs w:val="18"/>
                    </w:rPr>
                  </w:pPr>
                  <w:r>
                    <w:rPr>
                      <w:rFonts w:ascii="Times New Roman" w:hAnsi="Times New Roman" w:eastAsia="宋体" w:cs="Times New Roman"/>
                      <w:sz w:val="18"/>
                      <w:szCs w:val="18"/>
                    </w:rPr>
                    <w:t>T</w:t>
                  </w:r>
                  <w:r>
                    <w:rPr>
                      <w:rFonts w:hint="eastAsia" w:ascii="Times New Roman" w:hAnsi="Times New Roman" w:eastAsia="宋体" w:cs="Times New Roman"/>
                      <w:sz w:val="18"/>
                      <w:szCs w:val="18"/>
                    </w:rPr>
                    <w:t>W</w:t>
                  </w:r>
                </w:p>
                <w:p w14:paraId="13206E3B">
                  <w:pPr>
                    <w:jc w:val="center"/>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708" w:type="dxa"/>
                  <w:shd w:val="clear" w:color="auto" w:fill="auto"/>
                  <w:vAlign w:val="center"/>
                </w:tcPr>
                <w:p w14:paraId="6E875A9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污水处理站</w:t>
                  </w:r>
                </w:p>
              </w:tc>
              <w:tc>
                <w:tcPr>
                  <w:tcW w:w="851" w:type="dxa"/>
                  <w:shd w:val="clear" w:color="auto" w:fill="auto"/>
                  <w:vAlign w:val="center"/>
                </w:tcPr>
                <w:p w14:paraId="44C3FF6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沉淀和生物降解</w:t>
                  </w:r>
                </w:p>
              </w:tc>
              <w:tc>
                <w:tcPr>
                  <w:tcW w:w="567" w:type="dxa"/>
                  <w:shd w:val="clear" w:color="auto" w:fill="auto"/>
                  <w:vAlign w:val="center"/>
                </w:tcPr>
                <w:p w14:paraId="0424B964">
                  <w:pPr>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4" w:type="dxa"/>
                  <w:shd w:val="clear" w:color="auto" w:fill="auto"/>
                  <w:vAlign w:val="center"/>
                </w:tcPr>
                <w:p w14:paraId="4BEAB62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711" w:type="dxa"/>
                  <w:shd w:val="clear" w:color="auto" w:fill="auto"/>
                  <w:vAlign w:val="center"/>
                </w:tcPr>
                <w:p w14:paraId="71CF77D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bl>
          <w:p w14:paraId="5C5769E2">
            <w:pPr>
              <w:jc w:val="center"/>
              <w:rPr>
                <w:b/>
                <w:bCs/>
                <w:szCs w:val="21"/>
              </w:rPr>
            </w:pPr>
          </w:p>
          <w:p w14:paraId="2AB166BB">
            <w:pPr>
              <w:pStyle w:val="8"/>
              <w:spacing w:line="360" w:lineRule="auto"/>
              <w:ind w:firstLine="240" w:firstLineChars="100"/>
              <w:rPr>
                <w:kern w:val="0"/>
                <w:sz w:val="24"/>
                <w:szCs w:val="24"/>
              </w:rPr>
            </w:pPr>
            <w:r>
              <w:rPr>
                <w:rFonts w:hint="eastAsia"/>
                <w:kern w:val="0"/>
                <w:sz w:val="24"/>
                <w:szCs w:val="24"/>
              </w:rPr>
              <w:t>5、</w:t>
            </w:r>
            <w:r>
              <w:rPr>
                <w:kern w:val="0"/>
                <w:sz w:val="24"/>
                <w:szCs w:val="24"/>
              </w:rPr>
              <w:t>地表水环境影响评价小结</w:t>
            </w:r>
          </w:p>
          <w:p w14:paraId="22AA38A6">
            <w:pPr>
              <w:pStyle w:val="10"/>
              <w:spacing w:line="360" w:lineRule="auto"/>
              <w:ind w:left="0" w:right="105" w:rightChars="50" w:firstLine="240" w:firstLineChars="100"/>
              <w:rPr>
                <w:rFonts w:ascii="Times New Roman" w:hAnsi="Times New Roman" w:cs="Times New Roman"/>
                <w:szCs w:val="21"/>
              </w:rPr>
            </w:pPr>
            <w:r>
              <w:rPr>
                <w:kern w:val="0"/>
              </w:rPr>
              <w:t>综上，</w:t>
            </w:r>
            <w:r>
              <w:rPr>
                <w:rFonts w:hint="eastAsia" w:ascii="Times New Roman" w:hAnsi="Times New Roman" w:cs="Times New Roman"/>
                <w:szCs w:val="21"/>
              </w:rPr>
              <w:t>工艺废水设</w:t>
            </w:r>
            <w:r>
              <w:rPr>
                <w:rFonts w:ascii="Times New Roman" w:hAnsi="Times New Roman" w:cs="Times New Roman"/>
                <w:szCs w:val="21"/>
              </w:rPr>
              <w:t>地埋式暂存罐收集、暂存，进入</w:t>
            </w:r>
            <w:r>
              <w:rPr>
                <w:rFonts w:hint="eastAsia" w:ascii="Times New Roman" w:hAnsi="Times New Roman" w:cs="Times New Roman"/>
                <w:szCs w:val="21"/>
              </w:rPr>
              <w:t>厂区</w:t>
            </w:r>
            <w:r>
              <w:rPr>
                <w:rFonts w:ascii="Times New Roman" w:hAnsi="Times New Roman" w:cs="Times New Roman"/>
                <w:szCs w:val="21"/>
              </w:rPr>
              <w:t>污水处理站处理。</w:t>
            </w:r>
            <w:r>
              <w:rPr>
                <w:rFonts w:hint="eastAsia" w:ascii="Times New Roman" w:hAnsi="Times New Roman" w:cs="Times New Roman"/>
                <w:szCs w:val="21"/>
              </w:rPr>
              <w:t>冲洗废水收集后均送</w:t>
            </w:r>
            <w:r>
              <w:rPr>
                <w:rFonts w:ascii="Times New Roman" w:hAnsi="Times New Roman" w:cs="Times New Roman"/>
                <w:szCs w:val="21"/>
              </w:rPr>
              <w:t>污水处理站处理。冷却塔</w:t>
            </w:r>
            <w:r>
              <w:rPr>
                <w:rFonts w:hint="eastAsia" w:ascii="Times New Roman" w:hAnsi="Times New Roman" w:cs="Times New Roman"/>
                <w:szCs w:val="21"/>
              </w:rPr>
              <w:t>定期排水</w:t>
            </w:r>
            <w:r>
              <w:rPr>
                <w:rFonts w:ascii="Times New Roman" w:hAnsi="Times New Roman" w:cs="Times New Roman"/>
                <w:szCs w:val="21"/>
              </w:rPr>
              <w:t>采用收集桶收集后回用于车间地面冲洗</w:t>
            </w:r>
            <w:r>
              <w:rPr>
                <w:rFonts w:hint="eastAsia" w:ascii="Times New Roman" w:hAnsi="Times New Roman" w:cs="Times New Roman"/>
                <w:szCs w:val="21"/>
              </w:rPr>
              <w:t>，形成冲洗废水，最终进入污水处理站处理。消毒废水、臭气处理系统的酸碱洗废水和锅炉烟气脱硫除尘塔废水均循环利用，不排放。</w:t>
            </w:r>
            <w:r>
              <w:rPr>
                <w:rFonts w:ascii="Times New Roman" w:hAnsi="Times New Roman" w:cs="Times New Roman"/>
                <w:szCs w:val="21"/>
              </w:rPr>
              <w:t>检验废水</w:t>
            </w:r>
            <w:r>
              <w:rPr>
                <w:rFonts w:hint="eastAsia" w:ascii="Times New Roman" w:hAnsi="Times New Roman" w:cs="Times New Roman"/>
                <w:szCs w:val="21"/>
              </w:rPr>
              <w:t>采用</w:t>
            </w:r>
            <w:r>
              <w:rPr>
                <w:rFonts w:ascii="Times New Roman" w:hAnsi="Times New Roman" w:cs="Times New Roman"/>
                <w:szCs w:val="21"/>
              </w:rPr>
              <w:t>收集桶收集，进行酸碱中和预处理后进入污水处理站处理。</w:t>
            </w:r>
            <w:r>
              <w:rPr>
                <w:rFonts w:hint="eastAsia" w:ascii="Times New Roman" w:hAnsi="Times New Roman" w:cs="Times New Roman"/>
                <w:szCs w:val="21"/>
              </w:rPr>
              <w:t>食堂废水</w:t>
            </w:r>
            <w:r>
              <w:rPr>
                <w:rFonts w:ascii="Times New Roman" w:hAnsi="Times New Roman" w:cs="Times New Roman"/>
                <w:szCs w:val="21"/>
              </w:rPr>
              <w:t>经隔油池</w:t>
            </w:r>
            <w:r>
              <w:rPr>
                <w:rFonts w:hint="eastAsia" w:ascii="Times New Roman" w:hAnsi="Times New Roman" w:cs="Times New Roman"/>
                <w:szCs w:val="21"/>
              </w:rPr>
              <w:t>预</w:t>
            </w:r>
            <w:r>
              <w:rPr>
                <w:rFonts w:ascii="Times New Roman" w:hAnsi="Times New Roman" w:cs="Times New Roman"/>
                <w:szCs w:val="21"/>
              </w:rPr>
              <w:t>处理后</w:t>
            </w:r>
            <w:r>
              <w:rPr>
                <w:rFonts w:hint="eastAsia" w:ascii="Times New Roman" w:hAnsi="Times New Roman" w:cs="Times New Roman"/>
                <w:szCs w:val="21"/>
              </w:rPr>
              <w:t>，与其它</w:t>
            </w:r>
            <w:r>
              <w:rPr>
                <w:rFonts w:ascii="Times New Roman" w:hAnsi="Times New Roman" w:cs="Times New Roman"/>
                <w:szCs w:val="21"/>
              </w:rPr>
              <w:t>生活污水一起进入化粪池</w:t>
            </w:r>
            <w:r>
              <w:rPr>
                <w:rFonts w:hint="eastAsia" w:ascii="Times New Roman" w:hAnsi="Times New Roman" w:cs="Times New Roman"/>
                <w:szCs w:val="21"/>
              </w:rPr>
              <w:t>，然后</w:t>
            </w:r>
            <w:r>
              <w:rPr>
                <w:rFonts w:ascii="Times New Roman" w:hAnsi="Times New Roman" w:cs="Times New Roman"/>
                <w:szCs w:val="21"/>
              </w:rPr>
              <w:t>进入污水处理站处理。</w:t>
            </w:r>
            <w:r>
              <w:rPr>
                <w:rFonts w:hint="eastAsia" w:ascii="Times New Roman" w:hAnsi="Times New Roman" w:cs="Times New Roman"/>
                <w:szCs w:val="21"/>
              </w:rPr>
              <w:t>处理站出水全部用于自有耕地灌溉，不排放。本项目配套设1</w:t>
            </w:r>
            <w:r>
              <w:rPr>
                <w:rFonts w:ascii="Times New Roman" w:hAnsi="Times New Roman" w:cs="Times New Roman"/>
                <w:szCs w:val="21"/>
              </w:rPr>
              <w:t>31</w:t>
            </w:r>
            <w:r>
              <w:rPr>
                <w:rFonts w:hint="eastAsia" w:ascii="Times New Roman" w:hAnsi="Times New Roman" w:cs="Times New Roman"/>
                <w:szCs w:val="21"/>
              </w:rPr>
              <w:t>亩耕地，可全部消耗项目所产污废水。</w:t>
            </w:r>
          </w:p>
          <w:p w14:paraId="31EE5761">
            <w:pPr>
              <w:pStyle w:val="10"/>
              <w:spacing w:line="360" w:lineRule="auto"/>
              <w:ind w:left="0" w:right="105" w:rightChars="50" w:firstLine="240" w:firstLineChars="100"/>
              <w:rPr>
                <w:kern w:val="0"/>
              </w:rPr>
            </w:pPr>
            <w:r>
              <w:rPr>
                <w:rFonts w:hint="eastAsia" w:ascii="Times New Roman" w:hAnsi="Times New Roman" w:cs="Times New Roman"/>
              </w:rPr>
              <w:t>本项目所产生产废水、生活污水均全部回用，不排放，对芒市大河等地表水环境基本无影响。</w:t>
            </w:r>
          </w:p>
          <w:p w14:paraId="5F369F59">
            <w:pPr>
              <w:pStyle w:val="8"/>
              <w:spacing w:line="360" w:lineRule="auto"/>
              <w:ind w:firstLine="240" w:firstLineChars="100"/>
              <w:rPr>
                <w:kern w:val="0"/>
                <w:sz w:val="24"/>
                <w:szCs w:val="24"/>
              </w:rPr>
            </w:pPr>
            <w:r>
              <w:rPr>
                <w:rFonts w:hint="eastAsia"/>
                <w:kern w:val="0"/>
                <w:sz w:val="24"/>
                <w:szCs w:val="24"/>
              </w:rPr>
              <w:t>6、废水监测</w:t>
            </w:r>
          </w:p>
          <w:p w14:paraId="3CB7D364">
            <w:pPr>
              <w:pStyle w:val="8"/>
              <w:spacing w:line="360" w:lineRule="auto"/>
              <w:ind w:firstLine="240" w:firstLineChars="100"/>
              <w:rPr>
                <w:kern w:val="0"/>
                <w:sz w:val="24"/>
                <w:szCs w:val="24"/>
              </w:rPr>
            </w:pPr>
            <w:r>
              <w:rPr>
                <w:rFonts w:hint="eastAsia"/>
                <w:kern w:val="0"/>
                <w:sz w:val="24"/>
                <w:szCs w:val="24"/>
              </w:rPr>
              <w:t>项目废水监测计划见下表，监测布点见附图4</w:t>
            </w:r>
            <w:r>
              <w:rPr>
                <w:kern w:val="0"/>
                <w:sz w:val="24"/>
                <w:szCs w:val="24"/>
              </w:rPr>
              <w:t>-4</w:t>
            </w:r>
            <w:r>
              <w:rPr>
                <w:rFonts w:hint="eastAsia"/>
                <w:kern w:val="0"/>
                <w:sz w:val="24"/>
                <w:szCs w:val="24"/>
              </w:rPr>
              <w:t>。</w:t>
            </w:r>
          </w:p>
          <w:p w14:paraId="1364D076">
            <w:pPr>
              <w:adjustRightInd w:val="0"/>
              <w:ind w:firstLine="422" w:firstLineChars="200"/>
              <w:jc w:val="center"/>
              <w:rPr>
                <w:rFonts w:ascii="Times New Roman" w:hAnsi="Times New Roman" w:eastAsia="宋体" w:cs="Times New Roman"/>
                <w:b/>
                <w:szCs w:val="21"/>
              </w:rPr>
            </w:pPr>
            <w:r>
              <w:rPr>
                <w:rFonts w:hint="eastAsia" w:ascii="Times New Roman" w:hAnsi="Times New Roman" w:eastAsia="宋体" w:cs="Times New Roman"/>
                <w:b/>
                <w:szCs w:val="21"/>
              </w:rPr>
              <w:t>表4-</w:t>
            </w:r>
            <w:r>
              <w:rPr>
                <w:rFonts w:ascii="Times New Roman" w:hAnsi="Times New Roman" w:eastAsia="宋体" w:cs="Times New Roman"/>
                <w:b/>
                <w:szCs w:val="21"/>
              </w:rPr>
              <w:t xml:space="preserve">18    </w:t>
            </w:r>
            <w:r>
              <w:rPr>
                <w:rFonts w:hint="eastAsia" w:ascii="Times New Roman" w:hAnsi="Times New Roman" w:eastAsia="宋体" w:cs="Times New Roman"/>
                <w:b/>
                <w:szCs w:val="21"/>
              </w:rPr>
              <w:t>废水监测计划一览表</w:t>
            </w:r>
          </w:p>
          <w:tbl>
            <w:tblPr>
              <w:tblStyle w:val="19"/>
              <w:tblW w:w="7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549"/>
              <w:gridCol w:w="1177"/>
              <w:gridCol w:w="2236"/>
            </w:tblGrid>
            <w:tr w14:paraId="5893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2" w:type="dxa"/>
                  <w:vAlign w:val="center"/>
                </w:tcPr>
                <w:p w14:paraId="4C593C68">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监测点位</w:t>
                  </w:r>
                </w:p>
              </w:tc>
              <w:tc>
                <w:tcPr>
                  <w:tcW w:w="2549" w:type="dxa"/>
                  <w:vAlign w:val="center"/>
                </w:tcPr>
                <w:p w14:paraId="639C94AC">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监测指标</w:t>
                  </w:r>
                </w:p>
              </w:tc>
              <w:tc>
                <w:tcPr>
                  <w:tcW w:w="1177" w:type="dxa"/>
                  <w:vAlign w:val="center"/>
                </w:tcPr>
                <w:p w14:paraId="23E5ED2B">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监测频次</w:t>
                  </w:r>
                </w:p>
              </w:tc>
              <w:tc>
                <w:tcPr>
                  <w:tcW w:w="2236" w:type="dxa"/>
                  <w:vAlign w:val="center"/>
                </w:tcPr>
                <w:p w14:paraId="30DBDFA1">
                  <w:pPr>
                    <w:adjustRightInd w:val="0"/>
                    <w:jc w:val="center"/>
                    <w:rPr>
                      <w:rFonts w:ascii="Times New Roman" w:hAnsi="Times New Roman" w:eastAsia="宋体" w:cs="Times New Roman"/>
                      <w:b/>
                      <w:szCs w:val="21"/>
                    </w:rPr>
                  </w:pPr>
                  <w:r>
                    <w:rPr>
                      <w:rFonts w:hint="eastAsia" w:ascii="Times New Roman" w:hAnsi="Times New Roman" w:eastAsia="宋体" w:cs="Times New Roman"/>
                      <w:b/>
                      <w:szCs w:val="21"/>
                    </w:rPr>
                    <w:t>执行标准</w:t>
                  </w:r>
                </w:p>
              </w:tc>
            </w:tr>
            <w:tr w14:paraId="7F77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2" w:type="dxa"/>
                  <w:vAlign w:val="center"/>
                </w:tcPr>
                <w:p w14:paraId="44FFFB1F">
                  <w:pPr>
                    <w:adjustRightInd w:val="0"/>
                    <w:jc w:val="center"/>
                    <w:rPr>
                      <w:rFonts w:ascii="Times New Roman" w:hAnsi="Times New Roman" w:eastAsia="宋体" w:cs="Times New Roman"/>
                      <w:bCs/>
                      <w:szCs w:val="21"/>
                    </w:rPr>
                  </w:pPr>
                  <w:r>
                    <w:rPr>
                      <w:rFonts w:hint="eastAsia" w:ascii="Times New Roman" w:hAnsi="Times New Roman" w:eastAsia="宋体" w:cs="Times New Roman"/>
                      <w:bCs/>
                      <w:szCs w:val="21"/>
                    </w:rPr>
                    <w:t>生活污水处理站进、出口</w:t>
                  </w:r>
                </w:p>
              </w:tc>
              <w:tc>
                <w:tcPr>
                  <w:tcW w:w="2549" w:type="dxa"/>
                  <w:vAlign w:val="center"/>
                </w:tcPr>
                <w:p w14:paraId="7B716942">
                  <w:pPr>
                    <w:adjustRightInd w:val="0"/>
                    <w:jc w:val="center"/>
                    <w:rPr>
                      <w:rFonts w:ascii="Times New Roman" w:hAnsi="Times New Roman" w:eastAsia="宋体" w:cs="Times New Roman"/>
                      <w:bCs/>
                      <w:szCs w:val="21"/>
                    </w:rPr>
                  </w:pPr>
                  <w:r>
                    <w:rPr>
                      <w:rFonts w:hint="eastAsia" w:ascii="Times New Roman" w:hAnsi="Times New Roman" w:eastAsia="宋体" w:cs="Times New Roman"/>
                      <w:szCs w:val="21"/>
                    </w:rPr>
                    <w:t>S</w:t>
                  </w:r>
                  <w:r>
                    <w:rPr>
                      <w:rFonts w:ascii="Times New Roman" w:hAnsi="Times New Roman" w:eastAsia="宋体" w:cs="Times New Roman"/>
                      <w:szCs w:val="21"/>
                    </w:rPr>
                    <w:t>S</w:t>
                  </w:r>
                  <w:r>
                    <w:rPr>
                      <w:rFonts w:hint="eastAsia" w:ascii="Times New Roman" w:hAnsi="Times New Roman" w:eastAsia="宋体" w:cs="Times New Roman"/>
                      <w:szCs w:val="21"/>
                    </w:rPr>
                    <w:t>、C</w:t>
                  </w:r>
                  <w:r>
                    <w:rPr>
                      <w:rFonts w:ascii="Times New Roman" w:hAnsi="Times New Roman" w:eastAsia="宋体" w:cs="Times New Roman"/>
                      <w:szCs w:val="21"/>
                    </w:rPr>
                    <w:t>OD</w:t>
                  </w:r>
                  <w:r>
                    <w:rPr>
                      <w:rFonts w:hint="eastAsia" w:ascii="Times New Roman" w:hAnsi="Times New Roman" w:eastAsia="宋体" w:cs="Times New Roman"/>
                      <w:szCs w:val="21"/>
                    </w:rPr>
                    <w:t>、B</w:t>
                  </w:r>
                  <w:r>
                    <w:rPr>
                      <w:rFonts w:ascii="Times New Roman" w:hAnsi="Times New Roman" w:eastAsia="宋体" w:cs="Times New Roman"/>
                      <w:szCs w:val="21"/>
                    </w:rPr>
                    <w:t>OD</w:t>
                  </w:r>
                  <w:r>
                    <w:rPr>
                      <w:rFonts w:ascii="Times New Roman" w:hAnsi="Times New Roman" w:eastAsia="宋体" w:cs="Times New Roman"/>
                      <w:szCs w:val="21"/>
                      <w:vertAlign w:val="subscript"/>
                    </w:rPr>
                    <w:t>5</w:t>
                  </w:r>
                  <w:r>
                    <w:rPr>
                      <w:rFonts w:hint="eastAsia" w:ascii="Times New Roman" w:hAnsi="Times New Roman" w:eastAsia="宋体" w:cs="Times New Roman"/>
                      <w:szCs w:val="21"/>
                    </w:rPr>
                    <w:t>、氨氮、总磷、动植物油等</w:t>
                  </w:r>
                </w:p>
              </w:tc>
              <w:tc>
                <w:tcPr>
                  <w:tcW w:w="1177" w:type="dxa"/>
                  <w:vAlign w:val="center"/>
                </w:tcPr>
                <w:p w14:paraId="5172A04E">
                  <w:pPr>
                    <w:adjustRightInd w:val="0"/>
                    <w:jc w:val="center"/>
                    <w:rPr>
                      <w:rFonts w:ascii="Times New Roman" w:hAnsi="Times New Roman" w:eastAsia="宋体" w:cs="Times New Roman"/>
                      <w:bCs/>
                      <w:szCs w:val="21"/>
                    </w:rPr>
                  </w:pPr>
                  <w:r>
                    <w:rPr>
                      <w:rFonts w:hint="eastAsia" w:ascii="Times New Roman" w:hAnsi="Times New Roman" w:eastAsia="宋体" w:cs="Times New Roman"/>
                      <w:bCs/>
                      <w:szCs w:val="21"/>
                    </w:rPr>
                    <w:t>1次/a</w:t>
                  </w:r>
                </w:p>
              </w:tc>
              <w:tc>
                <w:tcPr>
                  <w:tcW w:w="2236" w:type="dxa"/>
                  <w:vAlign w:val="center"/>
                </w:tcPr>
                <w:p w14:paraId="73829C52">
                  <w:pPr>
                    <w:adjustRightInd w:val="0"/>
                    <w:jc w:val="center"/>
                    <w:rPr>
                      <w:rFonts w:ascii="Times New Roman" w:hAnsi="Times New Roman" w:eastAsia="宋体" w:cs="Times New Roman"/>
                      <w:bCs/>
                      <w:szCs w:val="21"/>
                    </w:rPr>
                  </w:pPr>
                  <w:r>
                    <w:rPr>
                      <w:rFonts w:ascii="Times New Roman" w:hAnsi="Times New Roman" w:eastAsia="宋体" w:cs="Times New Roman"/>
                      <w:kern w:val="0"/>
                      <w:szCs w:val="21"/>
                      <w:lang w:bidi="ar"/>
                    </w:rPr>
                    <w:t>（GB5084-2021）《农田灌溉水质 标准》中的旱地灌溉水质标准</w:t>
                  </w:r>
                </w:p>
              </w:tc>
            </w:tr>
          </w:tbl>
          <w:p w14:paraId="20AEA60F">
            <w:pPr>
              <w:adjustRightInd w:val="0"/>
              <w:snapToGrid w:val="0"/>
              <w:rPr>
                <w:rFonts w:ascii="宋体" w:hAnsi="宋体" w:eastAsia="宋体" w:cs="宋体"/>
                <w:bCs/>
                <w:szCs w:val="21"/>
              </w:rPr>
            </w:pPr>
          </w:p>
          <w:p w14:paraId="55384C8E">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 xml:space="preserve">4.2.3 </w:t>
            </w:r>
            <w:r>
              <w:rPr>
                <w:rFonts w:hint="eastAsia" w:ascii="Times New Roman" w:hAnsi="Times New Roman" w:cs="Times New Roman"/>
                <w:b/>
              </w:rPr>
              <w:t>声</w:t>
            </w:r>
            <w:r>
              <w:rPr>
                <w:rFonts w:ascii="Times New Roman" w:hAnsi="Times New Roman" w:cs="Times New Roman"/>
                <w:b/>
              </w:rPr>
              <w:t>环境影响分析</w:t>
            </w:r>
          </w:p>
          <w:p w14:paraId="15165755">
            <w:pPr>
              <w:pStyle w:val="8"/>
              <w:spacing w:line="360" w:lineRule="auto"/>
              <w:ind w:firstLine="240" w:firstLineChars="100"/>
              <w:rPr>
                <w:kern w:val="0"/>
                <w:sz w:val="24"/>
                <w:szCs w:val="24"/>
              </w:rPr>
            </w:pPr>
            <w:r>
              <w:rPr>
                <w:rFonts w:hint="eastAsia"/>
                <w:kern w:val="0"/>
                <w:sz w:val="24"/>
                <w:szCs w:val="24"/>
              </w:rPr>
              <w:t>1、</w:t>
            </w:r>
            <w:r>
              <w:rPr>
                <w:kern w:val="0"/>
                <w:sz w:val="24"/>
                <w:szCs w:val="24"/>
              </w:rPr>
              <w:t>噪声源强</w:t>
            </w:r>
          </w:p>
          <w:p w14:paraId="34F7C24B">
            <w:pPr>
              <w:pStyle w:val="8"/>
              <w:spacing w:line="360" w:lineRule="auto"/>
              <w:ind w:firstLine="240" w:firstLineChars="100"/>
              <w:rPr>
                <w:kern w:val="0"/>
                <w:sz w:val="24"/>
                <w:szCs w:val="24"/>
              </w:rPr>
            </w:pPr>
            <w:r>
              <w:rPr>
                <w:kern w:val="0"/>
                <w:sz w:val="24"/>
                <w:szCs w:val="24"/>
              </w:rPr>
              <w:t>项目运营期的噪声源主要为各类生产设备，包括</w:t>
            </w:r>
            <w:r>
              <w:rPr>
                <w:rFonts w:hint="eastAsia"/>
                <w:sz w:val="24"/>
              </w:rPr>
              <w:t>破碎机</w:t>
            </w:r>
            <w:r>
              <w:rPr>
                <w:sz w:val="24"/>
              </w:rPr>
              <w:t>、化制机、榨油机、</w:t>
            </w:r>
            <w:r>
              <w:rPr>
                <w:rFonts w:hint="eastAsia"/>
                <w:sz w:val="24"/>
              </w:rPr>
              <w:t>空压机、泵类</w:t>
            </w:r>
            <w:r>
              <w:rPr>
                <w:sz w:val="24"/>
              </w:rPr>
              <w:t>、冷却塔、</w:t>
            </w:r>
            <w:r>
              <w:rPr>
                <w:rFonts w:hint="eastAsia"/>
                <w:sz w:val="24"/>
              </w:rPr>
              <w:t>喷淋塔、</w:t>
            </w:r>
            <w:r>
              <w:rPr>
                <w:sz w:val="24"/>
              </w:rPr>
              <w:t>风机等机械设备</w:t>
            </w:r>
            <w:r>
              <w:rPr>
                <w:rFonts w:hint="eastAsia"/>
                <w:sz w:val="24"/>
              </w:rPr>
              <w:t>。</w:t>
            </w:r>
            <w:r>
              <w:rPr>
                <w:kern w:val="0"/>
                <w:sz w:val="24"/>
                <w:szCs w:val="24"/>
              </w:rPr>
              <w:t>项目主要产噪设备及源强见表 4-19。</w:t>
            </w:r>
          </w:p>
          <w:p w14:paraId="565BE8DA">
            <w:pPr>
              <w:spacing w:line="500" w:lineRule="exact"/>
              <w:jc w:val="center"/>
              <w:rPr>
                <w:rFonts w:ascii="Times New Roman" w:hAnsi="Times New Roman" w:cs="Times New Roman"/>
                <w:b/>
                <w:szCs w:val="21"/>
              </w:rPr>
            </w:pPr>
            <w:r>
              <w:rPr>
                <w:rFonts w:ascii="Times New Roman" w:hAnsi="Times New Roman" w:cs="Times New Roman"/>
                <w:b/>
                <w:szCs w:val="21"/>
              </w:rPr>
              <w:t xml:space="preserve">表4-19    </w:t>
            </w:r>
            <w:r>
              <w:rPr>
                <w:rFonts w:hint="eastAsia" w:ascii="Times New Roman" w:hAnsi="Times New Roman" w:cs="Times New Roman"/>
                <w:b/>
                <w:szCs w:val="21"/>
              </w:rPr>
              <w:t>主要</w:t>
            </w:r>
            <w:r>
              <w:rPr>
                <w:rFonts w:ascii="Times New Roman" w:hAnsi="Times New Roman" w:cs="Times New Roman"/>
                <w:b/>
                <w:szCs w:val="21"/>
              </w:rPr>
              <w:t xml:space="preserve">设备噪声值  </w:t>
            </w:r>
            <w:r>
              <w:rPr>
                <w:rFonts w:hint="eastAsia" w:ascii="Times New Roman" w:hAnsi="Times New Roman" w:cs="Times New Roman"/>
                <w:b/>
                <w:szCs w:val="21"/>
              </w:rPr>
              <w:t>单位：</w:t>
            </w:r>
            <w:r>
              <w:rPr>
                <w:rFonts w:ascii="Times New Roman" w:hAnsi="Times New Roman" w:cs="Times New Roman"/>
                <w:b/>
                <w:szCs w:val="21"/>
              </w:rPr>
              <w:t>dB(A)</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707"/>
              <w:gridCol w:w="1200"/>
              <w:gridCol w:w="1318"/>
              <w:gridCol w:w="1425"/>
              <w:gridCol w:w="1606"/>
            </w:tblGrid>
            <w:tr w14:paraId="74F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93" w:type="dxa"/>
                  <w:vAlign w:val="center"/>
                </w:tcPr>
                <w:p w14:paraId="79409472">
                  <w:pPr>
                    <w:jc w:val="center"/>
                    <w:rPr>
                      <w:rFonts w:ascii="Times New Roman" w:hAnsi="Times New Roman" w:cs="Times New Roman"/>
                      <w:b/>
                      <w:bCs/>
                      <w:szCs w:val="21"/>
                    </w:rPr>
                  </w:pPr>
                  <w:bookmarkStart w:id="76" w:name="_Hlk99976576"/>
                  <w:r>
                    <w:rPr>
                      <w:rFonts w:ascii="Times New Roman" w:hAnsi="Times New Roman" w:cs="Times New Roman"/>
                      <w:b/>
                      <w:bCs/>
                      <w:szCs w:val="21"/>
                    </w:rPr>
                    <w:t>设备名称</w:t>
                  </w:r>
                </w:p>
              </w:tc>
              <w:tc>
                <w:tcPr>
                  <w:tcW w:w="707" w:type="dxa"/>
                  <w:vAlign w:val="center"/>
                </w:tcPr>
                <w:p w14:paraId="25B1B0F9">
                  <w:pPr>
                    <w:jc w:val="center"/>
                    <w:rPr>
                      <w:rFonts w:ascii="Times New Roman" w:hAnsi="Times New Roman" w:cs="Times New Roman"/>
                      <w:b/>
                      <w:bCs/>
                      <w:szCs w:val="21"/>
                    </w:rPr>
                  </w:pPr>
                  <w:r>
                    <w:rPr>
                      <w:rFonts w:ascii="Times New Roman" w:hAnsi="Times New Roman" w:cs="Times New Roman"/>
                      <w:b/>
                      <w:bCs/>
                      <w:szCs w:val="21"/>
                    </w:rPr>
                    <w:t>数量</w:t>
                  </w:r>
                </w:p>
              </w:tc>
              <w:tc>
                <w:tcPr>
                  <w:tcW w:w="1200" w:type="dxa"/>
                  <w:tcMar>
                    <w:left w:w="0" w:type="dxa"/>
                    <w:right w:w="0" w:type="dxa"/>
                  </w:tcMar>
                  <w:vAlign w:val="center"/>
                </w:tcPr>
                <w:p w14:paraId="3A0C52BD">
                  <w:pPr>
                    <w:jc w:val="center"/>
                    <w:rPr>
                      <w:rFonts w:ascii="Times New Roman" w:hAnsi="Times New Roman" w:cs="Times New Roman"/>
                      <w:b/>
                      <w:bCs/>
                      <w:szCs w:val="21"/>
                    </w:rPr>
                  </w:pPr>
                  <w:r>
                    <w:rPr>
                      <w:rFonts w:ascii="Times New Roman" w:hAnsi="Times New Roman" w:cs="Times New Roman"/>
                      <w:b/>
                      <w:bCs/>
                      <w:szCs w:val="21"/>
                    </w:rPr>
                    <w:t>安装地点</w:t>
                  </w:r>
                </w:p>
              </w:tc>
              <w:tc>
                <w:tcPr>
                  <w:tcW w:w="1318" w:type="dxa"/>
                  <w:tcMar>
                    <w:left w:w="0" w:type="dxa"/>
                    <w:right w:w="0" w:type="dxa"/>
                  </w:tcMar>
                  <w:vAlign w:val="center"/>
                </w:tcPr>
                <w:p w14:paraId="173E46D5">
                  <w:pPr>
                    <w:jc w:val="center"/>
                    <w:rPr>
                      <w:rFonts w:ascii="Times New Roman" w:hAnsi="Times New Roman" w:cs="Times New Roman"/>
                      <w:b/>
                      <w:bCs/>
                      <w:szCs w:val="21"/>
                    </w:rPr>
                  </w:pPr>
                  <w:r>
                    <w:rPr>
                      <w:rFonts w:ascii="Times New Roman" w:hAnsi="Times New Roman" w:cs="Times New Roman"/>
                      <w:b/>
                      <w:bCs/>
                      <w:szCs w:val="21"/>
                    </w:rPr>
                    <w:t>声级dB(A)（距声源1m处）</w:t>
                  </w:r>
                </w:p>
              </w:tc>
              <w:tc>
                <w:tcPr>
                  <w:tcW w:w="1425" w:type="dxa"/>
                  <w:vAlign w:val="center"/>
                </w:tcPr>
                <w:p w14:paraId="2A1E37E2">
                  <w:pPr>
                    <w:jc w:val="center"/>
                    <w:rPr>
                      <w:rFonts w:ascii="Times New Roman" w:hAnsi="Times New Roman" w:cs="Times New Roman"/>
                      <w:b/>
                      <w:bCs/>
                      <w:szCs w:val="21"/>
                    </w:rPr>
                  </w:pPr>
                  <w:r>
                    <w:rPr>
                      <w:rFonts w:ascii="Times New Roman" w:hAnsi="Times New Roman" w:cs="Times New Roman"/>
                      <w:b/>
                      <w:bCs/>
                      <w:szCs w:val="21"/>
                    </w:rPr>
                    <w:t>治理措施</w:t>
                  </w:r>
                </w:p>
              </w:tc>
              <w:tc>
                <w:tcPr>
                  <w:tcW w:w="1606" w:type="dxa"/>
                  <w:tcMar>
                    <w:left w:w="0" w:type="dxa"/>
                    <w:right w:w="0" w:type="dxa"/>
                  </w:tcMar>
                  <w:vAlign w:val="center"/>
                </w:tcPr>
                <w:p w14:paraId="29A68B8D">
                  <w:pPr>
                    <w:jc w:val="center"/>
                    <w:rPr>
                      <w:rFonts w:ascii="Times New Roman" w:hAnsi="Times New Roman" w:cs="Times New Roman"/>
                      <w:b/>
                      <w:bCs/>
                      <w:szCs w:val="21"/>
                    </w:rPr>
                  </w:pPr>
                  <w:r>
                    <w:rPr>
                      <w:rFonts w:ascii="Times New Roman" w:hAnsi="Times New Roman" w:cs="Times New Roman"/>
                      <w:b/>
                      <w:bCs/>
                      <w:szCs w:val="21"/>
                    </w:rPr>
                    <w:t>治理后</w:t>
                  </w:r>
                  <w:r>
                    <w:rPr>
                      <w:rFonts w:hint="eastAsia" w:ascii="Times New Roman" w:hAnsi="Times New Roman" w:cs="Times New Roman"/>
                      <w:b/>
                      <w:bCs/>
                      <w:szCs w:val="21"/>
                    </w:rPr>
                    <w:t>单台设备</w:t>
                  </w:r>
                  <w:r>
                    <w:rPr>
                      <w:rFonts w:ascii="Times New Roman" w:hAnsi="Times New Roman" w:cs="Times New Roman"/>
                      <w:b/>
                      <w:bCs/>
                      <w:szCs w:val="21"/>
                    </w:rPr>
                    <w:t>源强</w:t>
                  </w:r>
                </w:p>
              </w:tc>
            </w:tr>
            <w:tr w14:paraId="767F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6F774BE8">
                  <w:pPr>
                    <w:jc w:val="center"/>
                    <w:rPr>
                      <w:rFonts w:ascii="Times New Roman" w:hAnsi="Times New Roman" w:cs="Times New Roman"/>
                      <w:szCs w:val="21"/>
                    </w:rPr>
                  </w:pPr>
                  <w:r>
                    <w:rPr>
                      <w:rFonts w:ascii="Times New Roman" w:hAnsi="Times New Roman" w:cs="Times New Roman"/>
                      <w:szCs w:val="21"/>
                    </w:rPr>
                    <w:t>破碎机</w:t>
                  </w:r>
                </w:p>
              </w:tc>
              <w:tc>
                <w:tcPr>
                  <w:tcW w:w="707" w:type="dxa"/>
                  <w:vAlign w:val="center"/>
                </w:tcPr>
                <w:p w14:paraId="45C4F046">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restart"/>
                  <w:vAlign w:val="center"/>
                </w:tcPr>
                <w:p w14:paraId="7D83DC1C">
                  <w:pPr>
                    <w:jc w:val="center"/>
                    <w:rPr>
                      <w:rFonts w:ascii="Times New Roman" w:hAnsi="Times New Roman" w:cs="Times New Roman"/>
                      <w:szCs w:val="21"/>
                    </w:rPr>
                  </w:pPr>
                  <w:r>
                    <w:rPr>
                      <w:rFonts w:hint="eastAsia" w:ascii="Times New Roman" w:hAnsi="Times New Roman" w:cs="Times New Roman"/>
                      <w:szCs w:val="21"/>
                    </w:rPr>
                    <w:t>生产厂房</w:t>
                  </w:r>
                </w:p>
              </w:tc>
              <w:tc>
                <w:tcPr>
                  <w:tcW w:w="1318" w:type="dxa"/>
                  <w:vAlign w:val="center"/>
                </w:tcPr>
                <w:p w14:paraId="4967690F">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vMerge w:val="restart"/>
                  <w:tcMar>
                    <w:left w:w="0" w:type="dxa"/>
                    <w:right w:w="0" w:type="dxa"/>
                  </w:tcMar>
                  <w:vAlign w:val="center"/>
                </w:tcPr>
                <w:p w14:paraId="395044FA">
                  <w:pPr>
                    <w:jc w:val="center"/>
                    <w:rPr>
                      <w:rFonts w:ascii="Times New Roman" w:hAnsi="Times New Roman" w:cs="Times New Roman"/>
                      <w:szCs w:val="21"/>
                    </w:rPr>
                  </w:pPr>
                  <w:r>
                    <w:rPr>
                      <w:rFonts w:ascii="Times New Roman" w:hAnsi="Times New Roman" w:cs="Times New Roman"/>
                      <w:szCs w:val="21"/>
                    </w:rPr>
                    <w:t>安装</w:t>
                  </w:r>
                  <w:r>
                    <w:rPr>
                      <w:rFonts w:hint="eastAsia" w:ascii="Times New Roman" w:hAnsi="Times New Roman" w:cs="Times New Roman"/>
                      <w:szCs w:val="21"/>
                    </w:rPr>
                    <w:t>减振垫</w:t>
                  </w:r>
                  <w:r>
                    <w:rPr>
                      <w:rFonts w:ascii="Times New Roman" w:hAnsi="Times New Roman" w:cs="Times New Roman"/>
                      <w:szCs w:val="21"/>
                    </w:rPr>
                    <w:t>、</w:t>
                  </w:r>
                  <w:r>
                    <w:rPr>
                      <w:rFonts w:hint="eastAsia" w:ascii="Times New Roman" w:hAnsi="Times New Roman" w:cs="Times New Roman"/>
                      <w:szCs w:val="21"/>
                    </w:rPr>
                    <w:t>厂房</w:t>
                  </w:r>
                  <w:r>
                    <w:rPr>
                      <w:rFonts w:ascii="Times New Roman" w:hAnsi="Times New Roman" w:cs="Times New Roman"/>
                      <w:szCs w:val="21"/>
                    </w:rPr>
                    <w:t>墙体隔声</w:t>
                  </w:r>
                </w:p>
              </w:tc>
              <w:tc>
                <w:tcPr>
                  <w:tcW w:w="1606" w:type="dxa"/>
                  <w:vAlign w:val="center"/>
                </w:tcPr>
                <w:p w14:paraId="47BC0A9D">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r>
            <w:tr w14:paraId="6014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4FFB65E">
                  <w:pPr>
                    <w:jc w:val="center"/>
                    <w:rPr>
                      <w:rFonts w:ascii="Times New Roman" w:hAnsi="Times New Roman" w:cs="Times New Roman"/>
                      <w:szCs w:val="21"/>
                    </w:rPr>
                  </w:pPr>
                  <w:r>
                    <w:rPr>
                      <w:rFonts w:ascii="Times New Roman" w:hAnsi="Times New Roman" w:cs="Times New Roman"/>
                      <w:szCs w:val="21"/>
                    </w:rPr>
                    <w:t>化制罐</w:t>
                  </w:r>
                </w:p>
              </w:tc>
              <w:tc>
                <w:tcPr>
                  <w:tcW w:w="707" w:type="dxa"/>
                  <w:vAlign w:val="center"/>
                </w:tcPr>
                <w:p w14:paraId="44B4758D">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6E8C25C1">
                  <w:pPr>
                    <w:jc w:val="center"/>
                    <w:rPr>
                      <w:rFonts w:ascii="Times New Roman" w:hAnsi="Times New Roman" w:cs="Times New Roman"/>
                      <w:szCs w:val="21"/>
                    </w:rPr>
                  </w:pPr>
                </w:p>
              </w:tc>
              <w:tc>
                <w:tcPr>
                  <w:tcW w:w="1318" w:type="dxa"/>
                  <w:vAlign w:val="center"/>
                </w:tcPr>
                <w:p w14:paraId="382F7294">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7</w:t>
                  </w:r>
                </w:p>
              </w:tc>
              <w:tc>
                <w:tcPr>
                  <w:tcW w:w="1425" w:type="dxa"/>
                  <w:vMerge w:val="continue"/>
                  <w:tcMar>
                    <w:left w:w="0" w:type="dxa"/>
                    <w:right w:w="0" w:type="dxa"/>
                  </w:tcMar>
                  <w:vAlign w:val="center"/>
                </w:tcPr>
                <w:p w14:paraId="0D4AE1AD">
                  <w:pPr>
                    <w:jc w:val="center"/>
                    <w:rPr>
                      <w:rFonts w:ascii="Times New Roman" w:hAnsi="Times New Roman" w:cs="Times New Roman"/>
                      <w:szCs w:val="21"/>
                    </w:rPr>
                  </w:pPr>
                </w:p>
              </w:tc>
              <w:tc>
                <w:tcPr>
                  <w:tcW w:w="1606" w:type="dxa"/>
                  <w:vAlign w:val="center"/>
                </w:tcPr>
                <w:p w14:paraId="16E0C590">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w:t>
                  </w:r>
                </w:p>
              </w:tc>
            </w:tr>
            <w:tr w14:paraId="39AC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4CDE091A">
                  <w:pPr>
                    <w:jc w:val="center"/>
                    <w:rPr>
                      <w:rFonts w:ascii="Times New Roman" w:hAnsi="Times New Roman" w:cs="Times New Roman"/>
                      <w:szCs w:val="21"/>
                    </w:rPr>
                  </w:pPr>
                  <w:r>
                    <w:rPr>
                      <w:rFonts w:ascii="Times New Roman" w:hAnsi="Times New Roman" w:cs="Times New Roman"/>
                      <w:szCs w:val="21"/>
                    </w:rPr>
                    <w:t>榨油机</w:t>
                  </w:r>
                </w:p>
              </w:tc>
              <w:tc>
                <w:tcPr>
                  <w:tcW w:w="707" w:type="dxa"/>
                  <w:vAlign w:val="center"/>
                </w:tcPr>
                <w:p w14:paraId="48DA6FF3">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7A2DCB1D">
                  <w:pPr>
                    <w:jc w:val="center"/>
                    <w:rPr>
                      <w:rFonts w:ascii="Times New Roman" w:hAnsi="Times New Roman" w:cs="Times New Roman"/>
                      <w:szCs w:val="21"/>
                    </w:rPr>
                  </w:pPr>
                </w:p>
              </w:tc>
              <w:tc>
                <w:tcPr>
                  <w:tcW w:w="1318" w:type="dxa"/>
                  <w:vAlign w:val="center"/>
                </w:tcPr>
                <w:p w14:paraId="5277E590">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7</w:t>
                  </w:r>
                </w:p>
              </w:tc>
              <w:tc>
                <w:tcPr>
                  <w:tcW w:w="1425" w:type="dxa"/>
                  <w:vMerge w:val="continue"/>
                  <w:tcMar>
                    <w:left w:w="0" w:type="dxa"/>
                    <w:right w:w="0" w:type="dxa"/>
                  </w:tcMar>
                  <w:vAlign w:val="center"/>
                </w:tcPr>
                <w:p w14:paraId="07F27230">
                  <w:pPr>
                    <w:jc w:val="center"/>
                    <w:rPr>
                      <w:rFonts w:ascii="Times New Roman" w:hAnsi="Times New Roman" w:cs="Times New Roman"/>
                      <w:szCs w:val="21"/>
                    </w:rPr>
                  </w:pPr>
                </w:p>
              </w:tc>
              <w:tc>
                <w:tcPr>
                  <w:tcW w:w="1606" w:type="dxa"/>
                  <w:vAlign w:val="center"/>
                </w:tcPr>
                <w:p w14:paraId="3DBE7C58">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w:t>
                  </w:r>
                </w:p>
              </w:tc>
            </w:tr>
            <w:tr w14:paraId="6C71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6E1DA6A">
                  <w:pPr>
                    <w:jc w:val="center"/>
                    <w:rPr>
                      <w:rFonts w:ascii="Times New Roman" w:hAnsi="Times New Roman" w:cs="Times New Roman"/>
                      <w:szCs w:val="21"/>
                    </w:rPr>
                  </w:pPr>
                  <w:r>
                    <w:rPr>
                      <w:rFonts w:hint="eastAsia" w:ascii="Times New Roman" w:hAnsi="Times New Roman" w:cs="Times New Roman"/>
                      <w:szCs w:val="21"/>
                    </w:rPr>
                    <w:t>搅拌机</w:t>
                  </w:r>
                </w:p>
              </w:tc>
              <w:tc>
                <w:tcPr>
                  <w:tcW w:w="707" w:type="dxa"/>
                  <w:vAlign w:val="center"/>
                </w:tcPr>
                <w:p w14:paraId="3B3EFB1C">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129F3BB9">
                  <w:pPr>
                    <w:jc w:val="center"/>
                    <w:rPr>
                      <w:rFonts w:ascii="Times New Roman" w:hAnsi="Times New Roman" w:cs="Times New Roman"/>
                      <w:szCs w:val="21"/>
                    </w:rPr>
                  </w:pPr>
                </w:p>
              </w:tc>
              <w:tc>
                <w:tcPr>
                  <w:tcW w:w="1318" w:type="dxa"/>
                  <w:vAlign w:val="center"/>
                </w:tcPr>
                <w:p w14:paraId="0B6083DA">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0</w:t>
                  </w:r>
                </w:p>
              </w:tc>
              <w:tc>
                <w:tcPr>
                  <w:tcW w:w="1425" w:type="dxa"/>
                  <w:vMerge w:val="continue"/>
                  <w:tcMar>
                    <w:left w:w="0" w:type="dxa"/>
                    <w:right w:w="0" w:type="dxa"/>
                  </w:tcMar>
                  <w:vAlign w:val="center"/>
                </w:tcPr>
                <w:p w14:paraId="3CF01917">
                  <w:pPr>
                    <w:jc w:val="center"/>
                    <w:rPr>
                      <w:rFonts w:ascii="Times New Roman" w:hAnsi="Times New Roman" w:cs="Times New Roman"/>
                      <w:szCs w:val="21"/>
                    </w:rPr>
                  </w:pPr>
                </w:p>
              </w:tc>
              <w:tc>
                <w:tcPr>
                  <w:tcW w:w="1606" w:type="dxa"/>
                  <w:vAlign w:val="center"/>
                </w:tcPr>
                <w:p w14:paraId="5F9A52A6">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5</w:t>
                  </w:r>
                </w:p>
              </w:tc>
            </w:tr>
            <w:tr w14:paraId="54DC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F312B67">
                  <w:pPr>
                    <w:jc w:val="center"/>
                    <w:rPr>
                      <w:rFonts w:ascii="Times New Roman" w:hAnsi="Times New Roman" w:cs="Times New Roman"/>
                      <w:szCs w:val="21"/>
                    </w:rPr>
                  </w:pPr>
                  <w:r>
                    <w:rPr>
                      <w:rFonts w:ascii="Times New Roman" w:hAnsi="Times New Roman" w:cs="Times New Roman"/>
                      <w:szCs w:val="21"/>
                    </w:rPr>
                    <w:t>离心机</w:t>
                  </w:r>
                </w:p>
              </w:tc>
              <w:tc>
                <w:tcPr>
                  <w:tcW w:w="707" w:type="dxa"/>
                  <w:vAlign w:val="center"/>
                </w:tcPr>
                <w:p w14:paraId="15F8EB8F">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78BDB8A8">
                  <w:pPr>
                    <w:jc w:val="center"/>
                    <w:rPr>
                      <w:rFonts w:ascii="Times New Roman" w:hAnsi="Times New Roman" w:cs="Times New Roman"/>
                      <w:szCs w:val="21"/>
                    </w:rPr>
                  </w:pPr>
                </w:p>
              </w:tc>
              <w:tc>
                <w:tcPr>
                  <w:tcW w:w="1318" w:type="dxa"/>
                  <w:vAlign w:val="center"/>
                </w:tcPr>
                <w:p w14:paraId="5BB6CECD">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vMerge w:val="continue"/>
                  <w:tcMar>
                    <w:left w:w="0" w:type="dxa"/>
                    <w:right w:w="0" w:type="dxa"/>
                  </w:tcMar>
                  <w:vAlign w:val="center"/>
                </w:tcPr>
                <w:p w14:paraId="7403A306">
                  <w:pPr>
                    <w:jc w:val="center"/>
                    <w:rPr>
                      <w:rFonts w:ascii="Times New Roman" w:hAnsi="Times New Roman" w:cs="Times New Roman"/>
                      <w:szCs w:val="21"/>
                    </w:rPr>
                  </w:pPr>
                </w:p>
              </w:tc>
              <w:tc>
                <w:tcPr>
                  <w:tcW w:w="1606" w:type="dxa"/>
                  <w:vAlign w:val="center"/>
                </w:tcPr>
                <w:p w14:paraId="32D148F9">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r>
            <w:tr w14:paraId="20A7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D8BAC69">
                  <w:pPr>
                    <w:jc w:val="center"/>
                    <w:rPr>
                      <w:rFonts w:ascii="Times New Roman" w:hAnsi="Times New Roman" w:cs="Times New Roman"/>
                      <w:szCs w:val="21"/>
                    </w:rPr>
                  </w:pPr>
                  <w:r>
                    <w:rPr>
                      <w:rFonts w:hint="eastAsia" w:ascii="Times New Roman" w:hAnsi="Times New Roman" w:cs="Times New Roman"/>
                      <w:szCs w:val="21"/>
                    </w:rPr>
                    <w:t>无害化处理负压站</w:t>
                  </w:r>
                </w:p>
              </w:tc>
              <w:tc>
                <w:tcPr>
                  <w:tcW w:w="707" w:type="dxa"/>
                  <w:vAlign w:val="center"/>
                </w:tcPr>
                <w:p w14:paraId="29F4395D">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4359A5A6">
                  <w:pPr>
                    <w:jc w:val="center"/>
                    <w:rPr>
                      <w:rFonts w:ascii="Times New Roman" w:hAnsi="Times New Roman" w:cs="Times New Roman"/>
                      <w:szCs w:val="21"/>
                    </w:rPr>
                  </w:pPr>
                </w:p>
              </w:tc>
              <w:tc>
                <w:tcPr>
                  <w:tcW w:w="1318" w:type="dxa"/>
                  <w:vAlign w:val="center"/>
                </w:tcPr>
                <w:p w14:paraId="63EC1822">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tcMar>
                    <w:left w:w="0" w:type="dxa"/>
                    <w:right w:w="0" w:type="dxa"/>
                  </w:tcMar>
                  <w:vAlign w:val="center"/>
                </w:tcPr>
                <w:p w14:paraId="376F9532">
                  <w:pPr>
                    <w:jc w:val="center"/>
                    <w:rPr>
                      <w:rFonts w:ascii="Times New Roman" w:hAnsi="Times New Roman" w:cs="Times New Roman"/>
                      <w:szCs w:val="21"/>
                    </w:rPr>
                  </w:pPr>
                  <w:r>
                    <w:rPr>
                      <w:rFonts w:hint="eastAsia" w:ascii="Times New Roman" w:hAnsi="Times New Roman" w:cs="Times New Roman"/>
                      <w:szCs w:val="21"/>
                    </w:rPr>
                    <w:t>减振、消声器、车间墙体隔声</w:t>
                  </w:r>
                </w:p>
              </w:tc>
              <w:tc>
                <w:tcPr>
                  <w:tcW w:w="1606" w:type="dxa"/>
                  <w:vAlign w:val="center"/>
                </w:tcPr>
                <w:p w14:paraId="142442EE">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r>
            <w:tr w14:paraId="1B24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7D6444E">
                  <w:pPr>
                    <w:jc w:val="center"/>
                    <w:rPr>
                      <w:rFonts w:ascii="Times New Roman" w:hAnsi="Times New Roman" w:cs="Times New Roman"/>
                      <w:szCs w:val="21"/>
                    </w:rPr>
                  </w:pPr>
                  <w:r>
                    <w:rPr>
                      <w:rFonts w:hint="eastAsia" w:ascii="Times New Roman" w:hAnsi="Times New Roman" w:cs="Times New Roman"/>
                      <w:szCs w:val="21"/>
                    </w:rPr>
                    <w:t>冷却塔水泵</w:t>
                  </w:r>
                </w:p>
              </w:tc>
              <w:tc>
                <w:tcPr>
                  <w:tcW w:w="707" w:type="dxa"/>
                  <w:vAlign w:val="center"/>
                </w:tcPr>
                <w:p w14:paraId="0E3DD7A5">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Align w:val="center"/>
                </w:tcPr>
                <w:p w14:paraId="6FAABBC8">
                  <w:pPr>
                    <w:jc w:val="center"/>
                    <w:rPr>
                      <w:rFonts w:ascii="Times New Roman" w:hAnsi="Times New Roman" w:cs="Times New Roman"/>
                      <w:szCs w:val="21"/>
                    </w:rPr>
                  </w:pPr>
                  <w:r>
                    <w:rPr>
                      <w:rFonts w:hint="eastAsia" w:ascii="Times New Roman" w:hAnsi="Times New Roman" w:cs="Times New Roman"/>
                      <w:szCs w:val="21"/>
                    </w:rPr>
                    <w:t>冷却塔</w:t>
                  </w:r>
                </w:p>
              </w:tc>
              <w:tc>
                <w:tcPr>
                  <w:tcW w:w="1318" w:type="dxa"/>
                  <w:vAlign w:val="center"/>
                </w:tcPr>
                <w:p w14:paraId="0D27BF71">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c>
                <w:tcPr>
                  <w:tcW w:w="1425" w:type="dxa"/>
                  <w:tcMar>
                    <w:left w:w="0" w:type="dxa"/>
                    <w:right w:w="0" w:type="dxa"/>
                  </w:tcMar>
                  <w:vAlign w:val="center"/>
                </w:tcPr>
                <w:p w14:paraId="3D944EF2">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2E416BCE">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w:t>
                  </w:r>
                </w:p>
              </w:tc>
            </w:tr>
            <w:tr w14:paraId="14B8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F77129E">
                  <w:pPr>
                    <w:jc w:val="center"/>
                    <w:rPr>
                      <w:rFonts w:ascii="Times New Roman" w:hAnsi="Times New Roman" w:cs="Times New Roman"/>
                      <w:szCs w:val="21"/>
                    </w:rPr>
                  </w:pPr>
                  <w:r>
                    <w:rPr>
                      <w:rFonts w:hint="eastAsia" w:ascii="Times New Roman" w:hAnsi="Times New Roman" w:cs="Times New Roman"/>
                      <w:szCs w:val="21"/>
                    </w:rPr>
                    <w:t>酸碱喷淋塔水泵</w:t>
                  </w:r>
                </w:p>
              </w:tc>
              <w:tc>
                <w:tcPr>
                  <w:tcW w:w="707" w:type="dxa"/>
                  <w:vAlign w:val="center"/>
                </w:tcPr>
                <w:p w14:paraId="4D89D2CB">
                  <w:pPr>
                    <w:jc w:val="center"/>
                    <w:rPr>
                      <w:rFonts w:ascii="Times New Roman" w:hAnsi="Times New Roman" w:cs="Times New Roman"/>
                      <w:szCs w:val="21"/>
                    </w:rPr>
                  </w:pPr>
                  <w:r>
                    <w:rPr>
                      <w:rFonts w:hint="eastAsia" w:ascii="Times New Roman" w:hAnsi="Times New Roman" w:cs="Times New Roman"/>
                      <w:szCs w:val="21"/>
                    </w:rPr>
                    <w:t>2</w:t>
                  </w:r>
                </w:p>
              </w:tc>
              <w:tc>
                <w:tcPr>
                  <w:tcW w:w="1200" w:type="dxa"/>
                  <w:vAlign w:val="center"/>
                </w:tcPr>
                <w:p w14:paraId="470705D6">
                  <w:pPr>
                    <w:jc w:val="center"/>
                    <w:rPr>
                      <w:rFonts w:ascii="Times New Roman" w:hAnsi="Times New Roman" w:cs="Times New Roman"/>
                      <w:szCs w:val="21"/>
                    </w:rPr>
                  </w:pPr>
                  <w:r>
                    <w:rPr>
                      <w:rFonts w:hint="eastAsia" w:ascii="Times New Roman" w:hAnsi="Times New Roman" w:cs="Times New Roman"/>
                      <w:szCs w:val="21"/>
                    </w:rPr>
                    <w:t>喷淋塔</w:t>
                  </w:r>
                </w:p>
              </w:tc>
              <w:tc>
                <w:tcPr>
                  <w:tcW w:w="1318" w:type="dxa"/>
                  <w:vAlign w:val="center"/>
                </w:tcPr>
                <w:p w14:paraId="0099355B">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c>
                <w:tcPr>
                  <w:tcW w:w="1425" w:type="dxa"/>
                  <w:tcMar>
                    <w:left w:w="0" w:type="dxa"/>
                    <w:right w:w="0" w:type="dxa"/>
                  </w:tcMar>
                  <w:vAlign w:val="center"/>
                </w:tcPr>
                <w:p w14:paraId="7CFF57A0">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4BA9E859">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w:t>
                  </w:r>
                </w:p>
              </w:tc>
            </w:tr>
            <w:tr w14:paraId="463C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69C3C631">
                  <w:pPr>
                    <w:jc w:val="center"/>
                    <w:rPr>
                      <w:rFonts w:ascii="Times New Roman" w:hAnsi="Times New Roman" w:cs="Times New Roman"/>
                      <w:szCs w:val="21"/>
                    </w:rPr>
                  </w:pPr>
                  <w:r>
                    <w:rPr>
                      <w:rFonts w:hint="eastAsia" w:ascii="Times New Roman" w:hAnsi="Times New Roman" w:cs="Times New Roman"/>
                      <w:szCs w:val="21"/>
                    </w:rPr>
                    <w:t>污水泵</w:t>
                  </w:r>
                </w:p>
              </w:tc>
              <w:tc>
                <w:tcPr>
                  <w:tcW w:w="707" w:type="dxa"/>
                  <w:vAlign w:val="center"/>
                </w:tcPr>
                <w:p w14:paraId="12AC5123">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restart"/>
                  <w:vAlign w:val="center"/>
                </w:tcPr>
                <w:p w14:paraId="5668B004">
                  <w:pPr>
                    <w:jc w:val="center"/>
                    <w:rPr>
                      <w:rFonts w:ascii="Times New Roman" w:hAnsi="Times New Roman" w:cs="Times New Roman"/>
                      <w:szCs w:val="21"/>
                    </w:rPr>
                  </w:pPr>
                  <w:r>
                    <w:rPr>
                      <w:rFonts w:hint="eastAsia" w:ascii="Times New Roman" w:hAnsi="Times New Roman" w:cs="Times New Roman"/>
                      <w:szCs w:val="21"/>
                    </w:rPr>
                    <w:t>污水处理站</w:t>
                  </w:r>
                </w:p>
              </w:tc>
              <w:tc>
                <w:tcPr>
                  <w:tcW w:w="1318" w:type="dxa"/>
                  <w:vAlign w:val="center"/>
                </w:tcPr>
                <w:p w14:paraId="5DBDE8F1">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w:t>
                  </w:r>
                </w:p>
              </w:tc>
              <w:tc>
                <w:tcPr>
                  <w:tcW w:w="1425" w:type="dxa"/>
                  <w:tcMar>
                    <w:left w:w="0" w:type="dxa"/>
                    <w:right w:w="0" w:type="dxa"/>
                  </w:tcMar>
                  <w:vAlign w:val="center"/>
                </w:tcPr>
                <w:p w14:paraId="494262FE">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12BE0902">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0</w:t>
                  </w:r>
                </w:p>
              </w:tc>
            </w:tr>
            <w:tr w14:paraId="396A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5E3DFBBC">
                  <w:pPr>
                    <w:jc w:val="center"/>
                    <w:rPr>
                      <w:rFonts w:ascii="Times New Roman" w:hAnsi="Times New Roman" w:cs="Times New Roman"/>
                      <w:szCs w:val="21"/>
                    </w:rPr>
                  </w:pPr>
                  <w:r>
                    <w:rPr>
                      <w:rFonts w:hint="eastAsia" w:ascii="Times New Roman" w:hAnsi="Times New Roman" w:cs="Times New Roman"/>
                      <w:szCs w:val="21"/>
                    </w:rPr>
                    <w:t>污水站风机</w:t>
                  </w:r>
                </w:p>
              </w:tc>
              <w:tc>
                <w:tcPr>
                  <w:tcW w:w="707" w:type="dxa"/>
                  <w:vAlign w:val="center"/>
                </w:tcPr>
                <w:p w14:paraId="7BDAF8C7">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Merge w:val="continue"/>
                  <w:vAlign w:val="center"/>
                </w:tcPr>
                <w:p w14:paraId="54C242BC">
                  <w:pPr>
                    <w:jc w:val="center"/>
                    <w:rPr>
                      <w:rFonts w:ascii="Times New Roman" w:hAnsi="Times New Roman" w:cs="Times New Roman"/>
                      <w:szCs w:val="21"/>
                    </w:rPr>
                  </w:pPr>
                </w:p>
              </w:tc>
              <w:tc>
                <w:tcPr>
                  <w:tcW w:w="1318" w:type="dxa"/>
                  <w:vAlign w:val="center"/>
                </w:tcPr>
                <w:p w14:paraId="3666A1D1">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tcMar>
                    <w:left w:w="0" w:type="dxa"/>
                    <w:right w:w="0" w:type="dxa"/>
                  </w:tcMar>
                  <w:vAlign w:val="center"/>
                </w:tcPr>
                <w:p w14:paraId="3B07ACCA">
                  <w:pPr>
                    <w:jc w:val="center"/>
                    <w:rPr>
                      <w:rFonts w:ascii="Times New Roman" w:hAnsi="Times New Roman" w:cs="Times New Roman"/>
                      <w:szCs w:val="21"/>
                    </w:rPr>
                  </w:pPr>
                  <w:r>
                    <w:rPr>
                      <w:rFonts w:hint="eastAsia" w:ascii="Times New Roman" w:hAnsi="Times New Roman" w:cs="Times New Roman"/>
                      <w:szCs w:val="21"/>
                    </w:rPr>
                    <w:t>减振、消声器、车间墙体隔声</w:t>
                  </w:r>
                </w:p>
              </w:tc>
              <w:tc>
                <w:tcPr>
                  <w:tcW w:w="1606" w:type="dxa"/>
                  <w:vAlign w:val="center"/>
                </w:tcPr>
                <w:p w14:paraId="424D0606">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r>
            <w:tr w14:paraId="6B62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007324D6">
                  <w:pPr>
                    <w:jc w:val="center"/>
                    <w:rPr>
                      <w:rFonts w:ascii="Times New Roman" w:hAnsi="Times New Roman" w:cs="Times New Roman"/>
                      <w:szCs w:val="21"/>
                    </w:rPr>
                  </w:pPr>
                  <w:r>
                    <w:rPr>
                      <w:rFonts w:hint="eastAsia" w:ascii="Times New Roman" w:hAnsi="Times New Roman" w:cs="Times New Roman"/>
                      <w:szCs w:val="21"/>
                    </w:rPr>
                    <w:t>车间负压系统风机</w:t>
                  </w:r>
                </w:p>
              </w:tc>
              <w:tc>
                <w:tcPr>
                  <w:tcW w:w="707" w:type="dxa"/>
                  <w:vAlign w:val="center"/>
                </w:tcPr>
                <w:p w14:paraId="5434426D">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Align w:val="center"/>
                </w:tcPr>
                <w:p w14:paraId="410087B0">
                  <w:pPr>
                    <w:jc w:val="center"/>
                    <w:rPr>
                      <w:rFonts w:ascii="Times New Roman" w:hAnsi="Times New Roman" w:cs="Times New Roman"/>
                      <w:szCs w:val="21"/>
                    </w:rPr>
                  </w:pPr>
                  <w:r>
                    <w:rPr>
                      <w:rFonts w:hint="eastAsia" w:ascii="Times New Roman" w:hAnsi="Times New Roman" w:cs="Times New Roman"/>
                      <w:szCs w:val="21"/>
                    </w:rPr>
                    <w:t>活性炭吸附系统</w:t>
                  </w:r>
                </w:p>
              </w:tc>
              <w:tc>
                <w:tcPr>
                  <w:tcW w:w="1318" w:type="dxa"/>
                  <w:vAlign w:val="center"/>
                </w:tcPr>
                <w:p w14:paraId="693A2FB4">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w:t>
                  </w:r>
                </w:p>
              </w:tc>
              <w:tc>
                <w:tcPr>
                  <w:tcW w:w="1425" w:type="dxa"/>
                  <w:tcMar>
                    <w:left w:w="0" w:type="dxa"/>
                    <w:right w:w="0" w:type="dxa"/>
                  </w:tcMar>
                  <w:vAlign w:val="center"/>
                </w:tcPr>
                <w:p w14:paraId="1A55F30E">
                  <w:pPr>
                    <w:jc w:val="center"/>
                    <w:rPr>
                      <w:rFonts w:ascii="Times New Roman" w:hAnsi="Times New Roman" w:cs="Times New Roman"/>
                      <w:szCs w:val="21"/>
                    </w:rPr>
                  </w:pPr>
                  <w:r>
                    <w:rPr>
                      <w:rFonts w:hint="eastAsia" w:ascii="Times New Roman" w:hAnsi="Times New Roman" w:cs="Times New Roman"/>
                      <w:szCs w:val="21"/>
                    </w:rPr>
                    <w:t>减振、消声器、车间墙体隔声</w:t>
                  </w:r>
                </w:p>
              </w:tc>
              <w:tc>
                <w:tcPr>
                  <w:tcW w:w="1606" w:type="dxa"/>
                  <w:vAlign w:val="center"/>
                </w:tcPr>
                <w:p w14:paraId="0D34DDC5">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0</w:t>
                  </w:r>
                </w:p>
              </w:tc>
            </w:tr>
            <w:tr w14:paraId="04B9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jc w:val="center"/>
              </w:trPr>
              <w:tc>
                <w:tcPr>
                  <w:tcW w:w="1793" w:type="dxa"/>
                  <w:vAlign w:val="center"/>
                </w:tcPr>
                <w:p w14:paraId="3F2C49E5">
                  <w:pPr>
                    <w:jc w:val="center"/>
                    <w:rPr>
                      <w:rFonts w:ascii="Times New Roman" w:hAnsi="Times New Roman" w:cs="Times New Roman"/>
                      <w:szCs w:val="21"/>
                    </w:rPr>
                  </w:pPr>
                  <w:r>
                    <w:rPr>
                      <w:rFonts w:hint="eastAsia" w:ascii="Times New Roman" w:hAnsi="Times New Roman" w:cs="Times New Roman"/>
                      <w:szCs w:val="21"/>
                    </w:rPr>
                    <w:t>空压机</w:t>
                  </w:r>
                </w:p>
              </w:tc>
              <w:tc>
                <w:tcPr>
                  <w:tcW w:w="707" w:type="dxa"/>
                  <w:vAlign w:val="center"/>
                </w:tcPr>
                <w:p w14:paraId="11A757E2">
                  <w:pPr>
                    <w:jc w:val="center"/>
                    <w:rPr>
                      <w:rFonts w:ascii="Times New Roman" w:hAnsi="Times New Roman" w:cs="Times New Roman"/>
                      <w:szCs w:val="21"/>
                    </w:rPr>
                  </w:pPr>
                  <w:r>
                    <w:rPr>
                      <w:rFonts w:hint="eastAsia" w:ascii="Times New Roman" w:hAnsi="Times New Roman" w:cs="Times New Roman"/>
                      <w:szCs w:val="21"/>
                    </w:rPr>
                    <w:t>1</w:t>
                  </w:r>
                </w:p>
              </w:tc>
              <w:tc>
                <w:tcPr>
                  <w:tcW w:w="1200" w:type="dxa"/>
                  <w:vAlign w:val="center"/>
                </w:tcPr>
                <w:p w14:paraId="7A7E5D3F">
                  <w:pPr>
                    <w:jc w:val="center"/>
                    <w:rPr>
                      <w:rFonts w:ascii="Times New Roman" w:hAnsi="Times New Roman" w:cs="Times New Roman"/>
                      <w:szCs w:val="21"/>
                    </w:rPr>
                  </w:pPr>
                  <w:r>
                    <w:rPr>
                      <w:rFonts w:hint="eastAsia" w:ascii="Times New Roman" w:hAnsi="Times New Roman" w:cs="Times New Roman"/>
                      <w:szCs w:val="21"/>
                    </w:rPr>
                    <w:t>冷库</w:t>
                  </w:r>
                </w:p>
              </w:tc>
              <w:tc>
                <w:tcPr>
                  <w:tcW w:w="1318" w:type="dxa"/>
                  <w:vAlign w:val="center"/>
                </w:tcPr>
                <w:p w14:paraId="4D5EF894">
                  <w:pPr>
                    <w:jc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0</w:t>
                  </w:r>
                </w:p>
              </w:tc>
              <w:tc>
                <w:tcPr>
                  <w:tcW w:w="1425" w:type="dxa"/>
                  <w:tcMar>
                    <w:left w:w="0" w:type="dxa"/>
                    <w:right w:w="0" w:type="dxa"/>
                  </w:tcMar>
                  <w:vAlign w:val="center"/>
                </w:tcPr>
                <w:p w14:paraId="4DD2EE25">
                  <w:pPr>
                    <w:jc w:val="center"/>
                    <w:rPr>
                      <w:rFonts w:ascii="Times New Roman" w:hAnsi="Times New Roman" w:cs="Times New Roman"/>
                      <w:szCs w:val="21"/>
                    </w:rPr>
                  </w:pPr>
                  <w:r>
                    <w:rPr>
                      <w:rFonts w:hint="eastAsia" w:ascii="Times New Roman" w:hAnsi="Times New Roman" w:cs="Times New Roman"/>
                      <w:szCs w:val="21"/>
                    </w:rPr>
                    <w:t>减振处理</w:t>
                  </w:r>
                  <w:r>
                    <w:rPr>
                      <w:rFonts w:ascii="Times New Roman" w:hAnsi="Times New Roman" w:cs="Times New Roman"/>
                      <w:szCs w:val="21"/>
                    </w:rPr>
                    <w:t>、</w:t>
                  </w:r>
                  <w:r>
                    <w:rPr>
                      <w:rFonts w:hint="eastAsia" w:ascii="Times New Roman" w:hAnsi="Times New Roman" w:cs="Times New Roman"/>
                      <w:szCs w:val="21"/>
                    </w:rPr>
                    <w:t>车间</w:t>
                  </w:r>
                  <w:r>
                    <w:rPr>
                      <w:rFonts w:ascii="Times New Roman" w:hAnsi="Times New Roman" w:cs="Times New Roman"/>
                      <w:szCs w:val="21"/>
                    </w:rPr>
                    <w:t>墙体隔声</w:t>
                  </w:r>
                </w:p>
              </w:tc>
              <w:tc>
                <w:tcPr>
                  <w:tcW w:w="1606" w:type="dxa"/>
                  <w:vAlign w:val="center"/>
                </w:tcPr>
                <w:p w14:paraId="39DA96FB">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5</w:t>
                  </w:r>
                </w:p>
              </w:tc>
            </w:tr>
            <w:bookmarkEnd w:id="76"/>
          </w:tbl>
          <w:p w14:paraId="73CAA104">
            <w:pPr>
              <w:snapToGrid w:val="0"/>
              <w:jc w:val="center"/>
            </w:pPr>
          </w:p>
          <w:p w14:paraId="6682FF88">
            <w:pPr>
              <w:pStyle w:val="8"/>
              <w:spacing w:line="360" w:lineRule="auto"/>
              <w:ind w:firstLine="240" w:firstLineChars="100"/>
              <w:rPr>
                <w:kern w:val="0"/>
                <w:sz w:val="24"/>
                <w:szCs w:val="24"/>
              </w:rPr>
            </w:pPr>
            <w:r>
              <w:rPr>
                <w:rFonts w:hint="eastAsia"/>
                <w:kern w:val="0"/>
                <w:sz w:val="24"/>
                <w:szCs w:val="24"/>
              </w:rPr>
              <w:t>2、</w:t>
            </w:r>
            <w:r>
              <w:rPr>
                <w:kern w:val="0"/>
                <w:sz w:val="24"/>
                <w:szCs w:val="24"/>
              </w:rPr>
              <w:t>降噪措施</w:t>
            </w:r>
          </w:p>
          <w:p w14:paraId="0B40CF56">
            <w:pPr>
              <w:pStyle w:val="8"/>
              <w:spacing w:line="360" w:lineRule="auto"/>
              <w:ind w:firstLine="240" w:firstLineChars="100"/>
              <w:rPr>
                <w:kern w:val="0"/>
                <w:sz w:val="24"/>
                <w:szCs w:val="24"/>
              </w:rPr>
            </w:pPr>
            <w:r>
              <w:rPr>
                <w:rFonts w:hint="eastAsia"/>
                <w:kern w:val="0"/>
                <w:sz w:val="24"/>
                <w:szCs w:val="24"/>
              </w:rPr>
              <w:t>①</w:t>
            </w:r>
            <w:r>
              <w:rPr>
                <w:kern w:val="0"/>
                <w:sz w:val="24"/>
                <w:szCs w:val="24"/>
              </w:rPr>
              <w:t>对</w:t>
            </w:r>
            <w:r>
              <w:rPr>
                <w:rFonts w:hint="eastAsia"/>
                <w:kern w:val="0"/>
                <w:sz w:val="24"/>
                <w:szCs w:val="24"/>
              </w:rPr>
              <w:t>因振动产生</w:t>
            </w:r>
            <w:r>
              <w:rPr>
                <w:kern w:val="0"/>
                <w:sz w:val="24"/>
                <w:szCs w:val="24"/>
              </w:rPr>
              <w:t>噪声</w:t>
            </w:r>
            <w:r>
              <w:rPr>
                <w:rFonts w:hint="eastAsia"/>
                <w:kern w:val="0"/>
                <w:sz w:val="24"/>
                <w:szCs w:val="24"/>
              </w:rPr>
              <w:t>的设备</w:t>
            </w:r>
            <w:r>
              <w:rPr>
                <w:kern w:val="0"/>
                <w:sz w:val="24"/>
                <w:szCs w:val="24"/>
              </w:rPr>
              <w:t>加装基础减</w:t>
            </w:r>
            <w:r>
              <w:rPr>
                <w:rFonts w:hint="eastAsia"/>
                <w:kern w:val="0"/>
                <w:sz w:val="24"/>
                <w:szCs w:val="24"/>
              </w:rPr>
              <w:t>振</w:t>
            </w:r>
            <w:r>
              <w:rPr>
                <w:kern w:val="0"/>
                <w:sz w:val="24"/>
                <w:szCs w:val="24"/>
              </w:rPr>
              <w:t>配件，降低设备振动产生的噪声</w:t>
            </w:r>
            <w:r>
              <w:rPr>
                <w:rFonts w:hint="eastAsia"/>
                <w:kern w:val="0"/>
                <w:sz w:val="24"/>
                <w:szCs w:val="24"/>
              </w:rPr>
              <w:t>；对风机等产生风流噪声的设备配消声器。</w:t>
            </w:r>
          </w:p>
          <w:p w14:paraId="4B0048CE">
            <w:pPr>
              <w:pStyle w:val="8"/>
              <w:spacing w:line="360" w:lineRule="auto"/>
              <w:ind w:firstLine="240" w:firstLineChars="100"/>
              <w:rPr>
                <w:kern w:val="0"/>
                <w:sz w:val="24"/>
                <w:szCs w:val="24"/>
              </w:rPr>
            </w:pPr>
            <w:r>
              <w:rPr>
                <w:rFonts w:hint="eastAsia"/>
                <w:kern w:val="0"/>
                <w:sz w:val="24"/>
                <w:szCs w:val="24"/>
              </w:rPr>
              <w:t>②</w:t>
            </w:r>
            <w:r>
              <w:rPr>
                <w:kern w:val="0"/>
                <w:sz w:val="24"/>
                <w:szCs w:val="24"/>
              </w:rPr>
              <w:t>建立设备定期维护、保养的管理制度，避免设备运转非正常噪声。</w:t>
            </w:r>
          </w:p>
          <w:p w14:paraId="2EB766E7">
            <w:pPr>
              <w:pStyle w:val="8"/>
              <w:spacing w:line="360" w:lineRule="auto"/>
              <w:ind w:firstLine="240" w:firstLineChars="100"/>
              <w:rPr>
                <w:kern w:val="0"/>
                <w:sz w:val="24"/>
                <w:szCs w:val="24"/>
              </w:rPr>
            </w:pPr>
            <w:r>
              <w:rPr>
                <w:rFonts w:hint="eastAsia"/>
                <w:kern w:val="0"/>
                <w:sz w:val="24"/>
                <w:szCs w:val="24"/>
              </w:rPr>
              <w:t>③</w:t>
            </w:r>
            <w:r>
              <w:rPr>
                <w:kern w:val="0"/>
                <w:sz w:val="24"/>
                <w:szCs w:val="24"/>
              </w:rPr>
              <w:t>为了减小进出车辆噪声的影响，车辆须减速行驶</w:t>
            </w:r>
            <w:r>
              <w:rPr>
                <w:rFonts w:hint="eastAsia"/>
                <w:kern w:val="0"/>
                <w:sz w:val="24"/>
                <w:szCs w:val="24"/>
              </w:rPr>
              <w:t>，</w:t>
            </w:r>
            <w:r>
              <w:rPr>
                <w:kern w:val="0"/>
                <w:sz w:val="24"/>
                <w:szCs w:val="24"/>
              </w:rPr>
              <w:t>严禁鸣喇叭。</w:t>
            </w:r>
          </w:p>
          <w:p w14:paraId="6E042079">
            <w:pPr>
              <w:pStyle w:val="8"/>
              <w:spacing w:line="360" w:lineRule="auto"/>
              <w:ind w:firstLine="240" w:firstLineChars="100"/>
              <w:rPr>
                <w:kern w:val="0"/>
                <w:sz w:val="24"/>
                <w:szCs w:val="24"/>
              </w:rPr>
            </w:pPr>
            <w:r>
              <w:rPr>
                <w:rFonts w:hint="eastAsia"/>
                <w:kern w:val="0"/>
                <w:sz w:val="24"/>
                <w:szCs w:val="24"/>
              </w:rPr>
              <w:t>④对厂房、车间进行封闭化改造，加强生产管理，生产时关闭厂房、车间门窗。</w:t>
            </w:r>
          </w:p>
          <w:p w14:paraId="4E32AB4D">
            <w:pPr>
              <w:pStyle w:val="8"/>
              <w:spacing w:line="360" w:lineRule="auto"/>
              <w:ind w:firstLine="240" w:firstLineChars="100"/>
              <w:rPr>
                <w:kern w:val="0"/>
                <w:sz w:val="24"/>
                <w:szCs w:val="24"/>
              </w:rPr>
            </w:pPr>
            <w:r>
              <w:rPr>
                <w:rFonts w:hint="eastAsia"/>
                <w:kern w:val="0"/>
                <w:sz w:val="24"/>
                <w:szCs w:val="24"/>
              </w:rPr>
              <w:t>3、</w:t>
            </w:r>
            <w:r>
              <w:rPr>
                <w:kern w:val="0"/>
                <w:sz w:val="24"/>
                <w:szCs w:val="24"/>
              </w:rPr>
              <w:t>源强核算</w:t>
            </w:r>
          </w:p>
          <w:p w14:paraId="7C450E5C">
            <w:pPr>
              <w:pStyle w:val="8"/>
              <w:spacing w:line="360" w:lineRule="auto"/>
              <w:ind w:firstLine="240" w:firstLineChars="100"/>
              <w:rPr>
                <w:kern w:val="0"/>
                <w:sz w:val="24"/>
                <w:szCs w:val="24"/>
              </w:rPr>
            </w:pPr>
            <w:r>
              <w:rPr>
                <w:kern w:val="0"/>
                <w:sz w:val="24"/>
                <w:szCs w:val="24"/>
              </w:rPr>
              <w:t>环评提出采取</w:t>
            </w:r>
            <w:r>
              <w:rPr>
                <w:rFonts w:hint="eastAsia"/>
                <w:kern w:val="0"/>
                <w:sz w:val="24"/>
                <w:szCs w:val="24"/>
              </w:rPr>
              <w:t>减振</w:t>
            </w:r>
            <w:r>
              <w:rPr>
                <w:kern w:val="0"/>
                <w:sz w:val="24"/>
                <w:szCs w:val="24"/>
              </w:rPr>
              <w:t>措施</w:t>
            </w:r>
            <w:r>
              <w:rPr>
                <w:rFonts w:hint="eastAsia"/>
                <w:kern w:val="0"/>
                <w:sz w:val="24"/>
                <w:szCs w:val="24"/>
              </w:rPr>
              <w:t>、加装消声器措施和封闭车间生产措施等</w:t>
            </w:r>
            <w:r>
              <w:rPr>
                <w:kern w:val="0"/>
                <w:sz w:val="24"/>
                <w:szCs w:val="24"/>
              </w:rPr>
              <w:t>。据工程分析，</w:t>
            </w:r>
            <w:r>
              <w:rPr>
                <w:rFonts w:hint="eastAsia"/>
                <w:kern w:val="0"/>
                <w:sz w:val="24"/>
                <w:szCs w:val="24"/>
              </w:rPr>
              <w:t>以上</w:t>
            </w:r>
            <w:r>
              <w:rPr>
                <w:kern w:val="0"/>
                <w:sz w:val="24"/>
                <w:szCs w:val="24"/>
              </w:rPr>
              <w:t>机械噪声</w:t>
            </w:r>
            <w:r>
              <w:rPr>
                <w:rFonts w:hint="eastAsia"/>
                <w:kern w:val="0"/>
                <w:sz w:val="24"/>
                <w:szCs w:val="24"/>
              </w:rPr>
              <w:t>源强</w:t>
            </w:r>
            <w:r>
              <w:rPr>
                <w:kern w:val="0"/>
                <w:sz w:val="24"/>
                <w:szCs w:val="24"/>
              </w:rPr>
              <w:t>在65～90dB(A)之间，在噪声治理上，采取了不同的消声、</w:t>
            </w:r>
            <w:r>
              <w:rPr>
                <w:rFonts w:hint="eastAsia"/>
                <w:kern w:val="0"/>
                <w:sz w:val="24"/>
                <w:szCs w:val="24"/>
              </w:rPr>
              <w:t>减振</w:t>
            </w:r>
            <w:r>
              <w:rPr>
                <w:kern w:val="0"/>
                <w:sz w:val="24"/>
                <w:szCs w:val="24"/>
              </w:rPr>
              <w:t>措施。噪声在传播过程中容易衰减，且易受厂房、墙体、植被的吸收和阻隔。</w:t>
            </w:r>
            <w:r>
              <w:rPr>
                <w:rFonts w:hint="eastAsia"/>
                <w:kern w:val="0"/>
                <w:sz w:val="24"/>
                <w:szCs w:val="24"/>
              </w:rPr>
              <w:t>因同一车间内的设备大多有大致相同的离地高度，到接收点有相同的传播条件，且从单一点声源到接收点的距离均远超过声源的最大尺寸，故本次评价拟将同一车间、厂房内紧邻的设备合并为一个噪声源。</w:t>
            </w:r>
            <w:r>
              <w:rPr>
                <w:kern w:val="0"/>
                <w:sz w:val="24"/>
                <w:szCs w:val="24"/>
              </w:rPr>
              <w:t>项目主要噪声源及其控制施见</w:t>
            </w:r>
            <w:r>
              <w:rPr>
                <w:rFonts w:hint="eastAsia"/>
                <w:kern w:val="0"/>
                <w:sz w:val="24"/>
                <w:szCs w:val="24"/>
              </w:rPr>
              <w:t>下</w:t>
            </w:r>
            <w:r>
              <w:rPr>
                <w:kern w:val="0"/>
                <w:sz w:val="24"/>
                <w:szCs w:val="24"/>
              </w:rPr>
              <w:t>表</w:t>
            </w:r>
            <w:r>
              <w:rPr>
                <w:rFonts w:hint="eastAsia"/>
                <w:kern w:val="0"/>
                <w:sz w:val="24"/>
                <w:szCs w:val="24"/>
              </w:rPr>
              <w:t>。</w:t>
            </w:r>
          </w:p>
          <w:p w14:paraId="088DD8A3">
            <w:pPr>
              <w:spacing w:line="500" w:lineRule="exact"/>
              <w:jc w:val="center"/>
              <w:rPr>
                <w:rFonts w:ascii="Times New Roman" w:hAnsi="Times New Roman" w:cs="Times New Roman"/>
                <w:b/>
                <w:szCs w:val="21"/>
              </w:rPr>
            </w:pPr>
            <w:r>
              <w:rPr>
                <w:rFonts w:ascii="Times New Roman" w:hAnsi="Times New Roman" w:cs="Times New Roman"/>
                <w:b/>
                <w:szCs w:val="21"/>
              </w:rPr>
              <w:t>表4-20    工业场地噪声源强（室内声源）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979"/>
              <w:gridCol w:w="992"/>
              <w:gridCol w:w="1134"/>
              <w:gridCol w:w="1701"/>
              <w:gridCol w:w="2693"/>
            </w:tblGrid>
            <w:tr w14:paraId="1CA0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26FD70B0">
                  <w:pPr>
                    <w:pStyle w:val="2"/>
                    <w:pBdr>
                      <w:bottom w:val="none" w:color="auto" w:sz="0" w:space="0"/>
                    </w:pBdr>
                    <w:rPr>
                      <w:rFonts w:ascii="Times New Roman" w:hAnsi="Times New Roman" w:cs="Times New Roman"/>
                      <w:b/>
                      <w:bCs/>
                    </w:rPr>
                  </w:pPr>
                  <w:r>
                    <w:rPr>
                      <w:rFonts w:ascii="Times New Roman" w:hAnsi="Times New Roman" w:cs="Times New Roman"/>
                      <w:b/>
                      <w:bCs/>
                    </w:rPr>
                    <w:t>序号</w:t>
                  </w:r>
                </w:p>
              </w:tc>
              <w:tc>
                <w:tcPr>
                  <w:tcW w:w="979" w:type="dxa"/>
                  <w:vAlign w:val="center"/>
                </w:tcPr>
                <w:p w14:paraId="35491082">
                  <w:pPr>
                    <w:pStyle w:val="2"/>
                    <w:pBdr>
                      <w:bottom w:val="none" w:color="auto" w:sz="0" w:space="0"/>
                    </w:pBdr>
                    <w:rPr>
                      <w:rFonts w:ascii="Times New Roman" w:hAnsi="Times New Roman" w:cs="Times New Roman"/>
                      <w:b/>
                      <w:bCs/>
                    </w:rPr>
                  </w:pPr>
                  <w:r>
                    <w:rPr>
                      <w:rFonts w:ascii="Times New Roman" w:hAnsi="Times New Roman" w:cs="Times New Roman"/>
                      <w:b/>
                      <w:bCs/>
                    </w:rPr>
                    <w:t>建筑物</w:t>
                  </w:r>
                </w:p>
              </w:tc>
              <w:tc>
                <w:tcPr>
                  <w:tcW w:w="992" w:type="dxa"/>
                  <w:vAlign w:val="center"/>
                </w:tcPr>
                <w:p w14:paraId="10BDB1A3">
                  <w:pPr>
                    <w:pStyle w:val="2"/>
                    <w:pBdr>
                      <w:bottom w:val="none" w:color="auto" w:sz="0" w:space="0"/>
                    </w:pBdr>
                    <w:rPr>
                      <w:rFonts w:ascii="Times New Roman" w:hAnsi="Times New Roman" w:cs="Times New Roman"/>
                      <w:b/>
                      <w:bCs/>
                    </w:rPr>
                  </w:pPr>
                  <w:r>
                    <w:rPr>
                      <w:rFonts w:ascii="Times New Roman" w:hAnsi="Times New Roman" w:cs="Times New Roman"/>
                      <w:b/>
                      <w:bCs/>
                    </w:rPr>
                    <w:t>声源</w:t>
                  </w:r>
                </w:p>
              </w:tc>
              <w:tc>
                <w:tcPr>
                  <w:tcW w:w="1134" w:type="dxa"/>
                  <w:vAlign w:val="center"/>
                </w:tcPr>
                <w:p w14:paraId="0CA65F4D">
                  <w:pPr>
                    <w:pStyle w:val="2"/>
                    <w:pBdr>
                      <w:bottom w:val="none" w:color="auto" w:sz="0" w:space="0"/>
                    </w:pBdr>
                    <w:rPr>
                      <w:rFonts w:ascii="Times New Roman" w:hAnsi="Times New Roman" w:cs="Times New Roman"/>
                      <w:b/>
                      <w:bCs/>
                    </w:rPr>
                  </w:pPr>
                  <w:r>
                    <w:rPr>
                      <w:rFonts w:ascii="Times New Roman" w:hAnsi="Times New Roman" w:cs="Times New Roman"/>
                      <w:b/>
                      <w:bCs/>
                    </w:rPr>
                    <w:t>型号</w:t>
                  </w:r>
                </w:p>
              </w:tc>
              <w:tc>
                <w:tcPr>
                  <w:tcW w:w="1701" w:type="dxa"/>
                  <w:vAlign w:val="center"/>
                </w:tcPr>
                <w:p w14:paraId="11C7C853">
                  <w:pPr>
                    <w:pStyle w:val="2"/>
                    <w:pBdr>
                      <w:bottom w:val="none" w:color="auto" w:sz="0" w:space="0"/>
                    </w:pBdr>
                    <w:rPr>
                      <w:rFonts w:ascii="Times New Roman" w:hAnsi="Times New Roman" w:cs="Times New Roman"/>
                      <w:b/>
                      <w:bCs/>
                    </w:rPr>
                  </w:pPr>
                  <w:r>
                    <w:rPr>
                      <w:rFonts w:ascii="Times New Roman" w:hAnsi="Times New Roman" w:cs="Times New Roman"/>
                      <w:b/>
                      <w:bCs/>
                    </w:rPr>
                    <w:t>声源源强（声压级/距离/dB（A）/m）</w:t>
                  </w:r>
                </w:p>
              </w:tc>
              <w:tc>
                <w:tcPr>
                  <w:tcW w:w="2693" w:type="dxa"/>
                  <w:vAlign w:val="center"/>
                </w:tcPr>
                <w:p w14:paraId="3DDE04C8">
                  <w:pPr>
                    <w:pStyle w:val="2"/>
                    <w:pBdr>
                      <w:bottom w:val="none" w:color="auto" w:sz="0" w:space="0"/>
                    </w:pBdr>
                    <w:rPr>
                      <w:rFonts w:ascii="Times New Roman" w:hAnsi="Times New Roman" w:cs="Times New Roman"/>
                      <w:b/>
                      <w:bCs/>
                    </w:rPr>
                  </w:pPr>
                  <w:r>
                    <w:rPr>
                      <w:rFonts w:ascii="Times New Roman" w:hAnsi="Times New Roman" w:cs="Times New Roman"/>
                      <w:b/>
                      <w:bCs/>
                    </w:rPr>
                    <w:t>声源控制措施</w:t>
                  </w:r>
                </w:p>
              </w:tc>
            </w:tr>
            <w:tr w14:paraId="095D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75826B7D">
                  <w:pPr>
                    <w:pStyle w:val="2"/>
                    <w:pBdr>
                      <w:bottom w:val="none" w:color="auto" w:sz="0" w:space="0"/>
                    </w:pBdr>
                    <w:rPr>
                      <w:rFonts w:ascii="Times New Roman" w:hAnsi="Times New Roman" w:cs="Times New Roman"/>
                    </w:rPr>
                  </w:pPr>
                  <w:r>
                    <w:rPr>
                      <w:rFonts w:ascii="Times New Roman" w:hAnsi="Times New Roman" w:cs="Times New Roman"/>
                    </w:rPr>
                    <w:t>1</w:t>
                  </w:r>
                </w:p>
              </w:tc>
              <w:tc>
                <w:tcPr>
                  <w:tcW w:w="979" w:type="dxa"/>
                  <w:vMerge w:val="restart"/>
                  <w:vAlign w:val="center"/>
                </w:tcPr>
                <w:p w14:paraId="6184BF5E">
                  <w:pPr>
                    <w:pStyle w:val="2"/>
                    <w:pBdr>
                      <w:bottom w:val="none" w:color="auto" w:sz="0" w:space="0"/>
                    </w:pBdr>
                    <w:rPr>
                      <w:rFonts w:ascii="Times New Roman" w:hAnsi="Times New Roman" w:cs="Times New Roman"/>
                    </w:rPr>
                  </w:pPr>
                  <w:r>
                    <w:rPr>
                      <w:rFonts w:hint="eastAsia" w:ascii="Times New Roman" w:hAnsi="Times New Roman" w:cs="Times New Roman"/>
                    </w:rPr>
                    <w:t>生产厂房</w:t>
                  </w:r>
                </w:p>
              </w:tc>
              <w:tc>
                <w:tcPr>
                  <w:tcW w:w="992" w:type="dxa"/>
                  <w:vAlign w:val="center"/>
                </w:tcPr>
                <w:p w14:paraId="274EFF13">
                  <w:pPr>
                    <w:pStyle w:val="2"/>
                    <w:pBdr>
                      <w:bottom w:val="none" w:color="auto" w:sz="0" w:space="0"/>
                    </w:pBdr>
                    <w:rPr>
                      <w:rFonts w:ascii="Times New Roman" w:hAnsi="Times New Roman" w:cs="Times New Roman"/>
                    </w:rPr>
                  </w:pPr>
                  <w:r>
                    <w:rPr>
                      <w:rFonts w:hint="eastAsia" w:ascii="Times New Roman" w:hAnsi="Times New Roman" w:cs="Times New Roman"/>
                    </w:rPr>
                    <w:t>破碎机</w:t>
                  </w:r>
                </w:p>
              </w:tc>
              <w:tc>
                <w:tcPr>
                  <w:tcW w:w="1134" w:type="dxa"/>
                  <w:vAlign w:val="center"/>
                </w:tcPr>
                <w:p w14:paraId="4F9C5AB4">
                  <w:pPr>
                    <w:pStyle w:val="2"/>
                    <w:pBdr>
                      <w:bottom w:val="none" w:color="auto" w:sz="0" w:space="0"/>
                    </w:pBdr>
                    <w:rPr>
                      <w:rFonts w:ascii="Times New Roman" w:hAnsi="Times New Roman" w:cs="Times New Roman"/>
                    </w:rPr>
                  </w:pPr>
                  <w:r>
                    <w:rPr>
                      <w:rFonts w:ascii="Times New Roman" w:hAnsi="Times New Roman" w:cs="Times New Roman"/>
                    </w:rPr>
                    <w:t>SYPS-500</w:t>
                  </w:r>
                </w:p>
              </w:tc>
              <w:tc>
                <w:tcPr>
                  <w:tcW w:w="1701" w:type="dxa"/>
                  <w:vAlign w:val="center"/>
                </w:tcPr>
                <w:p w14:paraId="30CB73A1">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40CBFE91">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70BE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7C9DC34C">
                  <w:pPr>
                    <w:pStyle w:val="2"/>
                    <w:pBdr>
                      <w:bottom w:val="none" w:color="auto" w:sz="0" w:space="0"/>
                    </w:pBdr>
                    <w:rPr>
                      <w:rFonts w:ascii="Times New Roman" w:hAnsi="Times New Roman" w:cs="Times New Roman"/>
                    </w:rPr>
                  </w:pPr>
                  <w:r>
                    <w:rPr>
                      <w:rFonts w:ascii="Times New Roman" w:hAnsi="Times New Roman" w:cs="Times New Roman"/>
                    </w:rPr>
                    <w:t>2</w:t>
                  </w:r>
                </w:p>
              </w:tc>
              <w:tc>
                <w:tcPr>
                  <w:tcW w:w="979" w:type="dxa"/>
                  <w:vMerge w:val="continue"/>
                  <w:vAlign w:val="center"/>
                </w:tcPr>
                <w:p w14:paraId="51AA6838">
                  <w:pPr>
                    <w:pStyle w:val="2"/>
                    <w:pBdr>
                      <w:bottom w:val="none" w:color="auto" w:sz="0" w:space="0"/>
                    </w:pBdr>
                    <w:rPr>
                      <w:rFonts w:ascii="Times New Roman" w:hAnsi="Times New Roman" w:cs="Times New Roman"/>
                    </w:rPr>
                  </w:pPr>
                </w:p>
              </w:tc>
              <w:tc>
                <w:tcPr>
                  <w:tcW w:w="992" w:type="dxa"/>
                  <w:vAlign w:val="center"/>
                </w:tcPr>
                <w:p w14:paraId="11EED603">
                  <w:pPr>
                    <w:pStyle w:val="2"/>
                    <w:pBdr>
                      <w:bottom w:val="none" w:color="auto" w:sz="0" w:space="0"/>
                    </w:pBdr>
                    <w:rPr>
                      <w:rFonts w:ascii="Times New Roman" w:hAnsi="Times New Roman" w:cs="Times New Roman"/>
                    </w:rPr>
                  </w:pPr>
                  <w:r>
                    <w:rPr>
                      <w:rFonts w:ascii="Times New Roman" w:hAnsi="Times New Roman" w:cs="Times New Roman"/>
                    </w:rPr>
                    <w:t>化制罐</w:t>
                  </w:r>
                </w:p>
              </w:tc>
              <w:tc>
                <w:tcPr>
                  <w:tcW w:w="1134" w:type="dxa"/>
                  <w:vAlign w:val="center"/>
                </w:tcPr>
                <w:p w14:paraId="1F0A105B">
                  <w:pPr>
                    <w:pStyle w:val="2"/>
                    <w:pBdr>
                      <w:bottom w:val="none" w:color="auto" w:sz="0" w:space="0"/>
                    </w:pBdr>
                    <w:rPr>
                      <w:rFonts w:ascii="Times New Roman" w:hAnsi="Times New Roman" w:cs="Times New Roman"/>
                    </w:rPr>
                  </w:pPr>
                  <w:r>
                    <w:rPr>
                      <w:rFonts w:ascii="Times New Roman" w:hAnsi="Times New Roman" w:cs="Times New Roman"/>
                    </w:rPr>
                    <w:t>SYHZ-800</w:t>
                  </w:r>
                </w:p>
              </w:tc>
              <w:tc>
                <w:tcPr>
                  <w:tcW w:w="1701" w:type="dxa"/>
                  <w:vAlign w:val="center"/>
                </w:tcPr>
                <w:p w14:paraId="40011645">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7/1</w:t>
                  </w:r>
                </w:p>
              </w:tc>
              <w:tc>
                <w:tcPr>
                  <w:tcW w:w="2693" w:type="dxa"/>
                  <w:vAlign w:val="center"/>
                </w:tcPr>
                <w:p w14:paraId="43309838">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30F4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1F95C2FD">
                  <w:pPr>
                    <w:pStyle w:val="2"/>
                    <w:pBdr>
                      <w:bottom w:val="none" w:color="auto" w:sz="0" w:space="0"/>
                    </w:pBdr>
                    <w:rPr>
                      <w:rFonts w:ascii="Times New Roman" w:hAnsi="Times New Roman" w:cs="Times New Roman"/>
                    </w:rPr>
                  </w:pPr>
                  <w:r>
                    <w:rPr>
                      <w:rFonts w:ascii="Times New Roman" w:hAnsi="Times New Roman" w:cs="Times New Roman"/>
                    </w:rPr>
                    <w:t>3</w:t>
                  </w:r>
                </w:p>
              </w:tc>
              <w:tc>
                <w:tcPr>
                  <w:tcW w:w="979" w:type="dxa"/>
                  <w:vMerge w:val="continue"/>
                  <w:vAlign w:val="center"/>
                </w:tcPr>
                <w:p w14:paraId="1F91D171">
                  <w:pPr>
                    <w:pStyle w:val="2"/>
                    <w:pBdr>
                      <w:bottom w:val="none" w:color="auto" w:sz="0" w:space="0"/>
                    </w:pBdr>
                    <w:rPr>
                      <w:rFonts w:ascii="Times New Roman" w:hAnsi="Times New Roman" w:cs="Times New Roman"/>
                    </w:rPr>
                  </w:pPr>
                </w:p>
              </w:tc>
              <w:tc>
                <w:tcPr>
                  <w:tcW w:w="992" w:type="dxa"/>
                  <w:vAlign w:val="center"/>
                </w:tcPr>
                <w:p w14:paraId="29BDDC43">
                  <w:pPr>
                    <w:pStyle w:val="2"/>
                    <w:pBdr>
                      <w:bottom w:val="none" w:color="auto" w:sz="0" w:space="0"/>
                    </w:pBdr>
                    <w:rPr>
                      <w:rFonts w:ascii="Times New Roman" w:hAnsi="Times New Roman" w:cs="Times New Roman"/>
                    </w:rPr>
                  </w:pPr>
                  <w:r>
                    <w:rPr>
                      <w:rFonts w:ascii="Times New Roman" w:hAnsi="Times New Roman" w:cs="Times New Roman"/>
                    </w:rPr>
                    <w:t>榨油机</w:t>
                  </w:r>
                </w:p>
              </w:tc>
              <w:tc>
                <w:tcPr>
                  <w:tcW w:w="1134" w:type="dxa"/>
                  <w:vAlign w:val="center"/>
                </w:tcPr>
                <w:p w14:paraId="7E839FC1">
                  <w:pPr>
                    <w:pStyle w:val="2"/>
                    <w:pBdr>
                      <w:bottom w:val="none" w:color="auto" w:sz="0" w:space="0"/>
                    </w:pBdr>
                    <w:rPr>
                      <w:rFonts w:ascii="Times New Roman" w:hAnsi="Times New Roman" w:cs="Times New Roman"/>
                    </w:rPr>
                  </w:pPr>
                  <w:r>
                    <w:rPr>
                      <w:rFonts w:ascii="Times New Roman" w:hAnsi="Times New Roman" w:cs="Times New Roman"/>
                    </w:rPr>
                    <w:t>SYZYJ-10</w:t>
                  </w:r>
                </w:p>
              </w:tc>
              <w:tc>
                <w:tcPr>
                  <w:tcW w:w="1701" w:type="dxa"/>
                  <w:vAlign w:val="center"/>
                </w:tcPr>
                <w:p w14:paraId="39D211AD">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7/1</w:t>
                  </w:r>
                </w:p>
              </w:tc>
              <w:tc>
                <w:tcPr>
                  <w:tcW w:w="2693" w:type="dxa"/>
                  <w:vAlign w:val="center"/>
                </w:tcPr>
                <w:p w14:paraId="1F37FEE9">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153C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21859932">
                  <w:pPr>
                    <w:pStyle w:val="2"/>
                    <w:pBdr>
                      <w:bottom w:val="none" w:color="auto" w:sz="0" w:space="0"/>
                    </w:pBdr>
                    <w:rPr>
                      <w:rFonts w:ascii="Times New Roman" w:hAnsi="Times New Roman" w:cs="Times New Roman"/>
                    </w:rPr>
                  </w:pPr>
                  <w:r>
                    <w:rPr>
                      <w:rFonts w:ascii="Times New Roman" w:hAnsi="Times New Roman" w:cs="Times New Roman"/>
                    </w:rPr>
                    <w:t>4</w:t>
                  </w:r>
                </w:p>
              </w:tc>
              <w:tc>
                <w:tcPr>
                  <w:tcW w:w="979" w:type="dxa"/>
                  <w:vMerge w:val="continue"/>
                  <w:vAlign w:val="center"/>
                </w:tcPr>
                <w:p w14:paraId="40FC7B3F">
                  <w:pPr>
                    <w:pStyle w:val="2"/>
                    <w:pBdr>
                      <w:bottom w:val="none" w:color="auto" w:sz="0" w:space="0"/>
                    </w:pBdr>
                    <w:rPr>
                      <w:rFonts w:ascii="Times New Roman" w:hAnsi="Times New Roman" w:cs="Times New Roman"/>
                    </w:rPr>
                  </w:pPr>
                </w:p>
              </w:tc>
              <w:tc>
                <w:tcPr>
                  <w:tcW w:w="992" w:type="dxa"/>
                  <w:vAlign w:val="center"/>
                </w:tcPr>
                <w:p w14:paraId="5D99F35D">
                  <w:pPr>
                    <w:pStyle w:val="2"/>
                    <w:pBdr>
                      <w:bottom w:val="none" w:color="auto" w:sz="0" w:space="0"/>
                    </w:pBdr>
                    <w:rPr>
                      <w:rFonts w:ascii="Times New Roman" w:hAnsi="Times New Roman" w:cs="Times New Roman"/>
                    </w:rPr>
                  </w:pPr>
                  <w:r>
                    <w:rPr>
                      <w:rFonts w:hint="eastAsia" w:ascii="Times New Roman" w:hAnsi="Times New Roman" w:cs="Times New Roman"/>
                    </w:rPr>
                    <w:t>搅拌机</w:t>
                  </w:r>
                </w:p>
              </w:tc>
              <w:tc>
                <w:tcPr>
                  <w:tcW w:w="1134" w:type="dxa"/>
                  <w:vAlign w:val="center"/>
                </w:tcPr>
                <w:p w14:paraId="08C3D564">
                  <w:pPr>
                    <w:pStyle w:val="2"/>
                    <w:pBdr>
                      <w:bottom w:val="none" w:color="auto" w:sz="0" w:space="0"/>
                    </w:pBdr>
                    <w:rPr>
                      <w:rFonts w:ascii="Times New Roman" w:hAnsi="Times New Roman" w:cs="Times New Roman"/>
                    </w:rPr>
                  </w:pPr>
                  <w:r>
                    <w:rPr>
                      <w:rFonts w:ascii="Times New Roman" w:hAnsi="Times New Roman" w:cs="Times New Roman"/>
                    </w:rPr>
                    <w:t>SYJBG-01</w:t>
                  </w:r>
                </w:p>
              </w:tc>
              <w:tc>
                <w:tcPr>
                  <w:tcW w:w="1701" w:type="dxa"/>
                  <w:vAlign w:val="center"/>
                </w:tcPr>
                <w:p w14:paraId="12C4004C">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0/1</w:t>
                  </w:r>
                </w:p>
              </w:tc>
              <w:tc>
                <w:tcPr>
                  <w:tcW w:w="2693" w:type="dxa"/>
                  <w:vAlign w:val="center"/>
                </w:tcPr>
                <w:p w14:paraId="73C73AFD">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020E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1BC18AEB">
                  <w:pPr>
                    <w:pStyle w:val="2"/>
                    <w:pBdr>
                      <w:bottom w:val="none" w:color="auto" w:sz="0" w:space="0"/>
                    </w:pBdr>
                    <w:rPr>
                      <w:rFonts w:ascii="Times New Roman" w:hAnsi="Times New Roman" w:cs="Times New Roman"/>
                    </w:rPr>
                  </w:pPr>
                  <w:r>
                    <w:rPr>
                      <w:rFonts w:ascii="Times New Roman" w:hAnsi="Times New Roman" w:cs="Times New Roman"/>
                    </w:rPr>
                    <w:t>5</w:t>
                  </w:r>
                </w:p>
              </w:tc>
              <w:tc>
                <w:tcPr>
                  <w:tcW w:w="979" w:type="dxa"/>
                  <w:vMerge w:val="continue"/>
                  <w:vAlign w:val="center"/>
                </w:tcPr>
                <w:p w14:paraId="315A4147">
                  <w:pPr>
                    <w:pStyle w:val="2"/>
                    <w:pBdr>
                      <w:bottom w:val="none" w:color="auto" w:sz="0" w:space="0"/>
                    </w:pBdr>
                    <w:rPr>
                      <w:rFonts w:ascii="Times New Roman" w:hAnsi="Times New Roman" w:cs="Times New Roman"/>
                    </w:rPr>
                  </w:pPr>
                </w:p>
              </w:tc>
              <w:tc>
                <w:tcPr>
                  <w:tcW w:w="992" w:type="dxa"/>
                  <w:vAlign w:val="center"/>
                </w:tcPr>
                <w:p w14:paraId="7A61D922">
                  <w:pPr>
                    <w:pStyle w:val="2"/>
                    <w:pBdr>
                      <w:bottom w:val="none" w:color="auto" w:sz="0" w:space="0"/>
                    </w:pBdr>
                    <w:rPr>
                      <w:rFonts w:ascii="Times New Roman" w:hAnsi="Times New Roman" w:cs="Times New Roman"/>
                    </w:rPr>
                  </w:pPr>
                  <w:r>
                    <w:rPr>
                      <w:rFonts w:ascii="Times New Roman" w:hAnsi="Times New Roman" w:cs="Times New Roman"/>
                    </w:rPr>
                    <w:t>离心机</w:t>
                  </w:r>
                </w:p>
              </w:tc>
              <w:tc>
                <w:tcPr>
                  <w:tcW w:w="1134" w:type="dxa"/>
                  <w:vAlign w:val="center"/>
                </w:tcPr>
                <w:p w14:paraId="07F26D91">
                  <w:pPr>
                    <w:pStyle w:val="2"/>
                    <w:pBdr>
                      <w:bottom w:val="none" w:color="auto" w:sz="0" w:space="0"/>
                    </w:pBdr>
                    <w:rPr>
                      <w:rFonts w:ascii="Times New Roman" w:hAnsi="Times New Roman" w:cs="Times New Roman"/>
                    </w:rPr>
                  </w:pPr>
                  <w:r>
                    <w:rPr>
                      <w:rFonts w:ascii="Times New Roman" w:hAnsi="Times New Roman" w:cs="Times New Roman"/>
                    </w:rPr>
                    <w:t>SYLXJ-05</w:t>
                  </w:r>
                </w:p>
              </w:tc>
              <w:tc>
                <w:tcPr>
                  <w:tcW w:w="1701" w:type="dxa"/>
                  <w:vAlign w:val="center"/>
                </w:tcPr>
                <w:p w14:paraId="722F7861">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21FDB3A8">
                  <w:pPr>
                    <w:pStyle w:val="2"/>
                    <w:pBdr>
                      <w:bottom w:val="none" w:color="auto" w:sz="0" w:space="0"/>
                    </w:pBdr>
                    <w:rPr>
                      <w:rFonts w:ascii="Times New Roman" w:hAnsi="Times New Roman" w:cs="Times New Roman"/>
                    </w:rPr>
                  </w:pPr>
                  <w:r>
                    <w:rPr>
                      <w:rFonts w:hint="eastAsia" w:ascii="Times New Roman" w:hAnsi="Times New Roman" w:cs="Times New Roman"/>
                    </w:rPr>
                    <w:t>减振，厂房隔声</w:t>
                  </w:r>
                </w:p>
              </w:tc>
            </w:tr>
            <w:tr w14:paraId="58F5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1198BAF9">
                  <w:pPr>
                    <w:pStyle w:val="2"/>
                    <w:pBdr>
                      <w:bottom w:val="none" w:color="auto" w:sz="0" w:space="0"/>
                    </w:pBdr>
                    <w:rPr>
                      <w:rFonts w:ascii="Times New Roman" w:hAnsi="Times New Roman" w:cs="Times New Roman"/>
                    </w:rPr>
                  </w:pPr>
                  <w:r>
                    <w:rPr>
                      <w:rFonts w:ascii="Times New Roman" w:hAnsi="Times New Roman" w:cs="Times New Roman"/>
                    </w:rPr>
                    <w:t>6</w:t>
                  </w:r>
                </w:p>
              </w:tc>
              <w:tc>
                <w:tcPr>
                  <w:tcW w:w="979" w:type="dxa"/>
                  <w:vMerge w:val="continue"/>
                  <w:vAlign w:val="center"/>
                </w:tcPr>
                <w:p w14:paraId="70018B60">
                  <w:pPr>
                    <w:pStyle w:val="2"/>
                    <w:pBdr>
                      <w:bottom w:val="none" w:color="auto" w:sz="0" w:space="0"/>
                    </w:pBdr>
                    <w:rPr>
                      <w:rFonts w:ascii="Times New Roman" w:hAnsi="Times New Roman" w:cs="Times New Roman"/>
                    </w:rPr>
                  </w:pPr>
                </w:p>
              </w:tc>
              <w:tc>
                <w:tcPr>
                  <w:tcW w:w="992" w:type="dxa"/>
                  <w:vAlign w:val="center"/>
                </w:tcPr>
                <w:p w14:paraId="6BAECBDE">
                  <w:pPr>
                    <w:pStyle w:val="2"/>
                    <w:pBdr>
                      <w:bottom w:val="none" w:color="auto" w:sz="0" w:space="0"/>
                    </w:pBdr>
                    <w:rPr>
                      <w:rFonts w:ascii="Times New Roman" w:hAnsi="Times New Roman" w:cs="Times New Roman"/>
                    </w:rPr>
                  </w:pPr>
                  <w:r>
                    <w:rPr>
                      <w:rFonts w:hint="eastAsia" w:ascii="Times New Roman" w:hAnsi="Times New Roman" w:cs="Times New Roman"/>
                    </w:rPr>
                    <w:t>无害化系统负压站风机</w:t>
                  </w:r>
                </w:p>
              </w:tc>
              <w:tc>
                <w:tcPr>
                  <w:tcW w:w="1134" w:type="dxa"/>
                  <w:vAlign w:val="center"/>
                </w:tcPr>
                <w:p w14:paraId="23738073">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4F54220D">
                  <w:pPr>
                    <w:pStyle w:val="2"/>
                    <w:pBdr>
                      <w:bottom w:val="none" w:color="auto" w:sz="0" w:space="0"/>
                    </w:pBdr>
                    <w:rPr>
                      <w:rFonts w:hint="eastAsia"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72AFD2F5">
                  <w:pPr>
                    <w:pStyle w:val="2"/>
                    <w:pBdr>
                      <w:bottom w:val="none" w:color="auto" w:sz="0" w:space="0"/>
                    </w:pBdr>
                    <w:rPr>
                      <w:rFonts w:hint="eastAsia" w:ascii="Times New Roman" w:hAnsi="Times New Roman" w:cs="Times New Roman"/>
                    </w:rPr>
                  </w:pPr>
                  <w:r>
                    <w:rPr>
                      <w:rFonts w:hint="eastAsia" w:ascii="Times New Roman" w:hAnsi="Times New Roman" w:cs="Times New Roman"/>
                    </w:rPr>
                    <w:t>减振，消声器，车间隔声</w:t>
                  </w:r>
                </w:p>
              </w:tc>
            </w:tr>
            <w:tr w14:paraId="4F17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6AA5993C">
                  <w:pPr>
                    <w:pStyle w:val="2"/>
                    <w:pBdr>
                      <w:bottom w:val="none" w:color="auto" w:sz="0" w:space="0"/>
                    </w:pBdr>
                    <w:rPr>
                      <w:rFonts w:ascii="Times New Roman" w:hAnsi="Times New Roman" w:cs="Times New Roman"/>
                    </w:rPr>
                  </w:pPr>
                  <w:r>
                    <w:rPr>
                      <w:rFonts w:ascii="Times New Roman" w:hAnsi="Times New Roman" w:cs="Times New Roman"/>
                    </w:rPr>
                    <w:t>7</w:t>
                  </w:r>
                </w:p>
              </w:tc>
              <w:tc>
                <w:tcPr>
                  <w:tcW w:w="979" w:type="dxa"/>
                  <w:vAlign w:val="center"/>
                </w:tcPr>
                <w:p w14:paraId="624B21F1">
                  <w:pPr>
                    <w:pStyle w:val="2"/>
                    <w:pBdr>
                      <w:bottom w:val="none" w:color="auto" w:sz="0" w:space="0"/>
                    </w:pBdr>
                    <w:rPr>
                      <w:rFonts w:ascii="Times New Roman" w:hAnsi="Times New Roman" w:cs="Times New Roman"/>
                    </w:rPr>
                  </w:pPr>
                  <w:r>
                    <w:rPr>
                      <w:rFonts w:hint="eastAsia" w:ascii="Times New Roman" w:hAnsi="Times New Roman" w:cs="Times New Roman"/>
                    </w:rPr>
                    <w:t>冷却塔</w:t>
                  </w:r>
                </w:p>
              </w:tc>
              <w:tc>
                <w:tcPr>
                  <w:tcW w:w="992" w:type="dxa"/>
                  <w:vAlign w:val="center"/>
                </w:tcPr>
                <w:p w14:paraId="3961E1C2">
                  <w:pPr>
                    <w:pStyle w:val="2"/>
                    <w:pBdr>
                      <w:bottom w:val="none" w:color="auto" w:sz="0" w:space="0"/>
                    </w:pBdr>
                    <w:rPr>
                      <w:rFonts w:ascii="Times New Roman" w:hAnsi="Times New Roman" w:cs="Times New Roman"/>
                    </w:rPr>
                  </w:pPr>
                  <w:r>
                    <w:rPr>
                      <w:rFonts w:hint="eastAsia" w:ascii="Times New Roman" w:hAnsi="Times New Roman" w:cs="Times New Roman"/>
                    </w:rPr>
                    <w:t>水泵</w:t>
                  </w:r>
                </w:p>
              </w:tc>
              <w:tc>
                <w:tcPr>
                  <w:tcW w:w="1134" w:type="dxa"/>
                  <w:vAlign w:val="center"/>
                </w:tcPr>
                <w:p w14:paraId="53496F6D">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3DCED99B">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2693" w:type="dxa"/>
                  <w:vAlign w:val="center"/>
                </w:tcPr>
                <w:p w14:paraId="226F9768">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r w14:paraId="63D6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62355B84">
                  <w:pPr>
                    <w:pStyle w:val="2"/>
                    <w:pBdr>
                      <w:bottom w:val="none" w:color="auto" w:sz="0" w:space="0"/>
                    </w:pBdr>
                    <w:rPr>
                      <w:rFonts w:ascii="Times New Roman" w:hAnsi="Times New Roman" w:cs="Times New Roman"/>
                    </w:rPr>
                  </w:pPr>
                  <w:r>
                    <w:rPr>
                      <w:rFonts w:hint="eastAsia" w:ascii="Times New Roman" w:hAnsi="Times New Roman" w:cs="Times New Roman"/>
                    </w:rPr>
                    <w:t>8</w:t>
                  </w:r>
                </w:p>
              </w:tc>
              <w:tc>
                <w:tcPr>
                  <w:tcW w:w="979" w:type="dxa"/>
                  <w:vAlign w:val="center"/>
                </w:tcPr>
                <w:p w14:paraId="744820FC">
                  <w:pPr>
                    <w:pStyle w:val="2"/>
                    <w:pBdr>
                      <w:bottom w:val="none" w:color="auto" w:sz="0" w:space="0"/>
                    </w:pBdr>
                    <w:rPr>
                      <w:rFonts w:ascii="Times New Roman" w:hAnsi="Times New Roman" w:cs="Times New Roman"/>
                    </w:rPr>
                  </w:pPr>
                  <w:r>
                    <w:rPr>
                      <w:rFonts w:hint="eastAsia" w:ascii="Times New Roman" w:hAnsi="Times New Roman" w:cs="Times New Roman"/>
                    </w:rPr>
                    <w:t>喷淋塔</w:t>
                  </w:r>
                </w:p>
              </w:tc>
              <w:tc>
                <w:tcPr>
                  <w:tcW w:w="992" w:type="dxa"/>
                  <w:vAlign w:val="center"/>
                </w:tcPr>
                <w:p w14:paraId="700E0873">
                  <w:pPr>
                    <w:pStyle w:val="2"/>
                    <w:pBdr>
                      <w:bottom w:val="none" w:color="auto" w:sz="0" w:space="0"/>
                    </w:pBdr>
                    <w:rPr>
                      <w:rFonts w:ascii="Times New Roman" w:hAnsi="Times New Roman" w:cs="Times New Roman"/>
                    </w:rPr>
                  </w:pPr>
                  <w:r>
                    <w:rPr>
                      <w:rFonts w:hint="eastAsia" w:ascii="Times New Roman" w:hAnsi="Times New Roman" w:cs="Times New Roman"/>
                    </w:rPr>
                    <w:t>水泵</w:t>
                  </w:r>
                </w:p>
              </w:tc>
              <w:tc>
                <w:tcPr>
                  <w:tcW w:w="1134" w:type="dxa"/>
                  <w:vAlign w:val="center"/>
                </w:tcPr>
                <w:p w14:paraId="7704AB76">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03561B85">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2693" w:type="dxa"/>
                  <w:vAlign w:val="center"/>
                </w:tcPr>
                <w:p w14:paraId="0D5A0D1B">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r w14:paraId="3276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5699FB0E">
                  <w:pPr>
                    <w:pStyle w:val="2"/>
                    <w:pBdr>
                      <w:bottom w:val="none" w:color="auto" w:sz="0" w:space="0"/>
                    </w:pBdr>
                    <w:rPr>
                      <w:rFonts w:ascii="Times New Roman" w:hAnsi="Times New Roman" w:cs="Times New Roman"/>
                    </w:rPr>
                  </w:pPr>
                  <w:r>
                    <w:rPr>
                      <w:rFonts w:hint="eastAsia" w:ascii="Times New Roman" w:hAnsi="Times New Roman" w:cs="Times New Roman"/>
                    </w:rPr>
                    <w:t>9</w:t>
                  </w:r>
                </w:p>
              </w:tc>
              <w:tc>
                <w:tcPr>
                  <w:tcW w:w="979" w:type="dxa"/>
                  <w:vMerge w:val="restart"/>
                  <w:vAlign w:val="center"/>
                </w:tcPr>
                <w:p w14:paraId="5B903F51">
                  <w:pPr>
                    <w:pStyle w:val="2"/>
                    <w:pBdr>
                      <w:bottom w:val="none" w:color="auto" w:sz="0" w:space="0"/>
                    </w:pBdr>
                    <w:rPr>
                      <w:rFonts w:ascii="Times New Roman" w:hAnsi="Times New Roman" w:cs="Times New Roman"/>
                    </w:rPr>
                  </w:pPr>
                  <w:r>
                    <w:rPr>
                      <w:rFonts w:hint="eastAsia" w:ascii="Times New Roman" w:hAnsi="Times New Roman" w:cs="Times New Roman"/>
                    </w:rPr>
                    <w:t>水处理站</w:t>
                  </w:r>
                </w:p>
              </w:tc>
              <w:tc>
                <w:tcPr>
                  <w:tcW w:w="992" w:type="dxa"/>
                  <w:vAlign w:val="center"/>
                </w:tcPr>
                <w:p w14:paraId="5D5FDB75">
                  <w:pPr>
                    <w:pStyle w:val="2"/>
                    <w:pBdr>
                      <w:bottom w:val="none" w:color="auto" w:sz="0" w:space="0"/>
                    </w:pBdr>
                    <w:rPr>
                      <w:rFonts w:ascii="Times New Roman" w:hAnsi="Times New Roman" w:cs="Times New Roman"/>
                    </w:rPr>
                  </w:pPr>
                  <w:r>
                    <w:rPr>
                      <w:rFonts w:hint="eastAsia" w:ascii="Times New Roman" w:hAnsi="Times New Roman" w:cs="Times New Roman"/>
                    </w:rPr>
                    <w:t>污水泵</w:t>
                  </w:r>
                </w:p>
              </w:tc>
              <w:tc>
                <w:tcPr>
                  <w:tcW w:w="1134" w:type="dxa"/>
                  <w:vAlign w:val="center"/>
                </w:tcPr>
                <w:p w14:paraId="4BEF4325">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76C41CA3">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2693" w:type="dxa"/>
                  <w:vAlign w:val="center"/>
                </w:tcPr>
                <w:p w14:paraId="66060BFE">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r w14:paraId="3419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0697C8A9">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79" w:type="dxa"/>
                  <w:vMerge w:val="continue"/>
                  <w:vAlign w:val="center"/>
                </w:tcPr>
                <w:p w14:paraId="697AFAE3">
                  <w:pPr>
                    <w:pStyle w:val="2"/>
                    <w:pBdr>
                      <w:bottom w:val="none" w:color="auto" w:sz="0" w:space="0"/>
                    </w:pBdr>
                    <w:rPr>
                      <w:rFonts w:hint="eastAsia" w:ascii="Times New Roman" w:hAnsi="Times New Roman" w:cs="Times New Roman"/>
                    </w:rPr>
                  </w:pPr>
                </w:p>
              </w:tc>
              <w:tc>
                <w:tcPr>
                  <w:tcW w:w="992" w:type="dxa"/>
                  <w:vAlign w:val="center"/>
                </w:tcPr>
                <w:p w14:paraId="60B16225">
                  <w:pPr>
                    <w:pStyle w:val="2"/>
                    <w:pBdr>
                      <w:bottom w:val="none" w:color="auto" w:sz="0" w:space="0"/>
                    </w:pBdr>
                    <w:rPr>
                      <w:rFonts w:hint="eastAsia" w:ascii="Times New Roman" w:hAnsi="Times New Roman" w:cs="Times New Roman"/>
                    </w:rPr>
                  </w:pPr>
                  <w:r>
                    <w:rPr>
                      <w:rFonts w:hint="eastAsia" w:ascii="Times New Roman" w:hAnsi="Times New Roman" w:cs="Times New Roman"/>
                    </w:rPr>
                    <w:t>风机</w:t>
                  </w:r>
                </w:p>
              </w:tc>
              <w:tc>
                <w:tcPr>
                  <w:tcW w:w="1134" w:type="dxa"/>
                  <w:vAlign w:val="center"/>
                </w:tcPr>
                <w:p w14:paraId="29C101B9">
                  <w:pPr>
                    <w:pStyle w:val="2"/>
                    <w:pBdr>
                      <w:bottom w:val="none" w:color="auto" w:sz="0" w:space="0"/>
                    </w:pBdr>
                    <w:rPr>
                      <w:rFonts w:ascii="Times New Roman" w:hAnsi="Times New Roman" w:cs="Times New Roman"/>
                    </w:rPr>
                  </w:pPr>
                  <w:r>
                    <w:rPr>
                      <w:rFonts w:hint="eastAsia" w:ascii="Times New Roman" w:hAnsi="Times New Roman" w:cs="Times New Roman"/>
                    </w:rPr>
                    <w:t>/</w:t>
                  </w:r>
                </w:p>
              </w:tc>
              <w:tc>
                <w:tcPr>
                  <w:tcW w:w="1701" w:type="dxa"/>
                  <w:vAlign w:val="center"/>
                </w:tcPr>
                <w:p w14:paraId="548C6970">
                  <w:pPr>
                    <w:pStyle w:val="2"/>
                    <w:pBdr>
                      <w:bottom w:val="none" w:color="auto" w:sz="0" w:space="0"/>
                    </w:pBdr>
                    <w:rPr>
                      <w:rFonts w:hint="eastAsia"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3A88CEF5">
                  <w:pPr>
                    <w:pStyle w:val="2"/>
                    <w:pBdr>
                      <w:bottom w:val="none" w:color="auto" w:sz="0" w:space="0"/>
                    </w:pBdr>
                    <w:rPr>
                      <w:rFonts w:hint="eastAsia" w:ascii="Times New Roman" w:hAnsi="Times New Roman" w:cs="Times New Roman"/>
                    </w:rPr>
                  </w:pPr>
                  <w:r>
                    <w:rPr>
                      <w:rFonts w:hint="eastAsia" w:ascii="Times New Roman" w:hAnsi="Times New Roman" w:cs="Times New Roman"/>
                    </w:rPr>
                    <w:t>减振，消声器，车间隔声</w:t>
                  </w:r>
                </w:p>
              </w:tc>
            </w:tr>
            <w:tr w14:paraId="14AB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2599C833">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w:t>
                  </w:r>
                </w:p>
              </w:tc>
              <w:tc>
                <w:tcPr>
                  <w:tcW w:w="979" w:type="dxa"/>
                  <w:vAlign w:val="center"/>
                </w:tcPr>
                <w:p w14:paraId="7B208E14">
                  <w:pPr>
                    <w:pStyle w:val="2"/>
                    <w:pBdr>
                      <w:bottom w:val="none" w:color="auto" w:sz="0" w:space="0"/>
                    </w:pBdr>
                    <w:rPr>
                      <w:rFonts w:ascii="Times New Roman" w:hAnsi="Times New Roman" w:cs="Times New Roman"/>
                    </w:rPr>
                  </w:pPr>
                  <w:r>
                    <w:rPr>
                      <w:rFonts w:hint="eastAsia" w:ascii="Times New Roman" w:hAnsi="Times New Roman" w:cs="Times New Roman"/>
                    </w:rPr>
                    <w:t>车间负压站</w:t>
                  </w:r>
                </w:p>
              </w:tc>
              <w:tc>
                <w:tcPr>
                  <w:tcW w:w="992" w:type="dxa"/>
                  <w:vAlign w:val="center"/>
                </w:tcPr>
                <w:p w14:paraId="4EADDB04">
                  <w:pPr>
                    <w:pStyle w:val="2"/>
                    <w:pBdr>
                      <w:bottom w:val="none" w:color="auto" w:sz="0" w:space="0"/>
                    </w:pBdr>
                    <w:rPr>
                      <w:rFonts w:hint="eastAsia" w:ascii="Times New Roman" w:hAnsi="Times New Roman" w:cs="Times New Roman"/>
                    </w:rPr>
                  </w:pPr>
                  <w:r>
                    <w:rPr>
                      <w:rFonts w:hint="eastAsia" w:ascii="Times New Roman" w:hAnsi="Times New Roman" w:cs="Times New Roman"/>
                    </w:rPr>
                    <w:t>风机</w:t>
                  </w:r>
                </w:p>
              </w:tc>
              <w:tc>
                <w:tcPr>
                  <w:tcW w:w="1134" w:type="dxa"/>
                  <w:vAlign w:val="center"/>
                </w:tcPr>
                <w:p w14:paraId="735A68AE">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38CFE608">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2693" w:type="dxa"/>
                  <w:vAlign w:val="center"/>
                </w:tcPr>
                <w:p w14:paraId="17D74F45">
                  <w:pPr>
                    <w:pStyle w:val="2"/>
                    <w:pBdr>
                      <w:bottom w:val="none" w:color="auto" w:sz="0" w:space="0"/>
                    </w:pBdr>
                    <w:rPr>
                      <w:rFonts w:ascii="Times New Roman" w:hAnsi="Times New Roman" w:cs="Times New Roman"/>
                    </w:rPr>
                  </w:pPr>
                  <w:r>
                    <w:rPr>
                      <w:rFonts w:hint="eastAsia" w:ascii="Times New Roman" w:hAnsi="Times New Roman" w:cs="Times New Roman"/>
                    </w:rPr>
                    <w:t>减振，消声器，车间隔声</w:t>
                  </w:r>
                </w:p>
              </w:tc>
            </w:tr>
            <w:tr w14:paraId="36C7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14:paraId="78B175C8">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w:t>
                  </w:r>
                </w:p>
              </w:tc>
              <w:tc>
                <w:tcPr>
                  <w:tcW w:w="979" w:type="dxa"/>
                  <w:vAlign w:val="center"/>
                </w:tcPr>
                <w:p w14:paraId="2525FC87">
                  <w:pPr>
                    <w:pStyle w:val="2"/>
                    <w:pBdr>
                      <w:bottom w:val="none" w:color="auto" w:sz="0" w:space="0"/>
                    </w:pBdr>
                    <w:rPr>
                      <w:rFonts w:ascii="Times New Roman" w:hAnsi="Times New Roman" w:cs="Times New Roman"/>
                    </w:rPr>
                  </w:pPr>
                  <w:r>
                    <w:rPr>
                      <w:rFonts w:hint="eastAsia" w:ascii="Times New Roman" w:hAnsi="Times New Roman" w:cs="Times New Roman"/>
                    </w:rPr>
                    <w:t>冷库</w:t>
                  </w:r>
                </w:p>
              </w:tc>
              <w:tc>
                <w:tcPr>
                  <w:tcW w:w="992" w:type="dxa"/>
                  <w:vAlign w:val="center"/>
                </w:tcPr>
                <w:p w14:paraId="2F37C905">
                  <w:pPr>
                    <w:pStyle w:val="2"/>
                    <w:pBdr>
                      <w:bottom w:val="none" w:color="auto" w:sz="0" w:space="0"/>
                    </w:pBdr>
                    <w:rPr>
                      <w:rFonts w:hint="eastAsia" w:ascii="Times New Roman" w:hAnsi="Times New Roman" w:cs="Times New Roman"/>
                    </w:rPr>
                  </w:pPr>
                  <w:r>
                    <w:rPr>
                      <w:rFonts w:hint="eastAsia" w:ascii="Times New Roman" w:hAnsi="Times New Roman" w:cs="Times New Roman"/>
                    </w:rPr>
                    <w:t>空压机</w:t>
                  </w:r>
                </w:p>
              </w:tc>
              <w:tc>
                <w:tcPr>
                  <w:tcW w:w="1134" w:type="dxa"/>
                  <w:vAlign w:val="center"/>
                </w:tcPr>
                <w:p w14:paraId="503B5911">
                  <w:pPr>
                    <w:pStyle w:val="2"/>
                    <w:pBdr>
                      <w:bottom w:val="none" w:color="auto" w:sz="0" w:space="0"/>
                    </w:pBdr>
                    <w:rPr>
                      <w:rFonts w:ascii="Times New Roman" w:hAnsi="Times New Roman" w:cs="Times New Roman"/>
                    </w:rPr>
                  </w:pPr>
                  <w:r>
                    <w:rPr>
                      <w:rFonts w:ascii="Times New Roman" w:hAnsi="Times New Roman" w:cs="Times New Roman"/>
                    </w:rPr>
                    <w:t>/</w:t>
                  </w:r>
                </w:p>
              </w:tc>
              <w:tc>
                <w:tcPr>
                  <w:tcW w:w="1701" w:type="dxa"/>
                  <w:vAlign w:val="center"/>
                </w:tcPr>
                <w:p w14:paraId="712C8964">
                  <w:pPr>
                    <w:pStyle w:val="2"/>
                    <w:pBdr>
                      <w:bottom w:val="none" w:color="auto" w:sz="0" w:space="0"/>
                    </w:pBd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0/1</w:t>
                  </w:r>
                </w:p>
              </w:tc>
              <w:tc>
                <w:tcPr>
                  <w:tcW w:w="2693" w:type="dxa"/>
                  <w:vAlign w:val="center"/>
                </w:tcPr>
                <w:p w14:paraId="560E9B97">
                  <w:pPr>
                    <w:pStyle w:val="2"/>
                    <w:pBdr>
                      <w:bottom w:val="none" w:color="auto" w:sz="0" w:space="0"/>
                    </w:pBdr>
                    <w:rPr>
                      <w:rFonts w:ascii="Times New Roman" w:hAnsi="Times New Roman" w:cs="Times New Roman"/>
                    </w:rPr>
                  </w:pPr>
                  <w:r>
                    <w:rPr>
                      <w:rFonts w:hint="eastAsia" w:ascii="Times New Roman" w:hAnsi="Times New Roman" w:cs="Times New Roman"/>
                    </w:rPr>
                    <w:t>减振，车间隔声</w:t>
                  </w:r>
                </w:p>
              </w:tc>
            </w:tr>
          </w:tbl>
          <w:p w14:paraId="0728F04A">
            <w:pPr>
              <w:pStyle w:val="2"/>
              <w:pBdr>
                <w:bottom w:val="none" w:color="auto" w:sz="0" w:space="0"/>
              </w:pBdr>
              <w:jc w:val="both"/>
              <w:rPr>
                <w:rFonts w:hint="eastAsia"/>
              </w:rPr>
            </w:pPr>
            <w:r>
              <w:rPr>
                <w:rFonts w:hint="eastAsia"/>
              </w:rPr>
              <w:t>续上表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877"/>
              <w:gridCol w:w="877"/>
              <w:gridCol w:w="907"/>
              <w:gridCol w:w="942"/>
              <w:gridCol w:w="726"/>
              <w:gridCol w:w="1052"/>
              <w:gridCol w:w="877"/>
              <w:gridCol w:w="878"/>
            </w:tblGrid>
            <w:tr w14:paraId="2A85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632" w:type="dxa"/>
                  <w:gridSpan w:val="3"/>
                  <w:vAlign w:val="center"/>
                </w:tcPr>
                <w:p w14:paraId="31F2FC61">
                  <w:pPr>
                    <w:pStyle w:val="2"/>
                    <w:pBdr>
                      <w:bottom w:val="none" w:color="auto" w:sz="0" w:space="0"/>
                    </w:pBdr>
                    <w:rPr>
                      <w:rFonts w:ascii="Times New Roman" w:hAnsi="Times New Roman" w:cs="Times New Roman"/>
                      <w:b/>
                      <w:bCs/>
                    </w:rPr>
                  </w:pPr>
                  <w:r>
                    <w:rPr>
                      <w:rFonts w:ascii="Times New Roman" w:hAnsi="Times New Roman" w:cs="Times New Roman"/>
                      <w:b/>
                      <w:bCs/>
                    </w:rPr>
                    <w:t>空间相对位置/m</w:t>
                  </w:r>
                </w:p>
              </w:tc>
              <w:tc>
                <w:tcPr>
                  <w:tcW w:w="907" w:type="dxa"/>
                  <w:vMerge w:val="restart"/>
                  <w:vAlign w:val="center"/>
                </w:tcPr>
                <w:p w14:paraId="05961504">
                  <w:pPr>
                    <w:pStyle w:val="2"/>
                    <w:pBdr>
                      <w:bottom w:val="none" w:color="auto" w:sz="0" w:space="0"/>
                    </w:pBdr>
                    <w:rPr>
                      <w:rFonts w:ascii="Times New Roman" w:hAnsi="Times New Roman" w:cs="Times New Roman"/>
                      <w:b/>
                      <w:bCs/>
                    </w:rPr>
                  </w:pPr>
                  <w:r>
                    <w:rPr>
                      <w:rFonts w:ascii="Times New Roman" w:hAnsi="Times New Roman" w:cs="Times New Roman"/>
                      <w:b/>
                      <w:bCs/>
                    </w:rPr>
                    <w:t>距室内 边界距 离/m</w:t>
                  </w:r>
                </w:p>
              </w:tc>
              <w:tc>
                <w:tcPr>
                  <w:tcW w:w="942" w:type="dxa"/>
                  <w:vMerge w:val="restart"/>
                  <w:vAlign w:val="center"/>
                </w:tcPr>
                <w:p w14:paraId="4C4A0370">
                  <w:pPr>
                    <w:pStyle w:val="2"/>
                    <w:pBdr>
                      <w:bottom w:val="none" w:color="auto" w:sz="0" w:space="0"/>
                    </w:pBdr>
                    <w:rPr>
                      <w:rFonts w:ascii="Times New Roman" w:hAnsi="Times New Roman" w:cs="Times New Roman"/>
                      <w:b/>
                      <w:bCs/>
                    </w:rPr>
                  </w:pPr>
                  <w:r>
                    <w:rPr>
                      <w:rFonts w:ascii="Times New Roman" w:hAnsi="Times New Roman" w:cs="Times New Roman"/>
                      <w:b/>
                      <w:bCs/>
                    </w:rPr>
                    <w:t>室内边 界声级/ dB（A）</w:t>
                  </w:r>
                </w:p>
              </w:tc>
              <w:tc>
                <w:tcPr>
                  <w:tcW w:w="726" w:type="dxa"/>
                  <w:vMerge w:val="restart"/>
                  <w:vAlign w:val="center"/>
                </w:tcPr>
                <w:p w14:paraId="7B4B4C17">
                  <w:pPr>
                    <w:pStyle w:val="2"/>
                    <w:pBdr>
                      <w:bottom w:val="none" w:color="auto" w:sz="0" w:space="0"/>
                    </w:pBdr>
                    <w:rPr>
                      <w:rFonts w:ascii="Times New Roman" w:hAnsi="Times New Roman" w:cs="Times New Roman"/>
                      <w:b/>
                      <w:bCs/>
                    </w:rPr>
                  </w:pPr>
                  <w:r>
                    <w:rPr>
                      <w:rFonts w:ascii="Times New Roman" w:hAnsi="Times New Roman" w:cs="Times New Roman"/>
                      <w:b/>
                      <w:bCs/>
                    </w:rPr>
                    <w:t>运行时段</w:t>
                  </w:r>
                </w:p>
              </w:tc>
              <w:tc>
                <w:tcPr>
                  <w:tcW w:w="1052" w:type="dxa"/>
                  <w:vMerge w:val="restart"/>
                  <w:tcBorders>
                    <w:top w:val="single" w:color="auto" w:sz="4" w:space="0"/>
                    <w:left w:val="single" w:color="auto" w:sz="4" w:space="0"/>
                    <w:right w:val="single" w:color="auto" w:sz="4" w:space="0"/>
                  </w:tcBorders>
                  <w:vAlign w:val="center"/>
                </w:tcPr>
                <w:p w14:paraId="78C0078F">
                  <w:pPr>
                    <w:pStyle w:val="2"/>
                    <w:pBdr>
                      <w:bottom w:val="none" w:color="auto" w:sz="0" w:space="0"/>
                    </w:pBdr>
                    <w:rPr>
                      <w:rFonts w:ascii="Times New Roman" w:hAnsi="Times New Roman" w:cs="Times New Roman"/>
                      <w:b/>
                      <w:bCs/>
                    </w:rPr>
                  </w:pPr>
                  <w:r>
                    <w:rPr>
                      <w:rFonts w:ascii="Times New Roman" w:hAnsi="Times New Roman" w:cs="Times New Roman"/>
                      <w:b/>
                      <w:bCs/>
                    </w:rPr>
                    <w:t>建筑物插入损失/dB（A）</w:t>
                  </w:r>
                </w:p>
              </w:tc>
              <w:tc>
                <w:tcPr>
                  <w:tcW w:w="1755" w:type="dxa"/>
                  <w:gridSpan w:val="2"/>
                  <w:vAlign w:val="center"/>
                </w:tcPr>
                <w:p w14:paraId="22F322D0">
                  <w:pPr>
                    <w:pStyle w:val="2"/>
                    <w:pBdr>
                      <w:bottom w:val="none" w:color="auto" w:sz="0" w:space="0"/>
                    </w:pBdr>
                    <w:rPr>
                      <w:rFonts w:ascii="Times New Roman" w:hAnsi="Times New Roman" w:cs="Times New Roman"/>
                      <w:b/>
                      <w:bCs/>
                    </w:rPr>
                  </w:pPr>
                  <w:r>
                    <w:rPr>
                      <w:rFonts w:ascii="Times New Roman" w:hAnsi="Times New Roman" w:cs="Times New Roman"/>
                      <w:b/>
                      <w:bCs/>
                    </w:rPr>
                    <w:t>建筑物外噪声</w:t>
                  </w:r>
                </w:p>
              </w:tc>
            </w:tr>
            <w:tr w14:paraId="7211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8" w:type="dxa"/>
                  <w:vAlign w:val="center"/>
                </w:tcPr>
                <w:p w14:paraId="0C6856FD">
                  <w:pPr>
                    <w:pStyle w:val="2"/>
                    <w:pBdr>
                      <w:bottom w:val="none" w:color="auto" w:sz="0" w:space="0"/>
                    </w:pBdr>
                    <w:rPr>
                      <w:rFonts w:ascii="Times New Roman" w:hAnsi="Times New Roman" w:cs="Times New Roman"/>
                      <w:b/>
                      <w:bCs/>
                    </w:rPr>
                  </w:pPr>
                  <w:r>
                    <w:rPr>
                      <w:rFonts w:hint="eastAsia" w:ascii="Times New Roman" w:hAnsi="Times New Roman" w:cs="Times New Roman"/>
                      <w:b/>
                      <w:bCs/>
                    </w:rPr>
                    <w:t>X</w:t>
                  </w:r>
                </w:p>
              </w:tc>
              <w:tc>
                <w:tcPr>
                  <w:tcW w:w="877" w:type="dxa"/>
                  <w:vAlign w:val="center"/>
                </w:tcPr>
                <w:p w14:paraId="71EC91A0">
                  <w:pPr>
                    <w:pStyle w:val="2"/>
                    <w:pBdr>
                      <w:bottom w:val="none" w:color="auto" w:sz="0" w:space="0"/>
                    </w:pBdr>
                    <w:rPr>
                      <w:rFonts w:ascii="Times New Roman" w:hAnsi="Times New Roman" w:cs="Times New Roman"/>
                      <w:b/>
                      <w:bCs/>
                    </w:rPr>
                  </w:pPr>
                  <w:r>
                    <w:rPr>
                      <w:rFonts w:hint="eastAsia" w:ascii="Times New Roman" w:hAnsi="Times New Roman" w:cs="Times New Roman"/>
                      <w:b/>
                      <w:bCs/>
                    </w:rPr>
                    <w:t>Y</w:t>
                  </w:r>
                </w:p>
              </w:tc>
              <w:tc>
                <w:tcPr>
                  <w:tcW w:w="877" w:type="dxa"/>
                  <w:vAlign w:val="center"/>
                </w:tcPr>
                <w:p w14:paraId="48A64312">
                  <w:pPr>
                    <w:pStyle w:val="2"/>
                    <w:pBdr>
                      <w:bottom w:val="none" w:color="auto" w:sz="0" w:space="0"/>
                    </w:pBdr>
                    <w:rPr>
                      <w:rFonts w:ascii="Times New Roman" w:hAnsi="Times New Roman" w:cs="Times New Roman"/>
                      <w:b/>
                      <w:bCs/>
                    </w:rPr>
                  </w:pPr>
                  <w:r>
                    <w:rPr>
                      <w:rFonts w:hint="eastAsia" w:ascii="Times New Roman" w:hAnsi="Times New Roman" w:cs="Times New Roman"/>
                      <w:b/>
                      <w:bCs/>
                    </w:rPr>
                    <w:t>Z</w:t>
                  </w:r>
                </w:p>
              </w:tc>
              <w:tc>
                <w:tcPr>
                  <w:tcW w:w="907" w:type="dxa"/>
                  <w:vMerge w:val="continue"/>
                  <w:vAlign w:val="center"/>
                </w:tcPr>
                <w:p w14:paraId="3B89A442">
                  <w:pPr>
                    <w:pStyle w:val="2"/>
                    <w:pBdr>
                      <w:bottom w:val="none" w:color="auto" w:sz="0" w:space="0"/>
                    </w:pBdr>
                    <w:rPr>
                      <w:rFonts w:ascii="Times New Roman" w:hAnsi="Times New Roman" w:cs="Times New Roman"/>
                      <w:b/>
                      <w:bCs/>
                    </w:rPr>
                  </w:pPr>
                </w:p>
              </w:tc>
              <w:tc>
                <w:tcPr>
                  <w:tcW w:w="942" w:type="dxa"/>
                  <w:vMerge w:val="continue"/>
                  <w:vAlign w:val="center"/>
                </w:tcPr>
                <w:p w14:paraId="64F589CE">
                  <w:pPr>
                    <w:pStyle w:val="2"/>
                    <w:pBdr>
                      <w:bottom w:val="none" w:color="auto" w:sz="0" w:space="0"/>
                    </w:pBdr>
                    <w:rPr>
                      <w:rFonts w:ascii="Times New Roman" w:hAnsi="Times New Roman" w:cs="Times New Roman"/>
                      <w:b/>
                      <w:bCs/>
                    </w:rPr>
                  </w:pPr>
                </w:p>
              </w:tc>
              <w:tc>
                <w:tcPr>
                  <w:tcW w:w="726" w:type="dxa"/>
                  <w:vMerge w:val="continue"/>
                  <w:vAlign w:val="center"/>
                </w:tcPr>
                <w:p w14:paraId="6D3A0284">
                  <w:pPr>
                    <w:pStyle w:val="2"/>
                    <w:pBdr>
                      <w:bottom w:val="none" w:color="auto" w:sz="0" w:space="0"/>
                    </w:pBdr>
                    <w:rPr>
                      <w:rFonts w:ascii="Times New Roman" w:hAnsi="Times New Roman" w:cs="Times New Roman"/>
                      <w:b/>
                      <w:bCs/>
                    </w:rPr>
                  </w:pPr>
                </w:p>
              </w:tc>
              <w:tc>
                <w:tcPr>
                  <w:tcW w:w="1052" w:type="dxa"/>
                  <w:vMerge w:val="continue"/>
                  <w:tcBorders>
                    <w:left w:val="single" w:color="auto" w:sz="4" w:space="0"/>
                    <w:bottom w:val="single" w:color="auto" w:sz="4" w:space="0"/>
                    <w:right w:val="single" w:color="auto" w:sz="4" w:space="0"/>
                  </w:tcBorders>
                  <w:vAlign w:val="center"/>
                </w:tcPr>
                <w:p w14:paraId="20D8D4AC">
                  <w:pPr>
                    <w:pStyle w:val="2"/>
                    <w:pBdr>
                      <w:bottom w:val="none" w:color="auto" w:sz="0" w:space="0"/>
                    </w:pBdr>
                    <w:rPr>
                      <w:rFonts w:ascii="Times New Roman" w:hAnsi="Times New Roman" w:cs="Times New Roman"/>
                      <w:b/>
                      <w:bCs/>
                    </w:rPr>
                  </w:pPr>
                </w:p>
              </w:tc>
              <w:tc>
                <w:tcPr>
                  <w:tcW w:w="877" w:type="dxa"/>
                  <w:vAlign w:val="center"/>
                </w:tcPr>
                <w:p w14:paraId="585F8058">
                  <w:pPr>
                    <w:pStyle w:val="2"/>
                    <w:pBdr>
                      <w:bottom w:val="none" w:color="auto" w:sz="0" w:space="0"/>
                    </w:pBdr>
                    <w:rPr>
                      <w:rFonts w:ascii="Times New Roman" w:hAnsi="Times New Roman" w:cs="Times New Roman"/>
                      <w:b/>
                      <w:bCs/>
                    </w:rPr>
                  </w:pPr>
                  <w:r>
                    <w:rPr>
                      <w:rFonts w:ascii="Times New Roman" w:hAnsi="Times New Roman" w:cs="Times New Roman"/>
                      <w:b/>
                      <w:bCs/>
                    </w:rPr>
                    <w:t>声压级/ dB（A）</w:t>
                  </w:r>
                </w:p>
              </w:tc>
              <w:tc>
                <w:tcPr>
                  <w:tcW w:w="878" w:type="dxa"/>
                  <w:vAlign w:val="center"/>
                </w:tcPr>
                <w:p w14:paraId="1990B4B5">
                  <w:pPr>
                    <w:pStyle w:val="2"/>
                    <w:pBdr>
                      <w:bottom w:val="none" w:color="auto" w:sz="0" w:space="0"/>
                    </w:pBdr>
                    <w:rPr>
                      <w:rFonts w:ascii="Times New Roman" w:hAnsi="Times New Roman" w:cs="Times New Roman"/>
                      <w:b/>
                      <w:bCs/>
                    </w:rPr>
                  </w:pPr>
                  <w:r>
                    <w:rPr>
                      <w:rFonts w:ascii="Times New Roman" w:hAnsi="Times New Roman" w:cs="Times New Roman"/>
                      <w:b/>
                      <w:bCs/>
                    </w:rPr>
                    <w:t>建筑物外距离/m</w:t>
                  </w:r>
                </w:p>
              </w:tc>
            </w:tr>
            <w:tr w14:paraId="02FD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19DB3616">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5</w:t>
                  </w:r>
                </w:p>
              </w:tc>
              <w:tc>
                <w:tcPr>
                  <w:tcW w:w="877" w:type="dxa"/>
                  <w:vAlign w:val="center"/>
                </w:tcPr>
                <w:p w14:paraId="6867753F">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3988C2DD">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373C2A22">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restart"/>
                  <w:vAlign w:val="center"/>
                </w:tcPr>
                <w:p w14:paraId="086FAE9E">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6.1</w:t>
                  </w:r>
                </w:p>
              </w:tc>
              <w:tc>
                <w:tcPr>
                  <w:tcW w:w="726" w:type="dxa"/>
                  <w:vMerge w:val="restart"/>
                  <w:vAlign w:val="center"/>
                </w:tcPr>
                <w:p w14:paraId="010DE7E3">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vMerge w:val="restart"/>
                  <w:tcBorders>
                    <w:top w:val="single" w:color="auto" w:sz="4" w:space="0"/>
                    <w:left w:val="single" w:color="auto" w:sz="4" w:space="0"/>
                    <w:right w:val="single" w:color="auto" w:sz="4" w:space="0"/>
                  </w:tcBorders>
                  <w:vAlign w:val="center"/>
                </w:tcPr>
                <w:p w14:paraId="209948AE">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Merge w:val="restart"/>
                  <w:vAlign w:val="center"/>
                </w:tcPr>
                <w:p w14:paraId="0CF092FD">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1.1</w:t>
                  </w:r>
                </w:p>
              </w:tc>
              <w:tc>
                <w:tcPr>
                  <w:tcW w:w="878" w:type="dxa"/>
                  <w:vMerge w:val="restart"/>
                  <w:vAlign w:val="center"/>
                </w:tcPr>
                <w:p w14:paraId="65539E31">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58B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40CE3A93">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0</w:t>
                  </w:r>
                </w:p>
              </w:tc>
              <w:tc>
                <w:tcPr>
                  <w:tcW w:w="877" w:type="dxa"/>
                  <w:vAlign w:val="center"/>
                </w:tcPr>
                <w:p w14:paraId="6EDA425A">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7DBE690E">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3470BB5A">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00493EF4">
                  <w:pPr>
                    <w:pStyle w:val="2"/>
                    <w:pBdr>
                      <w:bottom w:val="none" w:color="auto" w:sz="0" w:space="0"/>
                    </w:pBdr>
                    <w:rPr>
                      <w:rFonts w:ascii="Times New Roman" w:hAnsi="Times New Roman" w:cs="Times New Roman"/>
                    </w:rPr>
                  </w:pPr>
                </w:p>
              </w:tc>
              <w:tc>
                <w:tcPr>
                  <w:tcW w:w="726" w:type="dxa"/>
                  <w:vMerge w:val="continue"/>
                  <w:vAlign w:val="center"/>
                </w:tcPr>
                <w:p w14:paraId="1799B89D">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0E37A7F5">
                  <w:pPr>
                    <w:pStyle w:val="2"/>
                    <w:pBdr>
                      <w:bottom w:val="none" w:color="auto" w:sz="0" w:space="0"/>
                    </w:pBdr>
                    <w:rPr>
                      <w:rFonts w:ascii="Times New Roman" w:hAnsi="Times New Roman" w:cs="Times New Roman"/>
                    </w:rPr>
                  </w:pPr>
                </w:p>
              </w:tc>
              <w:tc>
                <w:tcPr>
                  <w:tcW w:w="877" w:type="dxa"/>
                  <w:vMerge w:val="continue"/>
                  <w:vAlign w:val="center"/>
                </w:tcPr>
                <w:p w14:paraId="225493CE">
                  <w:pPr>
                    <w:pStyle w:val="2"/>
                    <w:pBdr>
                      <w:bottom w:val="none" w:color="auto" w:sz="0" w:space="0"/>
                    </w:pBdr>
                    <w:rPr>
                      <w:rFonts w:ascii="Times New Roman" w:hAnsi="Times New Roman" w:cs="Times New Roman"/>
                    </w:rPr>
                  </w:pPr>
                </w:p>
              </w:tc>
              <w:tc>
                <w:tcPr>
                  <w:tcW w:w="878" w:type="dxa"/>
                  <w:vMerge w:val="continue"/>
                  <w:vAlign w:val="center"/>
                </w:tcPr>
                <w:p w14:paraId="28907010">
                  <w:pPr>
                    <w:pStyle w:val="2"/>
                    <w:pBdr>
                      <w:bottom w:val="none" w:color="auto" w:sz="0" w:space="0"/>
                    </w:pBdr>
                    <w:rPr>
                      <w:rFonts w:ascii="Times New Roman" w:hAnsi="Times New Roman" w:cs="Times New Roman"/>
                    </w:rPr>
                  </w:pPr>
                </w:p>
              </w:tc>
            </w:tr>
            <w:tr w14:paraId="1E4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6CD4FF10">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5</w:t>
                  </w:r>
                </w:p>
              </w:tc>
              <w:tc>
                <w:tcPr>
                  <w:tcW w:w="877" w:type="dxa"/>
                  <w:vAlign w:val="center"/>
                </w:tcPr>
                <w:p w14:paraId="2D8E28B3">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0167B4B2">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5695DC5D">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3DA8DA6B">
                  <w:pPr>
                    <w:pStyle w:val="2"/>
                    <w:pBdr>
                      <w:bottom w:val="none" w:color="auto" w:sz="0" w:space="0"/>
                    </w:pBdr>
                    <w:rPr>
                      <w:rFonts w:ascii="Times New Roman" w:hAnsi="Times New Roman" w:cs="Times New Roman"/>
                    </w:rPr>
                  </w:pPr>
                </w:p>
              </w:tc>
              <w:tc>
                <w:tcPr>
                  <w:tcW w:w="726" w:type="dxa"/>
                  <w:vMerge w:val="continue"/>
                  <w:vAlign w:val="center"/>
                </w:tcPr>
                <w:p w14:paraId="38614DD4">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6B2DFB7A">
                  <w:pPr>
                    <w:pStyle w:val="2"/>
                    <w:pBdr>
                      <w:bottom w:val="none" w:color="auto" w:sz="0" w:space="0"/>
                    </w:pBdr>
                    <w:rPr>
                      <w:rFonts w:ascii="Times New Roman" w:hAnsi="Times New Roman" w:cs="Times New Roman"/>
                    </w:rPr>
                  </w:pPr>
                </w:p>
              </w:tc>
              <w:tc>
                <w:tcPr>
                  <w:tcW w:w="877" w:type="dxa"/>
                  <w:vMerge w:val="continue"/>
                  <w:vAlign w:val="center"/>
                </w:tcPr>
                <w:p w14:paraId="4ED670F4">
                  <w:pPr>
                    <w:pStyle w:val="2"/>
                    <w:pBdr>
                      <w:bottom w:val="none" w:color="auto" w:sz="0" w:space="0"/>
                    </w:pBdr>
                    <w:rPr>
                      <w:rFonts w:ascii="Times New Roman" w:hAnsi="Times New Roman" w:cs="Times New Roman"/>
                    </w:rPr>
                  </w:pPr>
                </w:p>
              </w:tc>
              <w:tc>
                <w:tcPr>
                  <w:tcW w:w="878" w:type="dxa"/>
                  <w:vMerge w:val="continue"/>
                  <w:vAlign w:val="center"/>
                </w:tcPr>
                <w:p w14:paraId="360DD491">
                  <w:pPr>
                    <w:pStyle w:val="2"/>
                    <w:pBdr>
                      <w:bottom w:val="none" w:color="auto" w:sz="0" w:space="0"/>
                    </w:pBdr>
                    <w:rPr>
                      <w:rFonts w:ascii="Times New Roman" w:hAnsi="Times New Roman" w:cs="Times New Roman"/>
                    </w:rPr>
                  </w:pPr>
                </w:p>
              </w:tc>
            </w:tr>
            <w:tr w14:paraId="341C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085DC7E5">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w:t>
                  </w:r>
                </w:p>
              </w:tc>
              <w:tc>
                <w:tcPr>
                  <w:tcW w:w="877" w:type="dxa"/>
                  <w:vAlign w:val="center"/>
                </w:tcPr>
                <w:p w14:paraId="6A577E4B">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65DCF027">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2FBF1B50">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5EAEE3F9">
                  <w:pPr>
                    <w:pStyle w:val="2"/>
                    <w:pBdr>
                      <w:bottom w:val="none" w:color="auto" w:sz="0" w:space="0"/>
                    </w:pBdr>
                    <w:rPr>
                      <w:rFonts w:ascii="Times New Roman" w:hAnsi="Times New Roman" w:cs="Times New Roman"/>
                    </w:rPr>
                  </w:pPr>
                </w:p>
              </w:tc>
              <w:tc>
                <w:tcPr>
                  <w:tcW w:w="726" w:type="dxa"/>
                  <w:vMerge w:val="continue"/>
                  <w:vAlign w:val="center"/>
                </w:tcPr>
                <w:p w14:paraId="0B6120F5">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0C9FFD82">
                  <w:pPr>
                    <w:pStyle w:val="2"/>
                    <w:pBdr>
                      <w:bottom w:val="none" w:color="auto" w:sz="0" w:space="0"/>
                    </w:pBdr>
                    <w:rPr>
                      <w:rFonts w:ascii="Times New Roman" w:hAnsi="Times New Roman" w:cs="Times New Roman"/>
                    </w:rPr>
                  </w:pPr>
                </w:p>
              </w:tc>
              <w:tc>
                <w:tcPr>
                  <w:tcW w:w="877" w:type="dxa"/>
                  <w:vMerge w:val="continue"/>
                  <w:vAlign w:val="center"/>
                </w:tcPr>
                <w:p w14:paraId="5CC44E1D">
                  <w:pPr>
                    <w:pStyle w:val="2"/>
                    <w:pBdr>
                      <w:bottom w:val="none" w:color="auto" w:sz="0" w:space="0"/>
                    </w:pBdr>
                    <w:rPr>
                      <w:rFonts w:ascii="Times New Roman" w:hAnsi="Times New Roman" w:cs="Times New Roman"/>
                    </w:rPr>
                  </w:pPr>
                </w:p>
              </w:tc>
              <w:tc>
                <w:tcPr>
                  <w:tcW w:w="878" w:type="dxa"/>
                  <w:vMerge w:val="continue"/>
                  <w:vAlign w:val="center"/>
                </w:tcPr>
                <w:p w14:paraId="0D303997">
                  <w:pPr>
                    <w:pStyle w:val="2"/>
                    <w:pBdr>
                      <w:bottom w:val="none" w:color="auto" w:sz="0" w:space="0"/>
                    </w:pBdr>
                    <w:rPr>
                      <w:rFonts w:ascii="Times New Roman" w:hAnsi="Times New Roman" w:cs="Times New Roman"/>
                    </w:rPr>
                  </w:pPr>
                </w:p>
              </w:tc>
            </w:tr>
            <w:tr w14:paraId="57CD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6B00C1A0">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w:t>
                  </w:r>
                </w:p>
              </w:tc>
              <w:tc>
                <w:tcPr>
                  <w:tcW w:w="877" w:type="dxa"/>
                  <w:vAlign w:val="center"/>
                </w:tcPr>
                <w:p w14:paraId="4E94F416">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0</w:t>
                  </w:r>
                </w:p>
              </w:tc>
              <w:tc>
                <w:tcPr>
                  <w:tcW w:w="877" w:type="dxa"/>
                  <w:vAlign w:val="center"/>
                </w:tcPr>
                <w:p w14:paraId="0294752A">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75C3F6F3">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c>
                <w:tcPr>
                  <w:tcW w:w="942" w:type="dxa"/>
                  <w:vMerge w:val="continue"/>
                  <w:vAlign w:val="center"/>
                </w:tcPr>
                <w:p w14:paraId="2042CE66">
                  <w:pPr>
                    <w:pStyle w:val="2"/>
                    <w:pBdr>
                      <w:bottom w:val="none" w:color="auto" w:sz="0" w:space="0"/>
                    </w:pBdr>
                    <w:rPr>
                      <w:rFonts w:ascii="Times New Roman" w:hAnsi="Times New Roman" w:cs="Times New Roman"/>
                    </w:rPr>
                  </w:pPr>
                </w:p>
              </w:tc>
              <w:tc>
                <w:tcPr>
                  <w:tcW w:w="726" w:type="dxa"/>
                  <w:vMerge w:val="continue"/>
                  <w:vAlign w:val="center"/>
                </w:tcPr>
                <w:p w14:paraId="5B25BA61">
                  <w:pPr>
                    <w:pStyle w:val="2"/>
                    <w:pBdr>
                      <w:bottom w:val="none" w:color="auto" w:sz="0" w:space="0"/>
                    </w:pBdr>
                    <w:rPr>
                      <w:rFonts w:ascii="Times New Roman" w:hAnsi="Times New Roman" w:cs="Times New Roman"/>
                    </w:rPr>
                  </w:pPr>
                </w:p>
              </w:tc>
              <w:tc>
                <w:tcPr>
                  <w:tcW w:w="1052" w:type="dxa"/>
                  <w:vMerge w:val="continue"/>
                  <w:tcBorders>
                    <w:left w:val="single" w:color="auto" w:sz="4" w:space="0"/>
                    <w:right w:val="single" w:color="auto" w:sz="4" w:space="0"/>
                  </w:tcBorders>
                  <w:vAlign w:val="center"/>
                </w:tcPr>
                <w:p w14:paraId="4BFF63D3">
                  <w:pPr>
                    <w:pStyle w:val="2"/>
                    <w:pBdr>
                      <w:bottom w:val="none" w:color="auto" w:sz="0" w:space="0"/>
                    </w:pBdr>
                    <w:rPr>
                      <w:rFonts w:ascii="Times New Roman" w:hAnsi="Times New Roman" w:cs="Times New Roman"/>
                    </w:rPr>
                  </w:pPr>
                </w:p>
              </w:tc>
              <w:tc>
                <w:tcPr>
                  <w:tcW w:w="877" w:type="dxa"/>
                  <w:vMerge w:val="continue"/>
                  <w:vAlign w:val="center"/>
                </w:tcPr>
                <w:p w14:paraId="06F9BE7C">
                  <w:pPr>
                    <w:pStyle w:val="2"/>
                    <w:pBdr>
                      <w:bottom w:val="none" w:color="auto" w:sz="0" w:space="0"/>
                    </w:pBdr>
                    <w:rPr>
                      <w:rFonts w:ascii="Times New Roman" w:hAnsi="Times New Roman" w:cs="Times New Roman"/>
                    </w:rPr>
                  </w:pPr>
                </w:p>
              </w:tc>
              <w:tc>
                <w:tcPr>
                  <w:tcW w:w="878" w:type="dxa"/>
                  <w:vMerge w:val="continue"/>
                  <w:vAlign w:val="center"/>
                </w:tcPr>
                <w:p w14:paraId="1CEA36D6">
                  <w:pPr>
                    <w:pStyle w:val="2"/>
                    <w:pBdr>
                      <w:bottom w:val="none" w:color="auto" w:sz="0" w:space="0"/>
                    </w:pBdr>
                    <w:rPr>
                      <w:rFonts w:ascii="Times New Roman" w:hAnsi="Times New Roman" w:cs="Times New Roman"/>
                    </w:rPr>
                  </w:pPr>
                </w:p>
              </w:tc>
            </w:tr>
            <w:tr w14:paraId="025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78" w:type="dxa"/>
                  <w:vAlign w:val="center"/>
                </w:tcPr>
                <w:p w14:paraId="412609BF">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03</w:t>
                  </w:r>
                </w:p>
              </w:tc>
              <w:tc>
                <w:tcPr>
                  <w:tcW w:w="877" w:type="dxa"/>
                  <w:vAlign w:val="center"/>
                </w:tcPr>
                <w:p w14:paraId="562EFE60">
                  <w:pPr>
                    <w:pStyle w:val="2"/>
                    <w:pBdr>
                      <w:bottom w:val="none" w:color="auto" w:sz="0" w:space="0"/>
                    </w:pBdr>
                    <w:rPr>
                      <w:rFonts w:hint="eastAsia" w:ascii="Times New Roman" w:hAnsi="Times New Roman" w:cs="Times New Roman"/>
                    </w:rPr>
                  </w:pPr>
                  <w:r>
                    <w:rPr>
                      <w:rFonts w:hint="eastAsia" w:ascii="Times New Roman" w:hAnsi="Times New Roman" w:cs="Times New Roman"/>
                    </w:rPr>
                    <w:t>4</w:t>
                  </w:r>
                  <w:r>
                    <w:rPr>
                      <w:rFonts w:ascii="Times New Roman" w:hAnsi="Times New Roman" w:cs="Times New Roman"/>
                    </w:rPr>
                    <w:t>9</w:t>
                  </w:r>
                </w:p>
              </w:tc>
              <w:tc>
                <w:tcPr>
                  <w:tcW w:w="877" w:type="dxa"/>
                  <w:vAlign w:val="center"/>
                </w:tcPr>
                <w:p w14:paraId="41B5E48A">
                  <w:pPr>
                    <w:pStyle w:val="2"/>
                    <w:pBdr>
                      <w:bottom w:val="none" w:color="auto" w:sz="0" w:space="0"/>
                    </w:pBdr>
                    <w:rPr>
                      <w:rFonts w:hint="eastAsia" w:ascii="Times New Roman" w:hAnsi="Times New Roman" w:cs="Times New Roman"/>
                    </w:rPr>
                  </w:pPr>
                  <w:r>
                    <w:rPr>
                      <w:rFonts w:hint="eastAsia" w:ascii="Times New Roman" w:hAnsi="Times New Roman" w:cs="Times New Roman"/>
                    </w:rPr>
                    <w:t>0</w:t>
                  </w:r>
                </w:p>
              </w:tc>
              <w:tc>
                <w:tcPr>
                  <w:tcW w:w="907" w:type="dxa"/>
                  <w:vAlign w:val="center"/>
                </w:tcPr>
                <w:p w14:paraId="239F14BB">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p>
              </w:tc>
              <w:tc>
                <w:tcPr>
                  <w:tcW w:w="942" w:type="dxa"/>
                  <w:vMerge w:val="continue"/>
                  <w:vAlign w:val="center"/>
                </w:tcPr>
                <w:p w14:paraId="6B9989DA">
                  <w:pPr>
                    <w:pStyle w:val="2"/>
                    <w:pBdr>
                      <w:bottom w:val="none" w:color="auto" w:sz="0" w:space="0"/>
                    </w:pBdr>
                    <w:rPr>
                      <w:rFonts w:ascii="Times New Roman" w:hAnsi="Times New Roman" w:cs="Times New Roman"/>
                    </w:rPr>
                  </w:pPr>
                </w:p>
              </w:tc>
              <w:tc>
                <w:tcPr>
                  <w:tcW w:w="726" w:type="dxa"/>
                  <w:vMerge w:val="continue"/>
                  <w:vAlign w:val="center"/>
                </w:tcPr>
                <w:p w14:paraId="498A33D1">
                  <w:pPr>
                    <w:pStyle w:val="2"/>
                    <w:pBdr>
                      <w:bottom w:val="none" w:color="auto" w:sz="0" w:space="0"/>
                    </w:pBdr>
                    <w:rPr>
                      <w:rFonts w:ascii="Times New Roman" w:hAnsi="Times New Roman" w:cs="Times New Roman"/>
                    </w:rPr>
                  </w:pPr>
                </w:p>
              </w:tc>
              <w:tc>
                <w:tcPr>
                  <w:tcW w:w="1052" w:type="dxa"/>
                  <w:vMerge w:val="continue"/>
                  <w:tcBorders>
                    <w:left w:val="single" w:color="auto" w:sz="4" w:space="0"/>
                    <w:bottom w:val="single" w:color="auto" w:sz="4" w:space="0"/>
                    <w:right w:val="single" w:color="auto" w:sz="4" w:space="0"/>
                  </w:tcBorders>
                  <w:vAlign w:val="center"/>
                </w:tcPr>
                <w:p w14:paraId="5F6931AA">
                  <w:pPr>
                    <w:pStyle w:val="2"/>
                    <w:pBdr>
                      <w:bottom w:val="none" w:color="auto" w:sz="0" w:space="0"/>
                    </w:pBdr>
                    <w:rPr>
                      <w:rFonts w:ascii="Times New Roman" w:hAnsi="Times New Roman" w:cs="Times New Roman"/>
                    </w:rPr>
                  </w:pPr>
                </w:p>
              </w:tc>
              <w:tc>
                <w:tcPr>
                  <w:tcW w:w="877" w:type="dxa"/>
                  <w:vMerge w:val="continue"/>
                  <w:vAlign w:val="center"/>
                </w:tcPr>
                <w:p w14:paraId="3C0485B8">
                  <w:pPr>
                    <w:pStyle w:val="2"/>
                    <w:pBdr>
                      <w:bottom w:val="none" w:color="auto" w:sz="0" w:space="0"/>
                    </w:pBdr>
                    <w:rPr>
                      <w:rFonts w:ascii="Times New Roman" w:hAnsi="Times New Roman" w:cs="Times New Roman"/>
                    </w:rPr>
                  </w:pPr>
                </w:p>
              </w:tc>
              <w:tc>
                <w:tcPr>
                  <w:tcW w:w="878" w:type="dxa"/>
                  <w:vMerge w:val="continue"/>
                  <w:vAlign w:val="center"/>
                </w:tcPr>
                <w:p w14:paraId="50243CFB">
                  <w:pPr>
                    <w:pStyle w:val="2"/>
                    <w:pBdr>
                      <w:bottom w:val="none" w:color="auto" w:sz="0" w:space="0"/>
                    </w:pBdr>
                    <w:rPr>
                      <w:rFonts w:ascii="Times New Roman" w:hAnsi="Times New Roman" w:cs="Times New Roman"/>
                    </w:rPr>
                  </w:pPr>
                </w:p>
              </w:tc>
            </w:tr>
            <w:tr w14:paraId="4D52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1E7544FE">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8</w:t>
                  </w:r>
                </w:p>
              </w:tc>
              <w:tc>
                <w:tcPr>
                  <w:tcW w:w="877" w:type="dxa"/>
                  <w:vAlign w:val="center"/>
                </w:tcPr>
                <w:p w14:paraId="65ED6C75">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4</w:t>
                  </w:r>
                </w:p>
              </w:tc>
              <w:tc>
                <w:tcPr>
                  <w:tcW w:w="877" w:type="dxa"/>
                  <w:vAlign w:val="center"/>
                </w:tcPr>
                <w:p w14:paraId="29970F1F">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1B42527B">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942" w:type="dxa"/>
                  <w:vAlign w:val="center"/>
                </w:tcPr>
                <w:p w14:paraId="0FFB5132">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w:t>
                  </w:r>
                </w:p>
              </w:tc>
              <w:tc>
                <w:tcPr>
                  <w:tcW w:w="726" w:type="dxa"/>
                  <w:vAlign w:val="center"/>
                </w:tcPr>
                <w:p w14:paraId="5971F2C2">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tcBorders>
                    <w:top w:val="single" w:color="auto" w:sz="4" w:space="0"/>
                    <w:left w:val="single" w:color="auto" w:sz="4" w:space="0"/>
                    <w:bottom w:val="single" w:color="auto" w:sz="4" w:space="0"/>
                    <w:right w:val="single" w:color="auto" w:sz="4" w:space="0"/>
                  </w:tcBorders>
                  <w:vAlign w:val="center"/>
                </w:tcPr>
                <w:p w14:paraId="786C7507">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Align w:val="center"/>
                </w:tcPr>
                <w:p w14:paraId="43CCA90C">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0</w:t>
                  </w:r>
                </w:p>
              </w:tc>
              <w:tc>
                <w:tcPr>
                  <w:tcW w:w="878" w:type="dxa"/>
                  <w:vAlign w:val="center"/>
                </w:tcPr>
                <w:p w14:paraId="08DF5C0D">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0754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19DCE6B1">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03</w:t>
                  </w:r>
                </w:p>
              </w:tc>
              <w:tc>
                <w:tcPr>
                  <w:tcW w:w="877" w:type="dxa"/>
                  <w:vAlign w:val="center"/>
                </w:tcPr>
                <w:p w14:paraId="2C0C5FC8">
                  <w:pPr>
                    <w:pStyle w:val="2"/>
                    <w:pBdr>
                      <w:bottom w:val="none" w:color="auto" w:sz="0" w:space="0"/>
                    </w:pBdr>
                    <w:rPr>
                      <w:rFonts w:hint="eastAsia" w:ascii="Times New Roman" w:hAnsi="Times New Roman" w:cs="Times New Roman"/>
                    </w:rPr>
                  </w:pPr>
                  <w:r>
                    <w:rPr>
                      <w:rFonts w:hint="eastAsia" w:ascii="Times New Roman" w:hAnsi="Times New Roman" w:cs="Times New Roman"/>
                    </w:rPr>
                    <w:t>4</w:t>
                  </w:r>
                  <w:r>
                    <w:rPr>
                      <w:rFonts w:ascii="Times New Roman" w:hAnsi="Times New Roman" w:cs="Times New Roman"/>
                    </w:rPr>
                    <w:t>9</w:t>
                  </w:r>
                </w:p>
              </w:tc>
              <w:tc>
                <w:tcPr>
                  <w:tcW w:w="877" w:type="dxa"/>
                  <w:vAlign w:val="center"/>
                </w:tcPr>
                <w:p w14:paraId="5715F357">
                  <w:pPr>
                    <w:pStyle w:val="2"/>
                    <w:pBdr>
                      <w:bottom w:val="none" w:color="auto" w:sz="0" w:space="0"/>
                    </w:pBdr>
                    <w:rPr>
                      <w:rFonts w:hint="eastAsia" w:ascii="Times New Roman" w:hAnsi="Times New Roman" w:cs="Times New Roman"/>
                    </w:rPr>
                  </w:pPr>
                  <w:r>
                    <w:rPr>
                      <w:rFonts w:hint="eastAsia" w:ascii="Times New Roman" w:hAnsi="Times New Roman" w:cs="Times New Roman"/>
                    </w:rPr>
                    <w:t>0</w:t>
                  </w:r>
                </w:p>
              </w:tc>
              <w:tc>
                <w:tcPr>
                  <w:tcW w:w="907" w:type="dxa"/>
                  <w:vAlign w:val="center"/>
                </w:tcPr>
                <w:p w14:paraId="0F91EEE8">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p>
              </w:tc>
              <w:tc>
                <w:tcPr>
                  <w:tcW w:w="942" w:type="dxa"/>
                  <w:vAlign w:val="center"/>
                </w:tcPr>
                <w:p w14:paraId="5E24602B">
                  <w:pPr>
                    <w:pStyle w:val="2"/>
                    <w:pBdr>
                      <w:bottom w:val="none" w:color="auto" w:sz="0" w:space="0"/>
                    </w:pBdr>
                    <w:rPr>
                      <w:rFonts w:hint="eastAsia" w:ascii="Times New Roman" w:hAnsi="Times New Roman" w:cs="Times New Roman"/>
                    </w:rPr>
                  </w:pPr>
                  <w:r>
                    <w:rPr>
                      <w:rFonts w:hint="eastAsia" w:ascii="Times New Roman" w:hAnsi="Times New Roman" w:cs="Times New Roman"/>
                    </w:rPr>
                    <w:t>6</w:t>
                  </w:r>
                  <w:r>
                    <w:rPr>
                      <w:rFonts w:ascii="Times New Roman" w:hAnsi="Times New Roman" w:cs="Times New Roman"/>
                    </w:rPr>
                    <w:t>5</w:t>
                  </w:r>
                </w:p>
              </w:tc>
              <w:tc>
                <w:tcPr>
                  <w:tcW w:w="726" w:type="dxa"/>
                  <w:vAlign w:val="center"/>
                </w:tcPr>
                <w:p w14:paraId="0E504070">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tcBorders>
                    <w:top w:val="single" w:color="auto" w:sz="4" w:space="0"/>
                    <w:left w:val="single" w:color="auto" w:sz="4" w:space="0"/>
                    <w:bottom w:val="single" w:color="auto" w:sz="4" w:space="0"/>
                    <w:right w:val="single" w:color="auto" w:sz="4" w:space="0"/>
                  </w:tcBorders>
                  <w:vAlign w:val="center"/>
                </w:tcPr>
                <w:p w14:paraId="33F4C3B4">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Align w:val="center"/>
                </w:tcPr>
                <w:p w14:paraId="2EF2F361">
                  <w:pPr>
                    <w:pStyle w:val="2"/>
                    <w:pBdr>
                      <w:bottom w:val="none" w:color="auto" w:sz="0" w:space="0"/>
                    </w:pBd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0</w:t>
                  </w:r>
                </w:p>
              </w:tc>
              <w:tc>
                <w:tcPr>
                  <w:tcW w:w="878" w:type="dxa"/>
                  <w:vAlign w:val="center"/>
                </w:tcPr>
                <w:p w14:paraId="4CB3E628">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7091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65577DF0">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04</w:t>
                  </w:r>
                </w:p>
              </w:tc>
              <w:tc>
                <w:tcPr>
                  <w:tcW w:w="877" w:type="dxa"/>
                  <w:vAlign w:val="center"/>
                </w:tcPr>
                <w:p w14:paraId="0533391D">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6</w:t>
                  </w:r>
                </w:p>
              </w:tc>
              <w:tc>
                <w:tcPr>
                  <w:tcW w:w="877" w:type="dxa"/>
                  <w:vAlign w:val="center"/>
                </w:tcPr>
                <w:p w14:paraId="6EF8F612">
                  <w:pPr>
                    <w:pStyle w:val="2"/>
                    <w:pBdr>
                      <w:bottom w:val="none" w:color="auto" w:sz="0" w:space="0"/>
                    </w:pBdr>
                    <w:rPr>
                      <w:rFonts w:hint="eastAsia" w:ascii="Times New Roman" w:hAnsi="Times New Roman" w:cs="Times New Roman"/>
                    </w:rPr>
                  </w:pPr>
                  <w:r>
                    <w:rPr>
                      <w:rFonts w:hint="eastAsia" w:ascii="Times New Roman" w:hAnsi="Times New Roman" w:cs="Times New Roman"/>
                    </w:rPr>
                    <w:t>0</w:t>
                  </w:r>
                </w:p>
              </w:tc>
              <w:tc>
                <w:tcPr>
                  <w:tcW w:w="907" w:type="dxa"/>
                  <w:vAlign w:val="center"/>
                </w:tcPr>
                <w:p w14:paraId="15743993">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p>
              </w:tc>
              <w:tc>
                <w:tcPr>
                  <w:tcW w:w="942" w:type="dxa"/>
                  <w:vMerge w:val="restart"/>
                  <w:vAlign w:val="center"/>
                </w:tcPr>
                <w:p w14:paraId="6A5CD75D">
                  <w:pPr>
                    <w:pStyle w:val="2"/>
                    <w:pBdr>
                      <w:bottom w:val="none" w:color="auto" w:sz="0" w:space="0"/>
                    </w:pBdr>
                    <w:rPr>
                      <w:rFonts w:hint="eastAsia" w:ascii="Times New Roman" w:hAnsi="Times New Roman" w:cs="Times New Roman"/>
                    </w:rPr>
                  </w:pPr>
                  <w:r>
                    <w:rPr>
                      <w:rFonts w:hint="eastAsia" w:ascii="Times New Roman" w:hAnsi="Times New Roman" w:cs="Times New Roman"/>
                    </w:rPr>
                    <w:t>8</w:t>
                  </w:r>
                  <w:r>
                    <w:rPr>
                      <w:rFonts w:ascii="Times New Roman" w:hAnsi="Times New Roman" w:cs="Times New Roman"/>
                    </w:rPr>
                    <w:t>0.1</w:t>
                  </w:r>
                </w:p>
              </w:tc>
              <w:tc>
                <w:tcPr>
                  <w:tcW w:w="726" w:type="dxa"/>
                  <w:vMerge w:val="restart"/>
                  <w:vAlign w:val="center"/>
                </w:tcPr>
                <w:p w14:paraId="6B9AF561">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vMerge w:val="restart"/>
                  <w:tcBorders>
                    <w:top w:val="single" w:color="auto" w:sz="4" w:space="0"/>
                    <w:left w:val="single" w:color="auto" w:sz="4" w:space="0"/>
                    <w:right w:val="single" w:color="auto" w:sz="4" w:space="0"/>
                  </w:tcBorders>
                  <w:vAlign w:val="center"/>
                </w:tcPr>
                <w:p w14:paraId="7FA441DD">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5-20</w:t>
                  </w:r>
                </w:p>
              </w:tc>
              <w:tc>
                <w:tcPr>
                  <w:tcW w:w="877" w:type="dxa"/>
                  <w:vMerge w:val="restart"/>
                  <w:vAlign w:val="center"/>
                </w:tcPr>
                <w:p w14:paraId="5E11C6B6">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51</w:t>
                  </w:r>
                </w:p>
              </w:tc>
              <w:tc>
                <w:tcPr>
                  <w:tcW w:w="878" w:type="dxa"/>
                  <w:vMerge w:val="restart"/>
                  <w:vAlign w:val="center"/>
                </w:tcPr>
                <w:p w14:paraId="6A009B4A">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534E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21753C43">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04</w:t>
                  </w:r>
                </w:p>
              </w:tc>
              <w:tc>
                <w:tcPr>
                  <w:tcW w:w="877" w:type="dxa"/>
                  <w:vAlign w:val="center"/>
                </w:tcPr>
                <w:p w14:paraId="35B2DC0A">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r>
                    <w:rPr>
                      <w:rFonts w:ascii="Times New Roman" w:hAnsi="Times New Roman" w:cs="Times New Roman"/>
                    </w:rPr>
                    <w:t>6</w:t>
                  </w:r>
                </w:p>
              </w:tc>
              <w:tc>
                <w:tcPr>
                  <w:tcW w:w="877" w:type="dxa"/>
                  <w:vAlign w:val="center"/>
                </w:tcPr>
                <w:p w14:paraId="08413D06">
                  <w:pPr>
                    <w:pStyle w:val="2"/>
                    <w:pBdr>
                      <w:bottom w:val="none" w:color="auto" w:sz="0" w:space="0"/>
                    </w:pBdr>
                    <w:rPr>
                      <w:rFonts w:hint="eastAsia" w:ascii="Times New Roman" w:hAnsi="Times New Roman" w:cs="Times New Roman"/>
                    </w:rPr>
                  </w:pPr>
                  <w:r>
                    <w:rPr>
                      <w:rFonts w:hint="eastAsia" w:ascii="Times New Roman" w:hAnsi="Times New Roman" w:cs="Times New Roman"/>
                    </w:rPr>
                    <w:t>0</w:t>
                  </w:r>
                </w:p>
              </w:tc>
              <w:tc>
                <w:tcPr>
                  <w:tcW w:w="907" w:type="dxa"/>
                  <w:vAlign w:val="center"/>
                </w:tcPr>
                <w:p w14:paraId="4E25905A">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p>
              </w:tc>
              <w:tc>
                <w:tcPr>
                  <w:tcW w:w="942" w:type="dxa"/>
                  <w:vMerge w:val="continue"/>
                  <w:vAlign w:val="center"/>
                </w:tcPr>
                <w:p w14:paraId="7C9B8F8E">
                  <w:pPr>
                    <w:pStyle w:val="2"/>
                    <w:pBdr>
                      <w:bottom w:val="none" w:color="auto" w:sz="0" w:space="0"/>
                    </w:pBdr>
                    <w:rPr>
                      <w:rFonts w:ascii="Times New Roman" w:hAnsi="Times New Roman" w:cs="Times New Roman"/>
                    </w:rPr>
                  </w:pPr>
                </w:p>
              </w:tc>
              <w:tc>
                <w:tcPr>
                  <w:tcW w:w="726" w:type="dxa"/>
                  <w:vMerge w:val="continue"/>
                  <w:vAlign w:val="center"/>
                </w:tcPr>
                <w:p w14:paraId="644E1BDD">
                  <w:pPr>
                    <w:pStyle w:val="2"/>
                    <w:pBdr>
                      <w:bottom w:val="none" w:color="auto" w:sz="0" w:space="0"/>
                    </w:pBdr>
                    <w:rPr>
                      <w:rFonts w:ascii="Times New Roman" w:hAnsi="Times New Roman" w:cs="Times New Roman"/>
                    </w:rPr>
                  </w:pPr>
                </w:p>
              </w:tc>
              <w:tc>
                <w:tcPr>
                  <w:tcW w:w="1052" w:type="dxa"/>
                  <w:vMerge w:val="continue"/>
                  <w:tcBorders>
                    <w:left w:val="single" w:color="auto" w:sz="4" w:space="0"/>
                    <w:bottom w:val="single" w:color="auto" w:sz="4" w:space="0"/>
                    <w:right w:val="single" w:color="auto" w:sz="4" w:space="0"/>
                  </w:tcBorders>
                  <w:vAlign w:val="center"/>
                </w:tcPr>
                <w:p w14:paraId="0898FBD7">
                  <w:pPr>
                    <w:pStyle w:val="2"/>
                    <w:pBdr>
                      <w:bottom w:val="none" w:color="auto" w:sz="0" w:space="0"/>
                    </w:pBdr>
                    <w:rPr>
                      <w:rFonts w:ascii="Times New Roman" w:hAnsi="Times New Roman" w:cs="Times New Roman"/>
                    </w:rPr>
                  </w:pPr>
                </w:p>
              </w:tc>
              <w:tc>
                <w:tcPr>
                  <w:tcW w:w="877" w:type="dxa"/>
                  <w:vMerge w:val="continue"/>
                  <w:vAlign w:val="center"/>
                </w:tcPr>
                <w:p w14:paraId="6D55591A">
                  <w:pPr>
                    <w:pStyle w:val="2"/>
                    <w:pBdr>
                      <w:bottom w:val="none" w:color="auto" w:sz="0" w:space="0"/>
                    </w:pBdr>
                    <w:rPr>
                      <w:rFonts w:ascii="Times New Roman" w:hAnsi="Times New Roman" w:cs="Times New Roman"/>
                    </w:rPr>
                  </w:pPr>
                </w:p>
              </w:tc>
              <w:tc>
                <w:tcPr>
                  <w:tcW w:w="878" w:type="dxa"/>
                  <w:vMerge w:val="continue"/>
                  <w:vAlign w:val="center"/>
                </w:tcPr>
                <w:p w14:paraId="43893140">
                  <w:pPr>
                    <w:pStyle w:val="2"/>
                    <w:pBdr>
                      <w:bottom w:val="none" w:color="auto" w:sz="0" w:space="0"/>
                    </w:pBdr>
                    <w:rPr>
                      <w:rFonts w:ascii="Times New Roman" w:hAnsi="Times New Roman" w:cs="Times New Roman"/>
                    </w:rPr>
                  </w:pPr>
                </w:p>
              </w:tc>
            </w:tr>
            <w:tr w14:paraId="3DA3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57D4F456">
                  <w:pPr>
                    <w:pStyle w:val="2"/>
                    <w:pBdr>
                      <w:bottom w:val="none" w:color="auto" w:sz="0" w:space="0"/>
                    </w:pBdr>
                    <w:rPr>
                      <w:rFonts w:hint="eastAsia" w:ascii="Times New Roman" w:hAnsi="Times New Roman" w:cs="Times New Roman"/>
                    </w:rPr>
                  </w:pPr>
                  <w:r>
                    <w:rPr>
                      <w:rFonts w:ascii="Times New Roman" w:hAnsi="Times New Roman" w:cs="Times New Roman"/>
                    </w:rPr>
                    <w:t>103</w:t>
                  </w:r>
                </w:p>
              </w:tc>
              <w:tc>
                <w:tcPr>
                  <w:tcW w:w="877" w:type="dxa"/>
                  <w:vAlign w:val="center"/>
                </w:tcPr>
                <w:p w14:paraId="0E69C684">
                  <w:pPr>
                    <w:pStyle w:val="2"/>
                    <w:pBdr>
                      <w:bottom w:val="none" w:color="auto" w:sz="0" w:space="0"/>
                    </w:pBdr>
                    <w:rPr>
                      <w:rFonts w:hint="eastAsia" w:ascii="Times New Roman" w:hAnsi="Times New Roman" w:cs="Times New Roman"/>
                    </w:rPr>
                  </w:pPr>
                  <w:r>
                    <w:rPr>
                      <w:rFonts w:hint="eastAsia" w:ascii="Times New Roman" w:hAnsi="Times New Roman" w:cs="Times New Roman"/>
                    </w:rPr>
                    <w:t>3</w:t>
                  </w:r>
                  <w:r>
                    <w:rPr>
                      <w:rFonts w:ascii="Times New Roman" w:hAnsi="Times New Roman" w:cs="Times New Roman"/>
                    </w:rPr>
                    <w:t>9</w:t>
                  </w:r>
                </w:p>
              </w:tc>
              <w:tc>
                <w:tcPr>
                  <w:tcW w:w="877" w:type="dxa"/>
                  <w:vAlign w:val="center"/>
                </w:tcPr>
                <w:p w14:paraId="66CF8AE1">
                  <w:pPr>
                    <w:pStyle w:val="2"/>
                    <w:pBdr>
                      <w:bottom w:val="none" w:color="auto" w:sz="0" w:space="0"/>
                    </w:pBdr>
                    <w:rPr>
                      <w:rFonts w:hint="eastAsia" w:ascii="Times New Roman" w:hAnsi="Times New Roman" w:cs="Times New Roman"/>
                    </w:rPr>
                  </w:pPr>
                  <w:r>
                    <w:rPr>
                      <w:rFonts w:hint="eastAsia" w:ascii="Times New Roman" w:hAnsi="Times New Roman" w:cs="Times New Roman"/>
                    </w:rPr>
                    <w:t>0</w:t>
                  </w:r>
                </w:p>
              </w:tc>
              <w:tc>
                <w:tcPr>
                  <w:tcW w:w="907" w:type="dxa"/>
                  <w:vAlign w:val="center"/>
                </w:tcPr>
                <w:p w14:paraId="1CABB5C3">
                  <w:pPr>
                    <w:pStyle w:val="2"/>
                    <w:pBdr>
                      <w:bottom w:val="none" w:color="auto" w:sz="0" w:space="0"/>
                    </w:pBdr>
                    <w:rPr>
                      <w:rFonts w:hint="eastAsia" w:ascii="Times New Roman" w:hAnsi="Times New Roman" w:cs="Times New Roman"/>
                    </w:rPr>
                  </w:pPr>
                  <w:r>
                    <w:rPr>
                      <w:rFonts w:hint="eastAsia" w:ascii="Times New Roman" w:hAnsi="Times New Roman" w:cs="Times New Roman"/>
                    </w:rPr>
                    <w:t>1</w:t>
                  </w:r>
                </w:p>
              </w:tc>
              <w:tc>
                <w:tcPr>
                  <w:tcW w:w="942" w:type="dxa"/>
                  <w:vAlign w:val="center"/>
                </w:tcPr>
                <w:p w14:paraId="0A65F6A5">
                  <w:pPr>
                    <w:pStyle w:val="2"/>
                    <w:pBdr>
                      <w:bottom w:val="none" w:color="auto" w:sz="0" w:space="0"/>
                    </w:pBd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0</w:t>
                  </w:r>
                </w:p>
              </w:tc>
              <w:tc>
                <w:tcPr>
                  <w:tcW w:w="726" w:type="dxa"/>
                  <w:vAlign w:val="center"/>
                </w:tcPr>
                <w:p w14:paraId="54574EEA">
                  <w:pPr>
                    <w:pStyle w:val="2"/>
                    <w:pBdr>
                      <w:bottom w:val="none" w:color="auto" w:sz="0" w:space="0"/>
                    </w:pBdr>
                    <w:rPr>
                      <w:rFonts w:ascii="Times New Roman" w:hAnsi="Times New Roman" w:cs="Times New Roman"/>
                    </w:rPr>
                  </w:pPr>
                  <w:r>
                    <w:rPr>
                      <w:rFonts w:hint="eastAsia" w:ascii="Times New Roman" w:hAnsi="Times New Roman" w:cs="Times New Roman"/>
                    </w:rPr>
                    <w:t>8h</w:t>
                  </w:r>
                </w:p>
              </w:tc>
              <w:tc>
                <w:tcPr>
                  <w:tcW w:w="1052" w:type="dxa"/>
                  <w:tcBorders>
                    <w:top w:val="single" w:color="auto" w:sz="4" w:space="0"/>
                    <w:left w:val="single" w:color="auto" w:sz="4" w:space="0"/>
                    <w:bottom w:val="single" w:color="auto" w:sz="4" w:space="0"/>
                    <w:right w:val="single" w:color="auto" w:sz="4" w:space="0"/>
                  </w:tcBorders>
                  <w:vAlign w:val="center"/>
                </w:tcPr>
                <w:p w14:paraId="5ACCAEA3">
                  <w:pPr>
                    <w:pStyle w:val="2"/>
                    <w:pBdr>
                      <w:bottom w:val="none" w:color="auto" w:sz="0" w:space="0"/>
                    </w:pBd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0</w:t>
                  </w:r>
                </w:p>
              </w:tc>
              <w:tc>
                <w:tcPr>
                  <w:tcW w:w="877" w:type="dxa"/>
                  <w:vAlign w:val="center"/>
                </w:tcPr>
                <w:p w14:paraId="1DA768DD">
                  <w:pPr>
                    <w:pStyle w:val="2"/>
                    <w:pBdr>
                      <w:bottom w:val="none" w:color="auto" w:sz="0" w:space="0"/>
                    </w:pBd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0</w:t>
                  </w:r>
                </w:p>
              </w:tc>
              <w:tc>
                <w:tcPr>
                  <w:tcW w:w="878" w:type="dxa"/>
                  <w:vAlign w:val="center"/>
                </w:tcPr>
                <w:p w14:paraId="3194F5FF">
                  <w:pPr>
                    <w:pStyle w:val="2"/>
                    <w:pBdr>
                      <w:bottom w:val="none" w:color="auto" w:sz="0" w:space="0"/>
                    </w:pBdr>
                    <w:rPr>
                      <w:rFonts w:ascii="Times New Roman" w:hAnsi="Times New Roman" w:cs="Times New Roman"/>
                    </w:rPr>
                  </w:pPr>
                  <w:r>
                    <w:rPr>
                      <w:rFonts w:hint="eastAsia" w:ascii="Times New Roman" w:hAnsi="Times New Roman" w:cs="Times New Roman"/>
                    </w:rPr>
                    <w:t>1</w:t>
                  </w:r>
                </w:p>
              </w:tc>
            </w:tr>
            <w:tr w14:paraId="4D51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78" w:type="dxa"/>
                  <w:vAlign w:val="center"/>
                </w:tcPr>
                <w:p w14:paraId="2FD80955">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3</w:t>
                  </w:r>
                </w:p>
              </w:tc>
              <w:tc>
                <w:tcPr>
                  <w:tcW w:w="877" w:type="dxa"/>
                  <w:vAlign w:val="center"/>
                </w:tcPr>
                <w:p w14:paraId="4138AF65">
                  <w:pPr>
                    <w:pStyle w:val="2"/>
                    <w:pBdr>
                      <w:bottom w:val="none" w:color="auto" w:sz="0" w:space="0"/>
                    </w:pBd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9</w:t>
                  </w:r>
                </w:p>
              </w:tc>
              <w:tc>
                <w:tcPr>
                  <w:tcW w:w="877" w:type="dxa"/>
                  <w:vAlign w:val="center"/>
                </w:tcPr>
                <w:p w14:paraId="4DF156E3">
                  <w:pPr>
                    <w:pStyle w:val="2"/>
                    <w:pBdr>
                      <w:bottom w:val="none" w:color="auto" w:sz="0" w:space="0"/>
                    </w:pBdr>
                    <w:rPr>
                      <w:rFonts w:ascii="Times New Roman" w:hAnsi="Times New Roman" w:cs="Times New Roman"/>
                    </w:rPr>
                  </w:pPr>
                  <w:r>
                    <w:rPr>
                      <w:rFonts w:hint="eastAsia" w:ascii="Times New Roman" w:hAnsi="Times New Roman" w:cs="Times New Roman"/>
                    </w:rPr>
                    <w:t>0</w:t>
                  </w:r>
                </w:p>
              </w:tc>
              <w:tc>
                <w:tcPr>
                  <w:tcW w:w="907" w:type="dxa"/>
                  <w:vAlign w:val="center"/>
                </w:tcPr>
                <w:p w14:paraId="3832F1C7">
                  <w:pPr>
                    <w:pStyle w:val="2"/>
                    <w:pBdr>
                      <w:bottom w:val="none" w:color="auto" w:sz="0" w:space="0"/>
                    </w:pBdr>
                    <w:rPr>
                      <w:rFonts w:ascii="Times New Roman" w:hAnsi="Times New Roman" w:cs="Times New Roman"/>
                    </w:rPr>
                  </w:pPr>
                  <w:r>
                    <w:rPr>
                      <w:rFonts w:hint="eastAsia" w:ascii="Times New Roman" w:hAnsi="Times New Roman" w:cs="Times New Roman"/>
                    </w:rPr>
                    <w:t>3</w:t>
                  </w:r>
                </w:p>
              </w:tc>
              <w:tc>
                <w:tcPr>
                  <w:tcW w:w="942" w:type="dxa"/>
                  <w:vAlign w:val="center"/>
                </w:tcPr>
                <w:p w14:paraId="7FD06275">
                  <w:pPr>
                    <w:pStyle w:val="2"/>
                    <w:pBdr>
                      <w:bottom w:val="none" w:color="auto" w:sz="0" w:space="0"/>
                    </w:pBd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0</w:t>
                  </w:r>
                </w:p>
              </w:tc>
              <w:tc>
                <w:tcPr>
                  <w:tcW w:w="726" w:type="dxa"/>
                  <w:vAlign w:val="center"/>
                </w:tcPr>
                <w:p w14:paraId="66458355">
                  <w:pPr>
                    <w:pStyle w:val="2"/>
                    <w:pBdr>
                      <w:bottom w:val="none" w:color="auto" w:sz="0" w:space="0"/>
                    </w:pBd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w:t>
                  </w:r>
                  <w:r>
                    <w:rPr>
                      <w:rFonts w:hint="eastAsia" w:ascii="Times New Roman" w:hAnsi="Times New Roman" w:cs="Times New Roman"/>
                    </w:rPr>
                    <w:t>h</w:t>
                  </w:r>
                </w:p>
              </w:tc>
              <w:tc>
                <w:tcPr>
                  <w:tcW w:w="1052" w:type="dxa"/>
                  <w:tcBorders>
                    <w:top w:val="single" w:color="auto" w:sz="4" w:space="0"/>
                    <w:left w:val="single" w:color="auto" w:sz="4" w:space="0"/>
                    <w:bottom w:val="single" w:color="auto" w:sz="4" w:space="0"/>
                    <w:right w:val="single" w:color="auto" w:sz="4" w:space="0"/>
                  </w:tcBorders>
                  <w:vAlign w:val="center"/>
                </w:tcPr>
                <w:p w14:paraId="23B21653">
                  <w:pPr>
                    <w:pStyle w:val="2"/>
                    <w:pBdr>
                      <w:bottom w:val="none" w:color="auto" w:sz="0" w:space="0"/>
                    </w:pBd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877" w:type="dxa"/>
                  <w:vAlign w:val="center"/>
                </w:tcPr>
                <w:p w14:paraId="23F8072E">
                  <w:pPr>
                    <w:pStyle w:val="2"/>
                    <w:pBdr>
                      <w:bottom w:val="none" w:color="auto" w:sz="0" w:space="0"/>
                    </w:pBd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5</w:t>
                  </w:r>
                </w:p>
              </w:tc>
              <w:tc>
                <w:tcPr>
                  <w:tcW w:w="878" w:type="dxa"/>
                  <w:vAlign w:val="center"/>
                </w:tcPr>
                <w:p w14:paraId="249F9359">
                  <w:pPr>
                    <w:pStyle w:val="2"/>
                    <w:pBdr>
                      <w:bottom w:val="none" w:color="auto" w:sz="0" w:space="0"/>
                    </w:pBdr>
                    <w:rPr>
                      <w:rFonts w:ascii="Times New Roman" w:hAnsi="Times New Roman" w:cs="Times New Roman"/>
                    </w:rPr>
                  </w:pPr>
                  <w:r>
                    <w:rPr>
                      <w:rFonts w:hint="eastAsia" w:ascii="Times New Roman" w:hAnsi="Times New Roman" w:cs="Times New Roman"/>
                    </w:rPr>
                    <w:t>1</w:t>
                  </w:r>
                </w:p>
              </w:tc>
            </w:tr>
          </w:tbl>
          <w:p w14:paraId="366E00FE">
            <w:pPr>
              <w:jc w:val="center"/>
            </w:pPr>
          </w:p>
          <w:p w14:paraId="6217F372">
            <w:pPr>
              <w:pStyle w:val="8"/>
              <w:spacing w:line="360" w:lineRule="auto"/>
              <w:ind w:firstLine="240" w:firstLineChars="100"/>
              <w:rPr>
                <w:kern w:val="0"/>
                <w:sz w:val="24"/>
                <w:szCs w:val="24"/>
              </w:rPr>
            </w:pPr>
            <w:r>
              <w:rPr>
                <w:rFonts w:hint="eastAsia"/>
                <w:kern w:val="0"/>
                <w:sz w:val="24"/>
                <w:szCs w:val="24"/>
              </w:rPr>
              <w:t>4、</w:t>
            </w:r>
            <w:r>
              <w:rPr>
                <w:kern w:val="0"/>
                <w:sz w:val="24"/>
                <w:szCs w:val="24"/>
              </w:rPr>
              <w:t>预测内容</w:t>
            </w:r>
          </w:p>
          <w:p w14:paraId="183E8FAF">
            <w:pPr>
              <w:pStyle w:val="8"/>
              <w:spacing w:line="360" w:lineRule="auto"/>
              <w:ind w:firstLine="240" w:firstLineChars="100"/>
              <w:rPr>
                <w:kern w:val="0"/>
                <w:sz w:val="24"/>
                <w:szCs w:val="24"/>
              </w:rPr>
            </w:pPr>
            <w:r>
              <w:rPr>
                <w:kern w:val="0"/>
                <w:sz w:val="24"/>
                <w:szCs w:val="24"/>
              </w:rPr>
              <w:t>A、预测模式</w:t>
            </w:r>
          </w:p>
          <w:p w14:paraId="53F365A6">
            <w:pPr>
              <w:pStyle w:val="8"/>
              <w:spacing w:line="360" w:lineRule="auto"/>
              <w:ind w:firstLine="240" w:firstLineChars="100"/>
              <w:rPr>
                <w:kern w:val="0"/>
                <w:sz w:val="24"/>
                <w:szCs w:val="24"/>
              </w:rPr>
            </w:pPr>
            <w:r>
              <w:rPr>
                <w:kern w:val="0"/>
                <w:sz w:val="24"/>
                <w:szCs w:val="24"/>
              </w:rPr>
              <w:t>项目设备噪声经厂房、围墙等阻隔后在只考虑扩散衰减情况下，噪声衰减按下列公式计算：</w:t>
            </w:r>
          </w:p>
          <w:p w14:paraId="0A6228A9">
            <w:pPr>
              <w:pStyle w:val="8"/>
              <w:spacing w:line="360" w:lineRule="auto"/>
              <w:ind w:firstLine="0" w:firstLineChars="0"/>
              <w:jc w:val="center"/>
              <w:rPr>
                <w:kern w:val="0"/>
                <w:sz w:val="24"/>
                <w:szCs w:val="24"/>
              </w:rPr>
            </w:pPr>
            <w:r>
              <w:rPr>
                <w:rFonts w:hint="eastAsia"/>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rFonts w:hint="eastAsia"/>
                <w:kern w:val="0"/>
                <w:sz w:val="24"/>
                <w:szCs w:val="24"/>
              </w:rPr>
              <w:t>）=</w:t>
            </w:r>
            <w:r>
              <w:rPr>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i/>
                <w:iCs/>
                <w:kern w:val="0"/>
                <w:sz w:val="24"/>
                <w:szCs w:val="24"/>
                <w:vertAlign w:val="subscript"/>
              </w:rPr>
              <w:t>0</w:t>
            </w:r>
            <w:r>
              <w:rPr>
                <w:rFonts w:hint="eastAsia"/>
                <w:kern w:val="0"/>
                <w:sz w:val="24"/>
                <w:szCs w:val="24"/>
              </w:rPr>
              <w:t>）-</w:t>
            </w:r>
            <w:r>
              <w:rPr>
                <w:kern w:val="0"/>
                <w:sz w:val="24"/>
                <w:szCs w:val="24"/>
              </w:rPr>
              <w:t>20</w:t>
            </w:r>
            <w:r>
              <w:rPr>
                <w:rFonts w:hint="eastAsia"/>
                <w:kern w:val="0"/>
                <w:sz w:val="24"/>
                <w:szCs w:val="24"/>
              </w:rPr>
              <w:t>lg（</w:t>
            </w:r>
            <w:r>
              <w:rPr>
                <w:rFonts w:hint="eastAsia"/>
                <w:i/>
                <w:iCs/>
                <w:kern w:val="0"/>
                <w:sz w:val="24"/>
                <w:szCs w:val="24"/>
              </w:rPr>
              <w:t>r/r</w:t>
            </w:r>
            <w:r>
              <w:rPr>
                <w:i/>
                <w:iCs/>
                <w:kern w:val="0"/>
                <w:sz w:val="24"/>
                <w:szCs w:val="24"/>
                <w:vertAlign w:val="subscript"/>
              </w:rPr>
              <w:t>0</w:t>
            </w:r>
            <w:r>
              <w:rPr>
                <w:rFonts w:hint="eastAsia"/>
                <w:kern w:val="0"/>
                <w:sz w:val="24"/>
                <w:szCs w:val="24"/>
              </w:rPr>
              <w:t>）</w:t>
            </w:r>
          </w:p>
          <w:p w14:paraId="736C8AAF">
            <w:pPr>
              <w:pStyle w:val="8"/>
              <w:spacing w:line="360" w:lineRule="auto"/>
              <w:ind w:firstLine="480"/>
              <w:rPr>
                <w:kern w:val="0"/>
                <w:sz w:val="24"/>
                <w:szCs w:val="24"/>
              </w:rPr>
            </w:pPr>
            <w:r>
              <w:rPr>
                <w:kern w:val="0"/>
                <w:sz w:val="24"/>
                <w:szCs w:val="24"/>
              </w:rPr>
              <w:t>式中：</w:t>
            </w:r>
          </w:p>
          <w:p w14:paraId="585C26C2">
            <w:pPr>
              <w:pStyle w:val="8"/>
              <w:spacing w:line="360" w:lineRule="auto"/>
              <w:ind w:firstLine="480"/>
            </w:pPr>
            <w:r>
              <w:rPr>
                <w:rFonts w:hint="eastAsia"/>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rFonts w:hint="eastAsia"/>
                <w:kern w:val="0"/>
                <w:sz w:val="24"/>
                <w:szCs w:val="24"/>
              </w:rPr>
              <w:t>）</w:t>
            </w:r>
            <w:r>
              <w:t>——预测点处的声压级，dB；</w:t>
            </w:r>
          </w:p>
          <w:p w14:paraId="7B84DB92">
            <w:pPr>
              <w:pStyle w:val="8"/>
              <w:spacing w:line="360" w:lineRule="auto"/>
              <w:ind w:firstLine="480"/>
            </w:pPr>
            <w:r>
              <w:rPr>
                <w:kern w:val="0"/>
                <w:sz w:val="24"/>
                <w:szCs w:val="24"/>
              </w:rPr>
              <w:t>L</w:t>
            </w:r>
            <w:r>
              <w:rPr>
                <w:rFonts w:hint="eastAsia"/>
                <w:kern w:val="0"/>
                <w:sz w:val="24"/>
                <w:szCs w:val="24"/>
                <w:vertAlign w:val="subscript"/>
              </w:rPr>
              <w:t>p</w:t>
            </w:r>
            <w:r>
              <w:rPr>
                <w:rFonts w:hint="eastAsia"/>
                <w:kern w:val="0"/>
                <w:sz w:val="24"/>
                <w:szCs w:val="24"/>
              </w:rPr>
              <w:t>（</w:t>
            </w:r>
            <w:r>
              <w:rPr>
                <w:rFonts w:hint="eastAsia"/>
                <w:i/>
                <w:iCs/>
                <w:kern w:val="0"/>
                <w:sz w:val="24"/>
                <w:szCs w:val="24"/>
              </w:rPr>
              <w:t>r</w:t>
            </w:r>
            <w:r>
              <w:rPr>
                <w:i/>
                <w:iCs/>
                <w:kern w:val="0"/>
                <w:sz w:val="24"/>
                <w:szCs w:val="24"/>
                <w:vertAlign w:val="subscript"/>
              </w:rPr>
              <w:t>0</w:t>
            </w:r>
            <w:r>
              <w:rPr>
                <w:rFonts w:hint="eastAsia"/>
                <w:kern w:val="0"/>
                <w:sz w:val="24"/>
                <w:szCs w:val="24"/>
              </w:rPr>
              <w:t>）</w:t>
            </w:r>
            <w:r>
              <w:t>——参考位置</w:t>
            </w:r>
            <w:r>
              <w:rPr>
                <w:rFonts w:hint="eastAsia"/>
                <w:i/>
                <w:iCs/>
                <w:kern w:val="0"/>
                <w:sz w:val="24"/>
                <w:szCs w:val="24"/>
              </w:rPr>
              <w:t>r</w:t>
            </w:r>
            <w:r>
              <w:rPr>
                <w:i/>
                <w:iCs/>
                <w:kern w:val="0"/>
                <w:sz w:val="24"/>
                <w:szCs w:val="24"/>
                <w:vertAlign w:val="subscript"/>
              </w:rPr>
              <w:t>0</w:t>
            </w:r>
            <w:r>
              <w:t>处的声压级，dB(A)；</w:t>
            </w:r>
          </w:p>
          <w:p w14:paraId="1DDFAF31">
            <w:pPr>
              <w:pStyle w:val="8"/>
              <w:spacing w:line="360" w:lineRule="auto"/>
              <w:ind w:firstLine="480"/>
            </w:pPr>
            <w:r>
              <w:rPr>
                <w:rFonts w:hint="eastAsia"/>
                <w:i/>
                <w:iCs/>
                <w:kern w:val="0"/>
                <w:sz w:val="24"/>
                <w:szCs w:val="24"/>
              </w:rPr>
              <w:t>r</w:t>
            </w:r>
            <w:r>
              <w:t>——预测点距声源的距离；</w:t>
            </w:r>
          </w:p>
          <w:p w14:paraId="6206AFB9">
            <w:pPr>
              <w:pStyle w:val="8"/>
              <w:spacing w:line="360" w:lineRule="auto"/>
              <w:ind w:firstLine="480"/>
              <w:rPr>
                <w:kern w:val="0"/>
                <w:sz w:val="24"/>
                <w:szCs w:val="24"/>
              </w:rPr>
            </w:pPr>
            <w:r>
              <w:rPr>
                <w:rFonts w:hint="eastAsia"/>
                <w:i/>
                <w:iCs/>
                <w:kern w:val="0"/>
                <w:sz w:val="24"/>
                <w:szCs w:val="24"/>
              </w:rPr>
              <w:t>r</w:t>
            </w:r>
            <w:r>
              <w:rPr>
                <w:i/>
                <w:iCs/>
                <w:kern w:val="0"/>
                <w:sz w:val="24"/>
                <w:szCs w:val="24"/>
                <w:vertAlign w:val="subscript"/>
              </w:rPr>
              <w:t>0</w:t>
            </w:r>
            <w:r>
              <w:t>——参考位置距声源的距离。</w:t>
            </w:r>
          </w:p>
          <w:p w14:paraId="73E01227">
            <w:pPr>
              <w:pStyle w:val="8"/>
              <w:spacing w:line="360" w:lineRule="auto"/>
              <w:ind w:firstLine="240" w:firstLineChars="100"/>
              <w:rPr>
                <w:kern w:val="0"/>
                <w:sz w:val="24"/>
                <w:szCs w:val="24"/>
              </w:rPr>
            </w:pPr>
            <w:r>
              <w:rPr>
                <w:sz w:val="24"/>
                <w:szCs w:val="24"/>
              </w:rPr>
              <w:t>噪声贡献值采用导则附录B工业噪声预测计算模型（B.6）式计算，公式如下：</w:t>
            </w:r>
          </w:p>
          <w:p w14:paraId="0B47DD41">
            <w:pPr>
              <w:snapToGrid w:val="0"/>
              <w:ind w:firstLine="198"/>
              <w:jc w:val="center"/>
              <w:rPr>
                <w:szCs w:val="21"/>
              </w:rPr>
            </w:pPr>
            <w:r>
              <w:drawing>
                <wp:inline distT="0" distB="0" distL="0" distR="0">
                  <wp:extent cx="2226310" cy="4629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19212" cy="482397"/>
                          </a:xfrm>
                          <a:prstGeom prst="rect">
                            <a:avLst/>
                          </a:prstGeom>
                          <a:noFill/>
                          <a:ln>
                            <a:noFill/>
                          </a:ln>
                        </pic:spPr>
                      </pic:pic>
                    </a:graphicData>
                  </a:graphic>
                </wp:inline>
              </w:drawing>
            </w:r>
          </w:p>
          <w:p w14:paraId="0CB769B8">
            <w:pPr>
              <w:pStyle w:val="8"/>
              <w:spacing w:line="360" w:lineRule="auto"/>
              <w:ind w:firstLine="480"/>
              <w:rPr>
                <w:kern w:val="0"/>
                <w:sz w:val="24"/>
                <w:szCs w:val="24"/>
              </w:rPr>
            </w:pPr>
            <w:r>
              <w:rPr>
                <w:kern w:val="0"/>
                <w:sz w:val="24"/>
                <w:szCs w:val="24"/>
              </w:rPr>
              <w:t>式中：</w:t>
            </w:r>
          </w:p>
          <w:p w14:paraId="1838B0E7">
            <w:pPr>
              <w:pStyle w:val="8"/>
              <w:spacing w:line="360" w:lineRule="auto"/>
              <w:ind w:firstLine="720" w:firstLineChars="300"/>
              <w:rPr>
                <w:sz w:val="24"/>
                <w:szCs w:val="24"/>
              </w:rPr>
            </w:pPr>
            <w:r>
              <w:rPr>
                <w:i/>
                <w:iCs/>
                <w:sz w:val="24"/>
                <w:szCs w:val="24"/>
              </w:rPr>
              <w:t>L</w:t>
            </w:r>
            <w:r>
              <w:rPr>
                <w:i/>
                <w:iCs/>
                <w:sz w:val="24"/>
                <w:szCs w:val="24"/>
                <w:vertAlign w:val="subscript"/>
              </w:rPr>
              <w:t>eqg</w:t>
            </w:r>
            <w:r>
              <w:rPr>
                <w:sz w:val="24"/>
                <w:szCs w:val="24"/>
              </w:rPr>
              <w:t>——声源在预测点产生的噪声贡献值，dB；</w:t>
            </w:r>
          </w:p>
          <w:p w14:paraId="26531F30">
            <w:pPr>
              <w:pStyle w:val="8"/>
              <w:spacing w:line="360" w:lineRule="auto"/>
              <w:ind w:firstLine="720" w:firstLineChars="300"/>
              <w:rPr>
                <w:sz w:val="24"/>
                <w:szCs w:val="24"/>
              </w:rPr>
            </w:pPr>
            <w:r>
              <w:rPr>
                <w:i/>
                <w:iCs/>
                <w:sz w:val="24"/>
                <w:szCs w:val="24"/>
              </w:rPr>
              <w:t>T</w:t>
            </w:r>
            <w:r>
              <w:rPr>
                <w:sz w:val="24"/>
                <w:szCs w:val="24"/>
              </w:rPr>
              <w:t>——用于计算等效声级的时间，s；</w:t>
            </w:r>
          </w:p>
          <w:p w14:paraId="15758559">
            <w:pPr>
              <w:pStyle w:val="8"/>
              <w:spacing w:line="360" w:lineRule="auto"/>
              <w:ind w:firstLine="720" w:firstLineChars="300"/>
              <w:rPr>
                <w:sz w:val="24"/>
                <w:szCs w:val="24"/>
              </w:rPr>
            </w:pPr>
            <w:r>
              <w:rPr>
                <w:i/>
                <w:iCs/>
                <w:sz w:val="24"/>
                <w:szCs w:val="24"/>
              </w:rPr>
              <w:t>N</w:t>
            </w:r>
            <w:r>
              <w:rPr>
                <w:sz w:val="24"/>
                <w:szCs w:val="24"/>
              </w:rPr>
              <w:t>——室外声源个数；</w:t>
            </w:r>
          </w:p>
          <w:p w14:paraId="2E1099D8">
            <w:pPr>
              <w:pStyle w:val="8"/>
              <w:spacing w:line="360" w:lineRule="auto"/>
              <w:ind w:firstLine="720" w:firstLineChars="300"/>
              <w:rPr>
                <w:sz w:val="24"/>
                <w:szCs w:val="24"/>
              </w:rPr>
            </w:pPr>
            <w:r>
              <w:rPr>
                <w:i/>
                <w:iCs/>
                <w:sz w:val="24"/>
                <w:szCs w:val="24"/>
              </w:rPr>
              <w:t>L</w:t>
            </w:r>
            <w:r>
              <w:rPr>
                <w:i/>
                <w:iCs/>
                <w:sz w:val="24"/>
                <w:szCs w:val="24"/>
                <w:vertAlign w:val="subscript"/>
              </w:rPr>
              <w:t>Ai</w:t>
            </w:r>
            <w:r>
              <w:rPr>
                <w:sz w:val="24"/>
                <w:szCs w:val="24"/>
              </w:rPr>
              <w:t>——第 i 个室外声源在预测点产生 A 声级，dB；</w:t>
            </w:r>
          </w:p>
          <w:p w14:paraId="6B9E0EF4">
            <w:pPr>
              <w:pStyle w:val="8"/>
              <w:spacing w:line="360" w:lineRule="auto"/>
              <w:ind w:firstLine="720" w:firstLineChars="300"/>
              <w:rPr>
                <w:sz w:val="24"/>
                <w:szCs w:val="24"/>
              </w:rPr>
            </w:pPr>
            <w:r>
              <w:rPr>
                <w:i/>
                <w:iCs/>
                <w:sz w:val="24"/>
                <w:szCs w:val="24"/>
              </w:rPr>
              <w:t>t</w:t>
            </w:r>
            <w:r>
              <w:rPr>
                <w:i/>
                <w:iCs/>
                <w:sz w:val="24"/>
                <w:szCs w:val="24"/>
                <w:vertAlign w:val="subscript"/>
              </w:rPr>
              <w:t>i</w:t>
            </w:r>
            <w:r>
              <w:rPr>
                <w:sz w:val="24"/>
                <w:szCs w:val="24"/>
              </w:rPr>
              <w:t>——在 T 时间内 i 声源的工作时间，s；</w:t>
            </w:r>
          </w:p>
          <w:p w14:paraId="68A22403">
            <w:pPr>
              <w:pStyle w:val="8"/>
              <w:spacing w:line="360" w:lineRule="auto"/>
              <w:ind w:firstLine="720" w:firstLineChars="300"/>
              <w:rPr>
                <w:sz w:val="24"/>
                <w:szCs w:val="24"/>
              </w:rPr>
            </w:pPr>
            <w:r>
              <w:rPr>
                <w:sz w:val="24"/>
                <w:szCs w:val="24"/>
              </w:rPr>
              <w:t>M——等效室外声源个数；</w:t>
            </w:r>
          </w:p>
          <w:p w14:paraId="2F2078B0">
            <w:pPr>
              <w:pStyle w:val="8"/>
              <w:spacing w:line="360" w:lineRule="auto"/>
              <w:ind w:firstLine="720" w:firstLineChars="300"/>
              <w:rPr>
                <w:sz w:val="24"/>
                <w:szCs w:val="24"/>
              </w:rPr>
            </w:pPr>
            <w:r>
              <w:rPr>
                <w:i/>
                <w:iCs/>
                <w:sz w:val="24"/>
                <w:szCs w:val="24"/>
              </w:rPr>
              <w:t>L</w:t>
            </w:r>
            <w:r>
              <w:rPr>
                <w:i/>
                <w:iCs/>
                <w:sz w:val="24"/>
                <w:szCs w:val="24"/>
                <w:vertAlign w:val="subscript"/>
              </w:rPr>
              <w:t>Aj</w:t>
            </w:r>
            <w:r>
              <w:rPr>
                <w:sz w:val="24"/>
                <w:szCs w:val="24"/>
              </w:rPr>
              <w:t>——第 j 个等效室外声源在预测点产生 A 声级，dB；</w:t>
            </w:r>
          </w:p>
          <w:p w14:paraId="0589FD6A">
            <w:pPr>
              <w:pStyle w:val="8"/>
              <w:spacing w:line="360" w:lineRule="auto"/>
              <w:ind w:firstLine="720" w:firstLineChars="300"/>
              <w:rPr>
                <w:kern w:val="0"/>
                <w:sz w:val="24"/>
                <w:szCs w:val="24"/>
              </w:rPr>
            </w:pPr>
            <w:r>
              <w:rPr>
                <w:i/>
                <w:iCs/>
                <w:sz w:val="24"/>
                <w:szCs w:val="24"/>
              </w:rPr>
              <w:t>t</w:t>
            </w:r>
            <w:r>
              <w:rPr>
                <w:i/>
                <w:iCs/>
                <w:sz w:val="24"/>
                <w:szCs w:val="24"/>
                <w:vertAlign w:val="subscript"/>
              </w:rPr>
              <w:t>j</w:t>
            </w:r>
            <w:r>
              <w:rPr>
                <w:sz w:val="24"/>
                <w:szCs w:val="24"/>
              </w:rPr>
              <w:t>——在T时间内j声源的工作时间，s。</w:t>
            </w:r>
          </w:p>
          <w:p w14:paraId="14FB34AF">
            <w:pPr>
              <w:pStyle w:val="8"/>
              <w:spacing w:line="360" w:lineRule="auto"/>
              <w:ind w:firstLine="240" w:firstLineChars="100"/>
              <w:rPr>
                <w:kern w:val="0"/>
                <w:sz w:val="24"/>
                <w:szCs w:val="24"/>
              </w:rPr>
            </w:pPr>
            <w:r>
              <w:rPr>
                <w:kern w:val="0"/>
                <w:sz w:val="24"/>
                <w:szCs w:val="24"/>
              </w:rPr>
              <w:t>噪声预测值为贡献值和背景值按能量叠加方法计算得到，计算公式如下：</w:t>
            </w:r>
          </w:p>
          <w:p w14:paraId="714C3EAB">
            <w:pPr>
              <w:pStyle w:val="8"/>
              <w:snapToGrid w:val="0"/>
              <w:ind w:firstLine="0" w:firstLineChars="0"/>
              <w:jc w:val="center"/>
              <w:rPr>
                <w:rFonts w:hint="eastAsia"/>
                <w:kern w:val="0"/>
                <w:szCs w:val="21"/>
              </w:rPr>
            </w:pPr>
            <w:r>
              <w:drawing>
                <wp:inline distT="0" distB="0" distL="0" distR="0">
                  <wp:extent cx="1861820" cy="299720"/>
                  <wp:effectExtent l="0" t="0" r="508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45705" cy="313334"/>
                          </a:xfrm>
                          <a:prstGeom prst="rect">
                            <a:avLst/>
                          </a:prstGeom>
                          <a:noFill/>
                          <a:ln>
                            <a:noFill/>
                          </a:ln>
                        </pic:spPr>
                      </pic:pic>
                    </a:graphicData>
                  </a:graphic>
                </wp:inline>
              </w:drawing>
            </w:r>
          </w:p>
          <w:p w14:paraId="532AA9AB">
            <w:pPr>
              <w:pStyle w:val="8"/>
              <w:spacing w:line="360" w:lineRule="auto"/>
              <w:ind w:firstLine="480"/>
              <w:rPr>
                <w:kern w:val="0"/>
                <w:sz w:val="24"/>
                <w:szCs w:val="24"/>
              </w:rPr>
            </w:pPr>
            <w:r>
              <w:rPr>
                <w:kern w:val="0"/>
                <w:sz w:val="24"/>
                <w:szCs w:val="24"/>
              </w:rPr>
              <w:t>式中：</w:t>
            </w:r>
          </w:p>
          <w:p w14:paraId="6F64240A">
            <w:pPr>
              <w:pStyle w:val="8"/>
              <w:spacing w:line="360" w:lineRule="auto"/>
              <w:ind w:firstLine="720" w:firstLineChars="300"/>
              <w:rPr>
                <w:kern w:val="0"/>
                <w:sz w:val="24"/>
                <w:szCs w:val="24"/>
              </w:rPr>
            </w:pPr>
            <w:r>
              <w:rPr>
                <w:i/>
                <w:iCs/>
                <w:kern w:val="0"/>
                <w:sz w:val="24"/>
                <w:szCs w:val="24"/>
              </w:rPr>
              <w:t>L</w:t>
            </w:r>
            <w:r>
              <w:rPr>
                <w:rFonts w:hint="eastAsia"/>
                <w:i/>
                <w:iCs/>
                <w:kern w:val="0"/>
                <w:sz w:val="24"/>
                <w:szCs w:val="24"/>
                <w:vertAlign w:val="subscript"/>
              </w:rPr>
              <w:t>eq</w:t>
            </w:r>
            <w:r>
              <w:rPr>
                <w:kern w:val="0"/>
                <w:sz w:val="24"/>
                <w:szCs w:val="24"/>
              </w:rPr>
              <w:t>——预测点处的等效声级，dB(A)；</w:t>
            </w:r>
          </w:p>
          <w:p w14:paraId="527FB333">
            <w:pPr>
              <w:pStyle w:val="8"/>
              <w:spacing w:line="360" w:lineRule="auto"/>
              <w:ind w:firstLine="660" w:firstLineChars="275"/>
              <w:rPr>
                <w:kern w:val="0"/>
                <w:sz w:val="24"/>
                <w:szCs w:val="24"/>
              </w:rPr>
            </w:pPr>
            <w:r>
              <w:rPr>
                <w:i/>
                <w:iCs/>
                <w:kern w:val="0"/>
                <w:sz w:val="24"/>
                <w:szCs w:val="24"/>
              </w:rPr>
              <w:t>L</w:t>
            </w:r>
            <w:r>
              <w:rPr>
                <w:rFonts w:hint="eastAsia"/>
                <w:i/>
                <w:iCs/>
                <w:kern w:val="0"/>
                <w:sz w:val="24"/>
                <w:szCs w:val="24"/>
                <w:vertAlign w:val="subscript"/>
              </w:rPr>
              <w:t>eqg</w:t>
            </w:r>
            <w:r>
              <w:rPr>
                <w:kern w:val="0"/>
                <w:sz w:val="24"/>
                <w:szCs w:val="24"/>
              </w:rPr>
              <w:t>——</w:t>
            </w:r>
            <w:r>
              <w:rPr>
                <w:sz w:val="24"/>
                <w:szCs w:val="24"/>
              </w:rPr>
              <w:t>声源在预测点产生的噪声贡献值，dB</w:t>
            </w:r>
            <w:r>
              <w:rPr>
                <w:rFonts w:hint="eastAsia"/>
                <w:kern w:val="0"/>
                <w:sz w:val="24"/>
                <w:szCs w:val="24"/>
              </w:rPr>
              <w:t>；</w:t>
            </w:r>
          </w:p>
          <w:p w14:paraId="5C9AC34D">
            <w:pPr>
              <w:pStyle w:val="8"/>
              <w:spacing w:line="360" w:lineRule="auto"/>
              <w:ind w:firstLine="660" w:firstLineChars="275"/>
              <w:rPr>
                <w:rFonts w:hint="eastAsia"/>
                <w:i/>
                <w:iCs/>
                <w:kern w:val="0"/>
                <w:sz w:val="24"/>
                <w:szCs w:val="24"/>
              </w:rPr>
            </w:pPr>
            <w:r>
              <w:rPr>
                <w:i/>
                <w:iCs/>
                <w:kern w:val="0"/>
                <w:sz w:val="24"/>
                <w:szCs w:val="24"/>
              </w:rPr>
              <w:t>L</w:t>
            </w:r>
            <w:r>
              <w:rPr>
                <w:rFonts w:hint="eastAsia"/>
                <w:i/>
                <w:iCs/>
                <w:kern w:val="0"/>
                <w:sz w:val="24"/>
                <w:szCs w:val="24"/>
                <w:vertAlign w:val="subscript"/>
              </w:rPr>
              <w:t>eqb</w:t>
            </w:r>
            <w:r>
              <w:rPr>
                <w:i/>
                <w:iCs/>
                <w:kern w:val="0"/>
                <w:sz w:val="24"/>
                <w:szCs w:val="24"/>
              </w:rPr>
              <w:t>——预测点的背景噪声值，dB。</w:t>
            </w:r>
          </w:p>
          <w:p w14:paraId="6D8F96BA">
            <w:pPr>
              <w:pStyle w:val="8"/>
              <w:spacing w:line="360" w:lineRule="auto"/>
              <w:ind w:firstLine="240" w:firstLineChars="100"/>
              <w:rPr>
                <w:kern w:val="0"/>
                <w:sz w:val="24"/>
                <w:szCs w:val="24"/>
              </w:rPr>
            </w:pPr>
            <w:r>
              <w:rPr>
                <w:kern w:val="0"/>
                <w:sz w:val="24"/>
                <w:szCs w:val="24"/>
              </w:rPr>
              <w:t>B、预测点布设</w:t>
            </w:r>
          </w:p>
          <w:p w14:paraId="07C2D04A">
            <w:pPr>
              <w:pStyle w:val="8"/>
              <w:spacing w:line="360" w:lineRule="auto"/>
              <w:ind w:firstLine="240" w:firstLineChars="100"/>
              <w:rPr>
                <w:kern w:val="0"/>
                <w:sz w:val="24"/>
                <w:szCs w:val="24"/>
              </w:rPr>
            </w:pPr>
            <w:r>
              <w:rPr>
                <w:kern w:val="0"/>
                <w:sz w:val="24"/>
                <w:szCs w:val="24"/>
              </w:rPr>
              <w:t>本项目噪声预测点设置为受噪声影响最大的厂界点</w:t>
            </w:r>
            <w:r>
              <w:rPr>
                <w:rFonts w:hint="eastAsia"/>
                <w:kern w:val="0"/>
                <w:sz w:val="24"/>
                <w:szCs w:val="24"/>
              </w:rPr>
              <w:t>，</w:t>
            </w:r>
            <w:r>
              <w:rPr>
                <w:kern w:val="0"/>
                <w:sz w:val="24"/>
                <w:szCs w:val="24"/>
              </w:rPr>
              <w:t>各噪声源与预测点距离见表4-21。</w:t>
            </w:r>
          </w:p>
          <w:p w14:paraId="5CEBC6B5">
            <w:pPr>
              <w:spacing w:line="500" w:lineRule="exact"/>
              <w:jc w:val="center"/>
              <w:rPr>
                <w:rFonts w:ascii="Times New Roman" w:hAnsi="Times New Roman" w:cs="Times New Roman"/>
                <w:b/>
                <w:szCs w:val="21"/>
              </w:rPr>
            </w:pPr>
          </w:p>
          <w:p w14:paraId="3AFAE80A">
            <w:pPr>
              <w:spacing w:line="500" w:lineRule="exact"/>
              <w:jc w:val="center"/>
              <w:rPr>
                <w:rFonts w:ascii="Times New Roman" w:hAnsi="Times New Roman" w:cs="Times New Roman"/>
                <w:b/>
                <w:szCs w:val="21"/>
              </w:rPr>
            </w:pPr>
            <w:r>
              <w:rPr>
                <w:rFonts w:ascii="Times New Roman" w:hAnsi="Times New Roman" w:cs="Times New Roman"/>
                <w:b/>
                <w:szCs w:val="21"/>
              </w:rPr>
              <w:t>表4-21    各噪声源与预测点距离  单位：m</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949"/>
              <w:gridCol w:w="949"/>
              <w:gridCol w:w="1048"/>
              <w:gridCol w:w="1015"/>
              <w:gridCol w:w="1433"/>
            </w:tblGrid>
            <w:tr w14:paraId="2B10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shd w:val="clear" w:color="auto" w:fill="auto"/>
                  <w:vAlign w:val="center"/>
                </w:tcPr>
                <w:p w14:paraId="4F335F0C">
                  <w:pPr>
                    <w:jc w:val="center"/>
                    <w:rPr>
                      <w:rFonts w:ascii="Times New Roman" w:hAnsi="Times New Roman" w:cs="Times New Roman"/>
                      <w:b/>
                      <w:bCs/>
                      <w:szCs w:val="21"/>
                    </w:rPr>
                  </w:pPr>
                  <w:r>
                    <w:rPr>
                      <w:rFonts w:hint="eastAsia" w:ascii="Times New Roman" w:hAnsi="Times New Roman" w:cs="Times New Roman"/>
                      <w:b/>
                      <w:bCs/>
                      <w:szCs w:val="21"/>
                    </w:rPr>
                    <w:t>项 目</w:t>
                  </w:r>
                </w:p>
              </w:tc>
              <w:tc>
                <w:tcPr>
                  <w:tcW w:w="3961" w:type="dxa"/>
                  <w:gridSpan w:val="4"/>
                  <w:shd w:val="clear" w:color="auto" w:fill="auto"/>
                  <w:vAlign w:val="center"/>
                </w:tcPr>
                <w:p w14:paraId="42157A8A">
                  <w:pPr>
                    <w:jc w:val="center"/>
                    <w:rPr>
                      <w:rFonts w:ascii="Times New Roman" w:hAnsi="Times New Roman" w:cs="Times New Roman"/>
                      <w:b/>
                      <w:bCs/>
                      <w:szCs w:val="21"/>
                    </w:rPr>
                  </w:pPr>
                  <w:r>
                    <w:rPr>
                      <w:rFonts w:hint="eastAsia" w:ascii="Times New Roman" w:hAnsi="Times New Roman" w:cs="Times New Roman"/>
                      <w:b/>
                      <w:bCs/>
                      <w:szCs w:val="21"/>
                    </w:rPr>
                    <w:t>厂界</w:t>
                  </w:r>
                </w:p>
              </w:tc>
              <w:tc>
                <w:tcPr>
                  <w:tcW w:w="1433" w:type="dxa"/>
                </w:tcPr>
                <w:p w14:paraId="2D174E32">
                  <w:pPr>
                    <w:jc w:val="center"/>
                    <w:rPr>
                      <w:rFonts w:ascii="Times New Roman" w:hAnsi="Times New Roman" w:cs="Times New Roman"/>
                      <w:b/>
                      <w:bCs/>
                      <w:szCs w:val="21"/>
                    </w:rPr>
                  </w:pPr>
                  <w:r>
                    <w:rPr>
                      <w:rFonts w:hint="eastAsia" w:ascii="Times New Roman" w:hAnsi="Times New Roman" w:cs="Times New Roman"/>
                      <w:b/>
                      <w:bCs/>
                      <w:szCs w:val="21"/>
                    </w:rPr>
                    <w:t>敏感点</w:t>
                  </w:r>
                </w:p>
              </w:tc>
            </w:tr>
            <w:tr w14:paraId="5DAA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shd w:val="clear" w:color="auto" w:fill="auto"/>
                  <w:vAlign w:val="center"/>
                </w:tcPr>
                <w:p w14:paraId="6D769D49">
                  <w:pPr>
                    <w:jc w:val="center"/>
                    <w:rPr>
                      <w:rFonts w:ascii="Times New Roman" w:hAnsi="Times New Roman" w:cs="Times New Roman"/>
                      <w:b/>
                      <w:bCs/>
                      <w:szCs w:val="21"/>
                    </w:rPr>
                  </w:pPr>
                </w:p>
              </w:tc>
              <w:tc>
                <w:tcPr>
                  <w:tcW w:w="949" w:type="dxa"/>
                  <w:shd w:val="clear" w:color="auto" w:fill="auto"/>
                  <w:vAlign w:val="center"/>
                </w:tcPr>
                <w:p w14:paraId="0E580454">
                  <w:pPr>
                    <w:jc w:val="center"/>
                    <w:rPr>
                      <w:rFonts w:ascii="Times New Roman" w:hAnsi="Times New Roman" w:cs="Times New Roman"/>
                      <w:b/>
                      <w:bCs/>
                      <w:szCs w:val="21"/>
                    </w:rPr>
                  </w:pPr>
                  <w:r>
                    <w:rPr>
                      <w:rFonts w:hint="eastAsia" w:ascii="Times New Roman" w:hAnsi="Times New Roman" w:cs="Times New Roman"/>
                      <w:b/>
                      <w:bCs/>
                      <w:szCs w:val="21"/>
                    </w:rPr>
                    <w:t>东</w:t>
                  </w:r>
                </w:p>
              </w:tc>
              <w:tc>
                <w:tcPr>
                  <w:tcW w:w="949" w:type="dxa"/>
                  <w:shd w:val="clear" w:color="auto" w:fill="auto"/>
                  <w:vAlign w:val="center"/>
                </w:tcPr>
                <w:p w14:paraId="4B3EAC3F">
                  <w:pPr>
                    <w:jc w:val="center"/>
                    <w:rPr>
                      <w:rFonts w:ascii="Times New Roman" w:hAnsi="Times New Roman" w:cs="Times New Roman"/>
                      <w:b/>
                      <w:bCs/>
                      <w:szCs w:val="21"/>
                    </w:rPr>
                  </w:pPr>
                  <w:r>
                    <w:rPr>
                      <w:rFonts w:hint="eastAsia" w:ascii="Times New Roman" w:hAnsi="Times New Roman" w:cs="Times New Roman"/>
                      <w:b/>
                      <w:bCs/>
                      <w:szCs w:val="21"/>
                    </w:rPr>
                    <w:t>南</w:t>
                  </w:r>
                </w:p>
              </w:tc>
              <w:tc>
                <w:tcPr>
                  <w:tcW w:w="1048" w:type="dxa"/>
                  <w:shd w:val="clear" w:color="auto" w:fill="auto"/>
                  <w:vAlign w:val="center"/>
                </w:tcPr>
                <w:p w14:paraId="4DFE355D">
                  <w:pPr>
                    <w:jc w:val="center"/>
                    <w:rPr>
                      <w:rFonts w:ascii="Times New Roman" w:hAnsi="Times New Roman" w:cs="Times New Roman"/>
                      <w:b/>
                      <w:bCs/>
                      <w:szCs w:val="21"/>
                    </w:rPr>
                  </w:pPr>
                  <w:r>
                    <w:rPr>
                      <w:rFonts w:hint="eastAsia" w:ascii="Times New Roman" w:hAnsi="Times New Roman" w:cs="Times New Roman"/>
                      <w:b/>
                      <w:bCs/>
                      <w:szCs w:val="21"/>
                    </w:rPr>
                    <w:t>西</w:t>
                  </w:r>
                </w:p>
              </w:tc>
              <w:tc>
                <w:tcPr>
                  <w:tcW w:w="1015" w:type="dxa"/>
                  <w:shd w:val="clear" w:color="auto" w:fill="auto"/>
                  <w:vAlign w:val="center"/>
                </w:tcPr>
                <w:p w14:paraId="571EE21C">
                  <w:pPr>
                    <w:jc w:val="center"/>
                    <w:rPr>
                      <w:rFonts w:ascii="Times New Roman" w:hAnsi="Times New Roman" w:cs="Times New Roman"/>
                      <w:b/>
                      <w:bCs/>
                      <w:szCs w:val="21"/>
                    </w:rPr>
                  </w:pPr>
                  <w:r>
                    <w:rPr>
                      <w:rFonts w:hint="eastAsia" w:ascii="Times New Roman" w:hAnsi="Times New Roman" w:cs="Times New Roman"/>
                      <w:b/>
                      <w:bCs/>
                      <w:szCs w:val="21"/>
                    </w:rPr>
                    <w:t>北</w:t>
                  </w:r>
                </w:p>
              </w:tc>
              <w:tc>
                <w:tcPr>
                  <w:tcW w:w="1433" w:type="dxa"/>
                </w:tcPr>
                <w:p w14:paraId="31D68752">
                  <w:pPr>
                    <w:jc w:val="center"/>
                    <w:rPr>
                      <w:rFonts w:ascii="Times New Roman" w:hAnsi="Times New Roman" w:cs="Times New Roman"/>
                      <w:b/>
                      <w:bCs/>
                      <w:szCs w:val="21"/>
                    </w:rPr>
                  </w:pPr>
                  <w:r>
                    <w:rPr>
                      <w:rFonts w:hint="eastAsia" w:ascii="Times New Roman" w:hAnsi="Times New Roman" w:cs="Times New Roman"/>
                      <w:b/>
                      <w:bCs/>
                      <w:szCs w:val="21"/>
                    </w:rPr>
                    <w:t>帕当坝村</w:t>
                  </w:r>
                </w:p>
              </w:tc>
            </w:tr>
            <w:tr w14:paraId="1479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7FC2E500">
                  <w:pPr>
                    <w:jc w:val="center"/>
                    <w:rPr>
                      <w:rFonts w:ascii="Times New Roman" w:hAnsi="Times New Roman" w:cs="Times New Roman"/>
                      <w:szCs w:val="21"/>
                    </w:rPr>
                  </w:pPr>
                  <w:r>
                    <w:rPr>
                      <w:rFonts w:hint="eastAsia" w:ascii="Times New Roman" w:hAnsi="Times New Roman" w:cs="Times New Roman"/>
                      <w:szCs w:val="21"/>
                    </w:rPr>
                    <w:t>生产厂房</w:t>
                  </w:r>
                </w:p>
              </w:tc>
              <w:tc>
                <w:tcPr>
                  <w:tcW w:w="949" w:type="dxa"/>
                  <w:shd w:val="clear" w:color="auto" w:fill="auto"/>
                  <w:vAlign w:val="center"/>
                </w:tcPr>
                <w:p w14:paraId="33582CC8">
                  <w:pPr>
                    <w:jc w:val="center"/>
                    <w:rPr>
                      <w:rFonts w:ascii="Times New Roman" w:hAnsi="Times New Roman" w:cs="Times New Roman"/>
                      <w:szCs w:val="21"/>
                    </w:rPr>
                  </w:pPr>
                  <w:r>
                    <w:rPr>
                      <w:rFonts w:ascii="Times New Roman" w:hAnsi="Times New Roman" w:cs="Times New Roman"/>
                      <w:szCs w:val="21"/>
                    </w:rPr>
                    <w:t>9.5</w:t>
                  </w:r>
                </w:p>
              </w:tc>
              <w:tc>
                <w:tcPr>
                  <w:tcW w:w="949" w:type="dxa"/>
                  <w:shd w:val="clear" w:color="auto" w:fill="auto"/>
                  <w:vAlign w:val="center"/>
                </w:tcPr>
                <w:p w14:paraId="5D689F1B">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0.3</w:t>
                  </w:r>
                </w:p>
              </w:tc>
              <w:tc>
                <w:tcPr>
                  <w:tcW w:w="1048" w:type="dxa"/>
                  <w:shd w:val="clear" w:color="auto" w:fill="auto"/>
                  <w:vAlign w:val="center"/>
                </w:tcPr>
                <w:p w14:paraId="5FD730F9">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5.3</w:t>
                  </w:r>
                </w:p>
              </w:tc>
              <w:tc>
                <w:tcPr>
                  <w:tcW w:w="1015" w:type="dxa"/>
                  <w:shd w:val="clear" w:color="auto" w:fill="auto"/>
                  <w:vAlign w:val="center"/>
                </w:tcPr>
                <w:p w14:paraId="37C05914">
                  <w:pPr>
                    <w:jc w:val="cente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w:t>
                  </w:r>
                </w:p>
              </w:tc>
              <w:tc>
                <w:tcPr>
                  <w:tcW w:w="1433" w:type="dxa"/>
                </w:tcPr>
                <w:p w14:paraId="4F663B97">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29.5</w:t>
                  </w:r>
                </w:p>
              </w:tc>
            </w:tr>
            <w:tr w14:paraId="4717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49272033">
                  <w:pPr>
                    <w:jc w:val="center"/>
                    <w:rPr>
                      <w:rFonts w:ascii="Times New Roman" w:hAnsi="Times New Roman" w:cs="Times New Roman"/>
                      <w:szCs w:val="21"/>
                    </w:rPr>
                  </w:pPr>
                  <w:r>
                    <w:rPr>
                      <w:rFonts w:hint="eastAsia" w:ascii="Times New Roman" w:hAnsi="Times New Roman" w:cs="Times New Roman"/>
                      <w:szCs w:val="21"/>
                    </w:rPr>
                    <w:t>冷却塔</w:t>
                  </w:r>
                </w:p>
              </w:tc>
              <w:tc>
                <w:tcPr>
                  <w:tcW w:w="949" w:type="dxa"/>
                  <w:shd w:val="clear" w:color="auto" w:fill="auto"/>
                  <w:vAlign w:val="center"/>
                </w:tcPr>
                <w:p w14:paraId="66719729">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6.0</w:t>
                  </w:r>
                </w:p>
              </w:tc>
              <w:tc>
                <w:tcPr>
                  <w:tcW w:w="949" w:type="dxa"/>
                  <w:shd w:val="clear" w:color="auto" w:fill="auto"/>
                  <w:vAlign w:val="center"/>
                </w:tcPr>
                <w:p w14:paraId="7A1A065B">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6.4</w:t>
                  </w:r>
                </w:p>
              </w:tc>
              <w:tc>
                <w:tcPr>
                  <w:tcW w:w="1048" w:type="dxa"/>
                  <w:shd w:val="clear" w:color="auto" w:fill="auto"/>
                  <w:vAlign w:val="center"/>
                </w:tcPr>
                <w:p w14:paraId="5B06DAF2">
                  <w:pPr>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1.6</w:t>
                  </w:r>
                </w:p>
              </w:tc>
              <w:tc>
                <w:tcPr>
                  <w:tcW w:w="1015" w:type="dxa"/>
                  <w:shd w:val="clear" w:color="auto" w:fill="auto"/>
                  <w:vAlign w:val="center"/>
                </w:tcPr>
                <w:p w14:paraId="295E25A0">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.8</w:t>
                  </w:r>
                </w:p>
              </w:tc>
              <w:tc>
                <w:tcPr>
                  <w:tcW w:w="1433" w:type="dxa"/>
                </w:tcPr>
                <w:p w14:paraId="57ADD30F">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66.0</w:t>
                  </w:r>
                </w:p>
              </w:tc>
            </w:tr>
            <w:tr w14:paraId="47DA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453EA2C8">
                  <w:pPr>
                    <w:jc w:val="center"/>
                    <w:rPr>
                      <w:rFonts w:ascii="Times New Roman" w:hAnsi="Times New Roman" w:cs="Times New Roman"/>
                      <w:szCs w:val="21"/>
                    </w:rPr>
                  </w:pPr>
                  <w:r>
                    <w:rPr>
                      <w:rFonts w:hint="eastAsia" w:ascii="Times New Roman" w:hAnsi="Times New Roman" w:cs="Times New Roman"/>
                      <w:szCs w:val="21"/>
                    </w:rPr>
                    <w:t>喷淋塔</w:t>
                  </w:r>
                </w:p>
              </w:tc>
              <w:tc>
                <w:tcPr>
                  <w:tcW w:w="949" w:type="dxa"/>
                  <w:shd w:val="clear" w:color="auto" w:fill="auto"/>
                  <w:vAlign w:val="center"/>
                </w:tcPr>
                <w:p w14:paraId="63B8571A">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.5</w:t>
                  </w:r>
                </w:p>
              </w:tc>
              <w:tc>
                <w:tcPr>
                  <w:tcW w:w="949" w:type="dxa"/>
                  <w:shd w:val="clear" w:color="auto" w:fill="auto"/>
                  <w:vAlign w:val="center"/>
                </w:tcPr>
                <w:p w14:paraId="0F457DB1">
                  <w:pPr>
                    <w:jc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3.1</w:t>
                  </w:r>
                </w:p>
              </w:tc>
              <w:tc>
                <w:tcPr>
                  <w:tcW w:w="1048" w:type="dxa"/>
                  <w:shd w:val="clear" w:color="auto" w:fill="auto"/>
                  <w:vAlign w:val="center"/>
                </w:tcPr>
                <w:p w14:paraId="2EF6AA1A">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02.3</w:t>
                  </w:r>
                </w:p>
              </w:tc>
              <w:tc>
                <w:tcPr>
                  <w:tcW w:w="1015" w:type="dxa"/>
                  <w:shd w:val="clear" w:color="auto" w:fill="auto"/>
                  <w:vAlign w:val="center"/>
                </w:tcPr>
                <w:p w14:paraId="6972B1BF">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w:t>
                  </w:r>
                </w:p>
              </w:tc>
              <w:tc>
                <w:tcPr>
                  <w:tcW w:w="1433" w:type="dxa"/>
                </w:tcPr>
                <w:p w14:paraId="493A0831">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28.5</w:t>
                  </w:r>
                </w:p>
              </w:tc>
            </w:tr>
            <w:tr w14:paraId="5EC3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26E1377F">
                  <w:pPr>
                    <w:jc w:val="center"/>
                    <w:rPr>
                      <w:rFonts w:ascii="Times New Roman" w:hAnsi="Times New Roman" w:cs="Times New Roman"/>
                      <w:szCs w:val="21"/>
                    </w:rPr>
                  </w:pPr>
                  <w:r>
                    <w:rPr>
                      <w:rFonts w:hint="eastAsia" w:ascii="Times New Roman" w:hAnsi="Times New Roman" w:cs="Times New Roman"/>
                      <w:szCs w:val="21"/>
                    </w:rPr>
                    <w:t>污水处理站</w:t>
                  </w:r>
                </w:p>
              </w:tc>
              <w:tc>
                <w:tcPr>
                  <w:tcW w:w="949" w:type="dxa"/>
                  <w:shd w:val="clear" w:color="auto" w:fill="auto"/>
                  <w:vAlign w:val="center"/>
                </w:tcPr>
                <w:p w14:paraId="1169E187">
                  <w:pPr>
                    <w:jc w:val="cente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.0</w:t>
                  </w:r>
                </w:p>
              </w:tc>
              <w:tc>
                <w:tcPr>
                  <w:tcW w:w="949" w:type="dxa"/>
                  <w:shd w:val="clear" w:color="auto" w:fill="auto"/>
                  <w:vAlign w:val="center"/>
                </w:tcPr>
                <w:p w14:paraId="46433E15">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1.5</w:t>
                  </w:r>
                </w:p>
              </w:tc>
              <w:tc>
                <w:tcPr>
                  <w:tcW w:w="1048" w:type="dxa"/>
                  <w:shd w:val="clear" w:color="auto" w:fill="auto"/>
                  <w:vAlign w:val="center"/>
                </w:tcPr>
                <w:p w14:paraId="6DBED298">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02.5</w:t>
                  </w:r>
                </w:p>
              </w:tc>
              <w:tc>
                <w:tcPr>
                  <w:tcW w:w="1015" w:type="dxa"/>
                  <w:shd w:val="clear" w:color="auto" w:fill="auto"/>
                  <w:vAlign w:val="center"/>
                </w:tcPr>
                <w:p w14:paraId="02E70FD3">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9.5</w:t>
                  </w:r>
                </w:p>
              </w:tc>
              <w:tc>
                <w:tcPr>
                  <w:tcW w:w="1433" w:type="dxa"/>
                </w:tcPr>
                <w:p w14:paraId="14C7B175">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27.0</w:t>
                  </w:r>
                </w:p>
              </w:tc>
            </w:tr>
            <w:tr w14:paraId="2136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2601F808">
                  <w:pPr>
                    <w:jc w:val="center"/>
                    <w:rPr>
                      <w:rFonts w:ascii="Times New Roman" w:hAnsi="Times New Roman" w:cs="Times New Roman"/>
                      <w:szCs w:val="21"/>
                    </w:rPr>
                  </w:pPr>
                  <w:r>
                    <w:rPr>
                      <w:rFonts w:hint="eastAsia" w:ascii="Times New Roman" w:hAnsi="Times New Roman" w:cs="Times New Roman"/>
                      <w:szCs w:val="21"/>
                    </w:rPr>
                    <w:t>活性炭吸附系统</w:t>
                  </w:r>
                </w:p>
              </w:tc>
              <w:tc>
                <w:tcPr>
                  <w:tcW w:w="949" w:type="dxa"/>
                  <w:shd w:val="clear" w:color="auto" w:fill="auto"/>
                  <w:vAlign w:val="center"/>
                </w:tcPr>
                <w:p w14:paraId="3FB09E0A">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1.5</w:t>
                  </w:r>
                </w:p>
              </w:tc>
              <w:tc>
                <w:tcPr>
                  <w:tcW w:w="949" w:type="dxa"/>
                  <w:shd w:val="clear" w:color="auto" w:fill="auto"/>
                  <w:vAlign w:val="center"/>
                </w:tcPr>
                <w:p w14:paraId="19A5C101">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1.1</w:t>
                  </w:r>
                </w:p>
              </w:tc>
              <w:tc>
                <w:tcPr>
                  <w:tcW w:w="1048" w:type="dxa"/>
                  <w:shd w:val="clear" w:color="auto" w:fill="auto"/>
                  <w:vAlign w:val="center"/>
                </w:tcPr>
                <w:p w14:paraId="5C4F98F7">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02.3</w:t>
                  </w:r>
                </w:p>
              </w:tc>
              <w:tc>
                <w:tcPr>
                  <w:tcW w:w="1015" w:type="dxa"/>
                  <w:shd w:val="clear" w:color="auto" w:fill="auto"/>
                  <w:vAlign w:val="center"/>
                </w:tcPr>
                <w:p w14:paraId="12B21B26">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9.3</w:t>
                  </w:r>
                </w:p>
              </w:tc>
              <w:tc>
                <w:tcPr>
                  <w:tcW w:w="1433" w:type="dxa"/>
                </w:tcPr>
                <w:p w14:paraId="4A2C8129">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31.5</w:t>
                  </w:r>
                </w:p>
              </w:tc>
            </w:tr>
            <w:tr w14:paraId="5FBF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shd w:val="clear" w:color="auto" w:fill="auto"/>
                  <w:vAlign w:val="center"/>
                </w:tcPr>
                <w:p w14:paraId="56FDF172">
                  <w:pPr>
                    <w:jc w:val="center"/>
                    <w:rPr>
                      <w:rFonts w:ascii="Times New Roman" w:hAnsi="Times New Roman" w:cs="Times New Roman"/>
                      <w:szCs w:val="21"/>
                    </w:rPr>
                  </w:pPr>
                  <w:r>
                    <w:rPr>
                      <w:rFonts w:hint="eastAsia" w:ascii="Times New Roman" w:hAnsi="Times New Roman" w:cs="Times New Roman"/>
                      <w:szCs w:val="21"/>
                    </w:rPr>
                    <w:t>冷库</w:t>
                  </w:r>
                </w:p>
              </w:tc>
              <w:tc>
                <w:tcPr>
                  <w:tcW w:w="949" w:type="dxa"/>
                  <w:shd w:val="clear" w:color="auto" w:fill="auto"/>
                  <w:vAlign w:val="center"/>
                </w:tcPr>
                <w:p w14:paraId="2A71B445">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2.5</w:t>
                  </w:r>
                </w:p>
              </w:tc>
              <w:tc>
                <w:tcPr>
                  <w:tcW w:w="949" w:type="dxa"/>
                  <w:shd w:val="clear" w:color="auto" w:fill="auto"/>
                  <w:vAlign w:val="center"/>
                </w:tcPr>
                <w:p w14:paraId="45A3C75A">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7.4</w:t>
                  </w:r>
                </w:p>
              </w:tc>
              <w:tc>
                <w:tcPr>
                  <w:tcW w:w="1048" w:type="dxa"/>
                  <w:shd w:val="clear" w:color="auto" w:fill="auto"/>
                  <w:vAlign w:val="center"/>
                </w:tcPr>
                <w:p w14:paraId="135F6653">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02.3</w:t>
                  </w:r>
                </w:p>
              </w:tc>
              <w:tc>
                <w:tcPr>
                  <w:tcW w:w="1015" w:type="dxa"/>
                  <w:shd w:val="clear" w:color="auto" w:fill="auto"/>
                  <w:vAlign w:val="center"/>
                </w:tcPr>
                <w:p w14:paraId="3EE14FAE">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5.5</w:t>
                  </w:r>
                </w:p>
              </w:tc>
              <w:tc>
                <w:tcPr>
                  <w:tcW w:w="1433" w:type="dxa"/>
                </w:tcPr>
                <w:p w14:paraId="14D00EC3">
                  <w:pPr>
                    <w:jc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32.5</w:t>
                  </w:r>
                </w:p>
              </w:tc>
            </w:tr>
          </w:tbl>
          <w:p w14:paraId="528B8385">
            <w:pPr>
              <w:pStyle w:val="8"/>
              <w:ind w:firstLine="210" w:firstLineChars="100"/>
              <w:rPr>
                <w:kern w:val="0"/>
                <w:szCs w:val="21"/>
              </w:rPr>
            </w:pPr>
          </w:p>
          <w:p w14:paraId="4F63F61D">
            <w:pPr>
              <w:pStyle w:val="8"/>
              <w:spacing w:line="360" w:lineRule="auto"/>
              <w:ind w:firstLine="240" w:firstLineChars="100"/>
              <w:rPr>
                <w:kern w:val="0"/>
                <w:sz w:val="24"/>
                <w:szCs w:val="24"/>
              </w:rPr>
            </w:pPr>
            <w:r>
              <w:rPr>
                <w:rFonts w:hint="eastAsia"/>
                <w:kern w:val="0"/>
                <w:sz w:val="24"/>
                <w:szCs w:val="24"/>
              </w:rPr>
              <w:t>5、</w:t>
            </w:r>
            <w:r>
              <w:rPr>
                <w:kern w:val="0"/>
                <w:sz w:val="24"/>
                <w:szCs w:val="24"/>
              </w:rPr>
              <w:t>预测结果</w:t>
            </w:r>
          </w:p>
          <w:p w14:paraId="14946FBC">
            <w:pPr>
              <w:pStyle w:val="8"/>
              <w:spacing w:line="360" w:lineRule="auto"/>
              <w:ind w:firstLine="240" w:firstLineChars="100"/>
              <w:rPr>
                <w:kern w:val="0"/>
                <w:sz w:val="24"/>
                <w:szCs w:val="24"/>
              </w:rPr>
            </w:pPr>
            <w:r>
              <w:rPr>
                <w:kern w:val="0"/>
                <w:sz w:val="24"/>
                <w:szCs w:val="24"/>
              </w:rPr>
              <w:t>各噪声源经距离衰减及降噪后的贡献值及达标情况见</w:t>
            </w:r>
            <w:r>
              <w:rPr>
                <w:rFonts w:hint="eastAsia"/>
                <w:kern w:val="0"/>
                <w:sz w:val="24"/>
                <w:szCs w:val="24"/>
              </w:rPr>
              <w:t>下</w:t>
            </w:r>
            <w:r>
              <w:rPr>
                <w:kern w:val="0"/>
                <w:sz w:val="24"/>
                <w:szCs w:val="24"/>
              </w:rPr>
              <w:t>表。</w:t>
            </w:r>
          </w:p>
          <w:p w14:paraId="02AC563A">
            <w:pPr>
              <w:spacing w:line="500" w:lineRule="exact"/>
              <w:jc w:val="center"/>
              <w:rPr>
                <w:rFonts w:ascii="Times New Roman" w:hAnsi="Times New Roman" w:cs="Times New Roman"/>
                <w:b/>
                <w:szCs w:val="21"/>
              </w:rPr>
            </w:pPr>
            <w:r>
              <w:rPr>
                <w:rFonts w:ascii="Times New Roman" w:hAnsi="Times New Roman" w:cs="Times New Roman"/>
                <w:b/>
                <w:szCs w:val="21"/>
              </w:rPr>
              <w:t>表4-22    各噪声源贡献值及达标情况  单位：dB（A）</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112"/>
              <w:gridCol w:w="1246"/>
              <w:gridCol w:w="1247"/>
              <w:gridCol w:w="1247"/>
              <w:gridCol w:w="1597"/>
            </w:tblGrid>
            <w:tr w14:paraId="08CE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vMerge w:val="restart"/>
                  <w:shd w:val="clear" w:color="auto" w:fill="auto"/>
                  <w:vAlign w:val="center"/>
                </w:tcPr>
                <w:p w14:paraId="4C65A48D">
                  <w:pPr>
                    <w:spacing w:line="320" w:lineRule="exact"/>
                    <w:jc w:val="center"/>
                    <w:rPr>
                      <w:b/>
                      <w:bCs/>
                      <w:kern w:val="0"/>
                      <w:szCs w:val="21"/>
                    </w:rPr>
                  </w:pPr>
                  <w:r>
                    <w:rPr>
                      <w:rFonts w:hint="eastAsia"/>
                      <w:b/>
                      <w:bCs/>
                      <w:kern w:val="0"/>
                      <w:szCs w:val="21"/>
                    </w:rPr>
                    <w:t>项 目</w:t>
                  </w:r>
                </w:p>
              </w:tc>
              <w:tc>
                <w:tcPr>
                  <w:tcW w:w="4961" w:type="dxa"/>
                  <w:gridSpan w:val="4"/>
                  <w:shd w:val="clear" w:color="auto" w:fill="auto"/>
                  <w:vAlign w:val="center"/>
                </w:tcPr>
                <w:p w14:paraId="603972D2">
                  <w:pPr>
                    <w:spacing w:line="320" w:lineRule="exact"/>
                    <w:jc w:val="center"/>
                    <w:rPr>
                      <w:b/>
                      <w:bCs/>
                      <w:kern w:val="0"/>
                      <w:szCs w:val="21"/>
                    </w:rPr>
                  </w:pPr>
                  <w:r>
                    <w:rPr>
                      <w:rFonts w:hint="eastAsia"/>
                      <w:b/>
                      <w:bCs/>
                      <w:kern w:val="0"/>
                      <w:szCs w:val="21"/>
                    </w:rPr>
                    <w:t>厂界</w:t>
                  </w:r>
                </w:p>
              </w:tc>
              <w:tc>
                <w:tcPr>
                  <w:tcW w:w="1645" w:type="dxa"/>
                  <w:vAlign w:val="center"/>
                </w:tcPr>
                <w:p w14:paraId="3C75A88A">
                  <w:pPr>
                    <w:spacing w:line="320" w:lineRule="exact"/>
                    <w:jc w:val="center"/>
                    <w:rPr>
                      <w:b/>
                      <w:bCs/>
                      <w:kern w:val="0"/>
                      <w:szCs w:val="21"/>
                    </w:rPr>
                  </w:pPr>
                  <w:r>
                    <w:rPr>
                      <w:rFonts w:hint="eastAsia" w:ascii="Times New Roman" w:hAnsi="Times New Roman" w:cs="Times New Roman"/>
                      <w:b/>
                      <w:bCs/>
                      <w:szCs w:val="21"/>
                    </w:rPr>
                    <w:t>敏感点</w:t>
                  </w:r>
                </w:p>
              </w:tc>
            </w:tr>
            <w:tr w14:paraId="7729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70" w:type="dxa"/>
                  <w:vMerge w:val="continue"/>
                  <w:shd w:val="clear" w:color="auto" w:fill="auto"/>
                  <w:vAlign w:val="center"/>
                </w:tcPr>
                <w:p w14:paraId="7016B457">
                  <w:pPr>
                    <w:spacing w:line="320" w:lineRule="exact"/>
                    <w:jc w:val="center"/>
                    <w:rPr>
                      <w:b/>
                      <w:bCs/>
                      <w:kern w:val="0"/>
                      <w:szCs w:val="21"/>
                    </w:rPr>
                  </w:pPr>
                </w:p>
              </w:tc>
              <w:tc>
                <w:tcPr>
                  <w:tcW w:w="1134" w:type="dxa"/>
                  <w:shd w:val="clear" w:color="auto" w:fill="auto"/>
                  <w:vAlign w:val="center"/>
                </w:tcPr>
                <w:p w14:paraId="158D4C66">
                  <w:pPr>
                    <w:spacing w:line="320" w:lineRule="exact"/>
                    <w:jc w:val="center"/>
                    <w:rPr>
                      <w:b/>
                      <w:bCs/>
                      <w:kern w:val="0"/>
                      <w:szCs w:val="21"/>
                    </w:rPr>
                  </w:pPr>
                  <w:r>
                    <w:rPr>
                      <w:rFonts w:hint="eastAsia"/>
                      <w:b/>
                      <w:bCs/>
                      <w:kern w:val="0"/>
                      <w:szCs w:val="21"/>
                    </w:rPr>
                    <w:t>东</w:t>
                  </w:r>
                </w:p>
              </w:tc>
              <w:tc>
                <w:tcPr>
                  <w:tcW w:w="1275" w:type="dxa"/>
                  <w:shd w:val="clear" w:color="auto" w:fill="auto"/>
                  <w:vAlign w:val="center"/>
                </w:tcPr>
                <w:p w14:paraId="6DAC29D4">
                  <w:pPr>
                    <w:spacing w:line="320" w:lineRule="exact"/>
                    <w:jc w:val="center"/>
                    <w:rPr>
                      <w:b/>
                      <w:bCs/>
                      <w:kern w:val="0"/>
                      <w:szCs w:val="21"/>
                    </w:rPr>
                  </w:pPr>
                  <w:r>
                    <w:rPr>
                      <w:rFonts w:hint="eastAsia"/>
                      <w:b/>
                      <w:bCs/>
                      <w:kern w:val="0"/>
                      <w:szCs w:val="21"/>
                    </w:rPr>
                    <w:t>南</w:t>
                  </w:r>
                </w:p>
              </w:tc>
              <w:tc>
                <w:tcPr>
                  <w:tcW w:w="1276" w:type="dxa"/>
                  <w:shd w:val="clear" w:color="auto" w:fill="auto"/>
                  <w:vAlign w:val="center"/>
                </w:tcPr>
                <w:p w14:paraId="3A723F9D">
                  <w:pPr>
                    <w:spacing w:line="320" w:lineRule="exact"/>
                    <w:jc w:val="center"/>
                    <w:rPr>
                      <w:b/>
                      <w:bCs/>
                      <w:kern w:val="0"/>
                      <w:szCs w:val="21"/>
                    </w:rPr>
                  </w:pPr>
                  <w:r>
                    <w:rPr>
                      <w:rFonts w:hint="eastAsia"/>
                      <w:b/>
                      <w:bCs/>
                      <w:kern w:val="0"/>
                      <w:szCs w:val="21"/>
                    </w:rPr>
                    <w:t>西</w:t>
                  </w:r>
                </w:p>
              </w:tc>
              <w:tc>
                <w:tcPr>
                  <w:tcW w:w="1276" w:type="dxa"/>
                  <w:shd w:val="clear" w:color="auto" w:fill="auto"/>
                  <w:vAlign w:val="center"/>
                </w:tcPr>
                <w:p w14:paraId="4BACC49D">
                  <w:pPr>
                    <w:spacing w:line="320" w:lineRule="exact"/>
                    <w:jc w:val="center"/>
                    <w:rPr>
                      <w:b/>
                      <w:bCs/>
                      <w:kern w:val="0"/>
                      <w:szCs w:val="21"/>
                    </w:rPr>
                  </w:pPr>
                  <w:r>
                    <w:rPr>
                      <w:rFonts w:hint="eastAsia"/>
                      <w:b/>
                      <w:bCs/>
                      <w:kern w:val="0"/>
                      <w:szCs w:val="21"/>
                    </w:rPr>
                    <w:t>北</w:t>
                  </w:r>
                </w:p>
              </w:tc>
              <w:tc>
                <w:tcPr>
                  <w:tcW w:w="1645" w:type="dxa"/>
                  <w:vAlign w:val="center"/>
                </w:tcPr>
                <w:p w14:paraId="42536DA4">
                  <w:pPr>
                    <w:spacing w:line="320" w:lineRule="exact"/>
                    <w:jc w:val="center"/>
                    <w:rPr>
                      <w:b/>
                      <w:bCs/>
                      <w:kern w:val="0"/>
                      <w:szCs w:val="21"/>
                    </w:rPr>
                  </w:pPr>
                  <w:r>
                    <w:rPr>
                      <w:rFonts w:hint="eastAsia" w:ascii="Times New Roman" w:hAnsi="Times New Roman" w:cs="Times New Roman"/>
                      <w:b/>
                      <w:bCs/>
                      <w:szCs w:val="21"/>
                    </w:rPr>
                    <w:t>帕当坝村</w:t>
                  </w:r>
                </w:p>
              </w:tc>
            </w:tr>
            <w:tr w14:paraId="2A33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70" w:type="dxa"/>
                  <w:shd w:val="clear" w:color="auto" w:fill="auto"/>
                  <w:vAlign w:val="center"/>
                </w:tcPr>
                <w:p w14:paraId="5D332849">
                  <w:pPr>
                    <w:jc w:val="center"/>
                    <w:rPr>
                      <w:rFonts w:ascii="Times New Roman" w:hAnsi="Times New Roman" w:cs="Times New Roman"/>
                      <w:szCs w:val="21"/>
                    </w:rPr>
                  </w:pPr>
                  <w:r>
                    <w:rPr>
                      <w:rFonts w:hint="eastAsia" w:ascii="Times New Roman" w:hAnsi="Times New Roman" w:cs="Times New Roman"/>
                      <w:szCs w:val="21"/>
                    </w:rPr>
                    <w:t>生产厂房</w:t>
                  </w:r>
                </w:p>
              </w:tc>
              <w:tc>
                <w:tcPr>
                  <w:tcW w:w="1134" w:type="dxa"/>
                  <w:shd w:val="clear" w:color="auto" w:fill="auto"/>
                </w:tcPr>
                <w:p w14:paraId="114D9543">
                  <w:pPr>
                    <w:jc w:val="center"/>
                    <w:rPr>
                      <w:rFonts w:ascii="Times New Roman" w:hAnsi="Times New Roman" w:cs="Times New Roman"/>
                      <w:szCs w:val="21"/>
                    </w:rPr>
                  </w:pPr>
                  <w:r>
                    <w:rPr>
                      <w:rFonts w:hint="eastAsia" w:ascii="Times New Roman" w:hAnsi="Times New Roman" w:cs="Times New Roman"/>
                      <w:szCs w:val="21"/>
                    </w:rPr>
                    <w:t>51.55</w:t>
                  </w:r>
                </w:p>
              </w:tc>
              <w:tc>
                <w:tcPr>
                  <w:tcW w:w="1275" w:type="dxa"/>
                  <w:shd w:val="clear" w:color="auto" w:fill="auto"/>
                </w:tcPr>
                <w:p w14:paraId="4CE98C11">
                  <w:pPr>
                    <w:jc w:val="center"/>
                    <w:rPr>
                      <w:rFonts w:ascii="Times New Roman" w:hAnsi="Times New Roman" w:cs="Times New Roman"/>
                      <w:szCs w:val="21"/>
                    </w:rPr>
                  </w:pPr>
                  <w:r>
                    <w:rPr>
                      <w:rFonts w:hint="eastAsia" w:ascii="Times New Roman" w:hAnsi="Times New Roman" w:cs="Times New Roman"/>
                      <w:szCs w:val="21"/>
                    </w:rPr>
                    <w:t>50.84</w:t>
                  </w:r>
                </w:p>
              </w:tc>
              <w:tc>
                <w:tcPr>
                  <w:tcW w:w="1276" w:type="dxa"/>
                  <w:shd w:val="clear" w:color="auto" w:fill="auto"/>
                </w:tcPr>
                <w:p w14:paraId="5C24D317">
                  <w:pPr>
                    <w:jc w:val="center"/>
                    <w:rPr>
                      <w:rFonts w:ascii="Times New Roman" w:hAnsi="Times New Roman" w:cs="Times New Roman"/>
                      <w:szCs w:val="21"/>
                    </w:rPr>
                  </w:pPr>
                  <w:r>
                    <w:rPr>
                      <w:rFonts w:hint="eastAsia" w:ascii="Times New Roman" w:hAnsi="Times New Roman" w:cs="Times New Roman"/>
                      <w:szCs w:val="21"/>
                    </w:rPr>
                    <w:t>40.14</w:t>
                  </w:r>
                </w:p>
              </w:tc>
              <w:tc>
                <w:tcPr>
                  <w:tcW w:w="1276" w:type="dxa"/>
                  <w:shd w:val="clear" w:color="auto" w:fill="auto"/>
                </w:tcPr>
                <w:p w14:paraId="0189CFC2">
                  <w:pPr>
                    <w:jc w:val="center"/>
                    <w:rPr>
                      <w:rFonts w:ascii="Times New Roman" w:hAnsi="Times New Roman" w:cs="Times New Roman"/>
                      <w:szCs w:val="21"/>
                    </w:rPr>
                  </w:pPr>
                  <w:r>
                    <w:rPr>
                      <w:rFonts w:hint="eastAsia" w:ascii="Times New Roman" w:hAnsi="Times New Roman" w:cs="Times New Roman"/>
                      <w:szCs w:val="21"/>
                    </w:rPr>
                    <w:t>55.11</w:t>
                  </w:r>
                </w:p>
              </w:tc>
              <w:tc>
                <w:tcPr>
                  <w:tcW w:w="1645" w:type="dxa"/>
                </w:tcPr>
                <w:p w14:paraId="0407B6D2">
                  <w:pPr>
                    <w:jc w:val="center"/>
                    <w:rPr>
                      <w:rFonts w:ascii="Times New Roman" w:hAnsi="Times New Roman" w:cs="Times New Roman"/>
                      <w:szCs w:val="21"/>
                    </w:rPr>
                  </w:pPr>
                  <w:r>
                    <w:rPr>
                      <w:rFonts w:hint="eastAsia" w:ascii="Times New Roman" w:hAnsi="Times New Roman" w:cs="Times New Roman"/>
                      <w:szCs w:val="21"/>
                    </w:rPr>
                    <w:t>23.88</w:t>
                  </w:r>
                </w:p>
              </w:tc>
            </w:tr>
            <w:tr w14:paraId="65F2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70" w:type="dxa"/>
                  <w:shd w:val="clear" w:color="auto" w:fill="auto"/>
                  <w:vAlign w:val="center"/>
                </w:tcPr>
                <w:p w14:paraId="4ACBEB26">
                  <w:pPr>
                    <w:jc w:val="center"/>
                    <w:rPr>
                      <w:rFonts w:ascii="Times New Roman" w:hAnsi="Times New Roman" w:cs="Times New Roman"/>
                      <w:szCs w:val="21"/>
                    </w:rPr>
                  </w:pPr>
                  <w:r>
                    <w:rPr>
                      <w:rFonts w:hint="eastAsia" w:ascii="Times New Roman" w:hAnsi="Times New Roman" w:cs="Times New Roman"/>
                      <w:szCs w:val="21"/>
                    </w:rPr>
                    <w:t>冷却塔</w:t>
                  </w:r>
                </w:p>
              </w:tc>
              <w:tc>
                <w:tcPr>
                  <w:tcW w:w="1134" w:type="dxa"/>
                  <w:shd w:val="clear" w:color="auto" w:fill="auto"/>
                </w:tcPr>
                <w:p w14:paraId="31A69260">
                  <w:pPr>
                    <w:jc w:val="center"/>
                    <w:rPr>
                      <w:rFonts w:ascii="Times New Roman" w:hAnsi="Times New Roman" w:cs="Times New Roman"/>
                      <w:szCs w:val="21"/>
                    </w:rPr>
                  </w:pPr>
                  <w:r>
                    <w:rPr>
                      <w:rFonts w:hint="eastAsia" w:ascii="Times New Roman" w:hAnsi="Times New Roman" w:cs="Times New Roman"/>
                      <w:szCs w:val="21"/>
                    </w:rPr>
                    <w:t>16.74</w:t>
                  </w:r>
                </w:p>
              </w:tc>
              <w:tc>
                <w:tcPr>
                  <w:tcW w:w="1275" w:type="dxa"/>
                  <w:shd w:val="clear" w:color="auto" w:fill="auto"/>
                </w:tcPr>
                <w:p w14:paraId="402B73E2">
                  <w:pPr>
                    <w:jc w:val="center"/>
                    <w:rPr>
                      <w:rFonts w:ascii="Times New Roman" w:hAnsi="Times New Roman" w:cs="Times New Roman"/>
                      <w:szCs w:val="21"/>
                    </w:rPr>
                  </w:pPr>
                  <w:r>
                    <w:rPr>
                      <w:rFonts w:hint="eastAsia" w:ascii="Times New Roman" w:hAnsi="Times New Roman" w:cs="Times New Roman"/>
                      <w:szCs w:val="21"/>
                    </w:rPr>
                    <w:t>18.78</w:t>
                  </w:r>
                </w:p>
              </w:tc>
              <w:tc>
                <w:tcPr>
                  <w:tcW w:w="1276" w:type="dxa"/>
                  <w:shd w:val="clear" w:color="auto" w:fill="auto"/>
                </w:tcPr>
                <w:p w14:paraId="407F1730">
                  <w:pPr>
                    <w:jc w:val="center"/>
                    <w:rPr>
                      <w:rFonts w:ascii="Times New Roman" w:hAnsi="Times New Roman" w:cs="Times New Roman"/>
                      <w:szCs w:val="21"/>
                    </w:rPr>
                  </w:pPr>
                  <w:r>
                    <w:rPr>
                      <w:rFonts w:hint="eastAsia" w:ascii="Times New Roman" w:hAnsi="Times New Roman" w:cs="Times New Roman"/>
                      <w:szCs w:val="21"/>
                    </w:rPr>
                    <w:t>15.75</w:t>
                  </w:r>
                </w:p>
              </w:tc>
              <w:tc>
                <w:tcPr>
                  <w:tcW w:w="1276" w:type="dxa"/>
                  <w:shd w:val="clear" w:color="auto" w:fill="auto"/>
                </w:tcPr>
                <w:p w14:paraId="5F45EEB5">
                  <w:pPr>
                    <w:jc w:val="center"/>
                    <w:rPr>
                      <w:rFonts w:ascii="Times New Roman" w:hAnsi="Times New Roman" w:cs="Times New Roman"/>
                      <w:szCs w:val="21"/>
                    </w:rPr>
                  </w:pPr>
                  <w:r>
                    <w:rPr>
                      <w:rFonts w:hint="eastAsia" w:ascii="Times New Roman" w:hAnsi="Times New Roman" w:cs="Times New Roman"/>
                      <w:szCs w:val="21"/>
                    </w:rPr>
                    <w:t>44.89</w:t>
                  </w:r>
                </w:p>
              </w:tc>
              <w:tc>
                <w:tcPr>
                  <w:tcW w:w="1645" w:type="dxa"/>
                </w:tcPr>
                <w:p w14:paraId="195FFB58">
                  <w:pPr>
                    <w:jc w:val="center"/>
                    <w:rPr>
                      <w:rFonts w:ascii="Times New Roman" w:hAnsi="Times New Roman" w:cs="Times New Roman"/>
                      <w:szCs w:val="21"/>
                    </w:rPr>
                  </w:pPr>
                  <w:r>
                    <w:rPr>
                      <w:rFonts w:hint="eastAsia" w:ascii="Times New Roman" w:hAnsi="Times New Roman" w:cs="Times New Roman"/>
                      <w:szCs w:val="21"/>
                    </w:rPr>
                    <w:t>1.50</w:t>
                  </w:r>
                </w:p>
              </w:tc>
            </w:tr>
            <w:tr w14:paraId="645F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3BFAF446">
                  <w:pPr>
                    <w:jc w:val="center"/>
                    <w:rPr>
                      <w:rFonts w:ascii="Times New Roman" w:hAnsi="Times New Roman" w:cs="Times New Roman"/>
                      <w:szCs w:val="21"/>
                    </w:rPr>
                  </w:pPr>
                  <w:r>
                    <w:rPr>
                      <w:rFonts w:hint="eastAsia" w:ascii="Times New Roman" w:hAnsi="Times New Roman" w:cs="Times New Roman"/>
                      <w:szCs w:val="21"/>
                    </w:rPr>
                    <w:t>喷淋塔</w:t>
                  </w:r>
                </w:p>
              </w:tc>
              <w:tc>
                <w:tcPr>
                  <w:tcW w:w="1134" w:type="dxa"/>
                  <w:shd w:val="clear" w:color="auto" w:fill="auto"/>
                </w:tcPr>
                <w:p w14:paraId="37408F58">
                  <w:pPr>
                    <w:jc w:val="center"/>
                    <w:rPr>
                      <w:rFonts w:ascii="Times New Roman" w:hAnsi="Times New Roman" w:cs="Times New Roman"/>
                      <w:szCs w:val="21"/>
                    </w:rPr>
                  </w:pPr>
                  <w:r>
                    <w:rPr>
                      <w:rFonts w:hint="eastAsia" w:ascii="Times New Roman" w:hAnsi="Times New Roman" w:cs="Times New Roman"/>
                      <w:szCs w:val="21"/>
                    </w:rPr>
                    <w:t>34.41</w:t>
                  </w:r>
                </w:p>
              </w:tc>
              <w:tc>
                <w:tcPr>
                  <w:tcW w:w="1275" w:type="dxa"/>
                  <w:shd w:val="clear" w:color="auto" w:fill="auto"/>
                </w:tcPr>
                <w:p w14:paraId="6A12CA35">
                  <w:pPr>
                    <w:jc w:val="center"/>
                    <w:rPr>
                      <w:rFonts w:ascii="Times New Roman" w:hAnsi="Times New Roman" w:cs="Times New Roman"/>
                      <w:szCs w:val="21"/>
                    </w:rPr>
                  </w:pPr>
                  <w:r>
                    <w:rPr>
                      <w:rFonts w:hint="eastAsia" w:ascii="Times New Roman" w:hAnsi="Times New Roman" w:cs="Times New Roman"/>
                      <w:szCs w:val="21"/>
                    </w:rPr>
                    <w:t>20.31</w:t>
                  </w:r>
                </w:p>
              </w:tc>
              <w:tc>
                <w:tcPr>
                  <w:tcW w:w="1276" w:type="dxa"/>
                  <w:shd w:val="clear" w:color="auto" w:fill="auto"/>
                </w:tcPr>
                <w:p w14:paraId="49100F30">
                  <w:pPr>
                    <w:jc w:val="center"/>
                    <w:rPr>
                      <w:rFonts w:ascii="Times New Roman" w:hAnsi="Times New Roman" w:cs="Times New Roman"/>
                      <w:szCs w:val="21"/>
                    </w:rPr>
                  </w:pPr>
                  <w:r>
                    <w:rPr>
                      <w:rFonts w:hint="eastAsia" w:ascii="Times New Roman" w:hAnsi="Times New Roman" w:cs="Times New Roman"/>
                      <w:szCs w:val="21"/>
                    </w:rPr>
                    <w:t>12.80</w:t>
                  </w:r>
                </w:p>
              </w:tc>
              <w:tc>
                <w:tcPr>
                  <w:tcW w:w="1276" w:type="dxa"/>
                  <w:shd w:val="clear" w:color="auto" w:fill="auto"/>
                </w:tcPr>
                <w:p w14:paraId="008106CA">
                  <w:pPr>
                    <w:jc w:val="center"/>
                    <w:rPr>
                      <w:rFonts w:ascii="Times New Roman" w:hAnsi="Times New Roman" w:cs="Times New Roman"/>
                      <w:szCs w:val="21"/>
                    </w:rPr>
                  </w:pPr>
                  <w:r>
                    <w:rPr>
                      <w:rFonts w:hint="eastAsia" w:ascii="Times New Roman" w:hAnsi="Times New Roman" w:cs="Times New Roman"/>
                      <w:szCs w:val="21"/>
                    </w:rPr>
                    <w:t>34.83</w:t>
                  </w:r>
                </w:p>
              </w:tc>
              <w:tc>
                <w:tcPr>
                  <w:tcW w:w="1645" w:type="dxa"/>
                </w:tcPr>
                <w:p w14:paraId="5D53FF90">
                  <w:pPr>
                    <w:jc w:val="center"/>
                    <w:rPr>
                      <w:rFonts w:ascii="Times New Roman" w:hAnsi="Times New Roman" w:cs="Times New Roman"/>
                      <w:szCs w:val="21"/>
                    </w:rPr>
                  </w:pPr>
                  <w:r>
                    <w:rPr>
                      <w:rFonts w:hint="eastAsia" w:ascii="Times New Roman" w:hAnsi="Times New Roman" w:cs="Times New Roman"/>
                      <w:szCs w:val="21"/>
                    </w:rPr>
                    <w:t>5.82</w:t>
                  </w:r>
                </w:p>
              </w:tc>
            </w:tr>
            <w:tr w14:paraId="37A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006FC6A0">
                  <w:pPr>
                    <w:jc w:val="center"/>
                    <w:rPr>
                      <w:rFonts w:ascii="Times New Roman" w:hAnsi="Times New Roman" w:cs="Times New Roman"/>
                      <w:szCs w:val="21"/>
                    </w:rPr>
                  </w:pPr>
                  <w:r>
                    <w:rPr>
                      <w:rFonts w:hint="eastAsia" w:ascii="Times New Roman" w:hAnsi="Times New Roman" w:cs="Times New Roman"/>
                      <w:szCs w:val="21"/>
                    </w:rPr>
                    <w:t>污水处理站</w:t>
                  </w:r>
                </w:p>
              </w:tc>
              <w:tc>
                <w:tcPr>
                  <w:tcW w:w="1134" w:type="dxa"/>
                  <w:shd w:val="clear" w:color="auto" w:fill="auto"/>
                </w:tcPr>
                <w:p w14:paraId="3825C749">
                  <w:pPr>
                    <w:jc w:val="center"/>
                    <w:rPr>
                      <w:rFonts w:ascii="Times New Roman" w:hAnsi="Times New Roman" w:cs="Times New Roman"/>
                      <w:szCs w:val="21"/>
                    </w:rPr>
                  </w:pPr>
                  <w:r>
                    <w:rPr>
                      <w:rFonts w:hint="eastAsia" w:ascii="Times New Roman" w:hAnsi="Times New Roman" w:cs="Times New Roman"/>
                      <w:szCs w:val="21"/>
                    </w:rPr>
                    <w:t>48.20</w:t>
                  </w:r>
                </w:p>
              </w:tc>
              <w:tc>
                <w:tcPr>
                  <w:tcW w:w="1275" w:type="dxa"/>
                  <w:shd w:val="clear" w:color="auto" w:fill="auto"/>
                </w:tcPr>
                <w:p w14:paraId="02458204">
                  <w:pPr>
                    <w:jc w:val="center"/>
                    <w:rPr>
                      <w:rFonts w:ascii="Times New Roman" w:hAnsi="Times New Roman" w:cs="Times New Roman"/>
                      <w:szCs w:val="21"/>
                    </w:rPr>
                  </w:pPr>
                  <w:r>
                    <w:rPr>
                      <w:rFonts w:hint="eastAsia" w:ascii="Times New Roman" w:hAnsi="Times New Roman" w:cs="Times New Roman"/>
                      <w:szCs w:val="21"/>
                    </w:rPr>
                    <w:t>43.89</w:t>
                  </w:r>
                </w:p>
              </w:tc>
              <w:tc>
                <w:tcPr>
                  <w:tcW w:w="1276" w:type="dxa"/>
                  <w:shd w:val="clear" w:color="auto" w:fill="auto"/>
                </w:tcPr>
                <w:p w14:paraId="0DC857C6">
                  <w:pPr>
                    <w:jc w:val="center"/>
                    <w:rPr>
                      <w:rFonts w:ascii="Times New Roman" w:hAnsi="Times New Roman" w:cs="Times New Roman"/>
                      <w:szCs w:val="21"/>
                    </w:rPr>
                  </w:pPr>
                  <w:r>
                    <w:rPr>
                      <w:rFonts w:hint="eastAsia" w:ascii="Times New Roman" w:hAnsi="Times New Roman" w:cs="Times New Roman"/>
                      <w:szCs w:val="21"/>
                    </w:rPr>
                    <w:t>24.89</w:t>
                  </w:r>
                </w:p>
              </w:tc>
              <w:tc>
                <w:tcPr>
                  <w:tcW w:w="1276" w:type="dxa"/>
                  <w:shd w:val="clear" w:color="auto" w:fill="auto"/>
                </w:tcPr>
                <w:p w14:paraId="6E117AA5">
                  <w:pPr>
                    <w:jc w:val="center"/>
                    <w:rPr>
                      <w:rFonts w:ascii="Times New Roman" w:hAnsi="Times New Roman" w:cs="Times New Roman"/>
                      <w:szCs w:val="21"/>
                    </w:rPr>
                  </w:pPr>
                  <w:r>
                    <w:rPr>
                      <w:rFonts w:hint="eastAsia" w:ascii="Times New Roman" w:hAnsi="Times New Roman" w:cs="Times New Roman"/>
                      <w:szCs w:val="21"/>
                    </w:rPr>
                    <w:t>33.17</w:t>
                  </w:r>
                </w:p>
              </w:tc>
              <w:tc>
                <w:tcPr>
                  <w:tcW w:w="1645" w:type="dxa"/>
                </w:tcPr>
                <w:p w14:paraId="64E99EFB">
                  <w:pPr>
                    <w:jc w:val="center"/>
                    <w:rPr>
                      <w:rFonts w:ascii="Times New Roman" w:hAnsi="Times New Roman" w:cs="Times New Roman"/>
                      <w:szCs w:val="21"/>
                    </w:rPr>
                  </w:pPr>
                  <w:r>
                    <w:rPr>
                      <w:rFonts w:hint="eastAsia" w:ascii="Times New Roman" w:hAnsi="Times New Roman" w:cs="Times New Roman"/>
                      <w:szCs w:val="21"/>
                    </w:rPr>
                    <w:t>17.98</w:t>
                  </w:r>
                </w:p>
              </w:tc>
            </w:tr>
            <w:tr w14:paraId="097D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4054B5B5">
                  <w:pPr>
                    <w:jc w:val="center"/>
                    <w:rPr>
                      <w:rFonts w:ascii="Times New Roman" w:hAnsi="Times New Roman" w:cs="Times New Roman"/>
                      <w:szCs w:val="21"/>
                    </w:rPr>
                  </w:pPr>
                  <w:r>
                    <w:rPr>
                      <w:rFonts w:hint="eastAsia" w:ascii="Times New Roman" w:hAnsi="Times New Roman" w:cs="Times New Roman"/>
                      <w:szCs w:val="21"/>
                    </w:rPr>
                    <w:t>活性炭吸附系统</w:t>
                  </w:r>
                </w:p>
              </w:tc>
              <w:tc>
                <w:tcPr>
                  <w:tcW w:w="1134" w:type="dxa"/>
                  <w:shd w:val="clear" w:color="auto" w:fill="auto"/>
                </w:tcPr>
                <w:p w14:paraId="0EB1DEA7">
                  <w:pPr>
                    <w:jc w:val="center"/>
                    <w:rPr>
                      <w:rFonts w:ascii="Times New Roman" w:hAnsi="Times New Roman" w:cs="Times New Roman"/>
                      <w:szCs w:val="21"/>
                    </w:rPr>
                  </w:pPr>
                  <w:r>
                    <w:rPr>
                      <w:rFonts w:hint="eastAsia" w:ascii="Times New Roman" w:hAnsi="Times New Roman" w:cs="Times New Roman"/>
                      <w:szCs w:val="21"/>
                    </w:rPr>
                    <w:t>38.79</w:t>
                  </w:r>
                </w:p>
              </w:tc>
              <w:tc>
                <w:tcPr>
                  <w:tcW w:w="1275" w:type="dxa"/>
                  <w:shd w:val="clear" w:color="auto" w:fill="auto"/>
                </w:tcPr>
                <w:p w14:paraId="5BC0B5F8">
                  <w:pPr>
                    <w:jc w:val="center"/>
                    <w:rPr>
                      <w:rFonts w:ascii="Times New Roman" w:hAnsi="Times New Roman" w:cs="Times New Roman"/>
                      <w:szCs w:val="21"/>
                    </w:rPr>
                  </w:pPr>
                  <w:r>
                    <w:rPr>
                      <w:rFonts w:hint="eastAsia" w:ascii="Times New Roman" w:hAnsi="Times New Roman" w:cs="Times New Roman"/>
                      <w:szCs w:val="21"/>
                    </w:rPr>
                    <w:t>33.51</w:t>
                  </w:r>
                </w:p>
              </w:tc>
              <w:tc>
                <w:tcPr>
                  <w:tcW w:w="1276" w:type="dxa"/>
                  <w:shd w:val="clear" w:color="auto" w:fill="auto"/>
                </w:tcPr>
                <w:p w14:paraId="5A1B7F40">
                  <w:pPr>
                    <w:jc w:val="center"/>
                    <w:rPr>
                      <w:rFonts w:ascii="Times New Roman" w:hAnsi="Times New Roman" w:cs="Times New Roman"/>
                      <w:szCs w:val="21"/>
                    </w:rPr>
                  </w:pPr>
                  <w:r>
                    <w:rPr>
                      <w:rFonts w:hint="eastAsia" w:ascii="Times New Roman" w:hAnsi="Times New Roman" w:cs="Times New Roman"/>
                      <w:szCs w:val="21"/>
                    </w:rPr>
                    <w:t>19.80</w:t>
                  </w:r>
                </w:p>
              </w:tc>
              <w:tc>
                <w:tcPr>
                  <w:tcW w:w="1276" w:type="dxa"/>
                  <w:shd w:val="clear" w:color="auto" w:fill="auto"/>
                </w:tcPr>
                <w:p w14:paraId="58A10FB2">
                  <w:pPr>
                    <w:jc w:val="center"/>
                    <w:rPr>
                      <w:rFonts w:ascii="Times New Roman" w:hAnsi="Times New Roman" w:cs="Times New Roman"/>
                      <w:szCs w:val="21"/>
                    </w:rPr>
                  </w:pPr>
                  <w:r>
                    <w:rPr>
                      <w:rFonts w:hint="eastAsia" w:ascii="Times New Roman" w:hAnsi="Times New Roman" w:cs="Times New Roman"/>
                      <w:szCs w:val="21"/>
                    </w:rPr>
                    <w:t>30.66</w:t>
                  </w:r>
                </w:p>
              </w:tc>
              <w:tc>
                <w:tcPr>
                  <w:tcW w:w="1645" w:type="dxa"/>
                </w:tcPr>
                <w:p w14:paraId="3D26FF89">
                  <w:pPr>
                    <w:jc w:val="center"/>
                    <w:rPr>
                      <w:rFonts w:ascii="Times New Roman" w:hAnsi="Times New Roman" w:cs="Times New Roman"/>
                      <w:szCs w:val="21"/>
                    </w:rPr>
                  </w:pPr>
                  <w:r>
                    <w:rPr>
                      <w:rFonts w:hint="eastAsia" w:ascii="Times New Roman" w:hAnsi="Times New Roman" w:cs="Times New Roman"/>
                      <w:szCs w:val="21"/>
                    </w:rPr>
                    <w:t>12.71</w:t>
                  </w:r>
                </w:p>
              </w:tc>
            </w:tr>
            <w:tr w14:paraId="6442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70" w:type="dxa"/>
                  <w:shd w:val="clear" w:color="auto" w:fill="auto"/>
                  <w:vAlign w:val="center"/>
                </w:tcPr>
                <w:p w14:paraId="0D9B7DE0">
                  <w:pPr>
                    <w:jc w:val="center"/>
                    <w:rPr>
                      <w:rFonts w:ascii="Times New Roman" w:hAnsi="Times New Roman" w:cs="Times New Roman"/>
                      <w:szCs w:val="21"/>
                    </w:rPr>
                  </w:pPr>
                  <w:r>
                    <w:rPr>
                      <w:rFonts w:hint="eastAsia" w:ascii="Times New Roman" w:hAnsi="Times New Roman" w:cs="Times New Roman"/>
                      <w:szCs w:val="21"/>
                    </w:rPr>
                    <w:t>冷库</w:t>
                  </w:r>
                </w:p>
              </w:tc>
              <w:tc>
                <w:tcPr>
                  <w:tcW w:w="1134" w:type="dxa"/>
                  <w:shd w:val="clear" w:color="auto" w:fill="auto"/>
                </w:tcPr>
                <w:p w14:paraId="13694802">
                  <w:pPr>
                    <w:jc w:val="center"/>
                    <w:rPr>
                      <w:rFonts w:ascii="Times New Roman" w:hAnsi="Times New Roman" w:cs="Times New Roman"/>
                      <w:szCs w:val="21"/>
                    </w:rPr>
                  </w:pPr>
                  <w:r>
                    <w:rPr>
                      <w:rFonts w:hint="eastAsia" w:ascii="Times New Roman" w:hAnsi="Times New Roman" w:cs="Times New Roman"/>
                      <w:szCs w:val="21"/>
                    </w:rPr>
                    <w:t>53.06</w:t>
                  </w:r>
                </w:p>
              </w:tc>
              <w:tc>
                <w:tcPr>
                  <w:tcW w:w="1275" w:type="dxa"/>
                  <w:shd w:val="clear" w:color="auto" w:fill="auto"/>
                </w:tcPr>
                <w:p w14:paraId="3FBF75C9">
                  <w:pPr>
                    <w:jc w:val="center"/>
                    <w:rPr>
                      <w:rFonts w:ascii="Times New Roman" w:hAnsi="Times New Roman" w:cs="Times New Roman"/>
                      <w:szCs w:val="21"/>
                    </w:rPr>
                  </w:pPr>
                  <w:r>
                    <w:rPr>
                      <w:rFonts w:hint="eastAsia" w:ascii="Times New Roman" w:hAnsi="Times New Roman" w:cs="Times New Roman"/>
                      <w:szCs w:val="21"/>
                    </w:rPr>
                    <w:t>46.24</w:t>
                  </w:r>
                </w:p>
              </w:tc>
              <w:tc>
                <w:tcPr>
                  <w:tcW w:w="1276" w:type="dxa"/>
                  <w:shd w:val="clear" w:color="auto" w:fill="auto"/>
                </w:tcPr>
                <w:p w14:paraId="68B7B980">
                  <w:pPr>
                    <w:jc w:val="center"/>
                    <w:rPr>
                      <w:rFonts w:ascii="Times New Roman" w:hAnsi="Times New Roman" w:cs="Times New Roman"/>
                      <w:szCs w:val="21"/>
                    </w:rPr>
                  </w:pPr>
                  <w:r>
                    <w:rPr>
                      <w:rFonts w:hint="eastAsia" w:ascii="Times New Roman" w:hAnsi="Times New Roman" w:cs="Times New Roman"/>
                      <w:szCs w:val="21"/>
                    </w:rPr>
                    <w:t>34.80</w:t>
                  </w:r>
                </w:p>
              </w:tc>
              <w:tc>
                <w:tcPr>
                  <w:tcW w:w="1276" w:type="dxa"/>
                  <w:shd w:val="clear" w:color="auto" w:fill="auto"/>
                </w:tcPr>
                <w:p w14:paraId="361BD9E0">
                  <w:pPr>
                    <w:jc w:val="center"/>
                    <w:rPr>
                      <w:rFonts w:ascii="Times New Roman" w:hAnsi="Times New Roman" w:cs="Times New Roman"/>
                      <w:szCs w:val="21"/>
                    </w:rPr>
                  </w:pPr>
                  <w:r>
                    <w:rPr>
                      <w:rFonts w:hint="eastAsia" w:ascii="Times New Roman" w:hAnsi="Times New Roman" w:cs="Times New Roman"/>
                      <w:szCs w:val="21"/>
                    </w:rPr>
                    <w:t>51.19</w:t>
                  </w:r>
                </w:p>
              </w:tc>
              <w:tc>
                <w:tcPr>
                  <w:tcW w:w="1645" w:type="dxa"/>
                </w:tcPr>
                <w:p w14:paraId="2A67F5AD">
                  <w:pPr>
                    <w:jc w:val="center"/>
                    <w:rPr>
                      <w:rFonts w:ascii="Times New Roman" w:hAnsi="Times New Roman" w:cs="Times New Roman"/>
                      <w:szCs w:val="21"/>
                    </w:rPr>
                  </w:pPr>
                  <w:r>
                    <w:rPr>
                      <w:rFonts w:hint="eastAsia" w:ascii="Times New Roman" w:hAnsi="Times New Roman" w:cs="Times New Roman"/>
                      <w:szCs w:val="21"/>
                    </w:rPr>
                    <w:t>27.67</w:t>
                  </w:r>
                </w:p>
              </w:tc>
            </w:tr>
            <w:tr w14:paraId="539E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0" w:type="dxa"/>
                  <w:shd w:val="clear" w:color="auto" w:fill="auto"/>
                  <w:vAlign w:val="center"/>
                </w:tcPr>
                <w:p w14:paraId="36FFC361">
                  <w:pPr>
                    <w:jc w:val="center"/>
                    <w:rPr>
                      <w:rFonts w:ascii="Times New Roman" w:hAnsi="Times New Roman" w:cs="Times New Roman"/>
                      <w:b/>
                      <w:bCs/>
                      <w:szCs w:val="21"/>
                    </w:rPr>
                  </w:pPr>
                  <w:r>
                    <w:rPr>
                      <w:rFonts w:hint="eastAsia" w:ascii="Times New Roman" w:hAnsi="Times New Roman" w:cs="Times New Roman"/>
                      <w:b/>
                      <w:bCs/>
                      <w:szCs w:val="21"/>
                    </w:rPr>
                    <w:t>叠加贡献值</w:t>
                  </w:r>
                </w:p>
              </w:tc>
              <w:tc>
                <w:tcPr>
                  <w:tcW w:w="1134" w:type="dxa"/>
                  <w:shd w:val="clear" w:color="auto" w:fill="auto"/>
                </w:tcPr>
                <w:p w14:paraId="2999A0C1">
                  <w:pPr>
                    <w:jc w:val="center"/>
                    <w:rPr>
                      <w:rFonts w:ascii="Times New Roman" w:hAnsi="Times New Roman" w:cs="Times New Roman"/>
                      <w:b/>
                      <w:bCs/>
                      <w:szCs w:val="21"/>
                    </w:rPr>
                  </w:pPr>
                  <w:r>
                    <w:rPr>
                      <w:rFonts w:hint="eastAsia" w:ascii="Times New Roman" w:hAnsi="Times New Roman" w:cs="Times New Roman"/>
                      <w:b/>
                      <w:bCs/>
                      <w:szCs w:val="21"/>
                    </w:rPr>
                    <w:t>56.25</w:t>
                  </w:r>
                </w:p>
              </w:tc>
              <w:tc>
                <w:tcPr>
                  <w:tcW w:w="1275" w:type="dxa"/>
                  <w:shd w:val="clear" w:color="auto" w:fill="auto"/>
                </w:tcPr>
                <w:p w14:paraId="5F55DA60">
                  <w:pPr>
                    <w:jc w:val="center"/>
                    <w:rPr>
                      <w:rFonts w:ascii="Times New Roman" w:hAnsi="Times New Roman" w:cs="Times New Roman"/>
                      <w:b/>
                      <w:bCs/>
                      <w:szCs w:val="21"/>
                    </w:rPr>
                  </w:pPr>
                  <w:r>
                    <w:rPr>
                      <w:rFonts w:hint="eastAsia" w:ascii="Times New Roman" w:hAnsi="Times New Roman" w:cs="Times New Roman"/>
                      <w:b/>
                      <w:bCs/>
                      <w:szCs w:val="21"/>
                    </w:rPr>
                    <w:t>52.80</w:t>
                  </w:r>
                </w:p>
              </w:tc>
              <w:tc>
                <w:tcPr>
                  <w:tcW w:w="1276" w:type="dxa"/>
                  <w:shd w:val="clear" w:color="auto" w:fill="auto"/>
                </w:tcPr>
                <w:p w14:paraId="2EC955BF">
                  <w:pPr>
                    <w:jc w:val="center"/>
                    <w:rPr>
                      <w:rFonts w:ascii="Times New Roman" w:hAnsi="Times New Roman" w:cs="Times New Roman"/>
                      <w:b/>
                      <w:bCs/>
                      <w:szCs w:val="21"/>
                    </w:rPr>
                  </w:pPr>
                  <w:r>
                    <w:rPr>
                      <w:rFonts w:hint="eastAsia" w:ascii="Times New Roman" w:hAnsi="Times New Roman" w:cs="Times New Roman"/>
                      <w:b/>
                      <w:bCs/>
                      <w:szCs w:val="21"/>
                    </w:rPr>
                    <w:t>41.41</w:t>
                  </w:r>
                </w:p>
              </w:tc>
              <w:tc>
                <w:tcPr>
                  <w:tcW w:w="1276" w:type="dxa"/>
                  <w:shd w:val="clear" w:color="auto" w:fill="auto"/>
                </w:tcPr>
                <w:p w14:paraId="338BB749">
                  <w:pPr>
                    <w:jc w:val="center"/>
                    <w:rPr>
                      <w:rFonts w:ascii="Times New Roman" w:hAnsi="Times New Roman" w:cs="Times New Roman"/>
                      <w:b/>
                      <w:bCs/>
                      <w:szCs w:val="21"/>
                    </w:rPr>
                  </w:pPr>
                  <w:r>
                    <w:rPr>
                      <w:rFonts w:hint="eastAsia" w:ascii="Times New Roman" w:hAnsi="Times New Roman" w:cs="Times New Roman"/>
                      <w:b/>
                      <w:bCs/>
                      <w:szCs w:val="21"/>
                    </w:rPr>
                    <w:t>56.93</w:t>
                  </w:r>
                </w:p>
              </w:tc>
              <w:tc>
                <w:tcPr>
                  <w:tcW w:w="1645" w:type="dxa"/>
                  <w:vAlign w:val="center"/>
                </w:tcPr>
                <w:p w14:paraId="00066E7C">
                  <w:pPr>
                    <w:jc w:val="center"/>
                    <w:rPr>
                      <w:rFonts w:ascii="Times New Roman" w:hAnsi="Times New Roman" w:cs="Times New Roman"/>
                      <w:b/>
                      <w:bCs/>
                      <w:szCs w:val="21"/>
                    </w:rPr>
                  </w:pPr>
                  <w:r>
                    <w:rPr>
                      <w:rFonts w:hint="eastAsia" w:ascii="Times New Roman" w:hAnsi="Times New Roman" w:cs="Times New Roman"/>
                      <w:b/>
                      <w:bCs/>
                      <w:szCs w:val="21"/>
                    </w:rPr>
                    <w:t>2</w:t>
                  </w:r>
                  <w:r>
                    <w:rPr>
                      <w:rFonts w:ascii="Times New Roman" w:hAnsi="Times New Roman" w:cs="Times New Roman"/>
                      <w:b/>
                      <w:bCs/>
                      <w:szCs w:val="21"/>
                    </w:rPr>
                    <w:t>9.63</w:t>
                  </w:r>
                </w:p>
              </w:tc>
            </w:tr>
            <w:tr w14:paraId="2880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0" w:type="dxa"/>
                  <w:shd w:val="clear" w:color="auto" w:fill="auto"/>
                  <w:vAlign w:val="center"/>
                </w:tcPr>
                <w:p w14:paraId="7FC8EFB2">
                  <w:pPr>
                    <w:jc w:val="center"/>
                    <w:rPr>
                      <w:rFonts w:ascii="Times New Roman" w:hAnsi="Times New Roman" w:cs="Times New Roman"/>
                      <w:b/>
                      <w:bCs/>
                      <w:szCs w:val="21"/>
                    </w:rPr>
                  </w:pPr>
                  <w:r>
                    <w:rPr>
                      <w:rFonts w:hint="eastAsia" w:ascii="Times New Roman" w:hAnsi="Times New Roman" w:cs="Times New Roman"/>
                      <w:b/>
                      <w:bCs/>
                      <w:szCs w:val="21"/>
                    </w:rPr>
                    <w:t>厂界标准值</w:t>
                  </w:r>
                </w:p>
              </w:tc>
              <w:tc>
                <w:tcPr>
                  <w:tcW w:w="1134" w:type="dxa"/>
                  <w:shd w:val="clear" w:color="auto" w:fill="auto"/>
                  <w:vAlign w:val="center"/>
                </w:tcPr>
                <w:p w14:paraId="58482D3A">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275" w:type="dxa"/>
                  <w:shd w:val="clear" w:color="auto" w:fill="auto"/>
                  <w:vAlign w:val="center"/>
                </w:tcPr>
                <w:p w14:paraId="63604CF3">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276" w:type="dxa"/>
                  <w:shd w:val="clear" w:color="auto" w:fill="auto"/>
                  <w:vAlign w:val="center"/>
                </w:tcPr>
                <w:p w14:paraId="17113E83">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276" w:type="dxa"/>
                  <w:shd w:val="clear" w:color="auto" w:fill="auto"/>
                  <w:vAlign w:val="center"/>
                </w:tcPr>
                <w:p w14:paraId="049449FA">
                  <w:pPr>
                    <w:jc w:val="center"/>
                    <w:rPr>
                      <w:rFonts w:ascii="Times New Roman" w:hAnsi="Times New Roman" w:cs="Times New Roman"/>
                      <w:b/>
                      <w:bCs/>
                      <w:szCs w:val="21"/>
                    </w:rPr>
                  </w:pPr>
                  <w:r>
                    <w:rPr>
                      <w:rFonts w:hint="eastAsia" w:ascii="Times New Roman" w:hAnsi="Times New Roman" w:cs="Times New Roman"/>
                      <w:b/>
                      <w:bCs/>
                      <w:szCs w:val="21"/>
                    </w:rPr>
                    <w:t>6</w:t>
                  </w:r>
                  <w:r>
                    <w:rPr>
                      <w:rFonts w:ascii="Times New Roman" w:hAnsi="Times New Roman" w:cs="Times New Roman"/>
                      <w:b/>
                      <w:bCs/>
                      <w:szCs w:val="21"/>
                    </w:rPr>
                    <w:t>0</w:t>
                  </w:r>
                </w:p>
              </w:tc>
              <w:tc>
                <w:tcPr>
                  <w:tcW w:w="1645" w:type="dxa"/>
                  <w:vAlign w:val="center"/>
                </w:tcPr>
                <w:p w14:paraId="534F1D25">
                  <w:pPr>
                    <w:jc w:val="center"/>
                    <w:rPr>
                      <w:rFonts w:ascii="Times New Roman" w:hAnsi="Times New Roman" w:cs="Times New Roman"/>
                      <w:b/>
                      <w:bCs/>
                      <w:szCs w:val="21"/>
                    </w:rPr>
                  </w:pPr>
                  <w:r>
                    <w:rPr>
                      <w:rFonts w:hint="eastAsia" w:ascii="Times New Roman" w:hAnsi="Times New Roman" w:cs="Times New Roman"/>
                      <w:b/>
                      <w:bCs/>
                      <w:szCs w:val="21"/>
                    </w:rPr>
                    <w:t>/</w:t>
                  </w:r>
                </w:p>
              </w:tc>
            </w:tr>
            <w:tr w14:paraId="7A02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70" w:type="dxa"/>
                  <w:shd w:val="clear" w:color="auto" w:fill="auto"/>
                  <w:vAlign w:val="center"/>
                </w:tcPr>
                <w:p w14:paraId="17289860">
                  <w:pPr>
                    <w:jc w:val="center"/>
                    <w:rPr>
                      <w:rFonts w:ascii="Times New Roman" w:hAnsi="Times New Roman" w:cs="Times New Roman"/>
                      <w:b/>
                      <w:bCs/>
                      <w:szCs w:val="21"/>
                    </w:rPr>
                  </w:pPr>
                  <w:r>
                    <w:rPr>
                      <w:rFonts w:hint="eastAsia" w:ascii="Times New Roman" w:hAnsi="Times New Roman" w:cs="Times New Roman"/>
                      <w:b/>
                      <w:bCs/>
                      <w:szCs w:val="21"/>
                    </w:rPr>
                    <w:t>达标分析</w:t>
                  </w:r>
                </w:p>
              </w:tc>
              <w:tc>
                <w:tcPr>
                  <w:tcW w:w="1134" w:type="dxa"/>
                  <w:shd w:val="clear" w:color="auto" w:fill="auto"/>
                  <w:vAlign w:val="center"/>
                </w:tcPr>
                <w:p w14:paraId="69391786">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275" w:type="dxa"/>
                  <w:shd w:val="clear" w:color="auto" w:fill="auto"/>
                  <w:vAlign w:val="center"/>
                </w:tcPr>
                <w:p w14:paraId="333E4C77">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276" w:type="dxa"/>
                  <w:shd w:val="clear" w:color="auto" w:fill="auto"/>
                  <w:vAlign w:val="center"/>
                </w:tcPr>
                <w:p w14:paraId="537EA904">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276" w:type="dxa"/>
                  <w:shd w:val="clear" w:color="auto" w:fill="auto"/>
                  <w:vAlign w:val="center"/>
                </w:tcPr>
                <w:p w14:paraId="7D927405">
                  <w:pPr>
                    <w:jc w:val="center"/>
                    <w:rPr>
                      <w:rFonts w:ascii="Times New Roman" w:hAnsi="Times New Roman" w:cs="Times New Roman"/>
                      <w:b/>
                      <w:bCs/>
                      <w:szCs w:val="21"/>
                    </w:rPr>
                  </w:pPr>
                  <w:r>
                    <w:rPr>
                      <w:rFonts w:hint="eastAsia" w:ascii="Times New Roman" w:hAnsi="Times New Roman" w:cs="Times New Roman"/>
                      <w:b/>
                      <w:bCs/>
                      <w:szCs w:val="21"/>
                    </w:rPr>
                    <w:t>达标</w:t>
                  </w:r>
                </w:p>
              </w:tc>
              <w:tc>
                <w:tcPr>
                  <w:tcW w:w="1645" w:type="dxa"/>
                  <w:vAlign w:val="center"/>
                </w:tcPr>
                <w:p w14:paraId="75503504">
                  <w:pPr>
                    <w:jc w:val="center"/>
                    <w:rPr>
                      <w:rFonts w:ascii="Times New Roman" w:hAnsi="Times New Roman" w:cs="Times New Roman"/>
                      <w:b/>
                      <w:bCs/>
                      <w:szCs w:val="21"/>
                    </w:rPr>
                  </w:pPr>
                  <w:r>
                    <w:rPr>
                      <w:rFonts w:hint="eastAsia" w:ascii="Times New Roman" w:hAnsi="Times New Roman" w:cs="Times New Roman"/>
                      <w:b/>
                      <w:bCs/>
                      <w:szCs w:val="21"/>
                    </w:rPr>
                    <w:t>/</w:t>
                  </w:r>
                </w:p>
              </w:tc>
            </w:tr>
          </w:tbl>
          <w:p w14:paraId="4A879E2C">
            <w:r>
              <w:rPr>
                <w:rFonts w:hint="eastAsia"/>
              </w:rPr>
              <w:t xml:space="preserve"> </w:t>
            </w:r>
            <w:r>
              <w:t xml:space="preserve">    </w:t>
            </w:r>
            <w:r>
              <w:rPr>
                <w:rFonts w:hint="eastAsia"/>
              </w:rPr>
              <w:t>注：项目夜间不生产。</w:t>
            </w:r>
          </w:p>
          <w:p w14:paraId="2379317F">
            <w:pPr>
              <w:pStyle w:val="8"/>
              <w:spacing w:line="360" w:lineRule="auto"/>
              <w:ind w:firstLine="240" w:firstLineChars="100"/>
              <w:rPr>
                <w:kern w:val="0"/>
                <w:sz w:val="24"/>
                <w:szCs w:val="24"/>
              </w:rPr>
            </w:pPr>
            <w:r>
              <w:rPr>
                <w:kern w:val="0"/>
                <w:sz w:val="24"/>
                <w:szCs w:val="24"/>
              </w:rPr>
              <w:t>根据上表，项目</w:t>
            </w:r>
            <w:r>
              <w:rPr>
                <w:rFonts w:hint="eastAsia"/>
                <w:kern w:val="0"/>
                <w:sz w:val="24"/>
                <w:szCs w:val="24"/>
              </w:rPr>
              <w:t>四周</w:t>
            </w:r>
            <w:r>
              <w:rPr>
                <w:kern w:val="0"/>
                <w:sz w:val="24"/>
                <w:szCs w:val="24"/>
              </w:rPr>
              <w:t>厂界</w:t>
            </w:r>
            <w:r>
              <w:rPr>
                <w:rFonts w:hint="eastAsia"/>
                <w:kern w:val="0"/>
                <w:sz w:val="24"/>
                <w:szCs w:val="24"/>
              </w:rPr>
              <w:t>昼间</w:t>
            </w:r>
            <w:r>
              <w:rPr>
                <w:kern w:val="0"/>
                <w:sz w:val="24"/>
                <w:szCs w:val="24"/>
              </w:rPr>
              <w:t>噪声</w:t>
            </w:r>
            <w:r>
              <w:rPr>
                <w:rFonts w:hint="eastAsia"/>
                <w:kern w:val="0"/>
                <w:sz w:val="24"/>
                <w:szCs w:val="24"/>
              </w:rPr>
              <w:t>均</w:t>
            </w:r>
            <w:r>
              <w:rPr>
                <w:kern w:val="0"/>
                <w:sz w:val="24"/>
                <w:szCs w:val="24"/>
              </w:rPr>
              <w:t>能达到《工业企业厂界环境噪声排放标准》（GB12348-2008）2类标准要求。</w:t>
            </w:r>
          </w:p>
          <w:p w14:paraId="162C2AB9">
            <w:pPr>
              <w:pStyle w:val="8"/>
              <w:spacing w:line="360" w:lineRule="auto"/>
              <w:ind w:firstLine="240" w:firstLineChars="100"/>
              <w:rPr>
                <w:kern w:val="0"/>
                <w:sz w:val="24"/>
                <w:szCs w:val="24"/>
              </w:rPr>
            </w:pPr>
            <w:r>
              <w:rPr>
                <w:rFonts w:hint="eastAsia"/>
                <w:kern w:val="0"/>
                <w:sz w:val="24"/>
                <w:szCs w:val="24"/>
              </w:rPr>
              <w:t>经预测，项目建成投产后对帕当坝村昼间噪声贡献值为</w:t>
            </w:r>
            <w:r>
              <w:rPr>
                <w:kern w:val="0"/>
                <w:sz w:val="24"/>
                <w:szCs w:val="24"/>
              </w:rPr>
              <w:t>29.63</w:t>
            </w:r>
            <w:r>
              <w:rPr>
                <w:rFonts w:hint="eastAsia"/>
                <w:kern w:val="0"/>
                <w:sz w:val="24"/>
                <w:szCs w:val="24"/>
              </w:rPr>
              <w:t>d</w:t>
            </w:r>
            <w:r>
              <w:rPr>
                <w:kern w:val="0"/>
                <w:sz w:val="24"/>
                <w:szCs w:val="24"/>
              </w:rPr>
              <w:t>B</w:t>
            </w:r>
            <w:r>
              <w:rPr>
                <w:rFonts w:hint="eastAsia"/>
                <w:kern w:val="0"/>
                <w:sz w:val="24"/>
                <w:szCs w:val="24"/>
              </w:rPr>
              <w:t>（A），影响轻微，不会降低其现有声环境水平。</w:t>
            </w:r>
          </w:p>
          <w:p w14:paraId="1F0FCD9D">
            <w:pPr>
              <w:pStyle w:val="8"/>
              <w:spacing w:line="360" w:lineRule="auto"/>
              <w:ind w:firstLine="240" w:firstLineChars="100"/>
              <w:rPr>
                <w:kern w:val="0"/>
                <w:sz w:val="24"/>
                <w:szCs w:val="24"/>
              </w:rPr>
            </w:pPr>
            <w:r>
              <w:rPr>
                <w:rFonts w:hint="eastAsia"/>
                <w:kern w:val="0"/>
                <w:sz w:val="24"/>
                <w:szCs w:val="24"/>
              </w:rPr>
              <w:t>6、</w:t>
            </w:r>
            <w:r>
              <w:rPr>
                <w:kern w:val="0"/>
                <w:sz w:val="24"/>
                <w:szCs w:val="24"/>
              </w:rPr>
              <w:t>噪声监测</w:t>
            </w:r>
          </w:p>
          <w:p w14:paraId="13A65656">
            <w:pPr>
              <w:pStyle w:val="8"/>
              <w:spacing w:line="360" w:lineRule="auto"/>
              <w:ind w:firstLine="240" w:firstLineChars="100"/>
              <w:rPr>
                <w:kern w:val="0"/>
                <w:sz w:val="24"/>
                <w:szCs w:val="24"/>
              </w:rPr>
            </w:pPr>
            <w:r>
              <w:rPr>
                <w:kern w:val="0"/>
                <w:sz w:val="24"/>
                <w:szCs w:val="24"/>
              </w:rPr>
              <w:t>项目运营期噪声监测计划如表4-23所示</w:t>
            </w:r>
            <w:r>
              <w:rPr>
                <w:rFonts w:hint="eastAsia"/>
                <w:kern w:val="0"/>
                <w:sz w:val="24"/>
                <w:szCs w:val="24"/>
              </w:rPr>
              <w:t>，</w:t>
            </w:r>
            <w:bookmarkStart w:id="77" w:name="_Hlk92893517"/>
            <w:r>
              <w:rPr>
                <w:rFonts w:hint="eastAsia"/>
                <w:kern w:val="0"/>
                <w:sz w:val="24"/>
                <w:szCs w:val="24"/>
              </w:rPr>
              <w:t>监测布点见附图4</w:t>
            </w:r>
            <w:r>
              <w:rPr>
                <w:kern w:val="0"/>
                <w:sz w:val="24"/>
                <w:szCs w:val="24"/>
              </w:rPr>
              <w:t>-4</w:t>
            </w:r>
            <w:r>
              <w:rPr>
                <w:rFonts w:hint="eastAsia"/>
                <w:kern w:val="0"/>
                <w:sz w:val="24"/>
                <w:szCs w:val="24"/>
              </w:rPr>
              <w:t>。</w:t>
            </w:r>
            <w:bookmarkEnd w:id="77"/>
          </w:p>
          <w:p w14:paraId="6D9AD15B">
            <w:pPr>
              <w:jc w:val="center"/>
              <w:rPr>
                <w:rFonts w:ascii="Times New Roman" w:hAnsi="Times New Roman" w:cs="Times New Roman"/>
                <w:b/>
                <w:szCs w:val="21"/>
              </w:rPr>
            </w:pPr>
          </w:p>
          <w:p w14:paraId="28BF1923">
            <w:pPr>
              <w:pStyle w:val="2"/>
              <w:pBdr>
                <w:bottom w:val="none" w:color="auto" w:sz="0" w:space="0"/>
              </w:pBdr>
              <w:rPr>
                <w:rFonts w:hint="eastAsia"/>
              </w:rPr>
            </w:pPr>
          </w:p>
          <w:p w14:paraId="2EB42580">
            <w:pPr>
              <w:jc w:val="center"/>
              <w:rPr>
                <w:rFonts w:ascii="Times New Roman" w:hAnsi="Times New Roman" w:cs="Times New Roman"/>
                <w:b/>
                <w:szCs w:val="21"/>
              </w:rPr>
            </w:pPr>
          </w:p>
          <w:p w14:paraId="34A052AA">
            <w:pPr>
              <w:jc w:val="center"/>
              <w:rPr>
                <w:rFonts w:hint="eastAsia" w:ascii="Times New Roman" w:hAnsi="Times New Roman" w:cs="Times New Roman"/>
                <w:b/>
                <w:szCs w:val="21"/>
              </w:rPr>
            </w:pPr>
          </w:p>
          <w:p w14:paraId="321F25B5">
            <w:pPr>
              <w:spacing w:line="500" w:lineRule="exact"/>
              <w:jc w:val="center"/>
              <w:rPr>
                <w:rFonts w:ascii="Times New Roman" w:hAnsi="Times New Roman" w:cs="Times New Roman"/>
                <w:b/>
                <w:szCs w:val="21"/>
              </w:rPr>
            </w:pPr>
            <w:r>
              <w:rPr>
                <w:rFonts w:ascii="Times New Roman" w:hAnsi="Times New Roman" w:cs="Times New Roman"/>
                <w:b/>
                <w:szCs w:val="21"/>
              </w:rPr>
              <w:t>表4-23    运营期噪声监测计划</w:t>
            </w:r>
          </w:p>
          <w:tbl>
            <w:tblPr>
              <w:tblStyle w:val="18"/>
              <w:tblW w:w="757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770"/>
              <w:gridCol w:w="1829"/>
              <w:gridCol w:w="1559"/>
              <w:gridCol w:w="1418"/>
            </w:tblGrid>
            <w:tr w14:paraId="4E4160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02" w:type="dxa"/>
                  <w:tcBorders>
                    <w:left w:val="single" w:color="auto" w:sz="4" w:space="0"/>
                  </w:tcBorders>
                  <w:vAlign w:val="center"/>
                </w:tcPr>
                <w:p w14:paraId="03822B51">
                  <w:pPr>
                    <w:jc w:val="center"/>
                    <w:rPr>
                      <w:rFonts w:ascii="Times New Roman" w:hAnsi="Times New Roman" w:cs="Times New Roman"/>
                      <w:b/>
                      <w:bCs/>
                      <w:szCs w:val="21"/>
                    </w:rPr>
                  </w:pPr>
                  <w:r>
                    <w:rPr>
                      <w:rFonts w:ascii="Times New Roman" w:hAnsi="Times New Roman" w:cs="Times New Roman"/>
                      <w:b/>
                      <w:bCs/>
                      <w:szCs w:val="21"/>
                    </w:rPr>
                    <w:t>监测</w:t>
                  </w:r>
                </w:p>
                <w:p w14:paraId="39955CB1">
                  <w:pPr>
                    <w:jc w:val="center"/>
                    <w:rPr>
                      <w:rFonts w:ascii="Times New Roman" w:hAnsi="Times New Roman" w:cs="Times New Roman"/>
                      <w:b/>
                      <w:bCs/>
                      <w:szCs w:val="21"/>
                    </w:rPr>
                  </w:pPr>
                  <w:r>
                    <w:rPr>
                      <w:rFonts w:ascii="Times New Roman" w:hAnsi="Times New Roman" w:cs="Times New Roman"/>
                      <w:b/>
                      <w:bCs/>
                      <w:szCs w:val="21"/>
                    </w:rPr>
                    <w:t>项目</w:t>
                  </w:r>
                </w:p>
              </w:tc>
              <w:tc>
                <w:tcPr>
                  <w:tcW w:w="1770" w:type="dxa"/>
                  <w:vAlign w:val="center"/>
                </w:tcPr>
                <w:p w14:paraId="73AF9B23">
                  <w:pPr>
                    <w:jc w:val="center"/>
                    <w:rPr>
                      <w:rFonts w:ascii="Times New Roman" w:hAnsi="Times New Roman" w:cs="Times New Roman"/>
                      <w:b/>
                      <w:bCs/>
                      <w:szCs w:val="21"/>
                    </w:rPr>
                  </w:pPr>
                  <w:r>
                    <w:rPr>
                      <w:rFonts w:ascii="Times New Roman" w:hAnsi="Times New Roman" w:cs="Times New Roman"/>
                      <w:b/>
                      <w:bCs/>
                      <w:szCs w:val="21"/>
                    </w:rPr>
                    <w:t>监测地点</w:t>
                  </w:r>
                </w:p>
              </w:tc>
              <w:tc>
                <w:tcPr>
                  <w:tcW w:w="1829" w:type="dxa"/>
                  <w:vAlign w:val="center"/>
                </w:tcPr>
                <w:p w14:paraId="50030974">
                  <w:pPr>
                    <w:jc w:val="center"/>
                    <w:rPr>
                      <w:rFonts w:ascii="Times New Roman" w:hAnsi="Times New Roman" w:cs="Times New Roman"/>
                      <w:b/>
                      <w:bCs/>
                      <w:szCs w:val="21"/>
                    </w:rPr>
                  </w:pPr>
                  <w:r>
                    <w:rPr>
                      <w:rFonts w:ascii="Times New Roman" w:hAnsi="Times New Roman" w:cs="Times New Roman"/>
                      <w:b/>
                      <w:bCs/>
                      <w:szCs w:val="21"/>
                    </w:rPr>
                    <w:t>监测参数</w:t>
                  </w:r>
                </w:p>
              </w:tc>
              <w:tc>
                <w:tcPr>
                  <w:tcW w:w="1559" w:type="dxa"/>
                  <w:vAlign w:val="center"/>
                </w:tcPr>
                <w:p w14:paraId="0C4EFCDB">
                  <w:pPr>
                    <w:jc w:val="center"/>
                    <w:rPr>
                      <w:rFonts w:ascii="Times New Roman" w:hAnsi="Times New Roman" w:cs="Times New Roman"/>
                      <w:b/>
                      <w:bCs/>
                      <w:szCs w:val="21"/>
                    </w:rPr>
                  </w:pPr>
                  <w:r>
                    <w:rPr>
                      <w:rFonts w:ascii="Times New Roman" w:hAnsi="Times New Roman" w:cs="Times New Roman"/>
                      <w:b/>
                      <w:bCs/>
                      <w:szCs w:val="21"/>
                    </w:rPr>
                    <w:t>最低监测频率</w:t>
                  </w:r>
                </w:p>
              </w:tc>
              <w:tc>
                <w:tcPr>
                  <w:tcW w:w="1418" w:type="dxa"/>
                  <w:tcBorders>
                    <w:right w:val="single" w:color="auto" w:sz="4" w:space="0"/>
                  </w:tcBorders>
                  <w:vAlign w:val="center"/>
                </w:tcPr>
                <w:p w14:paraId="47E89411">
                  <w:pPr>
                    <w:ind w:right="-107" w:rightChars="-51"/>
                    <w:jc w:val="center"/>
                    <w:rPr>
                      <w:rFonts w:ascii="Times New Roman" w:hAnsi="Times New Roman" w:cs="Times New Roman"/>
                      <w:b/>
                      <w:bCs/>
                      <w:szCs w:val="21"/>
                    </w:rPr>
                  </w:pPr>
                  <w:r>
                    <w:rPr>
                      <w:rFonts w:ascii="Times New Roman" w:hAnsi="Times New Roman" w:cs="Times New Roman"/>
                      <w:b/>
                      <w:bCs/>
                      <w:szCs w:val="21"/>
                    </w:rPr>
                    <w:t>监测方法</w:t>
                  </w:r>
                </w:p>
              </w:tc>
            </w:tr>
            <w:tr w14:paraId="580F30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02" w:type="dxa"/>
                  <w:tcBorders>
                    <w:left w:val="single" w:color="auto" w:sz="4" w:space="0"/>
                  </w:tcBorders>
                  <w:vAlign w:val="center"/>
                </w:tcPr>
                <w:p w14:paraId="42850AB8">
                  <w:pPr>
                    <w:jc w:val="center"/>
                    <w:rPr>
                      <w:rFonts w:ascii="Times New Roman" w:hAnsi="Times New Roman" w:cs="Times New Roman"/>
                      <w:szCs w:val="21"/>
                    </w:rPr>
                  </w:pPr>
                  <w:r>
                    <w:rPr>
                      <w:rFonts w:ascii="Times New Roman" w:hAnsi="Times New Roman" w:cs="Times New Roman"/>
                      <w:szCs w:val="21"/>
                    </w:rPr>
                    <w:t>噪声</w:t>
                  </w:r>
                </w:p>
              </w:tc>
              <w:tc>
                <w:tcPr>
                  <w:tcW w:w="1770" w:type="dxa"/>
                  <w:vAlign w:val="center"/>
                </w:tcPr>
                <w:p w14:paraId="2A7942C4">
                  <w:pPr>
                    <w:jc w:val="center"/>
                    <w:rPr>
                      <w:rFonts w:ascii="Times New Roman" w:hAnsi="Times New Roman" w:cs="Times New Roman"/>
                      <w:szCs w:val="21"/>
                    </w:rPr>
                  </w:pPr>
                  <w:r>
                    <w:rPr>
                      <w:rFonts w:ascii="Times New Roman" w:hAnsi="Times New Roman" w:cs="Times New Roman"/>
                      <w:szCs w:val="21"/>
                    </w:rPr>
                    <w:t>厂界东、南、西、北4个点位</w:t>
                  </w:r>
                </w:p>
              </w:tc>
              <w:tc>
                <w:tcPr>
                  <w:tcW w:w="1829" w:type="dxa"/>
                  <w:vAlign w:val="center"/>
                </w:tcPr>
                <w:p w14:paraId="29FD451C">
                  <w:pPr>
                    <w:jc w:val="center"/>
                    <w:rPr>
                      <w:rFonts w:ascii="Times New Roman" w:hAnsi="Times New Roman" w:cs="Times New Roman"/>
                      <w:szCs w:val="21"/>
                    </w:rPr>
                  </w:pPr>
                  <w:r>
                    <w:rPr>
                      <w:rFonts w:ascii="Times New Roman" w:hAnsi="Times New Roman" w:cs="Times New Roman"/>
                      <w:szCs w:val="21"/>
                    </w:rPr>
                    <w:t>等效连续A声级</w:t>
                  </w:r>
                </w:p>
              </w:tc>
              <w:tc>
                <w:tcPr>
                  <w:tcW w:w="1559" w:type="dxa"/>
                  <w:vAlign w:val="center"/>
                </w:tcPr>
                <w:p w14:paraId="282F1AB3">
                  <w:pPr>
                    <w:jc w:val="center"/>
                    <w:rPr>
                      <w:rFonts w:ascii="Times New Roman" w:hAnsi="Times New Roman" w:cs="Times New Roman"/>
                      <w:szCs w:val="21"/>
                    </w:rPr>
                  </w:pPr>
                  <w:r>
                    <w:rPr>
                      <w:rFonts w:ascii="Times New Roman" w:hAnsi="Times New Roman" w:cs="Times New Roman"/>
                      <w:szCs w:val="21"/>
                    </w:rPr>
                    <w:t>1次/年</w:t>
                  </w:r>
                </w:p>
              </w:tc>
              <w:tc>
                <w:tcPr>
                  <w:tcW w:w="1418" w:type="dxa"/>
                  <w:tcBorders>
                    <w:right w:val="single" w:color="auto" w:sz="4" w:space="0"/>
                  </w:tcBorders>
                  <w:vAlign w:val="center"/>
                </w:tcPr>
                <w:p w14:paraId="045407A6">
                  <w:pPr>
                    <w:jc w:val="center"/>
                    <w:rPr>
                      <w:rFonts w:ascii="Times New Roman" w:hAnsi="Times New Roman" w:cs="Times New Roman"/>
                      <w:szCs w:val="21"/>
                    </w:rPr>
                  </w:pPr>
                  <w:r>
                    <w:rPr>
                      <w:rFonts w:ascii="Times New Roman" w:hAnsi="Times New Roman" w:cs="Times New Roman"/>
                      <w:szCs w:val="21"/>
                    </w:rPr>
                    <w:t>按相关技术规范进行</w:t>
                  </w:r>
                </w:p>
              </w:tc>
            </w:tr>
          </w:tbl>
          <w:p w14:paraId="06B1326E">
            <w:pPr>
              <w:jc w:val="center"/>
            </w:pPr>
          </w:p>
          <w:p w14:paraId="64C867C6">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4.2.4 固体废物响分析</w:t>
            </w:r>
          </w:p>
          <w:p w14:paraId="16FF82C5">
            <w:pPr>
              <w:pStyle w:val="8"/>
              <w:spacing w:line="360" w:lineRule="auto"/>
              <w:ind w:firstLine="240" w:firstLineChars="100"/>
              <w:rPr>
                <w:kern w:val="0"/>
                <w:sz w:val="24"/>
                <w:szCs w:val="24"/>
              </w:rPr>
            </w:pPr>
            <w:r>
              <w:rPr>
                <w:rFonts w:hint="eastAsia"/>
                <w:kern w:val="0"/>
                <w:sz w:val="24"/>
                <w:szCs w:val="24"/>
              </w:rPr>
              <w:t>1、</w:t>
            </w:r>
            <w:r>
              <w:rPr>
                <w:kern w:val="0"/>
                <w:sz w:val="24"/>
                <w:szCs w:val="24"/>
              </w:rPr>
              <w:t>固体废物源强</w:t>
            </w:r>
          </w:p>
          <w:p w14:paraId="73AB0B7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主要为生产固废、</w:t>
            </w:r>
            <w:r>
              <w:rPr>
                <w:rFonts w:hint="eastAsia" w:ascii="Times New Roman" w:hAnsi="Times New Roman" w:cs="Times New Roman"/>
              </w:rPr>
              <w:t>废气处理系统固废、</w:t>
            </w:r>
            <w:r>
              <w:rPr>
                <w:rFonts w:ascii="Times New Roman" w:hAnsi="Times New Roman" w:cs="Times New Roman"/>
              </w:rPr>
              <w:t>生活垃圾、雨水收集池沉渣、</w:t>
            </w:r>
            <w:r>
              <w:rPr>
                <w:rFonts w:hint="eastAsia" w:ascii="Times New Roman" w:hAnsi="Times New Roman" w:cs="Times New Roman"/>
              </w:rPr>
              <w:t>处理站污泥</w:t>
            </w:r>
            <w:r>
              <w:rPr>
                <w:rFonts w:ascii="Times New Roman" w:hAnsi="Times New Roman" w:cs="Times New Roman"/>
              </w:rPr>
              <w:t>、食堂泔水及设备维护过程中产生的废机油</w:t>
            </w:r>
            <w:r>
              <w:rPr>
                <w:rFonts w:hint="eastAsia" w:ascii="Times New Roman" w:hAnsi="Times New Roman" w:cs="Times New Roman"/>
              </w:rPr>
              <w:t>等</w:t>
            </w:r>
            <w:r>
              <w:rPr>
                <w:rFonts w:ascii="Times New Roman" w:hAnsi="Times New Roman" w:cs="Times New Roman"/>
              </w:rPr>
              <w:t>。</w:t>
            </w:r>
          </w:p>
          <w:p w14:paraId="288A0140">
            <w:pPr>
              <w:pStyle w:val="8"/>
              <w:spacing w:line="360" w:lineRule="auto"/>
              <w:ind w:firstLine="240" w:firstLineChars="100"/>
              <w:rPr>
                <w:kern w:val="0"/>
                <w:sz w:val="24"/>
                <w:szCs w:val="24"/>
              </w:rPr>
            </w:pPr>
            <w:r>
              <w:rPr>
                <w:rFonts w:hint="eastAsia"/>
                <w:kern w:val="0"/>
                <w:sz w:val="24"/>
                <w:szCs w:val="24"/>
              </w:rPr>
              <w:t>（1）</w:t>
            </w:r>
            <w:r>
              <w:rPr>
                <w:kern w:val="0"/>
                <w:sz w:val="24"/>
                <w:szCs w:val="24"/>
              </w:rPr>
              <w:t>一般固废</w:t>
            </w:r>
          </w:p>
          <w:p w14:paraId="4C6964C4">
            <w:pPr>
              <w:pStyle w:val="10"/>
              <w:spacing w:line="360" w:lineRule="auto"/>
              <w:ind w:left="0" w:right="105" w:rightChars="50" w:firstLine="240" w:firstLineChars="100"/>
              <w:rPr>
                <w:rFonts w:ascii="Times New Roman" w:hAnsi="Times New Roman" w:cs="Times New Roman"/>
              </w:rPr>
            </w:pPr>
            <w:r>
              <w:rPr>
                <w:bCs/>
              </w:rPr>
              <w:fldChar w:fldCharType="begin"/>
            </w:r>
            <w:r>
              <w:rPr>
                <w:bCs/>
              </w:rPr>
              <w:instrText xml:space="preserve"> </w:instrText>
            </w:r>
            <w:r>
              <w:rPr>
                <w:rFonts w:hint="eastAsia"/>
                <w:bCs/>
              </w:rPr>
              <w:instrText xml:space="preserve">= 1 \* GB3</w:instrText>
            </w:r>
            <w:r>
              <w:rPr>
                <w:bCs/>
              </w:rPr>
              <w:instrText xml:space="preserve"> </w:instrText>
            </w:r>
            <w:r>
              <w:rPr>
                <w:bCs/>
              </w:rPr>
              <w:fldChar w:fldCharType="separate"/>
            </w:r>
            <w:r>
              <w:rPr>
                <w:rFonts w:hint="eastAsia"/>
                <w:bCs/>
              </w:rPr>
              <w:t>①</w:t>
            </w:r>
            <w:r>
              <w:rPr>
                <w:bCs/>
              </w:rPr>
              <w:fldChar w:fldCharType="end"/>
            </w:r>
            <w:r>
              <w:rPr>
                <w:rFonts w:ascii="Times New Roman" w:hAnsi="Times New Roman" w:cs="Times New Roman"/>
              </w:rPr>
              <w:t>隔油池废油脂</w:t>
            </w:r>
          </w:p>
          <w:p w14:paraId="7095ACC1">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产生量约</w:t>
            </w:r>
            <w:r>
              <w:rPr>
                <w:rFonts w:ascii="Times New Roman" w:hAnsi="Times New Roman" w:cs="Times New Roman"/>
              </w:rPr>
              <w:t>0.05</w:t>
            </w:r>
            <w:r>
              <w:rPr>
                <w:rFonts w:hint="eastAsia" w:ascii="Times New Roman" w:hAnsi="Times New Roman" w:cs="Times New Roman"/>
              </w:rPr>
              <w:t>t/a，采用</w:t>
            </w:r>
            <w:r>
              <w:rPr>
                <w:rFonts w:ascii="Times New Roman" w:hAnsi="Times New Roman" w:cs="Times New Roman"/>
              </w:rPr>
              <w:t>收集桶收集后全部进入化制罐内化制后</w:t>
            </w:r>
            <w:r>
              <w:rPr>
                <w:rFonts w:hint="eastAsia" w:ascii="Times New Roman" w:hAnsi="Times New Roman" w:cs="Times New Roman"/>
              </w:rPr>
              <w:t>，</w:t>
            </w:r>
            <w:r>
              <w:rPr>
                <w:rFonts w:ascii="Times New Roman" w:hAnsi="Times New Roman" w:cs="Times New Roman"/>
              </w:rPr>
              <w:t>作为生物柴油原料外售。</w:t>
            </w:r>
          </w:p>
          <w:p w14:paraId="614EFD2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食堂泔水</w:t>
            </w:r>
          </w:p>
          <w:p w14:paraId="5DAA7A52">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食堂泔水产生量为5.4kg/d，1.62t/a</w:t>
            </w:r>
            <w:r>
              <w:rPr>
                <w:rFonts w:hint="eastAsia" w:ascii="Times New Roman" w:hAnsi="Times New Roman" w:cs="Times New Roman"/>
              </w:rPr>
              <w:t>，</w:t>
            </w:r>
            <w:r>
              <w:rPr>
                <w:rFonts w:ascii="Times New Roman" w:hAnsi="Times New Roman" w:cs="Times New Roman"/>
              </w:rPr>
              <w:t>在食堂内设泔水桶</w:t>
            </w:r>
            <w:r>
              <w:rPr>
                <w:rFonts w:hint="eastAsia" w:ascii="Times New Roman" w:hAnsi="Times New Roman" w:cs="Times New Roman"/>
              </w:rPr>
              <w:t>收集</w:t>
            </w:r>
            <w:r>
              <w:rPr>
                <w:rFonts w:ascii="Times New Roman" w:hAnsi="Times New Roman" w:cs="Times New Roman"/>
              </w:rPr>
              <w:t>，将食堂泔水统一收集后</w:t>
            </w:r>
            <w:r>
              <w:rPr>
                <w:rFonts w:hint="eastAsia" w:ascii="Times New Roman" w:hAnsi="Times New Roman" w:cs="Times New Roman"/>
              </w:rPr>
              <w:t>按三台山乡管理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ascii="Times New Roman" w:hAnsi="Times New Roman" w:cs="Times New Roman"/>
              </w:rPr>
              <w:t>。</w:t>
            </w:r>
          </w:p>
          <w:p w14:paraId="42AE1F0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生活垃圾</w:t>
            </w:r>
          </w:p>
          <w:p w14:paraId="371BD5E3">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项目生活垃圾产生量为</w:t>
            </w:r>
            <w:r>
              <w:rPr>
                <w:rFonts w:ascii="Times New Roman" w:hAnsi="Times New Roman" w:cs="Times New Roman"/>
              </w:rPr>
              <w:t>13.5</w:t>
            </w:r>
            <w:r>
              <w:rPr>
                <w:rFonts w:hint="eastAsia" w:ascii="Times New Roman" w:hAnsi="Times New Roman" w:cs="Times New Roman"/>
              </w:rPr>
              <w:t>kg/d、</w:t>
            </w:r>
            <w:r>
              <w:rPr>
                <w:rFonts w:ascii="Times New Roman" w:hAnsi="Times New Roman" w:cs="Times New Roman"/>
              </w:rPr>
              <w:t>4.05</w:t>
            </w:r>
            <w:r>
              <w:rPr>
                <w:rFonts w:hint="eastAsia" w:ascii="Times New Roman" w:hAnsi="Times New Roman" w:cs="Times New Roman"/>
              </w:rPr>
              <w:t>t/a，</w:t>
            </w:r>
            <w:r>
              <w:rPr>
                <w:rFonts w:ascii="Times New Roman" w:hAnsi="Times New Roman" w:cs="Times New Roman"/>
              </w:rPr>
              <w:t>统一收集后委托</w:t>
            </w:r>
            <w:r>
              <w:rPr>
                <w:rFonts w:hint="eastAsia" w:ascii="Times New Roman" w:hAnsi="Times New Roman" w:cs="Times New Roman"/>
              </w:rPr>
              <w:t>三台山乡</w:t>
            </w:r>
            <w:r>
              <w:rPr>
                <w:rFonts w:ascii="Times New Roman" w:hAnsi="Times New Roman" w:cs="Times New Roman"/>
              </w:rPr>
              <w:t>环卫部门定期</w:t>
            </w:r>
            <w:r>
              <w:rPr>
                <w:rFonts w:hint="eastAsia" w:ascii="Times New Roman" w:hAnsi="Times New Roman" w:cs="Times New Roman"/>
              </w:rPr>
              <w:t>清运处置</w:t>
            </w:r>
            <w:r>
              <w:rPr>
                <w:rFonts w:ascii="Times New Roman" w:hAnsi="Times New Roman" w:cs="Times New Roman"/>
              </w:rPr>
              <w:t>。</w:t>
            </w:r>
          </w:p>
          <w:p w14:paraId="682A123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脱硫除尘塔</w:t>
            </w:r>
            <w:r>
              <w:rPr>
                <w:rFonts w:ascii="Times New Roman" w:hAnsi="Times New Roman" w:cs="Times New Roman"/>
              </w:rPr>
              <w:t>沉渣</w:t>
            </w:r>
          </w:p>
          <w:p w14:paraId="6CDA7D5A">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锅炉烟气脱硫形成的脱硫渣约为3</w:t>
            </w:r>
            <w:r>
              <w:rPr>
                <w:rFonts w:ascii="Times New Roman" w:hAnsi="Times New Roman" w:cs="Times New Roman"/>
              </w:rPr>
              <w:t>.13</w:t>
            </w:r>
            <w:r>
              <w:rPr>
                <w:rFonts w:hint="eastAsia" w:ascii="Times New Roman" w:hAnsi="Times New Roman" w:cs="Times New Roman"/>
              </w:rPr>
              <w:t>t/a（干重），</w:t>
            </w:r>
            <w:r>
              <w:rPr>
                <w:rFonts w:ascii="Times New Roman" w:hAnsi="Times New Roman" w:cs="Times New Roman"/>
              </w:rPr>
              <w:t>定期清掏，</w:t>
            </w:r>
            <w:r>
              <w:rPr>
                <w:rFonts w:hint="eastAsia" w:ascii="Times New Roman" w:hAnsi="Times New Roman" w:cs="Times New Roman"/>
              </w:rPr>
              <w:t>作为其它企业化工原料外售</w:t>
            </w:r>
            <w:r>
              <w:rPr>
                <w:rFonts w:ascii="Times New Roman" w:hAnsi="Times New Roman" w:cs="Times New Roman"/>
              </w:rPr>
              <w:t>。</w:t>
            </w:r>
          </w:p>
          <w:p w14:paraId="550E14D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hint="eastAsia" w:ascii="Times New Roman" w:hAnsi="Times New Roman" w:cs="Times New Roman"/>
              </w:rPr>
              <w:t>废活性炭</w:t>
            </w:r>
          </w:p>
          <w:p w14:paraId="3CE433E0">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车间废气处理</w:t>
            </w:r>
            <w:r>
              <w:rPr>
                <w:rFonts w:hint="eastAsia" w:ascii="Times New Roman" w:hAnsi="Times New Roman" w:cs="Times New Roman"/>
              </w:rPr>
              <w:t>系统废</w:t>
            </w:r>
            <w:r>
              <w:rPr>
                <w:rFonts w:ascii="Times New Roman" w:hAnsi="Times New Roman" w:cs="Times New Roman"/>
              </w:rPr>
              <w:t>活性炭</w:t>
            </w:r>
            <w:r>
              <w:rPr>
                <w:rFonts w:hint="eastAsia" w:ascii="Times New Roman" w:hAnsi="Times New Roman" w:cs="Times New Roman"/>
              </w:rPr>
              <w:t>产生量约为</w:t>
            </w:r>
            <w:r>
              <w:rPr>
                <w:rFonts w:ascii="Times New Roman" w:hAnsi="Times New Roman" w:cs="Times New Roman"/>
              </w:rPr>
              <w:t>1.20t/a</w:t>
            </w:r>
            <w:r>
              <w:rPr>
                <w:rFonts w:hint="eastAsia" w:ascii="Times New Roman" w:hAnsi="Times New Roman" w:cs="Times New Roman"/>
              </w:rPr>
              <w:t>，由厂家回收。</w:t>
            </w:r>
          </w:p>
          <w:p w14:paraId="34B422AC">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废胴体包装袋</w:t>
            </w:r>
          </w:p>
          <w:p w14:paraId="468C100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项目收集非病死动物宰杀之后的胴体及内脏等废弃物</w:t>
            </w:r>
            <w:r>
              <w:rPr>
                <w:rFonts w:hint="eastAsia" w:ascii="Times New Roman" w:hAnsi="Times New Roman" w:cs="Times New Roman"/>
              </w:rPr>
              <w:t>时，会</w:t>
            </w:r>
            <w:r>
              <w:rPr>
                <w:rFonts w:ascii="Times New Roman" w:hAnsi="Times New Roman" w:cs="Times New Roman"/>
              </w:rPr>
              <w:t>产生废包装袋，</w:t>
            </w:r>
            <w:r>
              <w:rPr>
                <w:rFonts w:hint="eastAsia" w:ascii="Times New Roman" w:hAnsi="Times New Roman" w:cs="Times New Roman"/>
              </w:rPr>
              <w:t>其量约为</w:t>
            </w:r>
            <w:r>
              <w:rPr>
                <w:rFonts w:ascii="Times New Roman" w:hAnsi="Times New Roman" w:cs="Times New Roman"/>
              </w:rPr>
              <w:t>0.10t/a，废包装袋收集</w:t>
            </w:r>
            <w:r>
              <w:rPr>
                <w:rFonts w:hint="eastAsia" w:ascii="Times New Roman" w:hAnsi="Times New Roman" w:cs="Times New Roman"/>
              </w:rPr>
              <w:t>、</w:t>
            </w:r>
            <w:r>
              <w:rPr>
                <w:rFonts w:ascii="Times New Roman" w:hAnsi="Times New Roman" w:cs="Times New Roman"/>
              </w:rPr>
              <w:t>消毒</w:t>
            </w:r>
            <w:r>
              <w:rPr>
                <w:rFonts w:hint="eastAsia" w:ascii="Times New Roman" w:hAnsi="Times New Roman" w:cs="Times New Roman"/>
              </w:rPr>
              <w:t>后</w:t>
            </w:r>
            <w:r>
              <w:rPr>
                <w:rFonts w:ascii="Times New Roman" w:hAnsi="Times New Roman" w:cs="Times New Roman"/>
              </w:rPr>
              <w:t>回用。</w:t>
            </w:r>
          </w:p>
          <w:p w14:paraId="1426622A">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7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⑦</w:t>
            </w:r>
            <w:r>
              <w:rPr>
                <w:rFonts w:ascii="Times New Roman" w:hAnsi="Times New Roman" w:cs="Times New Roman"/>
              </w:rPr>
              <w:fldChar w:fldCharType="end"/>
            </w:r>
            <w:r>
              <w:rPr>
                <w:rFonts w:hint="eastAsia" w:ascii="Times New Roman" w:hAnsi="Times New Roman" w:cs="Times New Roman"/>
              </w:rPr>
              <w:t>炉渣</w:t>
            </w:r>
          </w:p>
          <w:p w14:paraId="784E2FB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锅炉灰渣产生量约为29.52t/a</w:t>
            </w:r>
            <w:r>
              <w:rPr>
                <w:rFonts w:hint="eastAsia" w:ascii="Times New Roman" w:hAnsi="Times New Roman" w:cs="Times New Roman"/>
              </w:rPr>
              <w:t>，</w:t>
            </w:r>
            <w:r>
              <w:rPr>
                <w:rFonts w:ascii="Times New Roman" w:hAnsi="Times New Roman" w:cs="Times New Roman"/>
              </w:rPr>
              <w:t>灰渣统一收集，</w:t>
            </w:r>
            <w:r>
              <w:rPr>
                <w:rFonts w:hint="eastAsia" w:ascii="Times New Roman" w:hAnsi="Times New Roman" w:cs="Times New Roman"/>
              </w:rPr>
              <w:t>作为有机肥原料</w:t>
            </w:r>
            <w:r>
              <w:rPr>
                <w:rFonts w:ascii="Times New Roman" w:hAnsi="Times New Roman" w:cs="Times New Roman"/>
              </w:rPr>
              <w:t>定期</w:t>
            </w:r>
            <w:r>
              <w:rPr>
                <w:rFonts w:hint="eastAsia" w:ascii="Times New Roman" w:hAnsi="Times New Roman" w:cs="Times New Roman"/>
              </w:rPr>
              <w:t>外售</w:t>
            </w:r>
            <w:r>
              <w:rPr>
                <w:rFonts w:ascii="Times New Roman" w:hAnsi="Times New Roman" w:cs="Times New Roman"/>
              </w:rPr>
              <w:t>。</w:t>
            </w:r>
          </w:p>
          <w:p w14:paraId="45B9695B">
            <w:pPr>
              <w:pStyle w:val="8"/>
              <w:spacing w:line="360" w:lineRule="auto"/>
              <w:ind w:firstLine="240" w:firstLineChars="100"/>
              <w:rPr>
                <w:kern w:val="0"/>
                <w:sz w:val="24"/>
                <w:szCs w:val="24"/>
              </w:rPr>
            </w:pPr>
            <w:r>
              <w:rPr>
                <w:rFonts w:hint="eastAsia"/>
                <w:kern w:val="0"/>
                <w:sz w:val="24"/>
                <w:szCs w:val="24"/>
              </w:rPr>
              <w:t>（2）危险废物</w:t>
            </w:r>
          </w:p>
          <w:p w14:paraId="02A7D1C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8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⑧</w:t>
            </w:r>
            <w:r>
              <w:rPr>
                <w:rFonts w:ascii="Times New Roman" w:hAnsi="Times New Roman" w:cs="Times New Roman"/>
              </w:rPr>
              <w:fldChar w:fldCharType="end"/>
            </w:r>
            <w:r>
              <w:rPr>
                <w:rFonts w:hint="eastAsia" w:ascii="Times New Roman" w:hAnsi="Times New Roman" w:cs="Times New Roman"/>
              </w:rPr>
              <w:t>污泥</w:t>
            </w:r>
          </w:p>
          <w:p w14:paraId="38FA14E3">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厂区</w:t>
            </w:r>
            <w:r>
              <w:rPr>
                <w:rFonts w:ascii="Times New Roman" w:hAnsi="Times New Roman" w:cs="Times New Roman"/>
              </w:rPr>
              <w:t>化粪池</w:t>
            </w:r>
            <w:r>
              <w:rPr>
                <w:rFonts w:hint="eastAsia" w:ascii="Times New Roman" w:hAnsi="Times New Roman" w:cs="Times New Roman"/>
              </w:rPr>
              <w:t>和污水处理站污泥</w:t>
            </w:r>
            <w:r>
              <w:rPr>
                <w:rFonts w:ascii="Times New Roman" w:hAnsi="Times New Roman" w:cs="Times New Roman"/>
              </w:rPr>
              <w:t>产生量</w:t>
            </w:r>
            <w:r>
              <w:rPr>
                <w:rFonts w:hint="eastAsia" w:ascii="Times New Roman" w:hAnsi="Times New Roman" w:cs="Times New Roman"/>
              </w:rPr>
              <w:t>约为</w:t>
            </w:r>
            <w:r>
              <w:rPr>
                <w:rFonts w:ascii="Times New Roman" w:hAnsi="Times New Roman" w:cs="Times New Roman"/>
              </w:rPr>
              <w:t>0.59t/a</w:t>
            </w:r>
            <w:r>
              <w:rPr>
                <w:rFonts w:hint="eastAsia" w:ascii="Times New Roman" w:hAnsi="Times New Roman" w:cs="Times New Roman"/>
              </w:rPr>
              <w:t>（干重），</w:t>
            </w:r>
            <w:r>
              <w:rPr>
                <w:rFonts w:ascii="Times New Roman" w:hAnsi="Times New Roman" w:cs="Times New Roman"/>
              </w:rPr>
              <w:t>属于危险废物，</w:t>
            </w:r>
            <w:r>
              <w:rPr>
                <w:rFonts w:hint="eastAsia" w:ascii="Times New Roman" w:hAnsi="Times New Roman" w:cs="Times New Roman"/>
              </w:rPr>
              <w:t>类别为：H</w:t>
            </w:r>
            <w:r>
              <w:rPr>
                <w:rFonts w:ascii="Times New Roman" w:hAnsi="Times New Roman" w:cs="Times New Roman"/>
              </w:rPr>
              <w:t>W49</w:t>
            </w:r>
            <w:r>
              <w:rPr>
                <w:rFonts w:hint="eastAsia" w:ascii="Times New Roman" w:hAnsi="Times New Roman" w:cs="Times New Roman"/>
              </w:rPr>
              <w:t>，</w:t>
            </w:r>
            <w:r>
              <w:rPr>
                <w:rFonts w:ascii="Times New Roman" w:hAnsi="Times New Roman" w:cs="Times New Roman"/>
              </w:rPr>
              <w:t>危险废物代码为：772-006-49，拟设置1个收集桶专门收集滤饼，同时加入次氯酸钠消毒处理后，暂存于危险废物暂存间，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7A34498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9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⑨</w:t>
            </w:r>
            <w:r>
              <w:rPr>
                <w:rFonts w:ascii="Times New Roman" w:hAnsi="Times New Roman" w:cs="Times New Roman"/>
              </w:rPr>
              <w:fldChar w:fldCharType="end"/>
            </w:r>
            <w:r>
              <w:rPr>
                <w:rFonts w:ascii="Times New Roman" w:hAnsi="Times New Roman" w:cs="Times New Roman"/>
              </w:rPr>
              <w:t>废机油</w:t>
            </w:r>
          </w:p>
          <w:p w14:paraId="3D013284">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项目在设备维修</w:t>
            </w:r>
            <w:r>
              <w:rPr>
                <w:rFonts w:hint="eastAsia" w:ascii="Times New Roman" w:hAnsi="Times New Roman" w:cs="Times New Roman"/>
              </w:rPr>
              <w:t>过程中废机油产生总量约为0</w:t>
            </w:r>
            <w:r>
              <w:rPr>
                <w:rFonts w:ascii="Times New Roman" w:hAnsi="Times New Roman" w:cs="Times New Roman"/>
              </w:rPr>
              <w:t>.31</w:t>
            </w:r>
            <w:r>
              <w:rPr>
                <w:rFonts w:hint="eastAsia" w:ascii="Times New Roman" w:hAnsi="Times New Roman" w:cs="Times New Roman"/>
              </w:rPr>
              <w:t>t/a，属于危险废物，</w:t>
            </w:r>
            <w:r>
              <w:rPr>
                <w:rFonts w:ascii="Times New Roman" w:hAnsi="Times New Roman" w:cs="Times New Roman"/>
              </w:rPr>
              <w:t>编号：HW08（900-214-08）</w:t>
            </w:r>
            <w:r>
              <w:rPr>
                <w:rFonts w:hint="eastAsia" w:ascii="Times New Roman" w:hAnsi="Times New Roman" w:cs="Times New Roman"/>
              </w:rPr>
              <w:t>，</w:t>
            </w:r>
            <w:r>
              <w:rPr>
                <w:rFonts w:ascii="Times New Roman" w:hAnsi="Times New Roman" w:cs="Times New Roman"/>
              </w:rPr>
              <w:t>收集后暂存于危险废物暂存间，</w:t>
            </w:r>
            <w:r>
              <w:rPr>
                <w:rFonts w:hint="eastAsia" w:ascii="Times New Roman" w:hAnsi="Times New Roman" w:cs="Times New Roman"/>
              </w:rPr>
              <w:t>最终</w:t>
            </w:r>
            <w:r>
              <w:rPr>
                <w:rFonts w:ascii="Times New Roman" w:hAnsi="Times New Roman" w:cs="Times New Roman"/>
              </w:rPr>
              <w:t>委托有危险废物处置资质的单位进行处理。</w:t>
            </w:r>
          </w:p>
          <w:p w14:paraId="15AB89F4">
            <w:pPr>
              <w:spacing w:line="500" w:lineRule="exact"/>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4-24    建设项目固废产生情况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679"/>
              <w:gridCol w:w="680"/>
              <w:gridCol w:w="806"/>
              <w:gridCol w:w="1061"/>
              <w:gridCol w:w="894"/>
              <w:gridCol w:w="755"/>
              <w:gridCol w:w="755"/>
              <w:gridCol w:w="1313"/>
              <w:gridCol w:w="756"/>
            </w:tblGrid>
            <w:tr w14:paraId="0249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restart"/>
                  <w:shd w:val="clear" w:color="auto" w:fill="auto"/>
                  <w:vAlign w:val="center"/>
                </w:tcPr>
                <w:p w14:paraId="235B056A">
                  <w:pPr>
                    <w:jc w:val="center"/>
                    <w:rPr>
                      <w:rFonts w:ascii="Times New Roman" w:hAnsi="Times New Roman" w:cs="Times New Roman"/>
                      <w:b/>
                      <w:bCs/>
                      <w:sz w:val="18"/>
                      <w:szCs w:val="18"/>
                    </w:rPr>
                  </w:pPr>
                  <w:r>
                    <w:rPr>
                      <w:rFonts w:hint="eastAsia" w:ascii="Times New Roman" w:hAnsi="Times New Roman" w:cs="Times New Roman"/>
                      <w:b/>
                      <w:bCs/>
                      <w:sz w:val="18"/>
                      <w:szCs w:val="18"/>
                    </w:rPr>
                    <w:t>序号</w:t>
                  </w:r>
                </w:p>
              </w:tc>
              <w:tc>
                <w:tcPr>
                  <w:tcW w:w="679" w:type="dxa"/>
                  <w:vMerge w:val="restart"/>
                  <w:shd w:val="clear" w:color="auto" w:fill="auto"/>
                  <w:vAlign w:val="center"/>
                </w:tcPr>
                <w:p w14:paraId="5ECDDB5B">
                  <w:pPr>
                    <w:jc w:val="center"/>
                    <w:rPr>
                      <w:rFonts w:ascii="Times New Roman" w:hAnsi="Times New Roman" w:cs="Times New Roman"/>
                      <w:b/>
                      <w:bCs/>
                      <w:sz w:val="18"/>
                      <w:szCs w:val="18"/>
                    </w:rPr>
                  </w:pPr>
                  <w:r>
                    <w:rPr>
                      <w:rFonts w:hint="eastAsia" w:ascii="Times New Roman" w:hAnsi="Times New Roman" w:cs="Times New Roman"/>
                      <w:b/>
                      <w:bCs/>
                      <w:sz w:val="18"/>
                      <w:szCs w:val="18"/>
                    </w:rPr>
                    <w:t>固废名称</w:t>
                  </w:r>
                </w:p>
              </w:tc>
              <w:tc>
                <w:tcPr>
                  <w:tcW w:w="680" w:type="dxa"/>
                  <w:vMerge w:val="restart"/>
                  <w:shd w:val="clear" w:color="auto" w:fill="auto"/>
                  <w:vAlign w:val="center"/>
                </w:tcPr>
                <w:p w14:paraId="7D8B3483">
                  <w:pPr>
                    <w:jc w:val="center"/>
                    <w:rPr>
                      <w:rFonts w:ascii="Times New Roman" w:hAnsi="Times New Roman" w:cs="Times New Roman"/>
                      <w:b/>
                      <w:bCs/>
                      <w:sz w:val="18"/>
                      <w:szCs w:val="18"/>
                    </w:rPr>
                  </w:pPr>
                  <w:r>
                    <w:rPr>
                      <w:rFonts w:hint="eastAsia" w:ascii="Times New Roman" w:hAnsi="Times New Roman" w:cs="Times New Roman"/>
                      <w:b/>
                      <w:bCs/>
                      <w:sz w:val="18"/>
                      <w:szCs w:val="18"/>
                    </w:rPr>
                    <w:t>产生工序</w:t>
                  </w:r>
                </w:p>
              </w:tc>
              <w:tc>
                <w:tcPr>
                  <w:tcW w:w="806" w:type="dxa"/>
                  <w:vMerge w:val="restart"/>
                  <w:shd w:val="clear" w:color="auto" w:fill="auto"/>
                  <w:vAlign w:val="center"/>
                </w:tcPr>
                <w:p w14:paraId="0471C5B8">
                  <w:pPr>
                    <w:jc w:val="center"/>
                    <w:rPr>
                      <w:rFonts w:ascii="Times New Roman" w:hAnsi="Times New Roman" w:cs="Times New Roman"/>
                      <w:b/>
                      <w:bCs/>
                      <w:sz w:val="18"/>
                      <w:szCs w:val="18"/>
                    </w:rPr>
                  </w:pPr>
                  <w:r>
                    <w:rPr>
                      <w:rFonts w:hint="eastAsia" w:ascii="Times New Roman" w:hAnsi="Times New Roman" w:cs="Times New Roman"/>
                      <w:b/>
                      <w:bCs/>
                      <w:sz w:val="18"/>
                      <w:szCs w:val="18"/>
                    </w:rPr>
                    <w:t>形态</w:t>
                  </w:r>
                </w:p>
              </w:tc>
              <w:tc>
                <w:tcPr>
                  <w:tcW w:w="1061" w:type="dxa"/>
                  <w:vMerge w:val="restart"/>
                  <w:shd w:val="clear" w:color="auto" w:fill="auto"/>
                  <w:vAlign w:val="center"/>
                </w:tcPr>
                <w:p w14:paraId="15F52469">
                  <w:pPr>
                    <w:jc w:val="center"/>
                    <w:rPr>
                      <w:rFonts w:ascii="Times New Roman" w:hAnsi="Times New Roman" w:cs="Times New Roman"/>
                      <w:b/>
                      <w:bCs/>
                      <w:sz w:val="18"/>
                      <w:szCs w:val="18"/>
                    </w:rPr>
                  </w:pPr>
                  <w:r>
                    <w:rPr>
                      <w:rFonts w:hint="eastAsia" w:ascii="Times New Roman" w:hAnsi="Times New Roman" w:cs="Times New Roman"/>
                      <w:b/>
                      <w:bCs/>
                      <w:sz w:val="18"/>
                      <w:szCs w:val="18"/>
                    </w:rPr>
                    <w:t>主要成分</w:t>
                  </w:r>
                </w:p>
              </w:tc>
              <w:tc>
                <w:tcPr>
                  <w:tcW w:w="894" w:type="dxa"/>
                  <w:vMerge w:val="restart"/>
                  <w:shd w:val="clear" w:color="auto" w:fill="auto"/>
                  <w:vAlign w:val="center"/>
                </w:tcPr>
                <w:p w14:paraId="0AA6EDBD">
                  <w:pPr>
                    <w:jc w:val="center"/>
                    <w:rPr>
                      <w:rFonts w:ascii="Times New Roman" w:hAnsi="Times New Roman" w:cs="Times New Roman"/>
                      <w:b/>
                      <w:bCs/>
                      <w:sz w:val="18"/>
                      <w:szCs w:val="18"/>
                    </w:rPr>
                  </w:pPr>
                  <w:r>
                    <w:rPr>
                      <w:rFonts w:hint="eastAsia" w:ascii="Times New Roman" w:hAnsi="Times New Roman" w:cs="Times New Roman"/>
                      <w:b/>
                      <w:bCs/>
                      <w:sz w:val="18"/>
                      <w:szCs w:val="18"/>
                    </w:rPr>
                    <w:t>预计产量（t/a）</w:t>
                  </w:r>
                </w:p>
              </w:tc>
              <w:tc>
                <w:tcPr>
                  <w:tcW w:w="2823" w:type="dxa"/>
                  <w:gridSpan w:val="3"/>
                  <w:shd w:val="clear" w:color="auto" w:fill="auto"/>
                  <w:vAlign w:val="center"/>
                </w:tcPr>
                <w:p w14:paraId="3D223D85">
                  <w:pPr>
                    <w:jc w:val="center"/>
                    <w:rPr>
                      <w:rFonts w:ascii="Times New Roman" w:hAnsi="Times New Roman" w:cs="Times New Roman"/>
                      <w:b/>
                      <w:bCs/>
                      <w:sz w:val="18"/>
                      <w:szCs w:val="18"/>
                    </w:rPr>
                  </w:pPr>
                  <w:r>
                    <w:rPr>
                      <w:rFonts w:hint="eastAsia" w:ascii="Times New Roman" w:hAnsi="Times New Roman" w:cs="Times New Roman"/>
                      <w:b/>
                      <w:bCs/>
                      <w:sz w:val="18"/>
                      <w:szCs w:val="18"/>
                    </w:rPr>
                    <w:t>种类判定</w:t>
                  </w:r>
                </w:p>
              </w:tc>
              <w:tc>
                <w:tcPr>
                  <w:tcW w:w="756" w:type="dxa"/>
                  <w:vMerge w:val="restart"/>
                  <w:shd w:val="clear" w:color="auto" w:fill="auto"/>
                  <w:vAlign w:val="center"/>
                </w:tcPr>
                <w:p w14:paraId="7FF6DBE0">
                  <w:pPr>
                    <w:jc w:val="center"/>
                    <w:rPr>
                      <w:b/>
                      <w:bCs/>
                      <w:sz w:val="18"/>
                      <w:szCs w:val="18"/>
                    </w:rPr>
                  </w:pPr>
                  <w:r>
                    <w:rPr>
                      <w:rFonts w:hint="eastAsia" w:ascii="Times New Roman" w:hAnsi="Times New Roman" w:cs="Times New Roman"/>
                      <w:b/>
                      <w:bCs/>
                      <w:sz w:val="18"/>
                      <w:szCs w:val="18"/>
                    </w:rPr>
                    <w:t>处理方式</w:t>
                  </w:r>
                </w:p>
              </w:tc>
            </w:tr>
            <w:tr w14:paraId="2A45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shd w:val="clear" w:color="auto" w:fill="auto"/>
                  <w:vAlign w:val="center"/>
                </w:tcPr>
                <w:p w14:paraId="4BF64C29">
                  <w:pPr>
                    <w:jc w:val="center"/>
                    <w:rPr>
                      <w:rFonts w:ascii="Times New Roman" w:hAnsi="Times New Roman" w:cs="Times New Roman"/>
                      <w:b/>
                      <w:bCs/>
                      <w:sz w:val="18"/>
                      <w:szCs w:val="18"/>
                    </w:rPr>
                  </w:pPr>
                </w:p>
              </w:tc>
              <w:tc>
                <w:tcPr>
                  <w:tcW w:w="679" w:type="dxa"/>
                  <w:vMerge w:val="continue"/>
                  <w:shd w:val="clear" w:color="auto" w:fill="auto"/>
                  <w:vAlign w:val="center"/>
                </w:tcPr>
                <w:p w14:paraId="7BE695B0">
                  <w:pPr>
                    <w:jc w:val="center"/>
                    <w:rPr>
                      <w:rFonts w:ascii="Times New Roman" w:hAnsi="Times New Roman" w:cs="Times New Roman"/>
                      <w:b/>
                      <w:bCs/>
                      <w:sz w:val="18"/>
                      <w:szCs w:val="18"/>
                    </w:rPr>
                  </w:pPr>
                </w:p>
              </w:tc>
              <w:tc>
                <w:tcPr>
                  <w:tcW w:w="680" w:type="dxa"/>
                  <w:vMerge w:val="continue"/>
                  <w:shd w:val="clear" w:color="auto" w:fill="auto"/>
                  <w:vAlign w:val="center"/>
                </w:tcPr>
                <w:p w14:paraId="60099498">
                  <w:pPr>
                    <w:jc w:val="center"/>
                    <w:rPr>
                      <w:rFonts w:ascii="Times New Roman" w:hAnsi="Times New Roman" w:cs="Times New Roman"/>
                      <w:b/>
                      <w:bCs/>
                      <w:sz w:val="18"/>
                      <w:szCs w:val="18"/>
                    </w:rPr>
                  </w:pPr>
                </w:p>
              </w:tc>
              <w:tc>
                <w:tcPr>
                  <w:tcW w:w="806" w:type="dxa"/>
                  <w:vMerge w:val="continue"/>
                  <w:shd w:val="clear" w:color="auto" w:fill="auto"/>
                  <w:vAlign w:val="center"/>
                </w:tcPr>
                <w:p w14:paraId="43F2E755">
                  <w:pPr>
                    <w:jc w:val="center"/>
                    <w:rPr>
                      <w:rFonts w:ascii="Times New Roman" w:hAnsi="Times New Roman" w:cs="Times New Roman"/>
                      <w:b/>
                      <w:bCs/>
                      <w:sz w:val="18"/>
                      <w:szCs w:val="18"/>
                    </w:rPr>
                  </w:pPr>
                </w:p>
              </w:tc>
              <w:tc>
                <w:tcPr>
                  <w:tcW w:w="1061" w:type="dxa"/>
                  <w:vMerge w:val="continue"/>
                  <w:shd w:val="clear" w:color="auto" w:fill="auto"/>
                  <w:vAlign w:val="center"/>
                </w:tcPr>
                <w:p w14:paraId="10F22EC6">
                  <w:pPr>
                    <w:jc w:val="center"/>
                    <w:rPr>
                      <w:rFonts w:ascii="Times New Roman" w:hAnsi="Times New Roman" w:cs="Times New Roman"/>
                      <w:b/>
                      <w:bCs/>
                      <w:sz w:val="18"/>
                      <w:szCs w:val="18"/>
                    </w:rPr>
                  </w:pPr>
                </w:p>
              </w:tc>
              <w:tc>
                <w:tcPr>
                  <w:tcW w:w="894" w:type="dxa"/>
                  <w:vMerge w:val="continue"/>
                  <w:shd w:val="clear" w:color="auto" w:fill="auto"/>
                  <w:vAlign w:val="center"/>
                </w:tcPr>
                <w:p w14:paraId="7BF66C90">
                  <w:pPr>
                    <w:jc w:val="center"/>
                    <w:rPr>
                      <w:rFonts w:ascii="Times New Roman" w:hAnsi="Times New Roman" w:cs="Times New Roman"/>
                      <w:b/>
                      <w:bCs/>
                      <w:sz w:val="18"/>
                      <w:szCs w:val="18"/>
                    </w:rPr>
                  </w:pPr>
                </w:p>
              </w:tc>
              <w:tc>
                <w:tcPr>
                  <w:tcW w:w="1510" w:type="dxa"/>
                  <w:gridSpan w:val="2"/>
                  <w:shd w:val="clear" w:color="auto" w:fill="auto"/>
                  <w:vAlign w:val="center"/>
                </w:tcPr>
                <w:p w14:paraId="73023B60">
                  <w:pPr>
                    <w:jc w:val="center"/>
                    <w:rPr>
                      <w:rFonts w:ascii="Times New Roman" w:hAnsi="Times New Roman" w:cs="Times New Roman"/>
                      <w:b/>
                      <w:bCs/>
                      <w:sz w:val="18"/>
                      <w:szCs w:val="18"/>
                    </w:rPr>
                  </w:pPr>
                  <w:r>
                    <w:rPr>
                      <w:rFonts w:hint="eastAsia" w:ascii="Times New Roman" w:hAnsi="Times New Roman" w:cs="Times New Roman"/>
                      <w:b/>
                      <w:bCs/>
                      <w:sz w:val="18"/>
                      <w:szCs w:val="18"/>
                    </w:rPr>
                    <w:t>是否属于固废</w:t>
                  </w:r>
                </w:p>
              </w:tc>
              <w:tc>
                <w:tcPr>
                  <w:tcW w:w="1313" w:type="dxa"/>
                  <w:vMerge w:val="restart"/>
                  <w:shd w:val="clear" w:color="auto" w:fill="auto"/>
                  <w:vAlign w:val="center"/>
                </w:tcPr>
                <w:p w14:paraId="1116C054">
                  <w:pPr>
                    <w:jc w:val="center"/>
                    <w:rPr>
                      <w:rFonts w:ascii="Times New Roman" w:hAnsi="Times New Roman" w:cs="Times New Roman"/>
                      <w:b/>
                      <w:bCs/>
                      <w:sz w:val="18"/>
                      <w:szCs w:val="18"/>
                    </w:rPr>
                  </w:pPr>
                  <w:r>
                    <w:rPr>
                      <w:rFonts w:hint="eastAsia" w:ascii="Times New Roman" w:hAnsi="Times New Roman" w:cs="Times New Roman"/>
                      <w:b/>
                      <w:bCs/>
                      <w:sz w:val="18"/>
                      <w:szCs w:val="18"/>
                    </w:rPr>
                    <w:t>判定依据</w:t>
                  </w:r>
                </w:p>
              </w:tc>
              <w:tc>
                <w:tcPr>
                  <w:tcW w:w="756" w:type="dxa"/>
                  <w:vMerge w:val="continue"/>
                  <w:shd w:val="clear" w:color="auto" w:fill="auto"/>
                  <w:vAlign w:val="center"/>
                </w:tcPr>
                <w:p w14:paraId="1F5DB6D1">
                  <w:pPr>
                    <w:jc w:val="center"/>
                    <w:rPr>
                      <w:rFonts w:ascii="Times New Roman" w:hAnsi="Times New Roman" w:cs="Times New Roman"/>
                      <w:sz w:val="18"/>
                      <w:szCs w:val="18"/>
                    </w:rPr>
                  </w:pPr>
                </w:p>
              </w:tc>
            </w:tr>
            <w:tr w14:paraId="7DD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shd w:val="clear" w:color="auto" w:fill="auto"/>
                  <w:vAlign w:val="center"/>
                </w:tcPr>
                <w:p w14:paraId="32244043">
                  <w:pPr>
                    <w:jc w:val="center"/>
                    <w:rPr>
                      <w:rFonts w:ascii="Times New Roman" w:hAnsi="Times New Roman" w:cs="Times New Roman"/>
                      <w:b/>
                      <w:bCs/>
                      <w:sz w:val="18"/>
                      <w:szCs w:val="18"/>
                    </w:rPr>
                  </w:pPr>
                </w:p>
              </w:tc>
              <w:tc>
                <w:tcPr>
                  <w:tcW w:w="679" w:type="dxa"/>
                  <w:vMerge w:val="continue"/>
                  <w:shd w:val="clear" w:color="auto" w:fill="auto"/>
                  <w:vAlign w:val="center"/>
                </w:tcPr>
                <w:p w14:paraId="0E395F18">
                  <w:pPr>
                    <w:jc w:val="center"/>
                    <w:rPr>
                      <w:rFonts w:ascii="Times New Roman" w:hAnsi="Times New Roman" w:cs="Times New Roman"/>
                      <w:b/>
                      <w:bCs/>
                      <w:sz w:val="18"/>
                      <w:szCs w:val="18"/>
                    </w:rPr>
                  </w:pPr>
                </w:p>
              </w:tc>
              <w:tc>
                <w:tcPr>
                  <w:tcW w:w="680" w:type="dxa"/>
                  <w:vMerge w:val="continue"/>
                  <w:shd w:val="clear" w:color="auto" w:fill="auto"/>
                  <w:vAlign w:val="center"/>
                </w:tcPr>
                <w:p w14:paraId="3C9C1242">
                  <w:pPr>
                    <w:jc w:val="center"/>
                    <w:rPr>
                      <w:rFonts w:ascii="Times New Roman" w:hAnsi="Times New Roman" w:cs="Times New Roman"/>
                      <w:b/>
                      <w:bCs/>
                      <w:sz w:val="18"/>
                      <w:szCs w:val="18"/>
                    </w:rPr>
                  </w:pPr>
                </w:p>
              </w:tc>
              <w:tc>
                <w:tcPr>
                  <w:tcW w:w="806" w:type="dxa"/>
                  <w:vMerge w:val="continue"/>
                  <w:shd w:val="clear" w:color="auto" w:fill="auto"/>
                  <w:vAlign w:val="center"/>
                </w:tcPr>
                <w:p w14:paraId="4FA1BFBD">
                  <w:pPr>
                    <w:jc w:val="center"/>
                    <w:rPr>
                      <w:rFonts w:ascii="Times New Roman" w:hAnsi="Times New Roman" w:cs="Times New Roman"/>
                      <w:b/>
                      <w:bCs/>
                      <w:sz w:val="18"/>
                      <w:szCs w:val="18"/>
                    </w:rPr>
                  </w:pPr>
                </w:p>
              </w:tc>
              <w:tc>
                <w:tcPr>
                  <w:tcW w:w="1061" w:type="dxa"/>
                  <w:vMerge w:val="continue"/>
                  <w:shd w:val="clear" w:color="auto" w:fill="auto"/>
                  <w:vAlign w:val="center"/>
                </w:tcPr>
                <w:p w14:paraId="44229380">
                  <w:pPr>
                    <w:jc w:val="center"/>
                    <w:rPr>
                      <w:rFonts w:ascii="Times New Roman" w:hAnsi="Times New Roman" w:cs="Times New Roman"/>
                      <w:b/>
                      <w:bCs/>
                      <w:sz w:val="18"/>
                      <w:szCs w:val="18"/>
                    </w:rPr>
                  </w:pPr>
                </w:p>
              </w:tc>
              <w:tc>
                <w:tcPr>
                  <w:tcW w:w="894" w:type="dxa"/>
                  <w:vMerge w:val="continue"/>
                  <w:shd w:val="clear" w:color="auto" w:fill="auto"/>
                  <w:vAlign w:val="center"/>
                </w:tcPr>
                <w:p w14:paraId="377299FC">
                  <w:pPr>
                    <w:jc w:val="center"/>
                    <w:rPr>
                      <w:rFonts w:ascii="Times New Roman" w:hAnsi="Times New Roman" w:cs="Times New Roman"/>
                      <w:b/>
                      <w:bCs/>
                      <w:sz w:val="18"/>
                      <w:szCs w:val="18"/>
                    </w:rPr>
                  </w:pPr>
                </w:p>
              </w:tc>
              <w:tc>
                <w:tcPr>
                  <w:tcW w:w="755" w:type="dxa"/>
                  <w:shd w:val="clear" w:color="auto" w:fill="auto"/>
                  <w:vAlign w:val="center"/>
                </w:tcPr>
                <w:p w14:paraId="60FF2E6F">
                  <w:pPr>
                    <w:jc w:val="center"/>
                    <w:rPr>
                      <w:rFonts w:ascii="Times New Roman" w:hAnsi="Times New Roman" w:cs="Times New Roman"/>
                      <w:b/>
                      <w:bCs/>
                      <w:sz w:val="18"/>
                      <w:szCs w:val="18"/>
                    </w:rPr>
                  </w:pPr>
                  <w:r>
                    <w:rPr>
                      <w:rFonts w:hint="eastAsia" w:ascii="Times New Roman" w:hAnsi="Times New Roman" w:cs="Times New Roman"/>
                      <w:b/>
                      <w:bCs/>
                      <w:sz w:val="18"/>
                      <w:szCs w:val="18"/>
                    </w:rPr>
                    <w:t>是</w:t>
                  </w:r>
                </w:p>
              </w:tc>
              <w:tc>
                <w:tcPr>
                  <w:tcW w:w="755" w:type="dxa"/>
                  <w:shd w:val="clear" w:color="auto" w:fill="auto"/>
                  <w:vAlign w:val="center"/>
                </w:tcPr>
                <w:p w14:paraId="33F06038">
                  <w:pPr>
                    <w:jc w:val="center"/>
                    <w:rPr>
                      <w:rFonts w:ascii="Times New Roman" w:hAnsi="Times New Roman" w:cs="Times New Roman"/>
                      <w:b/>
                      <w:bCs/>
                      <w:sz w:val="18"/>
                      <w:szCs w:val="18"/>
                    </w:rPr>
                  </w:pPr>
                  <w:r>
                    <w:rPr>
                      <w:rFonts w:hint="eastAsia" w:ascii="Times New Roman" w:hAnsi="Times New Roman" w:cs="Times New Roman"/>
                      <w:b/>
                      <w:bCs/>
                      <w:sz w:val="18"/>
                      <w:szCs w:val="18"/>
                    </w:rPr>
                    <w:t>否</w:t>
                  </w:r>
                </w:p>
              </w:tc>
              <w:tc>
                <w:tcPr>
                  <w:tcW w:w="1313" w:type="dxa"/>
                  <w:vMerge w:val="continue"/>
                  <w:shd w:val="clear" w:color="auto" w:fill="auto"/>
                  <w:vAlign w:val="center"/>
                </w:tcPr>
                <w:p w14:paraId="3381CE43">
                  <w:pPr>
                    <w:jc w:val="center"/>
                    <w:rPr>
                      <w:rFonts w:ascii="Times New Roman" w:hAnsi="Times New Roman" w:cs="Times New Roman"/>
                      <w:sz w:val="18"/>
                      <w:szCs w:val="18"/>
                    </w:rPr>
                  </w:pPr>
                </w:p>
              </w:tc>
              <w:tc>
                <w:tcPr>
                  <w:tcW w:w="756" w:type="dxa"/>
                  <w:vMerge w:val="continue"/>
                  <w:shd w:val="clear" w:color="auto" w:fill="auto"/>
                  <w:vAlign w:val="center"/>
                </w:tcPr>
                <w:p w14:paraId="0E481C98">
                  <w:pPr>
                    <w:jc w:val="center"/>
                    <w:rPr>
                      <w:rFonts w:ascii="Times New Roman" w:hAnsi="Times New Roman" w:cs="Times New Roman"/>
                      <w:sz w:val="18"/>
                      <w:szCs w:val="18"/>
                    </w:rPr>
                  </w:pPr>
                </w:p>
              </w:tc>
            </w:tr>
            <w:tr w14:paraId="44AB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30BE0C79">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679" w:type="dxa"/>
                  <w:shd w:val="clear" w:color="auto" w:fill="auto"/>
                  <w:vAlign w:val="center"/>
                </w:tcPr>
                <w:p w14:paraId="5113244B">
                  <w:pPr>
                    <w:jc w:val="center"/>
                    <w:rPr>
                      <w:rFonts w:ascii="Times New Roman" w:hAnsi="Times New Roman" w:cs="Times New Roman"/>
                      <w:sz w:val="18"/>
                      <w:szCs w:val="18"/>
                    </w:rPr>
                  </w:pPr>
                  <w:r>
                    <w:rPr>
                      <w:rFonts w:ascii="Times New Roman" w:hAnsi="Times New Roman" w:cs="Times New Roman"/>
                      <w:sz w:val="18"/>
                      <w:szCs w:val="18"/>
                    </w:rPr>
                    <w:t>废油脂</w:t>
                  </w:r>
                </w:p>
              </w:tc>
              <w:tc>
                <w:tcPr>
                  <w:tcW w:w="680" w:type="dxa"/>
                  <w:shd w:val="clear" w:color="auto" w:fill="auto"/>
                  <w:vAlign w:val="center"/>
                </w:tcPr>
                <w:p w14:paraId="0622BE01">
                  <w:pPr>
                    <w:jc w:val="center"/>
                    <w:rPr>
                      <w:rFonts w:ascii="Times New Roman" w:hAnsi="Times New Roman" w:cs="Times New Roman"/>
                      <w:sz w:val="18"/>
                      <w:szCs w:val="18"/>
                    </w:rPr>
                  </w:pPr>
                  <w:r>
                    <w:rPr>
                      <w:rFonts w:hint="eastAsia" w:ascii="Times New Roman" w:hAnsi="Times New Roman" w:cs="Times New Roman"/>
                      <w:bCs/>
                      <w:sz w:val="18"/>
                      <w:szCs w:val="18"/>
                    </w:rPr>
                    <w:t>隔油池</w:t>
                  </w:r>
                </w:p>
              </w:tc>
              <w:tc>
                <w:tcPr>
                  <w:tcW w:w="806" w:type="dxa"/>
                  <w:shd w:val="clear" w:color="auto" w:fill="auto"/>
                  <w:vAlign w:val="center"/>
                </w:tcPr>
                <w:p w14:paraId="201DBD3F">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0ED92D20">
                  <w:pPr>
                    <w:jc w:val="center"/>
                    <w:rPr>
                      <w:rFonts w:ascii="Times New Roman" w:hAnsi="Times New Roman" w:cs="Times New Roman"/>
                      <w:sz w:val="18"/>
                      <w:szCs w:val="18"/>
                    </w:rPr>
                  </w:pPr>
                  <w:r>
                    <w:rPr>
                      <w:rFonts w:hint="eastAsia" w:ascii="Times New Roman" w:hAnsi="Times New Roman" w:cs="Times New Roman"/>
                      <w:sz w:val="18"/>
                      <w:szCs w:val="18"/>
                    </w:rPr>
                    <w:t>动植物油</w:t>
                  </w:r>
                </w:p>
              </w:tc>
              <w:tc>
                <w:tcPr>
                  <w:tcW w:w="894" w:type="dxa"/>
                  <w:shd w:val="clear" w:color="auto" w:fill="auto"/>
                  <w:vAlign w:val="center"/>
                </w:tcPr>
                <w:p w14:paraId="06F9B9A9">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.05</w:t>
                  </w:r>
                </w:p>
              </w:tc>
              <w:tc>
                <w:tcPr>
                  <w:tcW w:w="755" w:type="dxa"/>
                  <w:shd w:val="clear" w:color="auto" w:fill="auto"/>
                  <w:vAlign w:val="center"/>
                </w:tcPr>
                <w:p w14:paraId="5C48A027">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36D9C552">
                  <w:pPr>
                    <w:jc w:val="center"/>
                    <w:rPr>
                      <w:rFonts w:ascii="Times New Roman" w:hAnsi="Times New Roman" w:cs="Times New Roman"/>
                      <w:sz w:val="18"/>
                      <w:szCs w:val="18"/>
                    </w:rPr>
                  </w:pPr>
                </w:p>
              </w:tc>
              <w:tc>
                <w:tcPr>
                  <w:tcW w:w="1313" w:type="dxa"/>
                  <w:vMerge w:val="restart"/>
                  <w:shd w:val="clear" w:color="auto" w:fill="auto"/>
                  <w:vAlign w:val="center"/>
                </w:tcPr>
                <w:p w14:paraId="21AE60C5">
                  <w:pPr>
                    <w:jc w:val="center"/>
                    <w:rPr>
                      <w:rFonts w:ascii="Times New Roman" w:hAnsi="Times New Roman" w:cs="Times New Roman"/>
                      <w:sz w:val="18"/>
                      <w:szCs w:val="18"/>
                    </w:rPr>
                  </w:pPr>
                  <w:r>
                    <w:rPr>
                      <w:rFonts w:ascii="Times New Roman" w:hAnsi="Times New Roman" w:cs="Times New Roman"/>
                      <w:sz w:val="18"/>
                      <w:szCs w:val="18"/>
                    </w:rPr>
                    <w:t>《固体废物鉴 别标准通 则》 （GB34330- 2017）</w:t>
                  </w:r>
                </w:p>
              </w:tc>
              <w:tc>
                <w:tcPr>
                  <w:tcW w:w="756" w:type="dxa"/>
                  <w:shd w:val="clear" w:color="auto" w:fill="auto"/>
                  <w:vAlign w:val="center"/>
                </w:tcPr>
                <w:p w14:paraId="62FB56F8">
                  <w:pPr>
                    <w:jc w:val="center"/>
                    <w:rPr>
                      <w:rFonts w:ascii="Times New Roman" w:hAnsi="Times New Roman" w:cs="Times New Roman"/>
                      <w:sz w:val="18"/>
                      <w:szCs w:val="18"/>
                    </w:rPr>
                  </w:pPr>
                  <w:r>
                    <w:rPr>
                      <w:rFonts w:hint="eastAsia" w:ascii="Times New Roman" w:hAnsi="Times New Roman" w:cs="Times New Roman"/>
                      <w:sz w:val="18"/>
                      <w:szCs w:val="18"/>
                    </w:rPr>
                    <w:t>回用</w:t>
                  </w:r>
                </w:p>
              </w:tc>
            </w:tr>
            <w:tr w14:paraId="3623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0906A78E">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79" w:type="dxa"/>
                  <w:shd w:val="clear" w:color="auto" w:fill="auto"/>
                  <w:vAlign w:val="center"/>
                </w:tcPr>
                <w:p w14:paraId="695F6401">
                  <w:pPr>
                    <w:jc w:val="center"/>
                    <w:rPr>
                      <w:rFonts w:ascii="Times New Roman" w:hAnsi="Times New Roman" w:cs="Times New Roman"/>
                      <w:sz w:val="18"/>
                      <w:szCs w:val="18"/>
                    </w:rPr>
                  </w:pPr>
                  <w:r>
                    <w:rPr>
                      <w:rFonts w:ascii="Times New Roman" w:hAnsi="Times New Roman" w:cs="Times New Roman"/>
                      <w:sz w:val="18"/>
                      <w:szCs w:val="18"/>
                    </w:rPr>
                    <w:t>泔水</w:t>
                  </w:r>
                </w:p>
              </w:tc>
              <w:tc>
                <w:tcPr>
                  <w:tcW w:w="680" w:type="dxa"/>
                  <w:shd w:val="clear" w:color="auto" w:fill="auto"/>
                  <w:vAlign w:val="center"/>
                </w:tcPr>
                <w:p w14:paraId="471B3B41">
                  <w:pPr>
                    <w:jc w:val="center"/>
                    <w:rPr>
                      <w:rFonts w:ascii="Times New Roman" w:hAnsi="Times New Roman" w:cs="Times New Roman"/>
                      <w:sz w:val="18"/>
                      <w:szCs w:val="18"/>
                    </w:rPr>
                  </w:pPr>
                  <w:r>
                    <w:rPr>
                      <w:rFonts w:ascii="Times New Roman" w:hAnsi="Times New Roman" w:cs="Times New Roman"/>
                      <w:sz w:val="18"/>
                      <w:szCs w:val="18"/>
                    </w:rPr>
                    <w:t>食堂</w:t>
                  </w:r>
                </w:p>
              </w:tc>
              <w:tc>
                <w:tcPr>
                  <w:tcW w:w="806" w:type="dxa"/>
                  <w:shd w:val="clear" w:color="auto" w:fill="auto"/>
                  <w:vAlign w:val="center"/>
                </w:tcPr>
                <w:p w14:paraId="70F9EB5E">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7CF95C82">
                  <w:pPr>
                    <w:jc w:val="center"/>
                    <w:rPr>
                      <w:rFonts w:ascii="Times New Roman" w:hAnsi="Times New Roman" w:cs="Times New Roman"/>
                      <w:sz w:val="18"/>
                      <w:szCs w:val="18"/>
                    </w:rPr>
                  </w:pPr>
                  <w:r>
                    <w:rPr>
                      <w:rFonts w:hint="eastAsia" w:ascii="Times New Roman" w:hAnsi="Times New Roman" w:cs="Times New Roman"/>
                      <w:sz w:val="18"/>
                      <w:szCs w:val="18"/>
                    </w:rPr>
                    <w:t>有机物</w:t>
                  </w:r>
                </w:p>
              </w:tc>
              <w:tc>
                <w:tcPr>
                  <w:tcW w:w="894" w:type="dxa"/>
                  <w:shd w:val="clear" w:color="auto" w:fill="auto"/>
                  <w:vAlign w:val="center"/>
                </w:tcPr>
                <w:p w14:paraId="68572ABB">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.62</w:t>
                  </w:r>
                </w:p>
              </w:tc>
              <w:tc>
                <w:tcPr>
                  <w:tcW w:w="755" w:type="dxa"/>
                  <w:shd w:val="clear" w:color="auto" w:fill="auto"/>
                  <w:vAlign w:val="center"/>
                </w:tcPr>
                <w:p w14:paraId="28E1A690">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492FABCF">
                  <w:pPr>
                    <w:jc w:val="center"/>
                    <w:rPr>
                      <w:rFonts w:ascii="Times New Roman" w:hAnsi="Times New Roman" w:cs="Times New Roman"/>
                      <w:sz w:val="18"/>
                      <w:szCs w:val="18"/>
                    </w:rPr>
                  </w:pPr>
                </w:p>
              </w:tc>
              <w:tc>
                <w:tcPr>
                  <w:tcW w:w="1313" w:type="dxa"/>
                  <w:vMerge w:val="continue"/>
                  <w:shd w:val="clear" w:color="auto" w:fill="auto"/>
                  <w:vAlign w:val="center"/>
                </w:tcPr>
                <w:p w14:paraId="067A9D2D">
                  <w:pPr>
                    <w:jc w:val="center"/>
                    <w:rPr>
                      <w:rFonts w:ascii="Times New Roman" w:hAnsi="Times New Roman" w:cs="Times New Roman"/>
                      <w:sz w:val="18"/>
                      <w:szCs w:val="18"/>
                    </w:rPr>
                  </w:pPr>
                </w:p>
              </w:tc>
              <w:tc>
                <w:tcPr>
                  <w:tcW w:w="756" w:type="dxa"/>
                  <w:shd w:val="clear" w:color="auto" w:fill="auto"/>
                  <w:vAlign w:val="center"/>
                </w:tcPr>
                <w:p w14:paraId="23F80969">
                  <w:pPr>
                    <w:jc w:val="center"/>
                    <w:rPr>
                      <w:rFonts w:ascii="Times New Roman" w:hAnsi="Times New Roman" w:cs="Times New Roman"/>
                      <w:sz w:val="18"/>
                      <w:szCs w:val="18"/>
                    </w:rPr>
                  </w:pPr>
                  <w:r>
                    <w:rPr>
                      <w:rFonts w:hint="eastAsia" w:ascii="Times New Roman" w:hAnsi="Times New Roman" w:cs="Times New Roman"/>
                      <w:sz w:val="18"/>
                      <w:szCs w:val="18"/>
                    </w:rPr>
                    <w:t>合理</w:t>
                  </w:r>
                </w:p>
                <w:p w14:paraId="32536F53">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r w14:paraId="24A7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65590397">
                  <w:pPr>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679" w:type="dxa"/>
                  <w:shd w:val="clear" w:color="auto" w:fill="auto"/>
                  <w:vAlign w:val="center"/>
                </w:tcPr>
                <w:p w14:paraId="21C7098D">
                  <w:pPr>
                    <w:jc w:val="center"/>
                    <w:rPr>
                      <w:rFonts w:ascii="Times New Roman" w:hAnsi="Times New Roman" w:cs="Times New Roman"/>
                      <w:sz w:val="18"/>
                      <w:szCs w:val="18"/>
                    </w:rPr>
                  </w:pPr>
                  <w:r>
                    <w:rPr>
                      <w:rFonts w:ascii="Times New Roman" w:hAnsi="Times New Roman" w:cs="Times New Roman"/>
                      <w:sz w:val="18"/>
                      <w:szCs w:val="18"/>
                    </w:rPr>
                    <w:t>生活垃圾</w:t>
                  </w:r>
                </w:p>
              </w:tc>
              <w:tc>
                <w:tcPr>
                  <w:tcW w:w="680" w:type="dxa"/>
                  <w:shd w:val="clear" w:color="auto" w:fill="auto"/>
                  <w:vAlign w:val="center"/>
                </w:tcPr>
                <w:p w14:paraId="487388B3">
                  <w:pPr>
                    <w:jc w:val="center"/>
                    <w:rPr>
                      <w:rFonts w:ascii="Times New Roman" w:hAnsi="Times New Roman" w:cs="Times New Roman"/>
                      <w:sz w:val="18"/>
                      <w:szCs w:val="18"/>
                    </w:rPr>
                  </w:pPr>
                  <w:r>
                    <w:rPr>
                      <w:rFonts w:hint="eastAsia" w:ascii="Times New Roman" w:hAnsi="Times New Roman" w:cs="Times New Roman"/>
                      <w:bCs/>
                      <w:sz w:val="18"/>
                      <w:szCs w:val="18"/>
                    </w:rPr>
                    <w:t>职工生活</w:t>
                  </w:r>
                </w:p>
              </w:tc>
              <w:tc>
                <w:tcPr>
                  <w:tcW w:w="806" w:type="dxa"/>
                  <w:shd w:val="clear" w:color="auto" w:fill="auto"/>
                  <w:vAlign w:val="center"/>
                </w:tcPr>
                <w:p w14:paraId="08D87991">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16CA032B">
                  <w:pPr>
                    <w:jc w:val="center"/>
                    <w:rPr>
                      <w:rFonts w:ascii="Times New Roman" w:hAnsi="Times New Roman" w:cs="Times New Roman"/>
                      <w:sz w:val="18"/>
                      <w:szCs w:val="18"/>
                    </w:rPr>
                  </w:pPr>
                  <w:r>
                    <w:rPr>
                      <w:rFonts w:hint="eastAsia" w:ascii="Times New Roman" w:hAnsi="Times New Roman" w:cs="Times New Roman"/>
                      <w:sz w:val="18"/>
                      <w:szCs w:val="18"/>
                    </w:rPr>
                    <w:t>垃圾</w:t>
                  </w:r>
                </w:p>
              </w:tc>
              <w:tc>
                <w:tcPr>
                  <w:tcW w:w="894" w:type="dxa"/>
                  <w:shd w:val="clear" w:color="auto" w:fill="auto"/>
                  <w:vAlign w:val="center"/>
                </w:tcPr>
                <w:p w14:paraId="7FDEBB50">
                  <w:pPr>
                    <w:jc w:val="center"/>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.05</w:t>
                  </w:r>
                </w:p>
              </w:tc>
              <w:tc>
                <w:tcPr>
                  <w:tcW w:w="755" w:type="dxa"/>
                  <w:shd w:val="clear" w:color="auto" w:fill="auto"/>
                  <w:vAlign w:val="center"/>
                </w:tcPr>
                <w:p w14:paraId="22869F03">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7EFB05AC">
                  <w:pPr>
                    <w:jc w:val="center"/>
                    <w:rPr>
                      <w:rFonts w:ascii="Times New Roman" w:hAnsi="Times New Roman" w:cs="Times New Roman"/>
                      <w:sz w:val="18"/>
                      <w:szCs w:val="18"/>
                    </w:rPr>
                  </w:pPr>
                </w:p>
              </w:tc>
              <w:tc>
                <w:tcPr>
                  <w:tcW w:w="1313" w:type="dxa"/>
                  <w:vMerge w:val="continue"/>
                  <w:shd w:val="clear" w:color="auto" w:fill="auto"/>
                  <w:vAlign w:val="center"/>
                </w:tcPr>
                <w:p w14:paraId="1A3ED1DA">
                  <w:pPr>
                    <w:jc w:val="center"/>
                    <w:rPr>
                      <w:rFonts w:ascii="Times New Roman" w:hAnsi="Times New Roman" w:cs="Times New Roman"/>
                      <w:sz w:val="18"/>
                      <w:szCs w:val="18"/>
                    </w:rPr>
                  </w:pPr>
                </w:p>
              </w:tc>
              <w:tc>
                <w:tcPr>
                  <w:tcW w:w="756" w:type="dxa"/>
                  <w:shd w:val="clear" w:color="auto" w:fill="auto"/>
                  <w:vAlign w:val="center"/>
                </w:tcPr>
                <w:p w14:paraId="4B149D6E">
                  <w:pPr>
                    <w:jc w:val="center"/>
                    <w:rPr>
                      <w:rFonts w:ascii="Times New Roman" w:hAnsi="Times New Roman" w:cs="Times New Roman"/>
                      <w:sz w:val="18"/>
                      <w:szCs w:val="18"/>
                    </w:rPr>
                  </w:pPr>
                  <w:r>
                    <w:rPr>
                      <w:rFonts w:hint="eastAsia" w:ascii="Times New Roman" w:hAnsi="Times New Roman" w:cs="Times New Roman"/>
                      <w:sz w:val="18"/>
                      <w:szCs w:val="18"/>
                    </w:rPr>
                    <w:t>合理</w:t>
                  </w:r>
                </w:p>
                <w:p w14:paraId="4A1D87B7">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r w14:paraId="0476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31C3F5C8">
                  <w:pPr>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679" w:type="dxa"/>
                  <w:shd w:val="clear" w:color="auto" w:fill="auto"/>
                  <w:vAlign w:val="center"/>
                </w:tcPr>
                <w:p w14:paraId="5A68A560">
                  <w:pPr>
                    <w:jc w:val="center"/>
                    <w:rPr>
                      <w:rFonts w:ascii="Times New Roman" w:hAnsi="Times New Roman" w:cs="Times New Roman"/>
                      <w:sz w:val="18"/>
                      <w:szCs w:val="18"/>
                    </w:rPr>
                  </w:pPr>
                  <w:r>
                    <w:rPr>
                      <w:rFonts w:hint="eastAsia" w:ascii="Times New Roman" w:hAnsi="Times New Roman" w:cs="Times New Roman"/>
                      <w:bCs/>
                      <w:sz w:val="18"/>
                      <w:szCs w:val="18"/>
                    </w:rPr>
                    <w:t>沉渣</w:t>
                  </w:r>
                </w:p>
              </w:tc>
              <w:tc>
                <w:tcPr>
                  <w:tcW w:w="680" w:type="dxa"/>
                  <w:shd w:val="clear" w:color="auto" w:fill="auto"/>
                  <w:vAlign w:val="center"/>
                </w:tcPr>
                <w:p w14:paraId="52D7ACA6">
                  <w:pPr>
                    <w:jc w:val="center"/>
                    <w:rPr>
                      <w:rFonts w:ascii="Times New Roman" w:hAnsi="Times New Roman" w:cs="Times New Roman"/>
                      <w:sz w:val="18"/>
                      <w:szCs w:val="18"/>
                    </w:rPr>
                  </w:pPr>
                  <w:r>
                    <w:rPr>
                      <w:rFonts w:hint="eastAsia" w:ascii="Times New Roman" w:hAnsi="Times New Roman" w:cs="Times New Roman"/>
                      <w:bCs/>
                      <w:sz w:val="18"/>
                      <w:szCs w:val="18"/>
                    </w:rPr>
                    <w:t>脱硫除尘塔</w:t>
                  </w:r>
                </w:p>
              </w:tc>
              <w:tc>
                <w:tcPr>
                  <w:tcW w:w="806" w:type="dxa"/>
                  <w:shd w:val="clear" w:color="auto" w:fill="auto"/>
                  <w:vAlign w:val="center"/>
                </w:tcPr>
                <w:p w14:paraId="47AA9242">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6A99D7A1">
                  <w:pPr>
                    <w:jc w:val="center"/>
                    <w:rPr>
                      <w:rFonts w:ascii="Times New Roman" w:hAnsi="Times New Roman" w:cs="Times New Roman"/>
                      <w:sz w:val="18"/>
                      <w:szCs w:val="18"/>
                    </w:rPr>
                  </w:pPr>
                  <w:r>
                    <w:rPr>
                      <w:rFonts w:hint="eastAsia" w:ascii="Times New Roman" w:hAnsi="Times New Roman" w:cs="Times New Roman"/>
                      <w:sz w:val="18"/>
                      <w:szCs w:val="18"/>
                    </w:rPr>
                    <w:t>泥沙</w:t>
                  </w:r>
                </w:p>
              </w:tc>
              <w:tc>
                <w:tcPr>
                  <w:tcW w:w="894" w:type="dxa"/>
                  <w:shd w:val="clear" w:color="auto" w:fill="auto"/>
                  <w:vAlign w:val="center"/>
                </w:tcPr>
                <w:p w14:paraId="640CD4EB">
                  <w:pPr>
                    <w:jc w:val="center"/>
                    <w:rPr>
                      <w:rFonts w:ascii="Times New Roman" w:hAnsi="Times New Roman" w:cs="Times New Roman"/>
                      <w:sz w:val="18"/>
                      <w:szCs w:val="18"/>
                    </w:rPr>
                  </w:pPr>
                  <w:r>
                    <w:rPr>
                      <w:rFonts w:ascii="Times New Roman" w:hAnsi="Times New Roman" w:cs="Times New Roman"/>
                      <w:sz w:val="18"/>
                      <w:szCs w:val="18"/>
                    </w:rPr>
                    <w:t>3.13</w:t>
                  </w:r>
                </w:p>
              </w:tc>
              <w:tc>
                <w:tcPr>
                  <w:tcW w:w="755" w:type="dxa"/>
                  <w:shd w:val="clear" w:color="auto" w:fill="auto"/>
                  <w:vAlign w:val="center"/>
                </w:tcPr>
                <w:p w14:paraId="5720BC6A">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2511712A">
                  <w:pPr>
                    <w:jc w:val="center"/>
                    <w:rPr>
                      <w:rFonts w:ascii="Times New Roman" w:hAnsi="Times New Roman" w:cs="Times New Roman"/>
                      <w:sz w:val="18"/>
                      <w:szCs w:val="18"/>
                    </w:rPr>
                  </w:pPr>
                </w:p>
              </w:tc>
              <w:tc>
                <w:tcPr>
                  <w:tcW w:w="1313" w:type="dxa"/>
                  <w:vMerge w:val="continue"/>
                  <w:shd w:val="clear" w:color="auto" w:fill="auto"/>
                  <w:vAlign w:val="center"/>
                </w:tcPr>
                <w:p w14:paraId="11612F91">
                  <w:pPr>
                    <w:jc w:val="center"/>
                    <w:rPr>
                      <w:rFonts w:ascii="Times New Roman" w:hAnsi="Times New Roman" w:cs="Times New Roman"/>
                      <w:sz w:val="18"/>
                      <w:szCs w:val="18"/>
                    </w:rPr>
                  </w:pPr>
                </w:p>
              </w:tc>
              <w:tc>
                <w:tcPr>
                  <w:tcW w:w="756" w:type="dxa"/>
                  <w:shd w:val="clear" w:color="auto" w:fill="auto"/>
                  <w:vAlign w:val="center"/>
                </w:tcPr>
                <w:p w14:paraId="4DB7B892">
                  <w:pPr>
                    <w:jc w:val="center"/>
                    <w:rPr>
                      <w:rFonts w:ascii="Times New Roman" w:hAnsi="Times New Roman" w:cs="Times New Roman"/>
                      <w:sz w:val="18"/>
                      <w:szCs w:val="18"/>
                    </w:rPr>
                  </w:pPr>
                  <w:r>
                    <w:rPr>
                      <w:rFonts w:hint="eastAsia" w:ascii="Times New Roman" w:hAnsi="Times New Roman" w:cs="Times New Roman"/>
                      <w:sz w:val="18"/>
                      <w:szCs w:val="18"/>
                    </w:rPr>
                    <w:t>外售</w:t>
                  </w:r>
                </w:p>
              </w:tc>
            </w:tr>
            <w:tr w14:paraId="5825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3A1E9C0C">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679" w:type="dxa"/>
                  <w:shd w:val="clear" w:color="auto" w:fill="auto"/>
                  <w:vAlign w:val="center"/>
                </w:tcPr>
                <w:p w14:paraId="5DDB4A4C">
                  <w:pPr>
                    <w:jc w:val="center"/>
                    <w:rPr>
                      <w:rFonts w:ascii="Times New Roman" w:hAnsi="Times New Roman" w:cs="Times New Roman"/>
                      <w:bCs/>
                      <w:sz w:val="18"/>
                      <w:szCs w:val="18"/>
                    </w:rPr>
                  </w:pPr>
                  <w:r>
                    <w:rPr>
                      <w:rFonts w:hint="eastAsia" w:ascii="Times New Roman" w:hAnsi="Times New Roman" w:cs="Times New Roman"/>
                      <w:sz w:val="18"/>
                      <w:szCs w:val="18"/>
                    </w:rPr>
                    <w:t>废活性炭</w:t>
                  </w:r>
                </w:p>
              </w:tc>
              <w:tc>
                <w:tcPr>
                  <w:tcW w:w="680" w:type="dxa"/>
                  <w:shd w:val="clear" w:color="auto" w:fill="auto"/>
                  <w:vAlign w:val="center"/>
                </w:tcPr>
                <w:p w14:paraId="19603C0B">
                  <w:pPr>
                    <w:jc w:val="center"/>
                    <w:rPr>
                      <w:rFonts w:ascii="Times New Roman" w:hAnsi="Times New Roman" w:cs="Times New Roman"/>
                      <w:bCs/>
                      <w:sz w:val="18"/>
                      <w:szCs w:val="18"/>
                    </w:rPr>
                  </w:pPr>
                  <w:r>
                    <w:rPr>
                      <w:rFonts w:hint="eastAsia" w:ascii="Times New Roman" w:hAnsi="Times New Roman" w:cs="Times New Roman"/>
                      <w:bCs/>
                      <w:sz w:val="18"/>
                      <w:szCs w:val="18"/>
                    </w:rPr>
                    <w:t>臭气处理</w:t>
                  </w:r>
                </w:p>
              </w:tc>
              <w:tc>
                <w:tcPr>
                  <w:tcW w:w="806" w:type="dxa"/>
                  <w:shd w:val="clear" w:color="auto" w:fill="auto"/>
                  <w:vAlign w:val="center"/>
                </w:tcPr>
                <w:p w14:paraId="2102044B">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0789536C">
                  <w:pPr>
                    <w:jc w:val="center"/>
                    <w:rPr>
                      <w:rFonts w:ascii="Times New Roman" w:hAnsi="Times New Roman" w:cs="Times New Roman"/>
                      <w:sz w:val="18"/>
                      <w:szCs w:val="18"/>
                    </w:rPr>
                  </w:pPr>
                  <w:r>
                    <w:rPr>
                      <w:rFonts w:hint="eastAsia" w:ascii="Times New Roman" w:hAnsi="Times New Roman" w:cs="Times New Roman"/>
                      <w:sz w:val="18"/>
                      <w:szCs w:val="18"/>
                    </w:rPr>
                    <w:t>活性炭</w:t>
                  </w:r>
                </w:p>
              </w:tc>
              <w:tc>
                <w:tcPr>
                  <w:tcW w:w="894" w:type="dxa"/>
                  <w:shd w:val="clear" w:color="auto" w:fill="auto"/>
                  <w:vAlign w:val="center"/>
                </w:tcPr>
                <w:p w14:paraId="3B8ACBAB">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.20</w:t>
                  </w:r>
                </w:p>
              </w:tc>
              <w:tc>
                <w:tcPr>
                  <w:tcW w:w="755" w:type="dxa"/>
                  <w:shd w:val="clear" w:color="auto" w:fill="auto"/>
                  <w:vAlign w:val="center"/>
                </w:tcPr>
                <w:p w14:paraId="5590BDD0">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099E2656">
                  <w:pPr>
                    <w:jc w:val="center"/>
                    <w:rPr>
                      <w:rFonts w:ascii="Times New Roman" w:hAnsi="Times New Roman" w:cs="Times New Roman"/>
                      <w:sz w:val="18"/>
                      <w:szCs w:val="18"/>
                    </w:rPr>
                  </w:pPr>
                </w:p>
              </w:tc>
              <w:tc>
                <w:tcPr>
                  <w:tcW w:w="1313" w:type="dxa"/>
                  <w:vMerge w:val="continue"/>
                  <w:shd w:val="clear" w:color="auto" w:fill="auto"/>
                  <w:vAlign w:val="center"/>
                </w:tcPr>
                <w:p w14:paraId="42B5E8B3">
                  <w:pPr>
                    <w:jc w:val="center"/>
                    <w:rPr>
                      <w:rFonts w:ascii="Times New Roman" w:hAnsi="Times New Roman" w:cs="Times New Roman"/>
                      <w:sz w:val="18"/>
                      <w:szCs w:val="18"/>
                    </w:rPr>
                  </w:pPr>
                </w:p>
              </w:tc>
              <w:tc>
                <w:tcPr>
                  <w:tcW w:w="756" w:type="dxa"/>
                  <w:shd w:val="clear" w:color="auto" w:fill="auto"/>
                  <w:vAlign w:val="center"/>
                </w:tcPr>
                <w:p w14:paraId="6EA4074D">
                  <w:pPr>
                    <w:jc w:val="center"/>
                    <w:rPr>
                      <w:rFonts w:ascii="Times New Roman" w:hAnsi="Times New Roman" w:cs="Times New Roman"/>
                      <w:sz w:val="18"/>
                      <w:szCs w:val="18"/>
                    </w:rPr>
                  </w:pPr>
                  <w:r>
                    <w:rPr>
                      <w:rFonts w:hint="eastAsia" w:ascii="Times New Roman" w:hAnsi="Times New Roman" w:cs="Times New Roman"/>
                      <w:sz w:val="18"/>
                      <w:szCs w:val="18"/>
                    </w:rPr>
                    <w:t>厂家</w:t>
                  </w:r>
                </w:p>
                <w:p w14:paraId="0383E2AC">
                  <w:pPr>
                    <w:jc w:val="center"/>
                    <w:rPr>
                      <w:rFonts w:ascii="Times New Roman" w:hAnsi="Times New Roman" w:cs="Times New Roman"/>
                      <w:sz w:val="18"/>
                      <w:szCs w:val="18"/>
                    </w:rPr>
                  </w:pPr>
                  <w:r>
                    <w:rPr>
                      <w:rFonts w:hint="eastAsia" w:ascii="Times New Roman" w:hAnsi="Times New Roman" w:cs="Times New Roman"/>
                      <w:sz w:val="18"/>
                      <w:szCs w:val="18"/>
                    </w:rPr>
                    <w:t>回收</w:t>
                  </w:r>
                </w:p>
              </w:tc>
            </w:tr>
            <w:tr w14:paraId="66B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224C5578">
                  <w:pPr>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679" w:type="dxa"/>
                  <w:shd w:val="clear" w:color="auto" w:fill="auto"/>
                  <w:vAlign w:val="center"/>
                </w:tcPr>
                <w:p w14:paraId="5F60F064">
                  <w:pPr>
                    <w:jc w:val="center"/>
                    <w:rPr>
                      <w:rFonts w:ascii="Times New Roman" w:hAnsi="Times New Roman" w:cs="Times New Roman"/>
                      <w:bCs/>
                      <w:sz w:val="18"/>
                      <w:szCs w:val="18"/>
                    </w:rPr>
                  </w:pPr>
                  <w:r>
                    <w:rPr>
                      <w:rFonts w:hint="eastAsia" w:ascii="Times New Roman" w:hAnsi="Times New Roman" w:cs="Times New Roman"/>
                      <w:bCs/>
                      <w:sz w:val="18"/>
                      <w:szCs w:val="18"/>
                    </w:rPr>
                    <w:t>废包装袋</w:t>
                  </w:r>
                </w:p>
              </w:tc>
              <w:tc>
                <w:tcPr>
                  <w:tcW w:w="680" w:type="dxa"/>
                  <w:shd w:val="clear" w:color="auto" w:fill="auto"/>
                  <w:vAlign w:val="center"/>
                </w:tcPr>
                <w:p w14:paraId="3CBEF5A6">
                  <w:pPr>
                    <w:jc w:val="center"/>
                    <w:rPr>
                      <w:rFonts w:ascii="Times New Roman" w:hAnsi="Times New Roman" w:cs="Times New Roman"/>
                      <w:bCs/>
                      <w:sz w:val="18"/>
                      <w:szCs w:val="18"/>
                    </w:rPr>
                  </w:pPr>
                  <w:r>
                    <w:rPr>
                      <w:rFonts w:hint="eastAsia" w:ascii="Times New Roman" w:hAnsi="Times New Roman" w:cs="Times New Roman"/>
                      <w:bCs/>
                      <w:sz w:val="18"/>
                      <w:szCs w:val="18"/>
                    </w:rPr>
                    <w:t>畜禽收集</w:t>
                  </w:r>
                </w:p>
              </w:tc>
              <w:tc>
                <w:tcPr>
                  <w:tcW w:w="806" w:type="dxa"/>
                  <w:shd w:val="clear" w:color="auto" w:fill="auto"/>
                  <w:vAlign w:val="center"/>
                </w:tcPr>
                <w:p w14:paraId="547CC452">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21F97157">
                  <w:pPr>
                    <w:jc w:val="center"/>
                    <w:rPr>
                      <w:rFonts w:ascii="Times New Roman" w:hAnsi="Times New Roman" w:cs="Times New Roman"/>
                      <w:sz w:val="18"/>
                      <w:szCs w:val="18"/>
                    </w:rPr>
                  </w:pPr>
                  <w:r>
                    <w:rPr>
                      <w:rFonts w:hint="eastAsia" w:ascii="Times New Roman" w:hAnsi="Times New Roman" w:cs="Times New Roman"/>
                      <w:sz w:val="18"/>
                      <w:szCs w:val="18"/>
                    </w:rPr>
                    <w:t>塑料</w:t>
                  </w:r>
                </w:p>
              </w:tc>
              <w:tc>
                <w:tcPr>
                  <w:tcW w:w="894" w:type="dxa"/>
                  <w:shd w:val="clear" w:color="auto" w:fill="auto"/>
                  <w:vAlign w:val="center"/>
                </w:tcPr>
                <w:p w14:paraId="78D825A3">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.10</w:t>
                  </w:r>
                </w:p>
              </w:tc>
              <w:tc>
                <w:tcPr>
                  <w:tcW w:w="755" w:type="dxa"/>
                  <w:shd w:val="clear" w:color="auto" w:fill="auto"/>
                  <w:vAlign w:val="center"/>
                </w:tcPr>
                <w:p w14:paraId="5EE032EE">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1CA1FBE6">
                  <w:pPr>
                    <w:jc w:val="center"/>
                    <w:rPr>
                      <w:rFonts w:ascii="Times New Roman" w:hAnsi="Times New Roman" w:cs="Times New Roman"/>
                      <w:sz w:val="18"/>
                      <w:szCs w:val="18"/>
                    </w:rPr>
                  </w:pPr>
                </w:p>
              </w:tc>
              <w:tc>
                <w:tcPr>
                  <w:tcW w:w="1313" w:type="dxa"/>
                  <w:vMerge w:val="continue"/>
                  <w:shd w:val="clear" w:color="auto" w:fill="auto"/>
                  <w:vAlign w:val="center"/>
                </w:tcPr>
                <w:p w14:paraId="0595224D">
                  <w:pPr>
                    <w:jc w:val="center"/>
                    <w:rPr>
                      <w:rFonts w:ascii="Times New Roman" w:hAnsi="Times New Roman" w:cs="Times New Roman"/>
                      <w:sz w:val="18"/>
                      <w:szCs w:val="18"/>
                    </w:rPr>
                  </w:pPr>
                </w:p>
              </w:tc>
              <w:tc>
                <w:tcPr>
                  <w:tcW w:w="756" w:type="dxa"/>
                  <w:shd w:val="clear" w:color="auto" w:fill="auto"/>
                  <w:vAlign w:val="center"/>
                </w:tcPr>
                <w:p w14:paraId="401A0FE7">
                  <w:pPr>
                    <w:jc w:val="center"/>
                    <w:rPr>
                      <w:rFonts w:ascii="Times New Roman" w:hAnsi="Times New Roman" w:cs="Times New Roman"/>
                      <w:sz w:val="18"/>
                      <w:szCs w:val="18"/>
                    </w:rPr>
                  </w:pPr>
                  <w:r>
                    <w:rPr>
                      <w:rFonts w:hint="eastAsia" w:ascii="Times New Roman" w:hAnsi="Times New Roman" w:cs="Times New Roman"/>
                      <w:sz w:val="18"/>
                      <w:szCs w:val="18"/>
                    </w:rPr>
                    <w:t>回用</w:t>
                  </w:r>
                </w:p>
              </w:tc>
            </w:tr>
            <w:tr w14:paraId="472F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0E7976C8">
                  <w:pPr>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679" w:type="dxa"/>
                  <w:shd w:val="clear" w:color="auto" w:fill="auto"/>
                  <w:vAlign w:val="center"/>
                </w:tcPr>
                <w:p w14:paraId="37001EB8">
                  <w:pPr>
                    <w:jc w:val="center"/>
                    <w:rPr>
                      <w:rFonts w:ascii="Times New Roman" w:hAnsi="Times New Roman" w:cs="Times New Roman"/>
                      <w:bCs/>
                      <w:sz w:val="18"/>
                      <w:szCs w:val="18"/>
                    </w:rPr>
                  </w:pPr>
                  <w:r>
                    <w:rPr>
                      <w:rFonts w:hint="eastAsia" w:ascii="Times New Roman" w:hAnsi="Times New Roman" w:cs="Times New Roman"/>
                      <w:bCs/>
                      <w:sz w:val="18"/>
                      <w:szCs w:val="18"/>
                    </w:rPr>
                    <w:t>炉渣</w:t>
                  </w:r>
                </w:p>
              </w:tc>
              <w:tc>
                <w:tcPr>
                  <w:tcW w:w="680" w:type="dxa"/>
                  <w:shd w:val="clear" w:color="auto" w:fill="auto"/>
                  <w:vAlign w:val="center"/>
                </w:tcPr>
                <w:p w14:paraId="23FE630E">
                  <w:pPr>
                    <w:jc w:val="center"/>
                    <w:rPr>
                      <w:rFonts w:ascii="Times New Roman" w:hAnsi="Times New Roman" w:cs="Times New Roman"/>
                      <w:bCs/>
                      <w:sz w:val="18"/>
                      <w:szCs w:val="18"/>
                    </w:rPr>
                  </w:pPr>
                  <w:r>
                    <w:rPr>
                      <w:rFonts w:hint="eastAsia" w:ascii="Times New Roman" w:hAnsi="Times New Roman" w:cs="Times New Roman"/>
                      <w:bCs/>
                      <w:sz w:val="18"/>
                      <w:szCs w:val="18"/>
                    </w:rPr>
                    <w:t>锅炉</w:t>
                  </w:r>
                </w:p>
              </w:tc>
              <w:tc>
                <w:tcPr>
                  <w:tcW w:w="806" w:type="dxa"/>
                  <w:shd w:val="clear" w:color="auto" w:fill="auto"/>
                  <w:vAlign w:val="center"/>
                </w:tcPr>
                <w:p w14:paraId="406B74C6">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44B89F35">
                  <w:pPr>
                    <w:jc w:val="center"/>
                    <w:rPr>
                      <w:rFonts w:ascii="Times New Roman" w:hAnsi="Times New Roman" w:cs="Times New Roman"/>
                      <w:sz w:val="18"/>
                      <w:szCs w:val="18"/>
                    </w:rPr>
                  </w:pPr>
                  <w:r>
                    <w:rPr>
                      <w:rFonts w:hint="eastAsia" w:ascii="Times New Roman" w:hAnsi="Times New Roman" w:cs="Times New Roman"/>
                      <w:sz w:val="18"/>
                      <w:szCs w:val="18"/>
                    </w:rPr>
                    <w:t>炉渣</w:t>
                  </w:r>
                </w:p>
              </w:tc>
              <w:tc>
                <w:tcPr>
                  <w:tcW w:w="894" w:type="dxa"/>
                  <w:shd w:val="clear" w:color="auto" w:fill="auto"/>
                  <w:vAlign w:val="center"/>
                </w:tcPr>
                <w:p w14:paraId="40930C65">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9.52</w:t>
                  </w:r>
                </w:p>
              </w:tc>
              <w:tc>
                <w:tcPr>
                  <w:tcW w:w="755" w:type="dxa"/>
                  <w:shd w:val="clear" w:color="auto" w:fill="auto"/>
                  <w:vAlign w:val="center"/>
                </w:tcPr>
                <w:p w14:paraId="50112E55">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6E7D43B4">
                  <w:pPr>
                    <w:jc w:val="center"/>
                    <w:rPr>
                      <w:rFonts w:ascii="Times New Roman" w:hAnsi="Times New Roman" w:cs="Times New Roman"/>
                      <w:sz w:val="18"/>
                      <w:szCs w:val="18"/>
                    </w:rPr>
                  </w:pPr>
                </w:p>
              </w:tc>
              <w:tc>
                <w:tcPr>
                  <w:tcW w:w="1313" w:type="dxa"/>
                  <w:vMerge w:val="continue"/>
                  <w:shd w:val="clear" w:color="auto" w:fill="auto"/>
                  <w:vAlign w:val="center"/>
                </w:tcPr>
                <w:p w14:paraId="1374DA7D">
                  <w:pPr>
                    <w:jc w:val="center"/>
                    <w:rPr>
                      <w:rFonts w:ascii="Times New Roman" w:hAnsi="Times New Roman" w:cs="Times New Roman"/>
                      <w:sz w:val="18"/>
                      <w:szCs w:val="18"/>
                    </w:rPr>
                  </w:pPr>
                </w:p>
              </w:tc>
              <w:tc>
                <w:tcPr>
                  <w:tcW w:w="756" w:type="dxa"/>
                  <w:shd w:val="clear" w:color="auto" w:fill="auto"/>
                  <w:vAlign w:val="center"/>
                </w:tcPr>
                <w:p w14:paraId="4429383A">
                  <w:pPr>
                    <w:jc w:val="center"/>
                    <w:rPr>
                      <w:rFonts w:ascii="Times New Roman" w:hAnsi="Times New Roman" w:cs="Times New Roman"/>
                      <w:sz w:val="18"/>
                      <w:szCs w:val="18"/>
                    </w:rPr>
                  </w:pPr>
                  <w:r>
                    <w:rPr>
                      <w:rFonts w:hint="eastAsia" w:ascii="Times New Roman" w:hAnsi="Times New Roman" w:cs="Times New Roman"/>
                      <w:sz w:val="18"/>
                      <w:szCs w:val="18"/>
                    </w:rPr>
                    <w:t>外售</w:t>
                  </w:r>
                </w:p>
              </w:tc>
            </w:tr>
            <w:tr w14:paraId="3704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586DC295">
                  <w:pPr>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679" w:type="dxa"/>
                  <w:shd w:val="clear" w:color="auto" w:fill="auto"/>
                  <w:vAlign w:val="center"/>
                </w:tcPr>
                <w:p w14:paraId="37E15C2B">
                  <w:pPr>
                    <w:jc w:val="center"/>
                    <w:rPr>
                      <w:rFonts w:ascii="Times New Roman" w:hAnsi="Times New Roman" w:cs="Times New Roman"/>
                      <w:bCs/>
                      <w:sz w:val="18"/>
                      <w:szCs w:val="18"/>
                    </w:rPr>
                  </w:pPr>
                  <w:r>
                    <w:rPr>
                      <w:rFonts w:hint="eastAsia" w:ascii="Times New Roman" w:hAnsi="Times New Roman" w:cs="Times New Roman"/>
                      <w:bCs/>
                      <w:sz w:val="18"/>
                      <w:szCs w:val="18"/>
                    </w:rPr>
                    <w:t>污泥</w:t>
                  </w:r>
                </w:p>
              </w:tc>
              <w:tc>
                <w:tcPr>
                  <w:tcW w:w="680" w:type="dxa"/>
                  <w:shd w:val="clear" w:color="auto" w:fill="auto"/>
                  <w:vAlign w:val="center"/>
                </w:tcPr>
                <w:p w14:paraId="2CD2997B">
                  <w:pPr>
                    <w:jc w:val="center"/>
                    <w:rPr>
                      <w:rFonts w:ascii="Times New Roman" w:hAnsi="Times New Roman" w:cs="Times New Roman"/>
                      <w:bCs/>
                      <w:sz w:val="18"/>
                      <w:szCs w:val="18"/>
                    </w:rPr>
                  </w:pPr>
                  <w:r>
                    <w:rPr>
                      <w:rFonts w:hint="eastAsia" w:ascii="Times New Roman" w:hAnsi="Times New Roman" w:cs="Times New Roman"/>
                      <w:bCs/>
                      <w:sz w:val="18"/>
                      <w:szCs w:val="18"/>
                    </w:rPr>
                    <w:t>污水处理</w:t>
                  </w:r>
                </w:p>
              </w:tc>
              <w:tc>
                <w:tcPr>
                  <w:tcW w:w="806" w:type="dxa"/>
                  <w:shd w:val="clear" w:color="auto" w:fill="auto"/>
                  <w:vAlign w:val="center"/>
                </w:tcPr>
                <w:p w14:paraId="481E540C">
                  <w:pPr>
                    <w:jc w:val="center"/>
                    <w:rPr>
                      <w:rFonts w:ascii="Times New Roman" w:hAnsi="Times New Roman" w:cs="Times New Roman"/>
                      <w:sz w:val="18"/>
                      <w:szCs w:val="18"/>
                    </w:rPr>
                  </w:pPr>
                  <w:r>
                    <w:rPr>
                      <w:rFonts w:hint="eastAsia" w:ascii="Times New Roman" w:hAnsi="Times New Roman" w:cs="Times New Roman"/>
                      <w:sz w:val="18"/>
                      <w:szCs w:val="18"/>
                    </w:rPr>
                    <w:t>固态</w:t>
                  </w:r>
                </w:p>
              </w:tc>
              <w:tc>
                <w:tcPr>
                  <w:tcW w:w="1061" w:type="dxa"/>
                  <w:shd w:val="clear" w:color="auto" w:fill="auto"/>
                  <w:vAlign w:val="center"/>
                </w:tcPr>
                <w:p w14:paraId="08EBB901">
                  <w:pPr>
                    <w:jc w:val="center"/>
                    <w:rPr>
                      <w:rFonts w:ascii="Times New Roman" w:hAnsi="Times New Roman" w:cs="Times New Roman"/>
                      <w:sz w:val="18"/>
                      <w:szCs w:val="18"/>
                    </w:rPr>
                  </w:pPr>
                  <w:r>
                    <w:rPr>
                      <w:rFonts w:hint="eastAsia" w:ascii="Times New Roman" w:hAnsi="Times New Roman" w:cs="Times New Roman"/>
                      <w:sz w:val="18"/>
                      <w:szCs w:val="18"/>
                    </w:rPr>
                    <w:t>污泥</w:t>
                  </w:r>
                </w:p>
              </w:tc>
              <w:tc>
                <w:tcPr>
                  <w:tcW w:w="894" w:type="dxa"/>
                  <w:shd w:val="clear" w:color="auto" w:fill="auto"/>
                  <w:vAlign w:val="center"/>
                </w:tcPr>
                <w:p w14:paraId="759798DC">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.59</w:t>
                  </w:r>
                </w:p>
              </w:tc>
              <w:tc>
                <w:tcPr>
                  <w:tcW w:w="755" w:type="dxa"/>
                  <w:shd w:val="clear" w:color="auto" w:fill="auto"/>
                  <w:vAlign w:val="center"/>
                </w:tcPr>
                <w:p w14:paraId="3DBFC70B">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63063BB7">
                  <w:pPr>
                    <w:jc w:val="center"/>
                    <w:rPr>
                      <w:rFonts w:ascii="Times New Roman" w:hAnsi="Times New Roman" w:cs="Times New Roman"/>
                      <w:sz w:val="18"/>
                      <w:szCs w:val="18"/>
                    </w:rPr>
                  </w:pPr>
                </w:p>
              </w:tc>
              <w:tc>
                <w:tcPr>
                  <w:tcW w:w="1313" w:type="dxa"/>
                  <w:vMerge w:val="continue"/>
                  <w:shd w:val="clear" w:color="auto" w:fill="auto"/>
                  <w:vAlign w:val="center"/>
                </w:tcPr>
                <w:p w14:paraId="006B70FD">
                  <w:pPr>
                    <w:jc w:val="center"/>
                    <w:rPr>
                      <w:rFonts w:ascii="Times New Roman" w:hAnsi="Times New Roman" w:cs="Times New Roman"/>
                      <w:sz w:val="18"/>
                      <w:szCs w:val="18"/>
                    </w:rPr>
                  </w:pPr>
                </w:p>
              </w:tc>
              <w:tc>
                <w:tcPr>
                  <w:tcW w:w="756" w:type="dxa"/>
                  <w:shd w:val="clear" w:color="auto" w:fill="auto"/>
                  <w:vAlign w:val="center"/>
                </w:tcPr>
                <w:p w14:paraId="04D6CFDF">
                  <w:pPr>
                    <w:jc w:val="center"/>
                    <w:rPr>
                      <w:rFonts w:ascii="Times New Roman" w:hAnsi="Times New Roman" w:cs="Times New Roman"/>
                      <w:sz w:val="18"/>
                      <w:szCs w:val="18"/>
                    </w:rPr>
                  </w:pPr>
                  <w:r>
                    <w:rPr>
                      <w:rFonts w:hint="eastAsia" w:ascii="Times New Roman" w:hAnsi="Times New Roman" w:cs="Times New Roman"/>
                      <w:sz w:val="18"/>
                      <w:szCs w:val="18"/>
                    </w:rPr>
                    <w:t>有资质单位</w:t>
                  </w:r>
                </w:p>
                <w:p w14:paraId="68861D99">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r w14:paraId="3BB5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409E51A5">
                  <w:pPr>
                    <w:jc w:val="center"/>
                    <w:rPr>
                      <w:rFonts w:ascii="Times New Roman" w:hAnsi="Times New Roman" w:cs="Times New Roman"/>
                      <w:sz w:val="18"/>
                      <w:szCs w:val="18"/>
                    </w:rPr>
                  </w:pPr>
                  <w:r>
                    <w:rPr>
                      <w:rFonts w:hint="eastAsia" w:ascii="Times New Roman" w:hAnsi="Times New Roman" w:cs="Times New Roman"/>
                      <w:sz w:val="18"/>
                      <w:szCs w:val="18"/>
                    </w:rPr>
                    <w:t>9</w:t>
                  </w:r>
                </w:p>
              </w:tc>
              <w:tc>
                <w:tcPr>
                  <w:tcW w:w="679" w:type="dxa"/>
                  <w:shd w:val="clear" w:color="auto" w:fill="auto"/>
                  <w:vAlign w:val="center"/>
                </w:tcPr>
                <w:p w14:paraId="07166F6B">
                  <w:pPr>
                    <w:jc w:val="center"/>
                    <w:rPr>
                      <w:rFonts w:ascii="Times New Roman" w:hAnsi="Times New Roman" w:cs="Times New Roman"/>
                      <w:bCs/>
                      <w:sz w:val="18"/>
                      <w:szCs w:val="18"/>
                    </w:rPr>
                  </w:pPr>
                  <w:r>
                    <w:rPr>
                      <w:rFonts w:hint="eastAsia" w:ascii="Times New Roman" w:hAnsi="Times New Roman" w:cs="Times New Roman"/>
                      <w:bCs/>
                      <w:sz w:val="18"/>
                      <w:szCs w:val="18"/>
                    </w:rPr>
                    <w:t>废机油</w:t>
                  </w:r>
                </w:p>
              </w:tc>
              <w:tc>
                <w:tcPr>
                  <w:tcW w:w="680" w:type="dxa"/>
                  <w:shd w:val="clear" w:color="auto" w:fill="auto"/>
                  <w:vAlign w:val="center"/>
                </w:tcPr>
                <w:p w14:paraId="79CE5385">
                  <w:pPr>
                    <w:jc w:val="center"/>
                    <w:rPr>
                      <w:rFonts w:ascii="Times New Roman" w:hAnsi="Times New Roman" w:cs="Times New Roman"/>
                      <w:bCs/>
                      <w:sz w:val="18"/>
                      <w:szCs w:val="18"/>
                    </w:rPr>
                  </w:pPr>
                  <w:r>
                    <w:rPr>
                      <w:rFonts w:hint="eastAsia" w:ascii="Times New Roman" w:hAnsi="Times New Roman" w:cs="Times New Roman"/>
                      <w:bCs/>
                      <w:sz w:val="18"/>
                      <w:szCs w:val="18"/>
                    </w:rPr>
                    <w:t>设备维修</w:t>
                  </w:r>
                </w:p>
              </w:tc>
              <w:tc>
                <w:tcPr>
                  <w:tcW w:w="806" w:type="dxa"/>
                  <w:shd w:val="clear" w:color="auto" w:fill="auto"/>
                  <w:vAlign w:val="center"/>
                </w:tcPr>
                <w:p w14:paraId="2106C783">
                  <w:pPr>
                    <w:jc w:val="center"/>
                    <w:rPr>
                      <w:rFonts w:ascii="Times New Roman" w:hAnsi="Times New Roman" w:cs="Times New Roman"/>
                      <w:sz w:val="18"/>
                      <w:szCs w:val="18"/>
                    </w:rPr>
                  </w:pPr>
                  <w:r>
                    <w:rPr>
                      <w:rFonts w:hint="eastAsia" w:ascii="Times New Roman" w:hAnsi="Times New Roman" w:cs="Times New Roman"/>
                      <w:sz w:val="18"/>
                      <w:szCs w:val="18"/>
                    </w:rPr>
                    <w:t>液态</w:t>
                  </w:r>
                </w:p>
              </w:tc>
              <w:tc>
                <w:tcPr>
                  <w:tcW w:w="1061" w:type="dxa"/>
                  <w:shd w:val="clear" w:color="auto" w:fill="auto"/>
                  <w:vAlign w:val="center"/>
                </w:tcPr>
                <w:p w14:paraId="11DA503C">
                  <w:pPr>
                    <w:jc w:val="center"/>
                    <w:rPr>
                      <w:rFonts w:ascii="Times New Roman" w:hAnsi="Times New Roman" w:cs="Times New Roman"/>
                      <w:sz w:val="18"/>
                      <w:szCs w:val="18"/>
                    </w:rPr>
                  </w:pPr>
                  <w:r>
                    <w:rPr>
                      <w:rFonts w:hint="eastAsia" w:ascii="Times New Roman" w:hAnsi="Times New Roman" w:cs="Times New Roman"/>
                      <w:sz w:val="18"/>
                      <w:szCs w:val="18"/>
                    </w:rPr>
                    <w:t>矿物油</w:t>
                  </w:r>
                </w:p>
              </w:tc>
              <w:tc>
                <w:tcPr>
                  <w:tcW w:w="894" w:type="dxa"/>
                  <w:shd w:val="clear" w:color="auto" w:fill="auto"/>
                  <w:vAlign w:val="center"/>
                </w:tcPr>
                <w:p w14:paraId="57F42538">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.31</w:t>
                  </w:r>
                </w:p>
              </w:tc>
              <w:tc>
                <w:tcPr>
                  <w:tcW w:w="755" w:type="dxa"/>
                  <w:shd w:val="clear" w:color="auto" w:fill="auto"/>
                  <w:vAlign w:val="center"/>
                </w:tcPr>
                <w:p w14:paraId="2C381049">
                  <w:pPr>
                    <w:jc w:val="center"/>
                    <w:rPr>
                      <w:rFonts w:ascii="Times New Roman" w:hAnsi="Times New Roman" w:cs="Times New Roman"/>
                      <w:sz w:val="18"/>
                      <w:szCs w:val="18"/>
                    </w:rPr>
                  </w:pPr>
                  <w:r>
                    <w:rPr>
                      <w:rFonts w:ascii="Times New Roman" w:hAnsi="Times New Roman" w:cs="Times New Roman"/>
                      <w:sz w:val="18"/>
                      <w:szCs w:val="18"/>
                    </w:rPr>
                    <w:t>√</w:t>
                  </w:r>
                </w:p>
              </w:tc>
              <w:tc>
                <w:tcPr>
                  <w:tcW w:w="755" w:type="dxa"/>
                  <w:shd w:val="clear" w:color="auto" w:fill="auto"/>
                  <w:vAlign w:val="center"/>
                </w:tcPr>
                <w:p w14:paraId="7C11C039">
                  <w:pPr>
                    <w:jc w:val="center"/>
                    <w:rPr>
                      <w:rFonts w:ascii="Times New Roman" w:hAnsi="Times New Roman" w:cs="Times New Roman"/>
                      <w:sz w:val="18"/>
                      <w:szCs w:val="18"/>
                    </w:rPr>
                  </w:pPr>
                </w:p>
              </w:tc>
              <w:tc>
                <w:tcPr>
                  <w:tcW w:w="1313" w:type="dxa"/>
                  <w:vMerge w:val="continue"/>
                  <w:shd w:val="clear" w:color="auto" w:fill="auto"/>
                  <w:vAlign w:val="center"/>
                </w:tcPr>
                <w:p w14:paraId="112BDEB6">
                  <w:pPr>
                    <w:jc w:val="center"/>
                    <w:rPr>
                      <w:rFonts w:ascii="Times New Roman" w:hAnsi="Times New Roman" w:cs="Times New Roman"/>
                      <w:sz w:val="18"/>
                      <w:szCs w:val="18"/>
                    </w:rPr>
                  </w:pPr>
                </w:p>
              </w:tc>
              <w:tc>
                <w:tcPr>
                  <w:tcW w:w="756" w:type="dxa"/>
                  <w:shd w:val="clear" w:color="auto" w:fill="auto"/>
                  <w:vAlign w:val="center"/>
                </w:tcPr>
                <w:p w14:paraId="7AC7482C">
                  <w:pPr>
                    <w:jc w:val="center"/>
                    <w:rPr>
                      <w:rFonts w:ascii="Times New Roman" w:hAnsi="Times New Roman" w:cs="Times New Roman"/>
                      <w:sz w:val="18"/>
                      <w:szCs w:val="18"/>
                    </w:rPr>
                  </w:pPr>
                  <w:r>
                    <w:rPr>
                      <w:rFonts w:hint="eastAsia" w:ascii="Times New Roman" w:hAnsi="Times New Roman" w:cs="Times New Roman"/>
                      <w:sz w:val="18"/>
                      <w:szCs w:val="18"/>
                    </w:rPr>
                    <w:t>有资质单位</w:t>
                  </w:r>
                </w:p>
                <w:p w14:paraId="30D058B9">
                  <w:pPr>
                    <w:jc w:val="center"/>
                    <w:rPr>
                      <w:rFonts w:ascii="Times New Roman" w:hAnsi="Times New Roman" w:cs="Times New Roman"/>
                      <w:sz w:val="18"/>
                      <w:szCs w:val="18"/>
                    </w:rPr>
                  </w:pPr>
                  <w:r>
                    <w:rPr>
                      <w:rFonts w:hint="eastAsia" w:ascii="Times New Roman" w:hAnsi="Times New Roman" w:cs="Times New Roman"/>
                      <w:sz w:val="18"/>
                      <w:szCs w:val="18"/>
                    </w:rPr>
                    <w:t>处置</w:t>
                  </w:r>
                </w:p>
              </w:tc>
            </w:tr>
          </w:tbl>
          <w:p w14:paraId="4A9DF3F9">
            <w:pPr>
              <w:jc w:val="center"/>
            </w:pPr>
          </w:p>
          <w:p w14:paraId="59460634">
            <w:pPr>
              <w:pStyle w:val="8"/>
              <w:spacing w:line="360" w:lineRule="auto"/>
              <w:ind w:firstLine="240" w:firstLineChars="100"/>
              <w:rPr>
                <w:kern w:val="0"/>
                <w:sz w:val="24"/>
                <w:szCs w:val="24"/>
              </w:rPr>
            </w:pPr>
            <w:r>
              <w:rPr>
                <w:rFonts w:hint="eastAsia"/>
                <w:kern w:val="0"/>
                <w:sz w:val="24"/>
                <w:szCs w:val="24"/>
              </w:rPr>
              <w:t>2、</w:t>
            </w:r>
            <w:r>
              <w:rPr>
                <w:kern w:val="0"/>
                <w:sz w:val="24"/>
                <w:szCs w:val="24"/>
              </w:rPr>
              <w:t>固废</w:t>
            </w:r>
            <w:r>
              <w:rPr>
                <w:rFonts w:hint="eastAsia"/>
                <w:kern w:val="0"/>
                <w:sz w:val="24"/>
                <w:szCs w:val="24"/>
              </w:rPr>
              <w:t>处置措施</w:t>
            </w:r>
          </w:p>
          <w:p w14:paraId="120FE905">
            <w:pPr>
              <w:pStyle w:val="8"/>
              <w:spacing w:line="360" w:lineRule="auto"/>
              <w:ind w:firstLine="240" w:firstLineChars="100"/>
              <w:rPr>
                <w:kern w:val="0"/>
                <w:sz w:val="24"/>
                <w:szCs w:val="24"/>
              </w:rPr>
            </w:pPr>
            <w:r>
              <w:rPr>
                <w:rFonts w:hint="eastAsia"/>
                <w:kern w:val="0"/>
                <w:sz w:val="24"/>
                <w:szCs w:val="24"/>
              </w:rPr>
              <w:t>（1）</w:t>
            </w:r>
            <w:r>
              <w:rPr>
                <w:kern w:val="0"/>
                <w:sz w:val="24"/>
                <w:szCs w:val="24"/>
              </w:rPr>
              <w:t>一般固废</w:t>
            </w:r>
          </w:p>
          <w:p w14:paraId="50E20DA2">
            <w:pPr>
              <w:pStyle w:val="10"/>
              <w:spacing w:line="360" w:lineRule="auto"/>
              <w:ind w:left="0" w:right="105" w:rightChars="50" w:firstLine="240" w:firstLineChars="100"/>
              <w:rPr>
                <w:rFonts w:ascii="Times New Roman" w:hAnsi="Times New Roman" w:cs="Times New Roman"/>
              </w:rPr>
            </w:pPr>
            <w:r>
              <w:rPr>
                <w:bCs/>
              </w:rPr>
              <w:fldChar w:fldCharType="begin"/>
            </w:r>
            <w:r>
              <w:rPr>
                <w:bCs/>
              </w:rPr>
              <w:instrText xml:space="preserve"> </w:instrText>
            </w:r>
            <w:r>
              <w:rPr>
                <w:rFonts w:hint="eastAsia"/>
                <w:bCs/>
              </w:rPr>
              <w:instrText xml:space="preserve">= 1 \* GB3</w:instrText>
            </w:r>
            <w:r>
              <w:rPr>
                <w:bCs/>
              </w:rPr>
              <w:instrText xml:space="preserve"> </w:instrText>
            </w:r>
            <w:r>
              <w:rPr>
                <w:bCs/>
              </w:rPr>
              <w:fldChar w:fldCharType="separate"/>
            </w:r>
            <w:r>
              <w:rPr>
                <w:rFonts w:hint="eastAsia"/>
                <w:bCs/>
              </w:rPr>
              <w:t>①</w:t>
            </w:r>
            <w:r>
              <w:rPr>
                <w:bCs/>
              </w:rPr>
              <w:fldChar w:fldCharType="end"/>
            </w:r>
            <w:r>
              <w:rPr>
                <w:rFonts w:ascii="Times New Roman" w:hAnsi="Times New Roman" w:cs="Times New Roman"/>
              </w:rPr>
              <w:t>隔油池废油脂</w:t>
            </w:r>
          </w:p>
          <w:p w14:paraId="3633C502">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采用</w:t>
            </w:r>
            <w:r>
              <w:rPr>
                <w:rFonts w:ascii="Times New Roman" w:hAnsi="Times New Roman" w:cs="Times New Roman"/>
              </w:rPr>
              <w:t>收集桶收集后全部进入化制罐内化制后</w:t>
            </w:r>
            <w:r>
              <w:rPr>
                <w:rFonts w:hint="eastAsia" w:ascii="Times New Roman" w:hAnsi="Times New Roman" w:cs="Times New Roman"/>
              </w:rPr>
              <w:t>，</w:t>
            </w:r>
            <w:r>
              <w:rPr>
                <w:rFonts w:ascii="Times New Roman" w:hAnsi="Times New Roman" w:cs="Times New Roman"/>
              </w:rPr>
              <w:t>作为生物柴油原料外售。</w:t>
            </w:r>
          </w:p>
          <w:p w14:paraId="23D85FD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食堂泔水</w:t>
            </w:r>
          </w:p>
          <w:p w14:paraId="7BF5BBC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在食堂内设泔水桶</w:t>
            </w:r>
            <w:r>
              <w:rPr>
                <w:rFonts w:hint="eastAsia" w:ascii="Times New Roman" w:hAnsi="Times New Roman" w:cs="Times New Roman"/>
              </w:rPr>
              <w:t>收集</w:t>
            </w:r>
            <w:r>
              <w:rPr>
                <w:rFonts w:ascii="Times New Roman" w:hAnsi="Times New Roman" w:cs="Times New Roman"/>
              </w:rPr>
              <w:t>，将食堂泔水统一收集后</w:t>
            </w:r>
            <w:r>
              <w:rPr>
                <w:rFonts w:hint="eastAsia" w:ascii="Times New Roman" w:hAnsi="Times New Roman" w:cs="Times New Roman"/>
              </w:rPr>
              <w:t>按三台山乡管理</w:t>
            </w:r>
            <w:r>
              <w:rPr>
                <w:rFonts w:ascii="Times New Roman" w:hAnsi="Times New Roman" w:cs="Times New Roman"/>
              </w:rPr>
              <w:t>部门</w:t>
            </w:r>
            <w:r>
              <w:rPr>
                <w:rFonts w:hint="eastAsia" w:ascii="Times New Roman" w:hAnsi="Times New Roman" w:cs="Times New Roman"/>
              </w:rPr>
              <w:t>要求</w:t>
            </w:r>
            <w:r>
              <w:rPr>
                <w:rFonts w:ascii="Times New Roman" w:hAnsi="Times New Roman" w:cs="Times New Roman"/>
              </w:rPr>
              <w:t>清运</w:t>
            </w:r>
            <w:r>
              <w:rPr>
                <w:rFonts w:hint="eastAsia" w:ascii="Times New Roman" w:hAnsi="Times New Roman" w:cs="Times New Roman"/>
              </w:rPr>
              <w:t>处置</w:t>
            </w:r>
            <w:r>
              <w:rPr>
                <w:rFonts w:ascii="Times New Roman" w:hAnsi="Times New Roman" w:cs="Times New Roman"/>
              </w:rPr>
              <w:t>。</w:t>
            </w:r>
          </w:p>
          <w:p w14:paraId="22115F4B">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生活垃圾</w:t>
            </w:r>
          </w:p>
          <w:p w14:paraId="65332C0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统一收集后委托</w:t>
            </w:r>
            <w:r>
              <w:rPr>
                <w:rFonts w:hint="eastAsia" w:ascii="Times New Roman" w:hAnsi="Times New Roman" w:cs="Times New Roman"/>
              </w:rPr>
              <w:t>三台山乡</w:t>
            </w:r>
            <w:r>
              <w:rPr>
                <w:rFonts w:ascii="Times New Roman" w:hAnsi="Times New Roman" w:cs="Times New Roman"/>
              </w:rPr>
              <w:t>环卫部门定期</w:t>
            </w:r>
            <w:r>
              <w:rPr>
                <w:rFonts w:hint="eastAsia" w:ascii="Times New Roman" w:hAnsi="Times New Roman" w:cs="Times New Roman"/>
              </w:rPr>
              <w:t>清运处置</w:t>
            </w:r>
            <w:r>
              <w:rPr>
                <w:rFonts w:ascii="Times New Roman" w:hAnsi="Times New Roman" w:cs="Times New Roman"/>
              </w:rPr>
              <w:t>。</w:t>
            </w:r>
          </w:p>
          <w:p w14:paraId="118BABEF">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hint="eastAsia" w:ascii="Times New Roman" w:hAnsi="Times New Roman" w:cs="Times New Roman"/>
              </w:rPr>
              <w:t>脱硫除尘塔</w:t>
            </w:r>
            <w:r>
              <w:rPr>
                <w:rFonts w:ascii="Times New Roman" w:hAnsi="Times New Roman" w:cs="Times New Roman"/>
              </w:rPr>
              <w:t>沉渣</w:t>
            </w:r>
          </w:p>
          <w:p w14:paraId="750CF5B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定期清掏，</w:t>
            </w:r>
            <w:r>
              <w:rPr>
                <w:rFonts w:hint="eastAsia" w:ascii="Times New Roman" w:hAnsi="Times New Roman" w:cs="Times New Roman"/>
              </w:rPr>
              <w:t>作为其它企业化工原料外售</w:t>
            </w:r>
            <w:r>
              <w:rPr>
                <w:rFonts w:ascii="Times New Roman" w:hAnsi="Times New Roman" w:cs="Times New Roman"/>
              </w:rPr>
              <w:t>。</w:t>
            </w:r>
          </w:p>
          <w:p w14:paraId="6225335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hint="eastAsia" w:ascii="Times New Roman" w:hAnsi="Times New Roman" w:cs="Times New Roman"/>
              </w:rPr>
              <w:t>废活性炭</w:t>
            </w:r>
          </w:p>
          <w:p w14:paraId="5EB2302D">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废</w:t>
            </w:r>
            <w:r>
              <w:rPr>
                <w:rFonts w:ascii="Times New Roman" w:hAnsi="Times New Roman" w:cs="Times New Roman"/>
              </w:rPr>
              <w:t>活性炭</w:t>
            </w:r>
            <w:r>
              <w:rPr>
                <w:rFonts w:hint="eastAsia" w:ascii="Times New Roman" w:hAnsi="Times New Roman" w:cs="Times New Roman"/>
              </w:rPr>
              <w:t>由厂家回收。</w:t>
            </w:r>
          </w:p>
          <w:p w14:paraId="3352B723">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废胴体包装袋</w:t>
            </w:r>
          </w:p>
          <w:p w14:paraId="5CFE4B81">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废包装袋收集</w:t>
            </w:r>
            <w:r>
              <w:rPr>
                <w:rFonts w:hint="eastAsia" w:ascii="Times New Roman" w:hAnsi="Times New Roman" w:cs="Times New Roman"/>
              </w:rPr>
              <w:t>、</w:t>
            </w:r>
            <w:r>
              <w:rPr>
                <w:rFonts w:ascii="Times New Roman" w:hAnsi="Times New Roman" w:cs="Times New Roman"/>
              </w:rPr>
              <w:t>消毒</w:t>
            </w:r>
            <w:r>
              <w:rPr>
                <w:rFonts w:hint="eastAsia" w:ascii="Times New Roman" w:hAnsi="Times New Roman" w:cs="Times New Roman"/>
              </w:rPr>
              <w:t>后</w:t>
            </w:r>
            <w:r>
              <w:rPr>
                <w:rFonts w:ascii="Times New Roman" w:hAnsi="Times New Roman" w:cs="Times New Roman"/>
              </w:rPr>
              <w:t>回用。</w:t>
            </w:r>
          </w:p>
          <w:p w14:paraId="7BF78299">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7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⑦</w:t>
            </w:r>
            <w:r>
              <w:rPr>
                <w:rFonts w:ascii="Times New Roman" w:hAnsi="Times New Roman" w:cs="Times New Roman"/>
              </w:rPr>
              <w:fldChar w:fldCharType="end"/>
            </w:r>
            <w:r>
              <w:rPr>
                <w:rFonts w:hint="eastAsia" w:ascii="Times New Roman" w:hAnsi="Times New Roman" w:cs="Times New Roman"/>
              </w:rPr>
              <w:t>炉渣</w:t>
            </w:r>
          </w:p>
          <w:p w14:paraId="3E1A566D">
            <w:pPr>
              <w:pStyle w:val="10"/>
              <w:spacing w:line="360" w:lineRule="auto"/>
              <w:ind w:left="0" w:right="105" w:rightChars="50" w:firstLine="240" w:firstLineChars="100"/>
              <w:rPr>
                <w:rFonts w:ascii="Times New Roman" w:hAnsi="Times New Roman" w:cs="Times New Roman"/>
              </w:rPr>
            </w:pPr>
            <w:r>
              <w:rPr>
                <w:rFonts w:hint="eastAsia" w:ascii="Times New Roman" w:hAnsi="Times New Roman" w:cs="Times New Roman"/>
              </w:rPr>
              <w:t>锅炉旁设封闭式炉渣暂存间，</w:t>
            </w:r>
            <w:r>
              <w:rPr>
                <w:rFonts w:ascii="Times New Roman" w:hAnsi="Times New Roman" w:cs="Times New Roman"/>
              </w:rPr>
              <w:t>灰渣统一收集，</w:t>
            </w:r>
            <w:r>
              <w:rPr>
                <w:rFonts w:hint="eastAsia" w:ascii="Times New Roman" w:hAnsi="Times New Roman" w:cs="Times New Roman"/>
              </w:rPr>
              <w:t>作为有机肥原料</w:t>
            </w:r>
            <w:r>
              <w:rPr>
                <w:rFonts w:ascii="Times New Roman" w:hAnsi="Times New Roman" w:cs="Times New Roman"/>
              </w:rPr>
              <w:t>定期</w:t>
            </w:r>
            <w:r>
              <w:rPr>
                <w:rFonts w:hint="eastAsia" w:ascii="Times New Roman" w:hAnsi="Times New Roman" w:cs="Times New Roman"/>
              </w:rPr>
              <w:t>外售</w:t>
            </w:r>
            <w:r>
              <w:rPr>
                <w:rFonts w:ascii="Times New Roman" w:hAnsi="Times New Roman" w:cs="Times New Roman"/>
              </w:rPr>
              <w:t>。</w:t>
            </w:r>
          </w:p>
          <w:p w14:paraId="673BAE0E">
            <w:pPr>
              <w:pStyle w:val="8"/>
              <w:spacing w:line="360" w:lineRule="auto"/>
              <w:ind w:firstLine="240" w:firstLineChars="100"/>
              <w:rPr>
                <w:kern w:val="0"/>
                <w:sz w:val="24"/>
                <w:szCs w:val="24"/>
              </w:rPr>
            </w:pPr>
            <w:r>
              <w:rPr>
                <w:rFonts w:hint="eastAsia"/>
                <w:kern w:val="0"/>
                <w:sz w:val="24"/>
                <w:szCs w:val="24"/>
              </w:rPr>
              <w:t>（2）危险废物</w:t>
            </w:r>
          </w:p>
          <w:p w14:paraId="41587F0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8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⑧</w:t>
            </w:r>
            <w:r>
              <w:rPr>
                <w:rFonts w:ascii="Times New Roman" w:hAnsi="Times New Roman" w:cs="Times New Roman"/>
              </w:rPr>
              <w:fldChar w:fldCharType="end"/>
            </w:r>
            <w:r>
              <w:rPr>
                <w:rFonts w:hint="eastAsia" w:ascii="Times New Roman" w:hAnsi="Times New Roman" w:cs="Times New Roman"/>
              </w:rPr>
              <w:t>污泥</w:t>
            </w:r>
          </w:p>
          <w:p w14:paraId="287A6588">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拟设置1个收集桶专门收集滤饼，同时加入次氯酸钠消毒处理后，暂存于危险废物暂存间，</w:t>
            </w:r>
            <w:r>
              <w:rPr>
                <w:rFonts w:hint="eastAsia" w:ascii="Times New Roman" w:hAnsi="Times New Roman" w:cs="Times New Roman"/>
              </w:rPr>
              <w:t>最终</w:t>
            </w:r>
            <w:r>
              <w:rPr>
                <w:rFonts w:ascii="Times New Roman" w:hAnsi="Times New Roman" w:cs="Times New Roman"/>
              </w:rPr>
              <w:t>委托有资质的单位定期清运处置。</w:t>
            </w:r>
          </w:p>
          <w:p w14:paraId="46E11E67">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9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⑨</w:t>
            </w:r>
            <w:r>
              <w:rPr>
                <w:rFonts w:ascii="Times New Roman" w:hAnsi="Times New Roman" w:cs="Times New Roman"/>
              </w:rPr>
              <w:fldChar w:fldCharType="end"/>
            </w:r>
            <w:r>
              <w:rPr>
                <w:rFonts w:ascii="Times New Roman" w:hAnsi="Times New Roman" w:cs="Times New Roman"/>
              </w:rPr>
              <w:t>废机油</w:t>
            </w:r>
          </w:p>
          <w:p w14:paraId="1EF999FE">
            <w:pPr>
              <w:pStyle w:val="10"/>
              <w:spacing w:line="360" w:lineRule="auto"/>
              <w:ind w:left="0" w:right="105" w:rightChars="50" w:firstLine="240" w:firstLineChars="100"/>
              <w:rPr>
                <w:rFonts w:ascii="Times New Roman" w:hAnsi="Times New Roman" w:cs="Times New Roman"/>
              </w:rPr>
            </w:pPr>
            <w:r>
              <w:rPr>
                <w:rFonts w:ascii="Times New Roman" w:hAnsi="Times New Roman" w:cs="Times New Roman"/>
              </w:rPr>
              <w:t>收集后暂存于危险废物暂存间，</w:t>
            </w:r>
            <w:r>
              <w:rPr>
                <w:rFonts w:hint="eastAsia" w:ascii="Times New Roman" w:hAnsi="Times New Roman" w:cs="Times New Roman"/>
              </w:rPr>
              <w:t>最终</w:t>
            </w:r>
            <w:r>
              <w:rPr>
                <w:rFonts w:ascii="Times New Roman" w:hAnsi="Times New Roman" w:cs="Times New Roman"/>
              </w:rPr>
              <w:t>委托有危险废物处置资质的单位进行处理。</w:t>
            </w:r>
          </w:p>
          <w:p w14:paraId="374B87BB">
            <w:pPr>
              <w:pStyle w:val="8"/>
              <w:spacing w:line="360" w:lineRule="auto"/>
              <w:ind w:firstLine="240" w:firstLineChars="100"/>
              <w:rPr>
                <w:kern w:val="0"/>
                <w:sz w:val="24"/>
                <w:szCs w:val="24"/>
              </w:rPr>
            </w:pPr>
            <w:r>
              <w:rPr>
                <w:kern w:val="0"/>
                <w:sz w:val="24"/>
                <w:szCs w:val="24"/>
              </w:rPr>
              <w:t>危险废物的贮存设施应满足以下要求：</w:t>
            </w:r>
          </w:p>
          <w:p w14:paraId="5FB9F135">
            <w:pPr>
              <w:pStyle w:val="8"/>
              <w:spacing w:line="360" w:lineRule="auto"/>
              <w:ind w:firstLine="240" w:firstLineChars="100"/>
              <w:rPr>
                <w:kern w:val="0"/>
                <w:sz w:val="24"/>
                <w:szCs w:val="24"/>
              </w:rPr>
            </w:pPr>
            <w:r>
              <w:rPr>
                <w:kern w:val="0"/>
                <w:sz w:val="24"/>
                <w:szCs w:val="24"/>
              </w:rPr>
              <w:t>a、应建有堵截泄漏的裙脚，地面与裙脚要用坚固防渗的材料建造</w:t>
            </w:r>
            <w:r>
              <w:rPr>
                <w:rFonts w:hint="eastAsia"/>
                <w:kern w:val="0"/>
                <w:sz w:val="24"/>
                <w:szCs w:val="24"/>
              </w:rPr>
              <w:t>；</w:t>
            </w:r>
            <w:r>
              <w:rPr>
                <w:kern w:val="0"/>
                <w:sz w:val="24"/>
                <w:szCs w:val="24"/>
              </w:rPr>
              <w:t>应有隔离设施、报警装置和防风、防晒、防雨设施；</w:t>
            </w:r>
          </w:p>
          <w:p w14:paraId="22DE6E5E">
            <w:pPr>
              <w:pStyle w:val="8"/>
              <w:spacing w:line="360" w:lineRule="auto"/>
              <w:ind w:firstLine="240" w:firstLineChars="100"/>
              <w:rPr>
                <w:kern w:val="0"/>
                <w:sz w:val="24"/>
                <w:szCs w:val="24"/>
              </w:rPr>
            </w:pPr>
            <w:r>
              <w:rPr>
                <w:kern w:val="0"/>
                <w:sz w:val="24"/>
                <w:szCs w:val="24"/>
              </w:rPr>
              <w:t>b、基础必须防渗，防渗层为至少1m厚粘土层，渗透系数≤1.0×10</w:t>
            </w:r>
            <w:r>
              <w:rPr>
                <w:kern w:val="0"/>
                <w:sz w:val="24"/>
                <w:szCs w:val="24"/>
                <w:vertAlign w:val="superscript"/>
              </w:rPr>
              <w:t>-7</w:t>
            </w:r>
            <w:r>
              <w:rPr>
                <w:kern w:val="0"/>
                <w:sz w:val="24"/>
                <w:szCs w:val="24"/>
              </w:rPr>
              <w:t>cm/s，或2mm厚高密度聚乙烯，或至少2mm厚的其它人工材料，渗透系数≤1.0×10</w:t>
            </w:r>
            <w:r>
              <w:rPr>
                <w:kern w:val="0"/>
                <w:sz w:val="24"/>
                <w:szCs w:val="24"/>
                <w:vertAlign w:val="superscript"/>
              </w:rPr>
              <w:t>-10</w:t>
            </w:r>
            <w:r>
              <w:rPr>
                <w:kern w:val="0"/>
                <w:sz w:val="24"/>
                <w:szCs w:val="24"/>
              </w:rPr>
              <w:t>cm/s；</w:t>
            </w:r>
          </w:p>
          <w:p w14:paraId="39EB292B">
            <w:pPr>
              <w:pStyle w:val="8"/>
              <w:spacing w:line="360" w:lineRule="auto"/>
              <w:ind w:firstLine="240" w:firstLineChars="100"/>
              <w:rPr>
                <w:kern w:val="0"/>
                <w:sz w:val="24"/>
                <w:szCs w:val="24"/>
              </w:rPr>
            </w:pPr>
            <w:r>
              <w:rPr>
                <w:kern w:val="0"/>
                <w:sz w:val="24"/>
                <w:szCs w:val="24"/>
              </w:rPr>
              <w:t>c、须有泄漏液体收集装置及气体导出口和气体净化装置；</w:t>
            </w:r>
          </w:p>
          <w:p w14:paraId="0EE47975">
            <w:pPr>
              <w:pStyle w:val="8"/>
              <w:spacing w:line="360" w:lineRule="auto"/>
              <w:ind w:firstLine="240" w:firstLineChars="100"/>
              <w:rPr>
                <w:kern w:val="0"/>
                <w:sz w:val="24"/>
                <w:szCs w:val="24"/>
              </w:rPr>
            </w:pPr>
            <w:r>
              <w:rPr>
                <w:kern w:val="0"/>
                <w:sz w:val="24"/>
                <w:szCs w:val="24"/>
              </w:rPr>
              <w:t>d、用于存放液体、半固体危险废物的地方，还须有耐腐蚀的硬化地面，地面无裂隙；</w:t>
            </w:r>
          </w:p>
          <w:p w14:paraId="165E4F43">
            <w:pPr>
              <w:pStyle w:val="8"/>
              <w:spacing w:line="360" w:lineRule="auto"/>
              <w:ind w:firstLine="240" w:firstLineChars="100"/>
              <w:rPr>
                <w:kern w:val="0"/>
                <w:sz w:val="24"/>
                <w:szCs w:val="24"/>
              </w:rPr>
            </w:pPr>
            <w:r>
              <w:rPr>
                <w:kern w:val="0"/>
                <w:sz w:val="24"/>
                <w:szCs w:val="24"/>
              </w:rPr>
              <w:t>e、危险废物的贮存场所需设置警示牌，对不相容的危险废物堆放区必须有隔离间隔断；</w:t>
            </w:r>
          </w:p>
          <w:p w14:paraId="04523ADC">
            <w:pPr>
              <w:pStyle w:val="8"/>
              <w:spacing w:line="360" w:lineRule="auto"/>
              <w:ind w:firstLine="240" w:firstLineChars="100"/>
              <w:rPr>
                <w:kern w:val="0"/>
                <w:sz w:val="24"/>
                <w:szCs w:val="24"/>
              </w:rPr>
            </w:pPr>
            <w:r>
              <w:rPr>
                <w:kern w:val="0"/>
                <w:sz w:val="24"/>
                <w:szCs w:val="24"/>
              </w:rPr>
              <w:t>f、衬层上需建有渗滤液收集清除系统、径流疏导系统。</w:t>
            </w:r>
          </w:p>
          <w:p w14:paraId="3B54CA0C">
            <w:pPr>
              <w:pStyle w:val="8"/>
              <w:spacing w:line="360" w:lineRule="auto"/>
              <w:ind w:firstLine="240" w:firstLineChars="100"/>
              <w:rPr>
                <w:kern w:val="0"/>
                <w:sz w:val="24"/>
                <w:szCs w:val="24"/>
              </w:rPr>
            </w:pPr>
            <w:r>
              <w:rPr>
                <w:kern w:val="0"/>
                <w:sz w:val="24"/>
                <w:szCs w:val="24"/>
              </w:rPr>
              <w:t>g、危险废物的贮存设施的选址与设计、运行与管理、安全防护、环境监测及应急措施以及关闭等须遵循《危险废物贮存污染控制标准》的规定。</w:t>
            </w:r>
          </w:p>
          <w:p w14:paraId="253812F2">
            <w:pPr>
              <w:pStyle w:val="8"/>
              <w:spacing w:line="360" w:lineRule="auto"/>
              <w:ind w:firstLine="240" w:firstLineChars="100"/>
              <w:rPr>
                <w:kern w:val="0"/>
                <w:sz w:val="24"/>
                <w:szCs w:val="24"/>
              </w:rPr>
            </w:pPr>
            <w:r>
              <w:rPr>
                <w:kern w:val="0"/>
                <w:sz w:val="24"/>
                <w:szCs w:val="24"/>
              </w:rPr>
              <w:t>h、企业按照《危险废物管理计划（大纲）（试行）》的要求做好危险废物计划和危险废物</w:t>
            </w:r>
            <w:r>
              <w:rPr>
                <w:rFonts w:hint="eastAsia"/>
                <w:kern w:val="0"/>
                <w:sz w:val="24"/>
                <w:szCs w:val="24"/>
                <w:lang w:eastAsia="zh-CN"/>
              </w:rPr>
              <w:t>台账</w:t>
            </w:r>
            <w:r>
              <w:rPr>
                <w:kern w:val="0"/>
                <w:sz w:val="24"/>
                <w:szCs w:val="24"/>
              </w:rPr>
              <w:t>。对危险废物的转移处理须严格按照国家环境保护部第5号令《危险废物转移联单管理办法》执行</w:t>
            </w:r>
            <w:r>
              <w:rPr>
                <w:rFonts w:hint="eastAsia"/>
                <w:kern w:val="0"/>
                <w:sz w:val="24"/>
                <w:szCs w:val="24"/>
              </w:rPr>
              <w:t>。</w:t>
            </w:r>
          </w:p>
          <w:p w14:paraId="7CBF0DC9">
            <w:pPr>
              <w:pStyle w:val="8"/>
              <w:spacing w:line="360" w:lineRule="auto"/>
              <w:ind w:firstLine="240" w:firstLineChars="100"/>
              <w:rPr>
                <w:kern w:val="0"/>
                <w:sz w:val="24"/>
                <w:szCs w:val="24"/>
              </w:rPr>
            </w:pPr>
            <w:r>
              <w:rPr>
                <w:rFonts w:hint="eastAsia"/>
                <w:kern w:val="0"/>
                <w:sz w:val="24"/>
                <w:szCs w:val="24"/>
              </w:rPr>
              <w:t>3、固废影响分析</w:t>
            </w:r>
          </w:p>
          <w:p w14:paraId="4DC84BB4">
            <w:pPr>
              <w:pStyle w:val="8"/>
              <w:spacing w:line="360" w:lineRule="auto"/>
              <w:ind w:firstLine="240" w:firstLineChars="100"/>
              <w:rPr>
                <w:kern w:val="0"/>
                <w:sz w:val="24"/>
                <w:szCs w:val="24"/>
              </w:rPr>
            </w:pPr>
            <w:r>
              <w:rPr>
                <w:rFonts w:hint="eastAsia"/>
                <w:kern w:val="0"/>
                <w:sz w:val="24"/>
                <w:szCs w:val="24"/>
              </w:rPr>
              <w:t>本</w:t>
            </w:r>
            <w:r>
              <w:rPr>
                <w:kern w:val="0"/>
                <w:sz w:val="24"/>
                <w:szCs w:val="24"/>
              </w:rPr>
              <w:t>项目各</w:t>
            </w:r>
            <w:r>
              <w:rPr>
                <w:rFonts w:hint="eastAsia"/>
                <w:kern w:val="0"/>
                <w:sz w:val="24"/>
                <w:szCs w:val="24"/>
              </w:rPr>
              <w:t>类</w:t>
            </w:r>
            <w:r>
              <w:rPr>
                <w:kern w:val="0"/>
                <w:sz w:val="24"/>
                <w:szCs w:val="24"/>
              </w:rPr>
              <w:t>固废均得到</w:t>
            </w:r>
            <w:r>
              <w:rPr>
                <w:rFonts w:hint="eastAsia"/>
                <w:kern w:val="0"/>
                <w:sz w:val="24"/>
                <w:szCs w:val="24"/>
              </w:rPr>
              <w:t>合理</w:t>
            </w:r>
            <w:r>
              <w:rPr>
                <w:kern w:val="0"/>
                <w:sz w:val="24"/>
                <w:szCs w:val="24"/>
              </w:rPr>
              <w:t>处置，处置率达 100%</w:t>
            </w:r>
            <w:r>
              <w:rPr>
                <w:rFonts w:hint="eastAsia"/>
                <w:kern w:val="0"/>
                <w:sz w:val="24"/>
                <w:szCs w:val="24"/>
              </w:rPr>
              <w:t>，对环境影响小。</w:t>
            </w:r>
          </w:p>
          <w:p w14:paraId="70DD7DAF">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4.2.5 生态环境影响分析</w:t>
            </w:r>
          </w:p>
          <w:p w14:paraId="25A5C62A">
            <w:pPr>
              <w:pStyle w:val="8"/>
              <w:spacing w:line="360" w:lineRule="auto"/>
              <w:ind w:firstLine="240" w:firstLineChars="100"/>
              <w:rPr>
                <w:kern w:val="0"/>
                <w:sz w:val="24"/>
                <w:szCs w:val="24"/>
              </w:rPr>
            </w:pPr>
            <w:r>
              <w:rPr>
                <w:rFonts w:hint="eastAsia"/>
                <w:kern w:val="0"/>
                <w:sz w:val="24"/>
                <w:szCs w:val="24"/>
              </w:rPr>
              <w:t>本项目新鲜水主要来自附近农村供水管网和收集的雨水；运行期无生产废水和生活污水排放。故，本报告不设生态评价专项。</w:t>
            </w:r>
          </w:p>
          <w:p w14:paraId="3A56EDC4">
            <w:pPr>
              <w:pStyle w:val="8"/>
              <w:spacing w:line="360" w:lineRule="auto"/>
              <w:ind w:firstLine="240" w:firstLineChars="100"/>
              <w:rPr>
                <w:kern w:val="0"/>
                <w:sz w:val="24"/>
                <w:szCs w:val="24"/>
              </w:rPr>
            </w:pPr>
            <w:r>
              <w:rPr>
                <w:kern w:val="0"/>
                <w:sz w:val="24"/>
                <w:szCs w:val="24"/>
              </w:rPr>
              <w:t>项目位于云南省德宏州</w:t>
            </w:r>
            <w:r>
              <w:rPr>
                <w:rFonts w:hint="eastAsia"/>
                <w:kern w:val="0"/>
                <w:sz w:val="24"/>
                <w:szCs w:val="24"/>
              </w:rPr>
              <w:t>芒市三台山乡邦外村委会帕当坝村小组</w:t>
            </w:r>
            <w:r>
              <w:rPr>
                <w:kern w:val="0"/>
                <w:sz w:val="24"/>
                <w:szCs w:val="24"/>
              </w:rPr>
              <w:t>，占地</w:t>
            </w:r>
            <w:r>
              <w:rPr>
                <w:bCs/>
                <w:sz w:val="24"/>
                <w:szCs w:val="24"/>
              </w:rPr>
              <w:t>8.92</w:t>
            </w:r>
            <w:r>
              <w:rPr>
                <w:rFonts w:hint="eastAsia"/>
                <w:bCs/>
                <w:sz w:val="24"/>
                <w:szCs w:val="24"/>
              </w:rPr>
              <w:t>亩</w:t>
            </w:r>
            <w:r>
              <w:rPr>
                <w:kern w:val="0"/>
                <w:sz w:val="24"/>
                <w:szCs w:val="24"/>
              </w:rPr>
              <w:t>，</w:t>
            </w:r>
            <w:r>
              <w:rPr>
                <w:rFonts w:hint="eastAsia"/>
                <w:kern w:val="0"/>
                <w:sz w:val="24"/>
                <w:szCs w:val="24"/>
              </w:rPr>
              <w:t>现状为一般耕地，种植菠萝和甘蔗，因此项目占地对区域生态环境影响小</w:t>
            </w:r>
            <w:r>
              <w:rPr>
                <w:kern w:val="0"/>
                <w:sz w:val="24"/>
                <w:szCs w:val="24"/>
              </w:rPr>
              <w:t>，不会对当地的生态系统产生大的影响。</w:t>
            </w:r>
            <w:r>
              <w:rPr>
                <w:rFonts w:hint="eastAsia"/>
                <w:sz w:val="24"/>
                <w:lang w:bidi="ar"/>
              </w:rPr>
              <w:t>根据芒市自然资源局出具的选址意见，占地范围原规划用地性质为“自然保留地，不涉及永久基本农田”。后德宏州对项目占地范围的用地性质进行了转批，根据《德宏州人民政府关于芒市2</w:t>
            </w:r>
            <w:r>
              <w:rPr>
                <w:sz w:val="24"/>
                <w:lang w:bidi="ar"/>
              </w:rPr>
              <w:t>022</w:t>
            </w:r>
            <w:r>
              <w:rPr>
                <w:rFonts w:hint="eastAsia"/>
                <w:sz w:val="24"/>
                <w:lang w:bidi="ar"/>
              </w:rPr>
              <w:t>年度第四批次村庄建设农用地转用的批复》（德政复[</w:t>
            </w:r>
            <w:r>
              <w:rPr>
                <w:sz w:val="24"/>
                <w:lang w:bidi="ar"/>
              </w:rPr>
              <w:t>2022]26</w:t>
            </w:r>
            <w:r>
              <w:rPr>
                <w:rFonts w:hint="eastAsia"/>
                <w:sz w:val="24"/>
                <w:lang w:bidi="ar"/>
              </w:rPr>
              <w:t>号），项目占地范围土地性质转批为“集体建设用地”。因此，本项目占用土地属于“集体建设用地”。</w:t>
            </w:r>
          </w:p>
          <w:p w14:paraId="76F80EFA">
            <w:pPr>
              <w:pStyle w:val="8"/>
              <w:spacing w:line="360" w:lineRule="auto"/>
              <w:ind w:firstLine="240" w:firstLineChars="100"/>
              <w:rPr>
                <w:kern w:val="0"/>
                <w:sz w:val="24"/>
                <w:szCs w:val="24"/>
              </w:rPr>
            </w:pPr>
            <w:r>
              <w:rPr>
                <w:rFonts w:hint="eastAsia"/>
                <w:kern w:val="0"/>
                <w:sz w:val="24"/>
                <w:szCs w:val="24"/>
              </w:rPr>
              <w:t>项目投入运营后，废气处理后达标排放，废水处理后全部回用，固废全部按要求处置，运行过程产生的废气、废水、固废对区域生态影响轻微。</w:t>
            </w:r>
          </w:p>
          <w:p w14:paraId="2B1599F4">
            <w:pPr>
              <w:pStyle w:val="8"/>
              <w:spacing w:line="360" w:lineRule="auto"/>
              <w:ind w:firstLine="240" w:firstLineChars="100"/>
              <w:rPr>
                <w:rFonts w:hint="eastAsia"/>
                <w:kern w:val="0"/>
                <w:sz w:val="24"/>
                <w:szCs w:val="24"/>
              </w:rPr>
            </w:pPr>
          </w:p>
          <w:p w14:paraId="56DE3C27">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4.2.6 环境风险</w:t>
            </w:r>
            <w:r>
              <w:rPr>
                <w:rFonts w:hint="eastAsia" w:ascii="Times New Roman" w:hAnsi="Times New Roman" w:cs="Times New Roman"/>
                <w:b/>
              </w:rPr>
              <w:t>分析</w:t>
            </w:r>
          </w:p>
          <w:p w14:paraId="228A452E">
            <w:pPr>
              <w:pStyle w:val="8"/>
              <w:spacing w:line="360" w:lineRule="auto"/>
              <w:ind w:firstLine="240" w:firstLineChars="100"/>
              <w:rPr>
                <w:kern w:val="0"/>
                <w:sz w:val="24"/>
                <w:szCs w:val="24"/>
              </w:rPr>
            </w:pPr>
            <w:r>
              <w:rPr>
                <w:kern w:val="0"/>
                <w:sz w:val="24"/>
                <w:szCs w:val="24"/>
              </w:rPr>
              <w:t>（1）风险</w:t>
            </w:r>
            <w:r>
              <w:rPr>
                <w:rFonts w:hint="eastAsia"/>
                <w:kern w:val="0"/>
                <w:sz w:val="24"/>
                <w:szCs w:val="24"/>
              </w:rPr>
              <w:t>物质识别</w:t>
            </w:r>
          </w:p>
          <w:p w14:paraId="648BCC62">
            <w:pPr>
              <w:pStyle w:val="8"/>
              <w:spacing w:line="360" w:lineRule="auto"/>
              <w:ind w:firstLine="240" w:firstLineChars="100"/>
              <w:rPr>
                <w:kern w:val="0"/>
                <w:sz w:val="24"/>
                <w:szCs w:val="24"/>
              </w:rPr>
            </w:pPr>
            <w:r>
              <w:rPr>
                <w:kern w:val="0"/>
                <w:sz w:val="24"/>
                <w:szCs w:val="24"/>
              </w:rPr>
              <w:t>根据《建设项目环境风险评价技术导则》（HJ/T169-2018）附录 B《重点关注的危险物质及临界量》，项目涉及的风险物质主要为生物油脂、废机油、次氯酸钠等。项目无害化处理的产品之一为生物质柴油的原料油脂，产生量为 300t/a，</w:t>
            </w:r>
            <w:r>
              <w:rPr>
                <w:rFonts w:hint="eastAsia"/>
                <w:kern w:val="0"/>
                <w:sz w:val="24"/>
                <w:szCs w:val="24"/>
              </w:rPr>
              <w:t>厂区</w:t>
            </w:r>
            <w:r>
              <w:rPr>
                <w:kern w:val="0"/>
                <w:sz w:val="24"/>
                <w:szCs w:val="24"/>
              </w:rPr>
              <w:t>设置了1个15t的储</w:t>
            </w:r>
            <w:r>
              <w:rPr>
                <w:rFonts w:hint="eastAsia"/>
                <w:kern w:val="0"/>
                <w:sz w:val="24"/>
                <w:szCs w:val="24"/>
              </w:rPr>
              <w:t>油罐</w:t>
            </w:r>
            <w:r>
              <w:rPr>
                <w:kern w:val="0"/>
                <w:sz w:val="24"/>
                <w:szCs w:val="24"/>
              </w:rPr>
              <w:t>，生物油脂最大存储量为15t</w:t>
            </w:r>
            <w:r>
              <w:rPr>
                <w:rFonts w:hint="eastAsia"/>
                <w:kern w:val="0"/>
                <w:sz w:val="24"/>
                <w:szCs w:val="24"/>
              </w:rPr>
              <w:t>。</w:t>
            </w:r>
            <w:r>
              <w:rPr>
                <w:kern w:val="0"/>
                <w:sz w:val="24"/>
                <w:szCs w:val="24"/>
              </w:rPr>
              <w:t>在机器维修、设备运行中会产生废机油0.31t/a，项目废机油最大储存量为0.15t，废机油暂存于危险废物暂存间</w:t>
            </w:r>
            <w:r>
              <w:rPr>
                <w:rFonts w:hint="eastAsia"/>
                <w:kern w:val="0"/>
                <w:sz w:val="24"/>
                <w:szCs w:val="24"/>
              </w:rPr>
              <w:t>。</w:t>
            </w:r>
            <w:r>
              <w:rPr>
                <w:kern w:val="0"/>
                <w:sz w:val="24"/>
                <w:szCs w:val="24"/>
              </w:rPr>
              <w:t>项目废水处理灭菌消毒采用次氯酸钠，年用量为 1t/a，</w:t>
            </w:r>
            <w:r>
              <w:rPr>
                <w:rFonts w:hint="eastAsia"/>
                <w:kern w:val="0"/>
                <w:sz w:val="24"/>
                <w:szCs w:val="24"/>
              </w:rPr>
              <w:t>厂</w:t>
            </w:r>
            <w:r>
              <w:rPr>
                <w:kern w:val="0"/>
                <w:sz w:val="24"/>
                <w:szCs w:val="24"/>
              </w:rPr>
              <w:t>区最大存储量为0.1t/a，采用桶装，存储于库房内。</w:t>
            </w:r>
          </w:p>
          <w:p w14:paraId="3207C545">
            <w:pPr>
              <w:pStyle w:val="8"/>
              <w:spacing w:line="360" w:lineRule="auto"/>
              <w:ind w:firstLine="240" w:firstLineChars="100"/>
              <w:rPr>
                <w:kern w:val="0"/>
                <w:sz w:val="24"/>
                <w:szCs w:val="24"/>
              </w:rPr>
            </w:pPr>
            <w:r>
              <w:rPr>
                <w:kern w:val="0"/>
                <w:sz w:val="24"/>
                <w:szCs w:val="24"/>
              </w:rPr>
              <w:t>（2）风险物质与临界量比值Q</w:t>
            </w:r>
          </w:p>
          <w:p w14:paraId="43970979">
            <w:pPr>
              <w:pStyle w:val="8"/>
              <w:spacing w:line="360" w:lineRule="auto"/>
              <w:ind w:firstLine="240" w:firstLineChars="100"/>
              <w:rPr>
                <w:kern w:val="0"/>
                <w:sz w:val="24"/>
                <w:szCs w:val="24"/>
              </w:rPr>
            </w:pPr>
            <w:r>
              <w:rPr>
                <w:kern w:val="0"/>
                <w:sz w:val="24"/>
                <w:szCs w:val="24"/>
              </w:rPr>
              <w:t>本项目涉及多种危险物质，按下式进行计算Q值：</w:t>
            </w:r>
          </w:p>
          <w:p w14:paraId="234EDCA1">
            <w:pPr>
              <w:spacing w:line="360" w:lineRule="auto"/>
              <w:ind w:firstLine="437"/>
              <w:jc w:val="center"/>
              <w:rPr>
                <w:rFonts w:eastAsia="仿宋_GB2312"/>
                <w:sz w:val="24"/>
              </w:rPr>
            </w:pPr>
            <w:r>
              <w:rPr>
                <w:sz w:val="24"/>
              </w:rPr>
              <w:drawing>
                <wp:inline distT="0" distB="0" distL="0" distR="0">
                  <wp:extent cx="1320165" cy="3898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320165" cy="389890"/>
                          </a:xfrm>
                          <a:prstGeom prst="rect">
                            <a:avLst/>
                          </a:prstGeom>
                          <a:noFill/>
                          <a:ln>
                            <a:noFill/>
                          </a:ln>
                        </pic:spPr>
                      </pic:pic>
                    </a:graphicData>
                  </a:graphic>
                </wp:inline>
              </w:drawing>
            </w:r>
            <w:r>
              <w:rPr>
                <w:rFonts w:eastAsia="仿宋_GB2312"/>
                <w:sz w:val="24"/>
              </w:rPr>
              <w:t xml:space="preserve"> </w:t>
            </w:r>
          </w:p>
          <w:p w14:paraId="16EBD24F">
            <w:pPr>
              <w:pStyle w:val="8"/>
              <w:spacing w:line="360" w:lineRule="auto"/>
              <w:ind w:firstLine="480"/>
              <w:rPr>
                <w:kern w:val="0"/>
                <w:sz w:val="24"/>
                <w:szCs w:val="24"/>
              </w:rPr>
            </w:pPr>
            <w:r>
              <w:rPr>
                <w:kern w:val="0"/>
                <w:sz w:val="24"/>
                <w:szCs w:val="24"/>
              </w:rPr>
              <w:t>式中：q</w:t>
            </w:r>
            <w:r>
              <w:rPr>
                <w:kern w:val="0"/>
                <w:sz w:val="24"/>
                <w:szCs w:val="24"/>
                <w:vertAlign w:val="subscript"/>
              </w:rPr>
              <w:t>1</w:t>
            </w:r>
            <w:r>
              <w:rPr>
                <w:kern w:val="0"/>
                <w:sz w:val="24"/>
                <w:szCs w:val="24"/>
              </w:rPr>
              <w:t>、q</w:t>
            </w:r>
            <w:r>
              <w:rPr>
                <w:kern w:val="0"/>
                <w:sz w:val="24"/>
                <w:szCs w:val="24"/>
                <w:vertAlign w:val="subscript"/>
              </w:rPr>
              <w:t>2</w:t>
            </w:r>
            <w:r>
              <w:rPr>
                <w:kern w:val="0"/>
                <w:sz w:val="24"/>
                <w:szCs w:val="24"/>
              </w:rPr>
              <w:t>、…q</w:t>
            </w:r>
            <w:r>
              <w:rPr>
                <w:kern w:val="0"/>
                <w:sz w:val="24"/>
                <w:szCs w:val="24"/>
                <w:vertAlign w:val="subscript"/>
              </w:rPr>
              <w:t>n</w:t>
            </w:r>
            <w:r>
              <w:rPr>
                <w:kern w:val="0"/>
                <w:sz w:val="24"/>
                <w:szCs w:val="24"/>
              </w:rPr>
              <w:t>——每种风险物质的存在总量，t；</w:t>
            </w:r>
          </w:p>
          <w:p w14:paraId="13C59F7E">
            <w:pPr>
              <w:pStyle w:val="8"/>
              <w:spacing w:line="360" w:lineRule="auto"/>
              <w:ind w:firstLine="1200" w:firstLineChars="500"/>
              <w:rPr>
                <w:kern w:val="0"/>
                <w:sz w:val="24"/>
                <w:szCs w:val="24"/>
              </w:rPr>
            </w:pPr>
            <w:r>
              <w:rPr>
                <w:kern w:val="0"/>
                <w:sz w:val="24"/>
                <w:szCs w:val="24"/>
              </w:rPr>
              <w:t>Q</w:t>
            </w:r>
            <w:r>
              <w:rPr>
                <w:kern w:val="0"/>
                <w:sz w:val="24"/>
                <w:szCs w:val="24"/>
                <w:vertAlign w:val="subscript"/>
              </w:rPr>
              <w:t>1</w:t>
            </w:r>
            <w:r>
              <w:rPr>
                <w:kern w:val="0"/>
                <w:sz w:val="24"/>
                <w:szCs w:val="24"/>
              </w:rPr>
              <w:t>、Q</w:t>
            </w:r>
            <w:r>
              <w:rPr>
                <w:kern w:val="0"/>
                <w:sz w:val="24"/>
                <w:szCs w:val="24"/>
                <w:vertAlign w:val="subscript"/>
              </w:rPr>
              <w:t>2</w:t>
            </w:r>
            <w:r>
              <w:rPr>
                <w:kern w:val="0"/>
                <w:sz w:val="24"/>
                <w:szCs w:val="24"/>
              </w:rPr>
              <w:t>、…Q</w:t>
            </w:r>
            <w:r>
              <w:rPr>
                <w:kern w:val="0"/>
                <w:sz w:val="24"/>
                <w:szCs w:val="24"/>
                <w:vertAlign w:val="subscript"/>
              </w:rPr>
              <w:t>n</w:t>
            </w:r>
            <w:r>
              <w:rPr>
                <w:kern w:val="0"/>
                <w:sz w:val="24"/>
                <w:szCs w:val="24"/>
              </w:rPr>
              <w:t>——每种风险物质的临界量，t。</w:t>
            </w:r>
          </w:p>
          <w:p w14:paraId="7BC533F8">
            <w:pPr>
              <w:pStyle w:val="8"/>
              <w:spacing w:line="360" w:lineRule="auto"/>
              <w:ind w:firstLine="240" w:firstLineChars="100"/>
              <w:rPr>
                <w:kern w:val="0"/>
                <w:sz w:val="24"/>
                <w:szCs w:val="24"/>
              </w:rPr>
            </w:pPr>
            <w:r>
              <w:rPr>
                <w:kern w:val="0"/>
                <w:sz w:val="24"/>
                <w:szCs w:val="24"/>
              </w:rPr>
              <w:t>当Q＜1时，该项目环境风险潜势为Ⅰ。</w:t>
            </w:r>
          </w:p>
          <w:p w14:paraId="2DB10F77">
            <w:pPr>
              <w:pStyle w:val="8"/>
              <w:spacing w:line="360" w:lineRule="auto"/>
              <w:ind w:firstLine="240" w:firstLineChars="100"/>
              <w:rPr>
                <w:kern w:val="0"/>
                <w:sz w:val="24"/>
                <w:szCs w:val="24"/>
              </w:rPr>
            </w:pPr>
            <w:r>
              <w:rPr>
                <w:kern w:val="0"/>
                <w:sz w:val="24"/>
                <w:szCs w:val="24"/>
              </w:rPr>
              <w:t>当 Q≥1 时，将Q值划分为：（1）1≤Q＜10；（2）10≤Q＜100；（3）Q≥100。 项目风险物质与临界量比值Q见</w:t>
            </w:r>
            <w:r>
              <w:rPr>
                <w:rFonts w:hint="eastAsia"/>
                <w:kern w:val="0"/>
                <w:sz w:val="24"/>
                <w:szCs w:val="24"/>
              </w:rPr>
              <w:t>下</w:t>
            </w:r>
            <w:r>
              <w:rPr>
                <w:kern w:val="0"/>
                <w:sz w:val="24"/>
                <w:szCs w:val="24"/>
              </w:rPr>
              <w:t>表。</w:t>
            </w:r>
          </w:p>
          <w:p w14:paraId="5E41E331">
            <w:pPr>
              <w:pStyle w:val="8"/>
              <w:snapToGrid w:val="0"/>
              <w:spacing w:before="156" w:beforeLines="50"/>
              <w:ind w:firstLine="0" w:firstLineChars="0"/>
              <w:jc w:val="center"/>
              <w:rPr>
                <w:b/>
                <w:bCs/>
                <w:kern w:val="0"/>
                <w:sz w:val="24"/>
                <w:szCs w:val="24"/>
              </w:rPr>
            </w:pPr>
            <w:r>
              <w:rPr>
                <w:b/>
                <w:bCs/>
              </w:rPr>
              <w:t>表4-25     环境风险物质数量、临界量及其比值(Q)</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913"/>
              <w:gridCol w:w="1358"/>
              <w:gridCol w:w="1358"/>
              <w:gridCol w:w="1358"/>
              <w:gridCol w:w="1358"/>
            </w:tblGrid>
            <w:tr w14:paraId="6E22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7570D3A">
                  <w:pPr>
                    <w:pStyle w:val="8"/>
                    <w:ind w:firstLine="0" w:firstLineChars="0"/>
                    <w:jc w:val="center"/>
                    <w:rPr>
                      <w:kern w:val="0"/>
                      <w:szCs w:val="21"/>
                    </w:rPr>
                  </w:pPr>
                  <w:r>
                    <w:rPr>
                      <w:rFonts w:hint="eastAsia"/>
                      <w:kern w:val="0"/>
                      <w:szCs w:val="21"/>
                    </w:rPr>
                    <w:t>序号</w:t>
                  </w:r>
                </w:p>
              </w:tc>
              <w:tc>
                <w:tcPr>
                  <w:tcW w:w="1913" w:type="dxa"/>
                  <w:vAlign w:val="center"/>
                </w:tcPr>
                <w:p w14:paraId="45CD555C">
                  <w:pPr>
                    <w:pStyle w:val="8"/>
                    <w:ind w:firstLine="0" w:firstLineChars="0"/>
                    <w:jc w:val="center"/>
                    <w:rPr>
                      <w:kern w:val="0"/>
                      <w:szCs w:val="21"/>
                    </w:rPr>
                  </w:pPr>
                  <w:r>
                    <w:rPr>
                      <w:rFonts w:hint="eastAsia"/>
                      <w:kern w:val="0"/>
                      <w:szCs w:val="21"/>
                    </w:rPr>
                    <w:t>物质名称</w:t>
                  </w:r>
                </w:p>
              </w:tc>
              <w:tc>
                <w:tcPr>
                  <w:tcW w:w="1358" w:type="dxa"/>
                  <w:vAlign w:val="center"/>
                </w:tcPr>
                <w:p w14:paraId="292708F6">
                  <w:pPr>
                    <w:pStyle w:val="8"/>
                    <w:ind w:firstLine="0" w:firstLineChars="0"/>
                    <w:jc w:val="center"/>
                    <w:rPr>
                      <w:kern w:val="0"/>
                      <w:szCs w:val="21"/>
                    </w:rPr>
                  </w:pPr>
                  <w:r>
                    <w:rPr>
                      <w:rFonts w:hint="eastAsia"/>
                      <w:kern w:val="0"/>
                      <w:szCs w:val="21"/>
                    </w:rPr>
                    <w:t>最大储存量（t）</w:t>
                  </w:r>
                </w:p>
              </w:tc>
              <w:tc>
                <w:tcPr>
                  <w:tcW w:w="1358" w:type="dxa"/>
                  <w:vAlign w:val="center"/>
                </w:tcPr>
                <w:p w14:paraId="09D851EC">
                  <w:pPr>
                    <w:pStyle w:val="8"/>
                    <w:ind w:firstLine="0" w:firstLineChars="0"/>
                    <w:jc w:val="center"/>
                    <w:rPr>
                      <w:kern w:val="0"/>
                      <w:szCs w:val="21"/>
                    </w:rPr>
                  </w:pPr>
                  <w:r>
                    <w:rPr>
                      <w:rFonts w:hint="eastAsia"/>
                      <w:kern w:val="0"/>
                      <w:szCs w:val="21"/>
                    </w:rPr>
                    <w:t>临界量</w:t>
                  </w:r>
                </w:p>
                <w:p w14:paraId="09A54E0E">
                  <w:pPr>
                    <w:pStyle w:val="8"/>
                    <w:ind w:firstLine="0" w:firstLineChars="0"/>
                    <w:jc w:val="center"/>
                    <w:rPr>
                      <w:kern w:val="0"/>
                      <w:szCs w:val="21"/>
                    </w:rPr>
                  </w:pPr>
                  <w:r>
                    <w:rPr>
                      <w:rFonts w:hint="eastAsia"/>
                      <w:kern w:val="0"/>
                      <w:szCs w:val="21"/>
                    </w:rPr>
                    <w:t>（t）</w:t>
                  </w:r>
                </w:p>
              </w:tc>
              <w:tc>
                <w:tcPr>
                  <w:tcW w:w="1358" w:type="dxa"/>
                  <w:vAlign w:val="center"/>
                </w:tcPr>
                <w:p w14:paraId="13EEB3B1">
                  <w:pPr>
                    <w:pStyle w:val="8"/>
                    <w:ind w:firstLine="0" w:firstLineChars="0"/>
                    <w:jc w:val="center"/>
                    <w:rPr>
                      <w:kern w:val="0"/>
                      <w:szCs w:val="21"/>
                    </w:rPr>
                  </w:pPr>
                  <w:r>
                    <w:rPr>
                      <w:rFonts w:hint="eastAsia"/>
                      <w:kern w:val="0"/>
                      <w:szCs w:val="21"/>
                    </w:rPr>
                    <w:t>Q值</w:t>
                  </w:r>
                </w:p>
              </w:tc>
              <w:tc>
                <w:tcPr>
                  <w:tcW w:w="1358" w:type="dxa"/>
                  <w:vAlign w:val="center"/>
                </w:tcPr>
                <w:p w14:paraId="76387F54">
                  <w:pPr>
                    <w:pStyle w:val="8"/>
                    <w:ind w:firstLine="0" w:firstLineChars="0"/>
                    <w:jc w:val="center"/>
                    <w:rPr>
                      <w:kern w:val="0"/>
                      <w:szCs w:val="21"/>
                    </w:rPr>
                  </w:pPr>
                  <w:r>
                    <w:rPr>
                      <w:rFonts w:hint="eastAsia"/>
                      <w:kern w:val="0"/>
                      <w:szCs w:val="21"/>
                    </w:rPr>
                    <w:t>备注</w:t>
                  </w:r>
                </w:p>
              </w:tc>
            </w:tr>
            <w:tr w14:paraId="742B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18342076">
                  <w:pPr>
                    <w:pStyle w:val="8"/>
                    <w:ind w:firstLine="0" w:firstLineChars="0"/>
                    <w:jc w:val="center"/>
                    <w:rPr>
                      <w:kern w:val="0"/>
                      <w:szCs w:val="21"/>
                    </w:rPr>
                  </w:pPr>
                  <w:r>
                    <w:rPr>
                      <w:rFonts w:hint="eastAsia"/>
                      <w:kern w:val="0"/>
                      <w:szCs w:val="21"/>
                    </w:rPr>
                    <w:t>1</w:t>
                  </w:r>
                </w:p>
              </w:tc>
              <w:tc>
                <w:tcPr>
                  <w:tcW w:w="1913" w:type="dxa"/>
                  <w:vAlign w:val="center"/>
                </w:tcPr>
                <w:p w14:paraId="7A5414F3">
                  <w:pPr>
                    <w:pStyle w:val="8"/>
                    <w:ind w:firstLine="0" w:firstLineChars="0"/>
                    <w:jc w:val="center"/>
                    <w:rPr>
                      <w:kern w:val="0"/>
                      <w:szCs w:val="21"/>
                    </w:rPr>
                  </w:pPr>
                  <w:r>
                    <w:t>生物油脂</w:t>
                  </w:r>
                </w:p>
              </w:tc>
              <w:tc>
                <w:tcPr>
                  <w:tcW w:w="1358" w:type="dxa"/>
                  <w:vAlign w:val="center"/>
                </w:tcPr>
                <w:p w14:paraId="2DE74026">
                  <w:pPr>
                    <w:pStyle w:val="8"/>
                    <w:ind w:firstLine="0" w:firstLineChars="0"/>
                    <w:jc w:val="center"/>
                    <w:rPr>
                      <w:kern w:val="0"/>
                      <w:szCs w:val="21"/>
                    </w:rPr>
                  </w:pPr>
                  <w:r>
                    <w:rPr>
                      <w:rFonts w:hint="eastAsia"/>
                      <w:kern w:val="0"/>
                      <w:szCs w:val="21"/>
                    </w:rPr>
                    <w:t>1</w:t>
                  </w:r>
                  <w:r>
                    <w:rPr>
                      <w:kern w:val="0"/>
                      <w:szCs w:val="21"/>
                    </w:rPr>
                    <w:t>5</w:t>
                  </w:r>
                </w:p>
              </w:tc>
              <w:tc>
                <w:tcPr>
                  <w:tcW w:w="1358" w:type="dxa"/>
                  <w:vAlign w:val="center"/>
                </w:tcPr>
                <w:p w14:paraId="413982C2">
                  <w:pPr>
                    <w:pStyle w:val="8"/>
                    <w:ind w:firstLine="0" w:firstLineChars="0"/>
                    <w:jc w:val="center"/>
                    <w:rPr>
                      <w:kern w:val="0"/>
                      <w:szCs w:val="21"/>
                    </w:rPr>
                  </w:pPr>
                  <w:r>
                    <w:rPr>
                      <w:kern w:val="0"/>
                      <w:szCs w:val="21"/>
                    </w:rPr>
                    <w:t>2500</w:t>
                  </w:r>
                </w:p>
              </w:tc>
              <w:tc>
                <w:tcPr>
                  <w:tcW w:w="1358" w:type="dxa"/>
                  <w:vAlign w:val="center"/>
                </w:tcPr>
                <w:p w14:paraId="0C897F8F">
                  <w:pPr>
                    <w:pStyle w:val="8"/>
                    <w:ind w:firstLine="0" w:firstLineChars="0"/>
                    <w:jc w:val="center"/>
                    <w:rPr>
                      <w:kern w:val="0"/>
                      <w:szCs w:val="21"/>
                    </w:rPr>
                  </w:pPr>
                  <w:r>
                    <w:rPr>
                      <w:rFonts w:hint="eastAsia"/>
                      <w:kern w:val="0"/>
                      <w:szCs w:val="21"/>
                    </w:rPr>
                    <w:t>0</w:t>
                  </w:r>
                  <w:r>
                    <w:rPr>
                      <w:kern w:val="0"/>
                      <w:szCs w:val="21"/>
                    </w:rPr>
                    <w:t>.0060</w:t>
                  </w:r>
                </w:p>
              </w:tc>
              <w:tc>
                <w:tcPr>
                  <w:tcW w:w="1358" w:type="dxa"/>
                  <w:vAlign w:val="center"/>
                </w:tcPr>
                <w:p w14:paraId="6FB4A52A">
                  <w:pPr>
                    <w:pStyle w:val="8"/>
                    <w:ind w:firstLine="0" w:firstLineChars="0"/>
                    <w:jc w:val="center"/>
                    <w:rPr>
                      <w:kern w:val="0"/>
                      <w:szCs w:val="21"/>
                    </w:rPr>
                  </w:pPr>
                  <w:r>
                    <w:rPr>
                      <w:rFonts w:hint="eastAsia"/>
                      <w:kern w:val="0"/>
                      <w:szCs w:val="21"/>
                    </w:rPr>
                    <w:t>油脂箱</w:t>
                  </w:r>
                </w:p>
              </w:tc>
            </w:tr>
            <w:tr w14:paraId="1D8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7CC23523">
                  <w:pPr>
                    <w:pStyle w:val="8"/>
                    <w:ind w:firstLine="0" w:firstLineChars="0"/>
                    <w:jc w:val="center"/>
                    <w:rPr>
                      <w:kern w:val="0"/>
                      <w:szCs w:val="21"/>
                    </w:rPr>
                  </w:pPr>
                  <w:r>
                    <w:rPr>
                      <w:rFonts w:hint="eastAsia"/>
                      <w:kern w:val="0"/>
                      <w:szCs w:val="21"/>
                    </w:rPr>
                    <w:t>2</w:t>
                  </w:r>
                </w:p>
              </w:tc>
              <w:tc>
                <w:tcPr>
                  <w:tcW w:w="1913" w:type="dxa"/>
                  <w:vAlign w:val="center"/>
                </w:tcPr>
                <w:p w14:paraId="25669999">
                  <w:pPr>
                    <w:pStyle w:val="8"/>
                    <w:ind w:firstLine="0" w:firstLineChars="0"/>
                    <w:jc w:val="center"/>
                    <w:rPr>
                      <w:kern w:val="0"/>
                      <w:szCs w:val="21"/>
                    </w:rPr>
                  </w:pPr>
                  <w:r>
                    <w:t>废机油</w:t>
                  </w:r>
                </w:p>
              </w:tc>
              <w:tc>
                <w:tcPr>
                  <w:tcW w:w="1358" w:type="dxa"/>
                  <w:vAlign w:val="center"/>
                </w:tcPr>
                <w:p w14:paraId="47A4AB40">
                  <w:pPr>
                    <w:pStyle w:val="8"/>
                    <w:ind w:firstLine="0" w:firstLineChars="0"/>
                    <w:jc w:val="center"/>
                    <w:rPr>
                      <w:kern w:val="0"/>
                      <w:szCs w:val="21"/>
                    </w:rPr>
                  </w:pPr>
                  <w:r>
                    <w:rPr>
                      <w:rFonts w:hint="eastAsia"/>
                      <w:kern w:val="0"/>
                      <w:szCs w:val="21"/>
                    </w:rPr>
                    <w:t>0</w:t>
                  </w:r>
                  <w:r>
                    <w:rPr>
                      <w:kern w:val="0"/>
                      <w:szCs w:val="21"/>
                    </w:rPr>
                    <w:t>.15</w:t>
                  </w:r>
                </w:p>
              </w:tc>
              <w:tc>
                <w:tcPr>
                  <w:tcW w:w="1358" w:type="dxa"/>
                  <w:vAlign w:val="center"/>
                </w:tcPr>
                <w:p w14:paraId="5A0B980F">
                  <w:pPr>
                    <w:pStyle w:val="8"/>
                    <w:ind w:firstLine="0" w:firstLineChars="0"/>
                    <w:jc w:val="center"/>
                    <w:rPr>
                      <w:kern w:val="0"/>
                      <w:szCs w:val="21"/>
                    </w:rPr>
                  </w:pPr>
                  <w:r>
                    <w:rPr>
                      <w:rFonts w:hint="eastAsia"/>
                      <w:kern w:val="0"/>
                      <w:szCs w:val="21"/>
                    </w:rPr>
                    <w:t>2</w:t>
                  </w:r>
                  <w:r>
                    <w:rPr>
                      <w:kern w:val="0"/>
                      <w:szCs w:val="21"/>
                    </w:rPr>
                    <w:t>500</w:t>
                  </w:r>
                </w:p>
              </w:tc>
              <w:tc>
                <w:tcPr>
                  <w:tcW w:w="1358" w:type="dxa"/>
                  <w:vAlign w:val="center"/>
                </w:tcPr>
                <w:p w14:paraId="37BE93BE">
                  <w:pPr>
                    <w:pStyle w:val="8"/>
                    <w:ind w:firstLine="0" w:firstLineChars="0"/>
                    <w:jc w:val="center"/>
                    <w:rPr>
                      <w:kern w:val="0"/>
                      <w:szCs w:val="21"/>
                    </w:rPr>
                  </w:pPr>
                  <w:r>
                    <w:rPr>
                      <w:rFonts w:hint="eastAsia"/>
                      <w:kern w:val="0"/>
                      <w:szCs w:val="21"/>
                    </w:rPr>
                    <w:t>0</w:t>
                  </w:r>
                  <w:r>
                    <w:rPr>
                      <w:kern w:val="0"/>
                      <w:szCs w:val="21"/>
                    </w:rPr>
                    <w:t>.00006</w:t>
                  </w:r>
                </w:p>
              </w:tc>
              <w:tc>
                <w:tcPr>
                  <w:tcW w:w="1358" w:type="dxa"/>
                  <w:vAlign w:val="center"/>
                </w:tcPr>
                <w:p w14:paraId="20DF5BE9">
                  <w:pPr>
                    <w:pStyle w:val="8"/>
                    <w:ind w:firstLine="0" w:firstLineChars="0"/>
                    <w:jc w:val="center"/>
                    <w:rPr>
                      <w:kern w:val="0"/>
                      <w:szCs w:val="21"/>
                    </w:rPr>
                  </w:pPr>
                  <w:r>
                    <w:rPr>
                      <w:rFonts w:hint="eastAsia"/>
                      <w:kern w:val="0"/>
                      <w:szCs w:val="21"/>
                    </w:rPr>
                    <w:t>危废间</w:t>
                  </w:r>
                </w:p>
              </w:tc>
            </w:tr>
            <w:tr w14:paraId="7E5B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C4090A5">
                  <w:pPr>
                    <w:pStyle w:val="8"/>
                    <w:ind w:firstLine="0" w:firstLineChars="0"/>
                    <w:jc w:val="center"/>
                    <w:rPr>
                      <w:kern w:val="0"/>
                      <w:szCs w:val="21"/>
                    </w:rPr>
                  </w:pPr>
                  <w:r>
                    <w:rPr>
                      <w:rFonts w:hint="eastAsia"/>
                      <w:kern w:val="0"/>
                      <w:szCs w:val="21"/>
                    </w:rPr>
                    <w:t>3</w:t>
                  </w:r>
                </w:p>
              </w:tc>
              <w:tc>
                <w:tcPr>
                  <w:tcW w:w="1913" w:type="dxa"/>
                  <w:vAlign w:val="center"/>
                </w:tcPr>
                <w:p w14:paraId="3F5F82B4">
                  <w:pPr>
                    <w:pStyle w:val="8"/>
                    <w:ind w:firstLine="0" w:firstLineChars="0"/>
                    <w:jc w:val="center"/>
                    <w:rPr>
                      <w:kern w:val="0"/>
                      <w:szCs w:val="21"/>
                    </w:rPr>
                  </w:pPr>
                  <w:r>
                    <w:t>次氯酸钠</w:t>
                  </w:r>
                </w:p>
              </w:tc>
              <w:tc>
                <w:tcPr>
                  <w:tcW w:w="1358" w:type="dxa"/>
                  <w:vAlign w:val="center"/>
                </w:tcPr>
                <w:p w14:paraId="358525FA">
                  <w:pPr>
                    <w:pStyle w:val="8"/>
                    <w:ind w:firstLine="0" w:firstLineChars="0"/>
                    <w:jc w:val="center"/>
                    <w:rPr>
                      <w:kern w:val="0"/>
                      <w:szCs w:val="21"/>
                    </w:rPr>
                  </w:pPr>
                  <w:r>
                    <w:rPr>
                      <w:rFonts w:hint="eastAsia"/>
                      <w:kern w:val="0"/>
                      <w:szCs w:val="21"/>
                    </w:rPr>
                    <w:t>0</w:t>
                  </w:r>
                  <w:r>
                    <w:rPr>
                      <w:kern w:val="0"/>
                      <w:szCs w:val="21"/>
                    </w:rPr>
                    <w:t>.1</w:t>
                  </w:r>
                </w:p>
              </w:tc>
              <w:tc>
                <w:tcPr>
                  <w:tcW w:w="1358" w:type="dxa"/>
                  <w:vAlign w:val="center"/>
                </w:tcPr>
                <w:p w14:paraId="29930B25">
                  <w:pPr>
                    <w:pStyle w:val="8"/>
                    <w:ind w:firstLine="0" w:firstLineChars="0"/>
                    <w:jc w:val="center"/>
                    <w:rPr>
                      <w:kern w:val="0"/>
                      <w:szCs w:val="21"/>
                    </w:rPr>
                  </w:pPr>
                  <w:r>
                    <w:rPr>
                      <w:rFonts w:hint="eastAsia"/>
                      <w:kern w:val="0"/>
                      <w:szCs w:val="21"/>
                    </w:rPr>
                    <w:t>5</w:t>
                  </w:r>
                </w:p>
              </w:tc>
              <w:tc>
                <w:tcPr>
                  <w:tcW w:w="1358" w:type="dxa"/>
                  <w:vAlign w:val="center"/>
                </w:tcPr>
                <w:p w14:paraId="27DA51B2">
                  <w:pPr>
                    <w:pStyle w:val="8"/>
                    <w:ind w:firstLine="0" w:firstLineChars="0"/>
                    <w:jc w:val="center"/>
                    <w:rPr>
                      <w:kern w:val="0"/>
                      <w:szCs w:val="21"/>
                    </w:rPr>
                  </w:pPr>
                  <w:r>
                    <w:rPr>
                      <w:rFonts w:hint="eastAsia"/>
                      <w:kern w:val="0"/>
                      <w:szCs w:val="21"/>
                    </w:rPr>
                    <w:t>0</w:t>
                  </w:r>
                  <w:r>
                    <w:rPr>
                      <w:kern w:val="0"/>
                      <w:szCs w:val="21"/>
                    </w:rPr>
                    <w:t>.0200</w:t>
                  </w:r>
                </w:p>
              </w:tc>
              <w:tc>
                <w:tcPr>
                  <w:tcW w:w="1358" w:type="dxa"/>
                  <w:vAlign w:val="center"/>
                </w:tcPr>
                <w:p w14:paraId="6EA91FEF">
                  <w:pPr>
                    <w:pStyle w:val="8"/>
                    <w:ind w:firstLine="0" w:firstLineChars="0"/>
                    <w:jc w:val="center"/>
                    <w:rPr>
                      <w:kern w:val="0"/>
                      <w:szCs w:val="21"/>
                    </w:rPr>
                  </w:pPr>
                  <w:r>
                    <w:rPr>
                      <w:rFonts w:hint="eastAsia"/>
                      <w:kern w:val="0"/>
                      <w:szCs w:val="21"/>
                    </w:rPr>
                    <w:t>库房</w:t>
                  </w:r>
                </w:p>
              </w:tc>
            </w:tr>
            <w:tr w14:paraId="570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1" w:type="dxa"/>
                  <w:gridSpan w:val="4"/>
                  <w:vAlign w:val="center"/>
                </w:tcPr>
                <w:p w14:paraId="0979E973">
                  <w:pPr>
                    <w:pStyle w:val="8"/>
                    <w:ind w:firstLine="0" w:firstLineChars="0"/>
                    <w:jc w:val="center"/>
                    <w:rPr>
                      <w:kern w:val="0"/>
                      <w:szCs w:val="21"/>
                    </w:rPr>
                  </w:pPr>
                  <w:r>
                    <w:t>∑Q</w:t>
                  </w:r>
                </w:p>
              </w:tc>
              <w:tc>
                <w:tcPr>
                  <w:tcW w:w="1358" w:type="dxa"/>
                  <w:vAlign w:val="center"/>
                </w:tcPr>
                <w:p w14:paraId="3D5BC96A">
                  <w:pPr>
                    <w:pStyle w:val="8"/>
                    <w:ind w:firstLine="0" w:firstLineChars="0"/>
                    <w:jc w:val="center"/>
                    <w:rPr>
                      <w:kern w:val="0"/>
                      <w:szCs w:val="21"/>
                    </w:rPr>
                  </w:pPr>
                  <w:r>
                    <w:rPr>
                      <w:rFonts w:hint="eastAsia"/>
                      <w:kern w:val="0"/>
                      <w:szCs w:val="21"/>
                    </w:rPr>
                    <w:t>0</w:t>
                  </w:r>
                  <w:r>
                    <w:rPr>
                      <w:kern w:val="0"/>
                      <w:szCs w:val="21"/>
                    </w:rPr>
                    <w:t>.02606</w:t>
                  </w:r>
                </w:p>
              </w:tc>
              <w:tc>
                <w:tcPr>
                  <w:tcW w:w="1358" w:type="dxa"/>
                  <w:vAlign w:val="center"/>
                </w:tcPr>
                <w:p w14:paraId="7EDEDFEE">
                  <w:pPr>
                    <w:pStyle w:val="8"/>
                    <w:ind w:firstLine="0" w:firstLineChars="0"/>
                    <w:jc w:val="center"/>
                    <w:rPr>
                      <w:kern w:val="0"/>
                      <w:szCs w:val="21"/>
                    </w:rPr>
                  </w:pPr>
                </w:p>
              </w:tc>
            </w:tr>
          </w:tbl>
          <w:p w14:paraId="45AAC356">
            <w:pPr>
              <w:pStyle w:val="8"/>
              <w:snapToGrid w:val="0"/>
              <w:ind w:firstLine="210" w:firstLineChars="100"/>
              <w:rPr>
                <w:kern w:val="0"/>
                <w:szCs w:val="21"/>
              </w:rPr>
            </w:pPr>
          </w:p>
          <w:p w14:paraId="2B6703A6">
            <w:pPr>
              <w:pStyle w:val="8"/>
              <w:spacing w:line="360" w:lineRule="auto"/>
              <w:ind w:firstLine="240" w:firstLineChars="100"/>
              <w:rPr>
                <w:kern w:val="0"/>
                <w:sz w:val="24"/>
                <w:szCs w:val="24"/>
              </w:rPr>
            </w:pPr>
            <w:r>
              <w:rPr>
                <w:kern w:val="0"/>
                <w:sz w:val="24"/>
                <w:szCs w:val="24"/>
              </w:rPr>
              <w:t>本项目风险物质数量与临界量比值Q =0.02606&lt;1，则本项目环境风险潜势为Ⅰ</w:t>
            </w:r>
            <w:r>
              <w:rPr>
                <w:rFonts w:hint="eastAsia"/>
                <w:kern w:val="0"/>
                <w:sz w:val="24"/>
                <w:szCs w:val="24"/>
              </w:rPr>
              <w:t>；</w:t>
            </w:r>
            <w:r>
              <w:rPr>
                <w:kern w:val="0"/>
                <w:sz w:val="24"/>
                <w:szCs w:val="24"/>
              </w:rPr>
              <w:t>不属于重大危险源</w:t>
            </w:r>
            <w:r>
              <w:rPr>
                <w:rFonts w:hint="eastAsia"/>
                <w:kern w:val="0"/>
                <w:sz w:val="24"/>
                <w:szCs w:val="24"/>
              </w:rPr>
              <w:t>。</w:t>
            </w:r>
          </w:p>
          <w:p w14:paraId="56C82B98">
            <w:pPr>
              <w:pStyle w:val="8"/>
              <w:spacing w:line="360" w:lineRule="auto"/>
              <w:ind w:firstLine="240" w:firstLineChars="100"/>
              <w:rPr>
                <w:kern w:val="0"/>
                <w:sz w:val="24"/>
                <w:szCs w:val="24"/>
              </w:rPr>
            </w:pPr>
            <w:r>
              <w:rPr>
                <w:kern w:val="0"/>
                <w:sz w:val="24"/>
                <w:szCs w:val="24"/>
              </w:rPr>
              <w:t>（3）环境风险识别</w:t>
            </w:r>
          </w:p>
          <w:p w14:paraId="3AB81719">
            <w:pPr>
              <w:pStyle w:val="8"/>
              <w:spacing w:line="360" w:lineRule="auto"/>
              <w:ind w:firstLine="240" w:firstLineChars="100"/>
              <w:rPr>
                <w:kern w:val="0"/>
                <w:sz w:val="24"/>
                <w:szCs w:val="24"/>
              </w:rPr>
            </w:pPr>
            <w:r>
              <w:rPr>
                <w:rFonts w:hint="eastAsia"/>
                <w:kern w:val="0"/>
                <w:sz w:val="24"/>
                <w:szCs w:val="24"/>
              </w:rPr>
              <w:t>①</w:t>
            </w:r>
            <w:r>
              <w:rPr>
                <w:kern w:val="0"/>
                <w:sz w:val="24"/>
                <w:szCs w:val="24"/>
              </w:rPr>
              <w:t>物质危险性识别</w:t>
            </w:r>
          </w:p>
          <w:p w14:paraId="778F5D94">
            <w:pPr>
              <w:pStyle w:val="8"/>
              <w:spacing w:line="360" w:lineRule="auto"/>
              <w:ind w:firstLine="240" w:firstLineChars="100"/>
              <w:rPr>
                <w:kern w:val="0"/>
                <w:sz w:val="24"/>
                <w:szCs w:val="24"/>
              </w:rPr>
            </w:pPr>
            <w:r>
              <w:rPr>
                <w:kern w:val="0"/>
                <w:sz w:val="24"/>
                <w:szCs w:val="24"/>
              </w:rPr>
              <w:t>对照《建设项目环境分项评价技术导则》（HJ/T169-2018）附录B中危险物质中所列危险化学品，根据本项目生产过程中的原辅物料、中间产品、最终产品等按物质危险性、毒理指标和毒性等级分析，并考虑其燃烧爆炸性。项目主要的危险物质为生物油脂、废机油、次氯酸钠。</w:t>
            </w:r>
          </w:p>
          <w:p w14:paraId="4CBC6624">
            <w:pPr>
              <w:pStyle w:val="8"/>
              <w:spacing w:line="360" w:lineRule="auto"/>
              <w:ind w:firstLine="240" w:firstLineChars="100"/>
              <w:rPr>
                <w:kern w:val="0"/>
                <w:sz w:val="24"/>
                <w:szCs w:val="24"/>
              </w:rPr>
            </w:pPr>
            <w:r>
              <w:rPr>
                <w:rFonts w:hint="eastAsia"/>
                <w:kern w:val="0"/>
                <w:sz w:val="24"/>
                <w:szCs w:val="24"/>
              </w:rPr>
              <w:t>②</w:t>
            </w:r>
            <w:r>
              <w:rPr>
                <w:kern w:val="0"/>
                <w:sz w:val="24"/>
                <w:szCs w:val="24"/>
              </w:rPr>
              <w:t>生产系统危险性识别</w:t>
            </w:r>
          </w:p>
          <w:p w14:paraId="6F5EC5E6">
            <w:pPr>
              <w:pStyle w:val="8"/>
              <w:spacing w:line="360" w:lineRule="auto"/>
              <w:ind w:firstLine="240" w:firstLineChars="100"/>
              <w:rPr>
                <w:kern w:val="0"/>
                <w:sz w:val="24"/>
                <w:szCs w:val="24"/>
              </w:rPr>
            </w:pPr>
            <w:r>
              <w:rPr>
                <w:kern w:val="0"/>
                <w:sz w:val="24"/>
                <w:szCs w:val="24"/>
              </w:rPr>
              <w:t>生产过程中存在事故风险的主要有废气处理系统、废水处理系统、储油罐、 锅炉房、仓库。</w:t>
            </w:r>
          </w:p>
          <w:p w14:paraId="62A1526E">
            <w:pPr>
              <w:pStyle w:val="8"/>
              <w:spacing w:line="360" w:lineRule="auto"/>
              <w:ind w:firstLine="240" w:firstLineChars="100"/>
              <w:rPr>
                <w:kern w:val="0"/>
                <w:sz w:val="24"/>
                <w:szCs w:val="24"/>
              </w:rPr>
            </w:pPr>
            <w:r>
              <w:rPr>
                <w:rFonts w:hint="eastAsia"/>
                <w:kern w:val="0"/>
                <w:sz w:val="24"/>
                <w:szCs w:val="24"/>
              </w:rPr>
              <w:t>（4）</w:t>
            </w:r>
            <w:r>
              <w:rPr>
                <w:kern w:val="0"/>
                <w:sz w:val="24"/>
                <w:szCs w:val="24"/>
              </w:rPr>
              <w:t>环境风险分析</w:t>
            </w:r>
          </w:p>
          <w:p w14:paraId="3E04393A">
            <w:pPr>
              <w:pStyle w:val="8"/>
              <w:spacing w:line="360" w:lineRule="auto"/>
              <w:ind w:firstLine="240" w:firstLineChars="100"/>
              <w:rPr>
                <w:kern w:val="0"/>
                <w:sz w:val="24"/>
                <w:szCs w:val="24"/>
              </w:rPr>
            </w:pPr>
            <w:r>
              <w:rPr>
                <w:rFonts w:hint="eastAsia"/>
                <w:kern w:val="0"/>
                <w:sz w:val="24"/>
                <w:szCs w:val="24"/>
              </w:rPr>
              <w:t>①</w:t>
            </w:r>
            <w:r>
              <w:rPr>
                <w:kern w:val="0"/>
                <w:sz w:val="24"/>
                <w:szCs w:val="24"/>
              </w:rPr>
              <w:t>化学物质、油类物质泄漏事故影响分析</w:t>
            </w:r>
          </w:p>
          <w:p w14:paraId="2413F31E">
            <w:pPr>
              <w:pStyle w:val="8"/>
              <w:spacing w:line="360" w:lineRule="auto"/>
              <w:ind w:firstLine="240" w:firstLineChars="100"/>
              <w:rPr>
                <w:kern w:val="0"/>
                <w:sz w:val="24"/>
                <w:szCs w:val="24"/>
              </w:rPr>
            </w:pPr>
            <w:r>
              <w:rPr>
                <w:kern w:val="0"/>
                <w:sz w:val="24"/>
                <w:szCs w:val="24"/>
              </w:rPr>
              <w:t>人员操作不当或油罐管道接口破裂等，导致次氯酸钠、生物油脂发生泄漏事 故，对周边地表水、地下水、土壤造成污染。</w:t>
            </w:r>
          </w:p>
          <w:p w14:paraId="2CE11D93">
            <w:pPr>
              <w:pStyle w:val="8"/>
              <w:spacing w:line="360" w:lineRule="auto"/>
              <w:ind w:firstLine="240" w:firstLineChars="100"/>
              <w:rPr>
                <w:kern w:val="0"/>
                <w:sz w:val="24"/>
                <w:szCs w:val="24"/>
              </w:rPr>
            </w:pPr>
            <w:r>
              <w:rPr>
                <w:rFonts w:hint="eastAsia"/>
                <w:kern w:val="0"/>
                <w:sz w:val="24"/>
                <w:szCs w:val="24"/>
              </w:rPr>
              <w:t>②</w:t>
            </w:r>
            <w:r>
              <w:rPr>
                <w:kern w:val="0"/>
                <w:sz w:val="24"/>
                <w:szCs w:val="24"/>
              </w:rPr>
              <w:t>火灾爆炸后果分析</w:t>
            </w:r>
          </w:p>
          <w:p w14:paraId="524AEB6F">
            <w:pPr>
              <w:pStyle w:val="8"/>
              <w:spacing w:line="360" w:lineRule="auto"/>
              <w:ind w:firstLine="240" w:firstLineChars="100"/>
              <w:rPr>
                <w:kern w:val="0"/>
                <w:sz w:val="24"/>
                <w:szCs w:val="24"/>
              </w:rPr>
            </w:pPr>
            <w:r>
              <w:rPr>
                <w:kern w:val="0"/>
                <w:sz w:val="24"/>
                <w:szCs w:val="24"/>
              </w:rPr>
              <w:t>发生该类事故对外环境的影响主要表现为辐射热以及燃烧废气的排放，从安全方面来看主要表现人员的伤亡。根据同类项目类别，发生火灾爆炸事故时，影响范围是在厂区内，对厂界外影响较小。油脂充分燃烧后的产物为CO</w:t>
            </w:r>
            <w:r>
              <w:rPr>
                <w:kern w:val="0"/>
                <w:sz w:val="24"/>
                <w:szCs w:val="24"/>
                <w:vertAlign w:val="subscript"/>
              </w:rPr>
              <w:t>2</w:t>
            </w:r>
            <w:r>
              <w:rPr>
                <w:kern w:val="0"/>
                <w:sz w:val="24"/>
                <w:szCs w:val="24"/>
              </w:rPr>
              <w:t>和水，即便伴生有少量的CO、烟尘和携带少量未燃尽的物料，在消防水的洗涤下，也不会对环境产生很大的影响。因而从环保角度，对本项目火灾爆炸类事故风险防范的重点为事故状态下伴有泄漏物料的消防水可能对外部水环境的污染。</w:t>
            </w:r>
          </w:p>
          <w:p w14:paraId="3E98D09E">
            <w:pPr>
              <w:pStyle w:val="8"/>
              <w:spacing w:line="360" w:lineRule="auto"/>
              <w:ind w:firstLine="240" w:firstLineChars="100"/>
              <w:rPr>
                <w:kern w:val="0"/>
                <w:sz w:val="24"/>
                <w:szCs w:val="24"/>
              </w:rPr>
            </w:pPr>
            <w:r>
              <w:rPr>
                <w:kern w:val="0"/>
                <w:sz w:val="24"/>
                <w:szCs w:val="24"/>
              </w:rPr>
              <w:t>（5）环境风险防范措施</w:t>
            </w:r>
          </w:p>
          <w:p w14:paraId="3FFCCB68">
            <w:pPr>
              <w:pStyle w:val="8"/>
              <w:spacing w:line="360" w:lineRule="auto"/>
              <w:ind w:firstLine="240" w:firstLineChars="100"/>
              <w:rPr>
                <w:kern w:val="0"/>
                <w:sz w:val="24"/>
                <w:szCs w:val="24"/>
              </w:rPr>
            </w:pPr>
            <w:r>
              <w:rPr>
                <w:kern w:val="0"/>
                <w:sz w:val="24"/>
                <w:szCs w:val="24"/>
              </w:rPr>
              <w:t>1）</w:t>
            </w:r>
            <w:r>
              <w:rPr>
                <w:rFonts w:hint="eastAsia"/>
                <w:kern w:val="0"/>
                <w:sz w:val="24"/>
                <w:szCs w:val="24"/>
                <w:lang w:eastAsia="zh-CN"/>
              </w:rPr>
              <w:t>化学品泄漏</w:t>
            </w:r>
            <w:r>
              <w:rPr>
                <w:kern w:val="0"/>
                <w:sz w:val="24"/>
                <w:szCs w:val="24"/>
              </w:rPr>
              <w:t>事故防范措施</w:t>
            </w:r>
          </w:p>
          <w:p w14:paraId="5EDEE829">
            <w:pPr>
              <w:pStyle w:val="8"/>
              <w:spacing w:line="360" w:lineRule="auto"/>
              <w:ind w:firstLine="240" w:firstLineChars="100"/>
              <w:rPr>
                <w:kern w:val="0"/>
                <w:sz w:val="24"/>
                <w:szCs w:val="24"/>
              </w:rPr>
            </w:pPr>
            <w:r>
              <w:rPr>
                <w:kern w:val="0"/>
                <w:sz w:val="24"/>
                <w:szCs w:val="24"/>
              </w:rPr>
              <w:t>项目化学品使用量不大，一旦发生泄漏事故可能会对周边土壤，地表水环境 造成一定的污染。为有效防止泄漏事故污染环境，采取措施如下：</w:t>
            </w:r>
          </w:p>
          <w:p w14:paraId="31587264">
            <w:pPr>
              <w:pStyle w:val="8"/>
              <w:spacing w:line="360" w:lineRule="auto"/>
              <w:ind w:firstLine="240" w:firstLineChars="100"/>
              <w:rPr>
                <w:kern w:val="0"/>
                <w:sz w:val="24"/>
                <w:szCs w:val="24"/>
              </w:rPr>
            </w:pPr>
            <w:r>
              <w:rPr>
                <w:rFonts w:hint="eastAsia"/>
                <w:kern w:val="0"/>
                <w:sz w:val="24"/>
                <w:szCs w:val="24"/>
              </w:rPr>
              <w:t>①</w:t>
            </w:r>
            <w:r>
              <w:rPr>
                <w:kern w:val="0"/>
                <w:sz w:val="24"/>
                <w:szCs w:val="24"/>
              </w:rPr>
              <w:t>化学品储存场所按照规范要求建设，做好地面防渗，各化学品分区储存， 次氯酸钠存储使用托盘，储油罐区防渗，周边设置围堰。</w:t>
            </w:r>
          </w:p>
          <w:p w14:paraId="2AFF86EF">
            <w:pPr>
              <w:pStyle w:val="8"/>
              <w:spacing w:line="360" w:lineRule="auto"/>
              <w:ind w:firstLine="240" w:firstLineChars="100"/>
              <w:rPr>
                <w:kern w:val="0"/>
                <w:sz w:val="24"/>
                <w:szCs w:val="24"/>
              </w:rPr>
            </w:pPr>
            <w:r>
              <w:rPr>
                <w:rFonts w:hint="eastAsia"/>
                <w:kern w:val="0"/>
                <w:sz w:val="24"/>
                <w:szCs w:val="24"/>
              </w:rPr>
              <w:t>②</w:t>
            </w:r>
            <w:r>
              <w:rPr>
                <w:kern w:val="0"/>
                <w:sz w:val="24"/>
                <w:szCs w:val="24"/>
              </w:rPr>
              <w:t>加强管理，制定操作规程，规范人员操作，避免人为泄漏事故发生。</w:t>
            </w:r>
          </w:p>
          <w:p w14:paraId="3BC9627F">
            <w:pPr>
              <w:pStyle w:val="8"/>
              <w:spacing w:line="360" w:lineRule="auto"/>
              <w:ind w:firstLine="240" w:firstLineChars="100"/>
              <w:rPr>
                <w:kern w:val="0"/>
                <w:sz w:val="24"/>
                <w:szCs w:val="24"/>
              </w:rPr>
            </w:pPr>
            <w:r>
              <w:rPr>
                <w:rFonts w:hint="eastAsia"/>
                <w:kern w:val="0"/>
                <w:sz w:val="24"/>
                <w:szCs w:val="24"/>
              </w:rPr>
              <w:t>③</w:t>
            </w:r>
            <w:r>
              <w:rPr>
                <w:kern w:val="0"/>
                <w:sz w:val="24"/>
                <w:szCs w:val="24"/>
              </w:rPr>
              <w:t>定期对管道、储罐进行检修，发现跑、冒、滴、漏及时处理。</w:t>
            </w:r>
          </w:p>
          <w:p w14:paraId="3E94B7D5">
            <w:pPr>
              <w:pStyle w:val="8"/>
              <w:spacing w:line="360" w:lineRule="auto"/>
              <w:ind w:firstLine="240" w:firstLineChars="100"/>
              <w:rPr>
                <w:kern w:val="0"/>
                <w:sz w:val="24"/>
                <w:szCs w:val="24"/>
              </w:rPr>
            </w:pPr>
            <w:r>
              <w:rPr>
                <w:kern w:val="0"/>
                <w:sz w:val="24"/>
                <w:szCs w:val="24"/>
              </w:rPr>
              <w:t>2）火灾爆炸事故预防及伴生的二次环境风险防范措施</w:t>
            </w:r>
          </w:p>
          <w:p w14:paraId="454DC701">
            <w:pPr>
              <w:pStyle w:val="8"/>
              <w:spacing w:line="360" w:lineRule="auto"/>
              <w:ind w:firstLine="240" w:firstLineChars="100"/>
              <w:rPr>
                <w:kern w:val="0"/>
                <w:sz w:val="24"/>
                <w:szCs w:val="24"/>
              </w:rPr>
            </w:pPr>
            <w:r>
              <w:rPr>
                <w:rFonts w:hint="eastAsia"/>
                <w:kern w:val="0"/>
                <w:sz w:val="24"/>
                <w:szCs w:val="24"/>
              </w:rPr>
              <w:t>①</w:t>
            </w:r>
            <w:r>
              <w:rPr>
                <w:kern w:val="0"/>
                <w:sz w:val="24"/>
                <w:szCs w:val="24"/>
              </w:rPr>
              <w:t>在项目区内设置火灾探测报警系统。</w:t>
            </w:r>
          </w:p>
          <w:p w14:paraId="66F28499">
            <w:pPr>
              <w:pStyle w:val="8"/>
              <w:spacing w:line="360" w:lineRule="auto"/>
              <w:ind w:firstLine="240" w:firstLineChars="100"/>
              <w:rPr>
                <w:kern w:val="0"/>
                <w:sz w:val="24"/>
                <w:szCs w:val="24"/>
              </w:rPr>
            </w:pPr>
            <w:r>
              <w:rPr>
                <w:rFonts w:hint="eastAsia"/>
                <w:kern w:val="0"/>
                <w:sz w:val="24"/>
                <w:szCs w:val="24"/>
              </w:rPr>
              <w:t>②</w:t>
            </w:r>
            <w:r>
              <w:rPr>
                <w:kern w:val="0"/>
                <w:sz w:val="24"/>
                <w:szCs w:val="24"/>
              </w:rPr>
              <w:t>消防水系统：场区内消防管网采用环状布置，适当位置设消火栓。</w:t>
            </w:r>
          </w:p>
          <w:p w14:paraId="4FB20F4E">
            <w:pPr>
              <w:pStyle w:val="8"/>
              <w:spacing w:line="360" w:lineRule="auto"/>
              <w:ind w:firstLine="240" w:firstLineChars="100"/>
              <w:rPr>
                <w:kern w:val="0"/>
                <w:sz w:val="24"/>
                <w:szCs w:val="24"/>
              </w:rPr>
            </w:pPr>
            <w:r>
              <w:rPr>
                <w:rFonts w:hint="eastAsia"/>
                <w:kern w:val="0"/>
                <w:sz w:val="24"/>
                <w:szCs w:val="24"/>
              </w:rPr>
              <w:t>③</w:t>
            </w:r>
            <w:r>
              <w:rPr>
                <w:kern w:val="0"/>
                <w:sz w:val="24"/>
                <w:szCs w:val="24"/>
              </w:rPr>
              <w:t>灭火器配置：为扑救初期火灾，应在具有火灾爆炸危险的场所设置移动式灭火器材——干粉灭火器，其配置应按《建筑灭火器配置设计规范》（GB50140-2005）执行。</w:t>
            </w:r>
          </w:p>
          <w:p w14:paraId="4DEDAAD3">
            <w:pPr>
              <w:pStyle w:val="8"/>
              <w:spacing w:line="360" w:lineRule="auto"/>
              <w:ind w:firstLine="240" w:firstLineChars="100"/>
              <w:rPr>
                <w:kern w:val="0"/>
                <w:sz w:val="24"/>
                <w:szCs w:val="24"/>
              </w:rPr>
            </w:pPr>
            <w:r>
              <w:rPr>
                <w:rFonts w:hint="eastAsia"/>
                <w:kern w:val="0"/>
                <w:sz w:val="24"/>
                <w:szCs w:val="24"/>
              </w:rPr>
              <w:t>④</w:t>
            </w:r>
            <w:r>
              <w:rPr>
                <w:kern w:val="0"/>
                <w:sz w:val="24"/>
                <w:szCs w:val="24"/>
              </w:rPr>
              <w:t>火灾爆炸后次生事故污染废水风险防范措施</w:t>
            </w:r>
          </w:p>
          <w:p w14:paraId="68290B96">
            <w:pPr>
              <w:pStyle w:val="8"/>
              <w:spacing w:line="360" w:lineRule="auto"/>
              <w:ind w:firstLine="240" w:firstLineChars="100"/>
              <w:rPr>
                <w:kern w:val="0"/>
                <w:sz w:val="24"/>
                <w:szCs w:val="24"/>
              </w:rPr>
            </w:pPr>
            <w:r>
              <w:rPr>
                <w:kern w:val="0"/>
                <w:sz w:val="24"/>
                <w:szCs w:val="24"/>
              </w:rPr>
              <w:t>火灾爆发后会产生消防废水，消防废水成分复杂，要求建设单位建设20m</w:t>
            </w:r>
            <w:r>
              <w:rPr>
                <w:kern w:val="0"/>
                <w:sz w:val="24"/>
                <w:szCs w:val="24"/>
                <w:vertAlign w:val="superscript"/>
              </w:rPr>
              <w:t>3</w:t>
            </w:r>
            <w:r>
              <w:rPr>
                <w:kern w:val="0"/>
                <w:sz w:val="24"/>
                <w:szCs w:val="24"/>
              </w:rPr>
              <w:t>的事故应急池，确保消防废水能有效收集，避免消防废水进入雨水污染附近水体。事故应急池可满足废水收集要求。废水事故池建设技术要求：保持事故池为空置状态，事故池的地势要低，设置沟渠要合理，以保证发生火灾时消防水以及其他应急情况下产生的废水能自流入应急事故池。</w:t>
            </w:r>
          </w:p>
          <w:p w14:paraId="7D90E10B">
            <w:pPr>
              <w:pStyle w:val="8"/>
              <w:spacing w:line="360" w:lineRule="auto"/>
              <w:ind w:firstLine="240" w:firstLineChars="100"/>
              <w:rPr>
                <w:kern w:val="0"/>
                <w:sz w:val="24"/>
                <w:szCs w:val="24"/>
              </w:rPr>
            </w:pPr>
            <w:r>
              <w:rPr>
                <w:kern w:val="0"/>
                <w:sz w:val="24"/>
                <w:szCs w:val="24"/>
              </w:rPr>
              <w:t>3）疾病风险事故防范措施</w:t>
            </w:r>
          </w:p>
          <w:p w14:paraId="22D5588C">
            <w:pPr>
              <w:pStyle w:val="8"/>
              <w:spacing w:line="360" w:lineRule="auto"/>
              <w:ind w:firstLine="240" w:firstLineChars="100"/>
              <w:rPr>
                <w:kern w:val="0"/>
                <w:sz w:val="24"/>
                <w:szCs w:val="24"/>
              </w:rPr>
            </w:pPr>
            <w:r>
              <w:rPr>
                <w:kern w:val="0"/>
                <w:sz w:val="24"/>
                <w:szCs w:val="24"/>
              </w:rPr>
              <w:t>根据《病死及病害动物无害化处理技术规范》（农医发〔2017〕25号）及害动物和病害动物产品生物安全处理规程》（GB16548-2006）中规定，可通过焚 毁、化制、掩埋或其他物理、化学、生物学等方法将病害动物尸体和病害动物产品或附属物进行处理，以彻底消灭其所携带的病原体，达到消除病害因素，保障人畜健康安全的目的，动物尸体要严格按照防疫条例进行处置。本项目建成后，可对</w:t>
            </w:r>
            <w:r>
              <w:rPr>
                <w:rFonts w:hint="eastAsia"/>
                <w:kern w:val="0"/>
                <w:sz w:val="24"/>
                <w:szCs w:val="24"/>
              </w:rPr>
              <w:t>德宏州</w:t>
            </w:r>
            <w:r>
              <w:rPr>
                <w:kern w:val="0"/>
                <w:sz w:val="24"/>
                <w:szCs w:val="24"/>
              </w:rPr>
              <w:t>各</w:t>
            </w:r>
            <w:r>
              <w:rPr>
                <w:rFonts w:hint="eastAsia"/>
                <w:kern w:val="0"/>
                <w:sz w:val="24"/>
                <w:szCs w:val="24"/>
              </w:rPr>
              <w:t>县</w:t>
            </w:r>
            <w:r>
              <w:rPr>
                <w:kern w:val="0"/>
                <w:sz w:val="24"/>
                <w:szCs w:val="24"/>
              </w:rPr>
              <w:t>镇的病死动物进行无害化处理，从源头上防止动物疫病的传播。总体而言，本项目的实施可消减项目区域内的病原体，切断动物疫病特别是人畜共患的传播途径，改善公共卫生状况。为了减少动物尸体带来的病毒、病菌污染，本项目总体布局上分为污染区、半污染区和非污染区。污染区包括前处理车间、主处理车间、冷冻冷藏区，半污染区包括车间消毒区、生产工作人员消毒、更衣设施等。非污染区包括职工办公、 生活区。污染区和非污染区之间应有适当的卫生防护距离。并设置人员进出的消毒间。生产区内汽车通道以单行环道设置，在污染区的出口设有车辆消毒的消毒池和人员消毒的浸脚垫，车辆经过消毒、清洗后出入厂区。具体措施如下：</w:t>
            </w:r>
          </w:p>
          <w:p w14:paraId="78146D82">
            <w:pPr>
              <w:pStyle w:val="8"/>
              <w:spacing w:line="360" w:lineRule="auto"/>
              <w:ind w:firstLine="240" w:firstLineChars="100"/>
              <w:rPr>
                <w:kern w:val="0"/>
                <w:sz w:val="24"/>
                <w:szCs w:val="24"/>
              </w:rPr>
            </w:pPr>
            <w:r>
              <w:rPr>
                <w:rFonts w:hint="eastAsia"/>
                <w:kern w:val="0"/>
                <w:sz w:val="24"/>
                <w:szCs w:val="24"/>
              </w:rPr>
              <w:t>①</w:t>
            </w:r>
            <w:r>
              <w:rPr>
                <w:kern w:val="0"/>
                <w:sz w:val="24"/>
                <w:szCs w:val="24"/>
              </w:rPr>
              <w:t>运输</w:t>
            </w:r>
          </w:p>
          <w:p w14:paraId="3AFD7149">
            <w:pPr>
              <w:pStyle w:val="8"/>
              <w:spacing w:line="360" w:lineRule="auto"/>
              <w:ind w:firstLine="240" w:firstLineChars="100"/>
              <w:rPr>
                <w:kern w:val="0"/>
                <w:sz w:val="24"/>
                <w:szCs w:val="24"/>
              </w:rPr>
            </w:pPr>
            <w:r>
              <w:rPr>
                <w:kern w:val="0"/>
                <w:sz w:val="24"/>
                <w:szCs w:val="24"/>
              </w:rPr>
              <w:t>本项目无害化处理中心的病死畜禽应由获得特许经营权的综合运营方收运而 来，并及时安排人员车辆收集转运各中转站的病死动物。</w:t>
            </w:r>
          </w:p>
          <w:p w14:paraId="34D6EBCB">
            <w:pPr>
              <w:pStyle w:val="8"/>
              <w:spacing w:line="360" w:lineRule="auto"/>
              <w:ind w:firstLine="240" w:firstLineChars="100"/>
              <w:rPr>
                <w:kern w:val="0"/>
                <w:sz w:val="24"/>
                <w:szCs w:val="24"/>
              </w:rPr>
            </w:pPr>
            <w:r>
              <w:rPr>
                <w:rFonts w:hint="eastAsia"/>
                <w:kern w:val="0"/>
                <w:sz w:val="24"/>
                <w:szCs w:val="24"/>
              </w:rPr>
              <w:t>a</w:t>
            </w:r>
            <w:r>
              <w:rPr>
                <w:kern w:val="0"/>
                <w:sz w:val="24"/>
                <w:szCs w:val="24"/>
              </w:rPr>
              <w:t>.死亡动物运输车辆可参照《医疗废物转运车技术要求（试行）》 （GB19217-2003）要求配置。对养殖场（户）到暂存点的运输车辆，可采用密封、防渗的厢式货车。</w:t>
            </w:r>
          </w:p>
          <w:p w14:paraId="79466445">
            <w:pPr>
              <w:pStyle w:val="8"/>
              <w:spacing w:line="360" w:lineRule="auto"/>
              <w:ind w:firstLine="240" w:firstLineChars="100"/>
              <w:rPr>
                <w:kern w:val="0"/>
                <w:sz w:val="24"/>
                <w:szCs w:val="24"/>
              </w:rPr>
            </w:pPr>
            <w:r>
              <w:rPr>
                <w:rFonts w:hint="eastAsia"/>
                <w:kern w:val="0"/>
                <w:sz w:val="24"/>
                <w:szCs w:val="24"/>
              </w:rPr>
              <w:t>b.</w:t>
            </w:r>
            <w:r>
              <w:rPr>
                <w:kern w:val="0"/>
                <w:sz w:val="24"/>
                <w:szCs w:val="24"/>
              </w:rPr>
              <w:t>运输过程中不得进行中转存放或堆放，不得倾倒、丢弃、遗洒。</w:t>
            </w:r>
          </w:p>
          <w:p w14:paraId="70AACFB1">
            <w:pPr>
              <w:pStyle w:val="8"/>
              <w:spacing w:line="360" w:lineRule="auto"/>
              <w:ind w:firstLine="240" w:firstLineChars="100"/>
              <w:rPr>
                <w:kern w:val="0"/>
                <w:sz w:val="24"/>
                <w:szCs w:val="24"/>
              </w:rPr>
            </w:pPr>
            <w:r>
              <w:rPr>
                <w:rFonts w:hint="eastAsia"/>
                <w:kern w:val="0"/>
                <w:sz w:val="24"/>
                <w:szCs w:val="24"/>
              </w:rPr>
              <w:t>c.</w:t>
            </w:r>
            <w:r>
              <w:rPr>
                <w:kern w:val="0"/>
                <w:sz w:val="24"/>
                <w:szCs w:val="24"/>
              </w:rPr>
              <w:t>收运人员如实填写《病死动物接收单》，并经收集点管理人员和当地动物卫生监督机构人员签字确认。</w:t>
            </w:r>
          </w:p>
          <w:p w14:paraId="7917DAA7">
            <w:pPr>
              <w:pStyle w:val="8"/>
              <w:spacing w:line="360" w:lineRule="auto"/>
              <w:ind w:firstLine="240" w:firstLineChars="100"/>
              <w:rPr>
                <w:kern w:val="0"/>
                <w:sz w:val="24"/>
                <w:szCs w:val="24"/>
              </w:rPr>
            </w:pPr>
            <w:r>
              <w:rPr>
                <w:rFonts w:hint="eastAsia"/>
                <w:kern w:val="0"/>
                <w:sz w:val="24"/>
                <w:szCs w:val="24"/>
              </w:rPr>
              <w:t>d.</w:t>
            </w:r>
            <w:r>
              <w:rPr>
                <w:kern w:val="0"/>
                <w:sz w:val="24"/>
                <w:szCs w:val="24"/>
              </w:rPr>
              <w:t>按日填写《病死动物无害化处理日登记表》。</w:t>
            </w:r>
          </w:p>
          <w:p w14:paraId="2A94C1A8">
            <w:pPr>
              <w:pStyle w:val="8"/>
              <w:spacing w:line="360" w:lineRule="auto"/>
              <w:ind w:firstLine="240" w:firstLineChars="100"/>
              <w:rPr>
                <w:kern w:val="0"/>
                <w:sz w:val="24"/>
                <w:szCs w:val="24"/>
              </w:rPr>
            </w:pPr>
            <w:r>
              <w:rPr>
                <w:rFonts w:hint="eastAsia"/>
                <w:kern w:val="0"/>
                <w:sz w:val="24"/>
                <w:szCs w:val="24"/>
              </w:rPr>
              <w:t>e.</w:t>
            </w:r>
            <w:r>
              <w:rPr>
                <w:kern w:val="0"/>
                <w:sz w:val="24"/>
                <w:szCs w:val="24"/>
              </w:rPr>
              <w:t>每月填写《病死畜禽无害化处理中心项目月统计表》，并报</w:t>
            </w:r>
            <w:r>
              <w:rPr>
                <w:rFonts w:hint="eastAsia"/>
                <w:kern w:val="0"/>
                <w:sz w:val="24"/>
                <w:szCs w:val="24"/>
              </w:rPr>
              <w:t>主管部门</w:t>
            </w:r>
            <w:r>
              <w:rPr>
                <w:kern w:val="0"/>
                <w:sz w:val="24"/>
                <w:szCs w:val="24"/>
              </w:rPr>
              <w:t>。</w:t>
            </w:r>
          </w:p>
          <w:p w14:paraId="44F1A33F">
            <w:pPr>
              <w:pStyle w:val="8"/>
              <w:spacing w:line="360" w:lineRule="auto"/>
              <w:ind w:firstLine="240" w:firstLineChars="100"/>
              <w:rPr>
                <w:kern w:val="0"/>
                <w:sz w:val="24"/>
                <w:szCs w:val="24"/>
              </w:rPr>
            </w:pPr>
            <w:r>
              <w:rPr>
                <w:rFonts w:hint="eastAsia"/>
                <w:kern w:val="0"/>
                <w:sz w:val="24"/>
                <w:szCs w:val="24"/>
              </w:rPr>
              <w:t>f.</w:t>
            </w:r>
            <w:r>
              <w:rPr>
                <w:kern w:val="0"/>
                <w:sz w:val="24"/>
                <w:szCs w:val="24"/>
              </w:rPr>
              <w:t>安装视频监控设备，录像资料保存2 月以上。</w:t>
            </w:r>
          </w:p>
          <w:p w14:paraId="4EC3CB1A">
            <w:pPr>
              <w:pStyle w:val="8"/>
              <w:spacing w:line="360" w:lineRule="auto"/>
              <w:ind w:firstLine="240" w:firstLineChars="100"/>
              <w:rPr>
                <w:kern w:val="0"/>
                <w:sz w:val="24"/>
                <w:szCs w:val="24"/>
              </w:rPr>
            </w:pPr>
            <w:r>
              <w:rPr>
                <w:rFonts w:hint="eastAsia"/>
                <w:kern w:val="0"/>
                <w:sz w:val="24"/>
                <w:szCs w:val="24"/>
              </w:rPr>
              <w:t>②</w:t>
            </w:r>
            <w:r>
              <w:rPr>
                <w:kern w:val="0"/>
                <w:sz w:val="24"/>
                <w:szCs w:val="24"/>
              </w:rPr>
              <w:t>消毒及防护</w:t>
            </w:r>
          </w:p>
          <w:p w14:paraId="5E4A172D">
            <w:pPr>
              <w:pStyle w:val="8"/>
              <w:spacing w:line="360" w:lineRule="auto"/>
              <w:ind w:firstLine="240" w:firstLineChars="100"/>
              <w:rPr>
                <w:kern w:val="0"/>
                <w:sz w:val="24"/>
                <w:szCs w:val="24"/>
              </w:rPr>
            </w:pPr>
            <w:r>
              <w:rPr>
                <w:rFonts w:hint="eastAsia"/>
                <w:kern w:val="0"/>
                <w:sz w:val="24"/>
                <w:szCs w:val="24"/>
              </w:rPr>
              <w:t>a</w:t>
            </w:r>
            <w:r>
              <w:rPr>
                <w:kern w:val="0"/>
                <w:sz w:val="24"/>
                <w:szCs w:val="24"/>
              </w:rPr>
              <w:t>.环境消毒，污染区每批次自动喷雾消毒；非污染区每天处理完毕喷雾消毒。</w:t>
            </w:r>
          </w:p>
          <w:p w14:paraId="4217C390">
            <w:pPr>
              <w:pStyle w:val="8"/>
              <w:spacing w:line="360" w:lineRule="auto"/>
              <w:ind w:firstLine="240" w:firstLineChars="100"/>
              <w:rPr>
                <w:kern w:val="0"/>
                <w:sz w:val="24"/>
                <w:szCs w:val="24"/>
              </w:rPr>
            </w:pPr>
            <w:r>
              <w:rPr>
                <w:rFonts w:hint="eastAsia"/>
                <w:kern w:val="0"/>
                <w:sz w:val="24"/>
                <w:szCs w:val="24"/>
              </w:rPr>
              <w:t>b.</w:t>
            </w:r>
            <w:r>
              <w:rPr>
                <w:kern w:val="0"/>
                <w:sz w:val="24"/>
                <w:szCs w:val="24"/>
              </w:rPr>
              <w:t>人员消毒及防护</w:t>
            </w:r>
          </w:p>
          <w:p w14:paraId="5FA93312">
            <w:pPr>
              <w:pStyle w:val="8"/>
              <w:spacing w:line="360" w:lineRule="auto"/>
              <w:ind w:firstLine="240" w:firstLineChars="100"/>
              <w:rPr>
                <w:kern w:val="0"/>
                <w:sz w:val="24"/>
                <w:szCs w:val="24"/>
              </w:rPr>
            </w:pPr>
            <w:r>
              <w:rPr>
                <w:kern w:val="0"/>
                <w:sz w:val="24"/>
                <w:szCs w:val="24"/>
              </w:rPr>
              <w:t>工作人员每年注射一次相关疫苗，并一年一次作健康检查。工作期间发现工作人员手上有轻度伤口时，应在伤口处理后加戴橡胶手套后才能工作，工人手 上有重度伤口时，要立即处理，暂时调离岗位。工作人员禁止穿工作衣进入食堂、宿舍、办公室或离生产区外出。工作人员上岗前必须更换工作服、工作鞋、戴工作帽、口罩和手套。工作人员穿用的工作衣、帽、鞋等需要有固定处摆放，每周更换消毒二次，有严重污染时应立即更换消毒。工作服、帽等采用压力蒸汽消毒25</w:t>
            </w:r>
            <w:r>
              <w:rPr>
                <w:rFonts w:hint="eastAsia"/>
                <w:kern w:val="0"/>
                <w:sz w:val="24"/>
                <w:szCs w:val="24"/>
              </w:rPr>
              <w:t>min</w:t>
            </w:r>
            <w:r>
              <w:rPr>
                <w:kern w:val="0"/>
                <w:sz w:val="24"/>
                <w:szCs w:val="24"/>
              </w:rPr>
              <w:t>，经消毒后才能清洗、晾晒。严格控制非生产人员进入污染区。如确实需要进入污染区，应与工作人员的防护、消毒措施一致。</w:t>
            </w:r>
          </w:p>
          <w:p w14:paraId="5DA61B04">
            <w:pPr>
              <w:pStyle w:val="8"/>
              <w:spacing w:line="360" w:lineRule="auto"/>
              <w:ind w:firstLine="240" w:firstLineChars="100"/>
              <w:rPr>
                <w:kern w:val="0"/>
                <w:sz w:val="24"/>
                <w:szCs w:val="24"/>
              </w:rPr>
            </w:pPr>
            <w:r>
              <w:rPr>
                <w:rFonts w:hint="eastAsia"/>
                <w:kern w:val="0"/>
                <w:sz w:val="24"/>
                <w:szCs w:val="24"/>
              </w:rPr>
              <w:t>③</w:t>
            </w:r>
            <w:r>
              <w:rPr>
                <w:kern w:val="0"/>
                <w:sz w:val="24"/>
                <w:szCs w:val="24"/>
              </w:rPr>
              <w:t>运输车辆的消毒方法</w:t>
            </w:r>
          </w:p>
          <w:p w14:paraId="6BCF797D">
            <w:pPr>
              <w:pStyle w:val="8"/>
              <w:spacing w:line="360" w:lineRule="auto"/>
              <w:ind w:firstLine="240" w:firstLineChars="100"/>
              <w:rPr>
                <w:kern w:val="0"/>
                <w:sz w:val="24"/>
                <w:szCs w:val="24"/>
              </w:rPr>
            </w:pPr>
            <w:r>
              <w:rPr>
                <w:kern w:val="0"/>
                <w:sz w:val="24"/>
                <w:szCs w:val="24"/>
              </w:rPr>
              <w:t>运输车辆内、外表面应每次喷雾，喷淋消毒，消毒后一小时内不能进行清水冲洗，喷雾要求被消毒表面均匀湿透，喷雾器应选择雾滴直径</w:t>
            </w:r>
            <w:r>
              <w:rPr>
                <w:rFonts w:hint="eastAsia"/>
                <w:kern w:val="0"/>
                <w:sz w:val="24"/>
                <w:szCs w:val="24"/>
              </w:rPr>
              <w:t>≦</w:t>
            </w:r>
            <w:r>
              <w:rPr>
                <w:kern w:val="0"/>
                <w:sz w:val="24"/>
                <w:szCs w:val="24"/>
              </w:rPr>
              <w:t>5μm。</w:t>
            </w:r>
          </w:p>
          <w:p w14:paraId="38D13AFC">
            <w:pPr>
              <w:pStyle w:val="8"/>
              <w:spacing w:line="360" w:lineRule="auto"/>
              <w:ind w:firstLine="240" w:firstLineChars="100"/>
              <w:rPr>
                <w:kern w:val="0"/>
                <w:sz w:val="24"/>
                <w:szCs w:val="24"/>
              </w:rPr>
            </w:pPr>
            <w:r>
              <w:rPr>
                <w:rFonts w:hint="eastAsia"/>
                <w:kern w:val="0"/>
                <w:sz w:val="24"/>
                <w:szCs w:val="24"/>
              </w:rPr>
              <w:t>④</w:t>
            </w:r>
            <w:r>
              <w:rPr>
                <w:kern w:val="0"/>
                <w:sz w:val="24"/>
                <w:szCs w:val="24"/>
              </w:rPr>
              <w:t>应急要求</w:t>
            </w:r>
          </w:p>
          <w:p w14:paraId="3C87CABF">
            <w:pPr>
              <w:pStyle w:val="8"/>
              <w:spacing w:line="360" w:lineRule="auto"/>
              <w:ind w:firstLine="240" w:firstLineChars="100"/>
              <w:rPr>
                <w:kern w:val="0"/>
                <w:sz w:val="24"/>
                <w:szCs w:val="24"/>
              </w:rPr>
            </w:pPr>
            <w:r>
              <w:rPr>
                <w:kern w:val="0"/>
                <w:sz w:val="24"/>
                <w:szCs w:val="24"/>
              </w:rPr>
              <w:t>重大动物疫病指一类动物疫病发生时，二类动物疫病爆发时，已消灭的动物 疫病再次发生时，或国内从未发生的动物疫病传入国内时，都可称之为重大动物疫病。一类动物疫病是指对人畜危害严重、需要采取紧急、严厉的强制预防、控制、扑灭等措施的疫病。根据农业部公告第1125号《一、二、三类动物疫病病种名录》，一类动物疫病包括口蹄疫、猪水泡病、猪瘟、非洲猪瘟、高致病性猪蓝耳病、非洲马瘟、牛瘟、牛传染性胸膜肺炎、牛海绵状脑病、痒病、蓝舌病、小反刍兽疫、绵阳痘和山羊痘、高致病性禽流感、新城疫、鲤春病毒血症、白斑综合征，共17种。 为应对突发重大动物疫病，特别是一类动物疫病，本项目处理的病死禽畜不包括：相关法律禁止转运的死禽畜、必须在死禽畜产生地进行处理的死禽畜、必须采用焚烧或填埋或其他非高温灭菌脱水方式进行处理的死禽畜。</w:t>
            </w:r>
          </w:p>
          <w:p w14:paraId="2F2C55D4">
            <w:pPr>
              <w:pStyle w:val="8"/>
              <w:spacing w:line="360" w:lineRule="auto"/>
              <w:ind w:firstLine="240" w:firstLineChars="100"/>
              <w:rPr>
                <w:kern w:val="0"/>
                <w:sz w:val="24"/>
                <w:szCs w:val="24"/>
              </w:rPr>
            </w:pPr>
            <w:r>
              <w:rPr>
                <w:kern w:val="0"/>
                <w:sz w:val="24"/>
                <w:szCs w:val="24"/>
              </w:rPr>
              <w:t>（6）应急预案</w:t>
            </w:r>
          </w:p>
          <w:p w14:paraId="02C58922">
            <w:pPr>
              <w:pStyle w:val="8"/>
              <w:spacing w:line="360" w:lineRule="auto"/>
              <w:ind w:firstLine="240" w:firstLineChars="100"/>
              <w:rPr>
                <w:kern w:val="0"/>
                <w:sz w:val="24"/>
                <w:szCs w:val="24"/>
              </w:rPr>
            </w:pPr>
            <w:r>
              <w:rPr>
                <w:kern w:val="0"/>
                <w:sz w:val="24"/>
                <w:szCs w:val="24"/>
              </w:rPr>
              <w:t>企业应根据自身的生产特点，有针对性的进行环境风险管理：</w:t>
            </w:r>
          </w:p>
          <w:p w14:paraId="60B9C23B">
            <w:pPr>
              <w:pStyle w:val="8"/>
              <w:spacing w:line="360" w:lineRule="auto"/>
              <w:ind w:firstLine="240" w:firstLineChars="100"/>
              <w:rPr>
                <w:kern w:val="0"/>
                <w:sz w:val="24"/>
                <w:szCs w:val="24"/>
              </w:rPr>
            </w:pPr>
            <w:r>
              <w:rPr>
                <w:rFonts w:hint="eastAsia"/>
                <w:kern w:val="0"/>
                <w:sz w:val="24"/>
                <w:szCs w:val="24"/>
              </w:rPr>
              <w:t>①</w:t>
            </w:r>
            <w:r>
              <w:rPr>
                <w:kern w:val="0"/>
                <w:sz w:val="24"/>
                <w:szCs w:val="24"/>
              </w:rPr>
              <w:t>明确风险管理应急组织机构组成及其职责，包括协调指挥机构及事故现场 应急指挥部。协调指挥机构的总指挥应为企业负责人，组员为各部门的负责人， 协调配合做好事故处理的各项工作。事故现场应急指挥部按照事故灾难等级和分级响应原则，由相应的地方人民政府组成现场应急救援指挥部，总指挥由地方政府负责人担任，全面负责应急救援指挥工作。</w:t>
            </w:r>
          </w:p>
          <w:p w14:paraId="55B8A165">
            <w:pPr>
              <w:pStyle w:val="8"/>
              <w:spacing w:line="360" w:lineRule="auto"/>
              <w:ind w:firstLine="240" w:firstLineChars="100"/>
              <w:rPr>
                <w:kern w:val="0"/>
                <w:sz w:val="24"/>
                <w:szCs w:val="24"/>
              </w:rPr>
            </w:pPr>
            <w:r>
              <w:rPr>
                <w:rFonts w:hint="eastAsia"/>
                <w:kern w:val="0"/>
                <w:sz w:val="24"/>
                <w:szCs w:val="24"/>
              </w:rPr>
              <w:t>②</w:t>
            </w:r>
            <w:r>
              <w:rPr>
                <w:kern w:val="0"/>
                <w:sz w:val="24"/>
                <w:szCs w:val="24"/>
              </w:rPr>
              <w:t>建立预警及预防机制，制定动物疫病、环境污染事故相应的应急预案，定期对相关设施及流程进行检查，发现隐患及时进行整改。对于可能引起重大事故的异常状况，应及时向企业安全管理部门汇报，严重的应按照要求逐级向地方人民政府主管部门汇报。</w:t>
            </w:r>
          </w:p>
          <w:p w14:paraId="415DDE7E">
            <w:pPr>
              <w:pStyle w:val="8"/>
              <w:spacing w:line="360" w:lineRule="auto"/>
              <w:ind w:firstLine="240" w:firstLineChars="100"/>
              <w:rPr>
                <w:kern w:val="0"/>
                <w:sz w:val="24"/>
                <w:szCs w:val="24"/>
              </w:rPr>
            </w:pPr>
            <w:r>
              <w:rPr>
                <w:rFonts w:hint="eastAsia"/>
                <w:kern w:val="0"/>
                <w:sz w:val="24"/>
                <w:szCs w:val="24"/>
              </w:rPr>
              <w:t>③</w:t>
            </w:r>
            <w:r>
              <w:rPr>
                <w:kern w:val="0"/>
                <w:sz w:val="24"/>
                <w:szCs w:val="24"/>
              </w:rPr>
              <w:t>针对动物疫病、环境污染事故的影响特点，建立完善的后期处理机制，妥善安排，降低事故的影响范围，防止次生事故发生。</w:t>
            </w:r>
          </w:p>
          <w:p w14:paraId="22BDFE9C">
            <w:pPr>
              <w:pStyle w:val="8"/>
              <w:spacing w:line="360" w:lineRule="auto"/>
              <w:ind w:firstLine="240" w:firstLineChars="100"/>
              <w:rPr>
                <w:kern w:val="0"/>
                <w:sz w:val="24"/>
                <w:szCs w:val="24"/>
              </w:rPr>
            </w:pPr>
            <w:r>
              <w:rPr>
                <w:rFonts w:hint="eastAsia"/>
                <w:kern w:val="0"/>
                <w:sz w:val="24"/>
                <w:szCs w:val="24"/>
              </w:rPr>
              <w:t>④</w:t>
            </w:r>
            <w:r>
              <w:rPr>
                <w:kern w:val="0"/>
                <w:sz w:val="24"/>
                <w:szCs w:val="24"/>
              </w:rPr>
              <w:t>应做好事故的应急支援与保障工作。</w:t>
            </w:r>
          </w:p>
          <w:p w14:paraId="1ECAD610">
            <w:pPr>
              <w:pStyle w:val="8"/>
              <w:spacing w:line="360" w:lineRule="auto"/>
              <w:ind w:firstLine="240" w:firstLineChars="100"/>
              <w:rPr>
                <w:kern w:val="0"/>
                <w:sz w:val="24"/>
                <w:szCs w:val="24"/>
              </w:rPr>
            </w:pPr>
            <w:r>
              <w:rPr>
                <w:rFonts w:hint="eastAsia"/>
                <w:kern w:val="0"/>
                <w:sz w:val="24"/>
                <w:szCs w:val="24"/>
              </w:rPr>
              <w:t>⑤</w:t>
            </w:r>
            <w:r>
              <w:rPr>
                <w:kern w:val="0"/>
                <w:sz w:val="24"/>
                <w:szCs w:val="24"/>
              </w:rPr>
              <w:t>针对不同环境风险事故的特点，按照应急预案的要求，进行员工日常的安 全培训，并定期进行应急预案演练，对于应急预案演练中发现的不完善之处，应及时进行改进。</w:t>
            </w:r>
          </w:p>
          <w:p w14:paraId="26461914">
            <w:pPr>
              <w:pStyle w:val="8"/>
              <w:spacing w:line="360" w:lineRule="auto"/>
              <w:ind w:firstLine="240" w:firstLineChars="100"/>
              <w:rPr>
                <w:kern w:val="0"/>
                <w:sz w:val="24"/>
                <w:szCs w:val="24"/>
              </w:rPr>
            </w:pPr>
            <w:r>
              <w:rPr>
                <w:rFonts w:hint="eastAsia"/>
                <w:kern w:val="0"/>
                <w:sz w:val="24"/>
                <w:szCs w:val="24"/>
              </w:rPr>
              <w:t>⑥</w:t>
            </w:r>
            <w:r>
              <w:rPr>
                <w:kern w:val="0"/>
                <w:sz w:val="24"/>
                <w:szCs w:val="24"/>
              </w:rPr>
              <w:t>企业建设完成后，应编制突发环境事件应急预案，并报</w:t>
            </w:r>
            <w:r>
              <w:rPr>
                <w:rFonts w:hint="eastAsia"/>
                <w:kern w:val="0"/>
                <w:sz w:val="24"/>
                <w:szCs w:val="24"/>
              </w:rPr>
              <w:t>德宏州</w:t>
            </w:r>
            <w:r>
              <w:rPr>
                <w:kern w:val="0"/>
                <w:sz w:val="24"/>
                <w:szCs w:val="24"/>
              </w:rPr>
              <w:t xml:space="preserve">生态环境局 </w:t>
            </w:r>
            <w:r>
              <w:rPr>
                <w:rFonts w:hint="eastAsia"/>
                <w:kern w:val="0"/>
                <w:sz w:val="24"/>
                <w:szCs w:val="24"/>
              </w:rPr>
              <w:t>芒市</w:t>
            </w:r>
            <w:r>
              <w:rPr>
                <w:kern w:val="0"/>
                <w:sz w:val="24"/>
                <w:szCs w:val="24"/>
              </w:rPr>
              <w:t>分局备案。</w:t>
            </w:r>
          </w:p>
          <w:p w14:paraId="5E643FEC">
            <w:pPr>
              <w:pStyle w:val="8"/>
              <w:spacing w:line="360" w:lineRule="auto"/>
              <w:ind w:firstLine="240" w:firstLineChars="100"/>
              <w:rPr>
                <w:kern w:val="0"/>
                <w:sz w:val="24"/>
                <w:szCs w:val="24"/>
              </w:rPr>
            </w:pPr>
            <w:r>
              <w:rPr>
                <w:kern w:val="0"/>
                <w:sz w:val="24"/>
                <w:szCs w:val="24"/>
              </w:rPr>
              <w:t>（7）风险评价结论</w:t>
            </w:r>
          </w:p>
          <w:p w14:paraId="1C1D7EB8">
            <w:pPr>
              <w:pStyle w:val="8"/>
              <w:spacing w:line="360" w:lineRule="auto"/>
              <w:ind w:firstLine="240" w:firstLineChars="100"/>
            </w:pPr>
            <w:r>
              <w:rPr>
                <w:kern w:val="0"/>
                <w:sz w:val="24"/>
                <w:szCs w:val="24"/>
              </w:rPr>
              <w:t>综上，本项目建设存在化学物质、油类物质泄漏，火灾、爆炸事故，和疾病事故风险，要加强风险管理，在建设过程中认真落实各种风险防范措施，通过相应的技术手段降低风险发生概率，并在风险事故发生后，及时</w:t>
            </w:r>
            <w:r>
              <w:rPr>
                <w:rFonts w:hint="eastAsia"/>
                <w:kern w:val="0"/>
                <w:sz w:val="24"/>
                <w:szCs w:val="24"/>
                <w:lang w:eastAsia="zh-CN"/>
              </w:rPr>
              <w:t>采</w:t>
            </w:r>
            <w:r>
              <w:rPr>
                <w:kern w:val="0"/>
                <w:sz w:val="24"/>
                <w:szCs w:val="24"/>
              </w:rPr>
              <w:t>取风险防范措施及应急预案，可以使风险事故对环境的危害得到有效控制，将事故风险控制在可以接受的范围内，因此本项目风险水平是可以接受的。</w:t>
            </w:r>
          </w:p>
          <w:p w14:paraId="377E5C91">
            <w:pPr>
              <w:spacing w:line="500" w:lineRule="exact"/>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4</w:t>
            </w:r>
            <w:r>
              <w:rPr>
                <w:rFonts w:hint="eastAsia" w:ascii="Times New Roman" w:hAnsi="Times New Roman" w:cs="Times New Roman"/>
                <w:b/>
                <w:szCs w:val="21"/>
              </w:rPr>
              <w:t>-</w:t>
            </w:r>
            <w:r>
              <w:rPr>
                <w:rFonts w:ascii="Times New Roman" w:hAnsi="Times New Roman" w:cs="Times New Roman"/>
                <w:b/>
                <w:szCs w:val="21"/>
              </w:rPr>
              <w:t>26</w:t>
            </w:r>
            <w:r>
              <w:rPr>
                <w:rFonts w:hint="eastAsia" w:ascii="Times New Roman" w:hAnsi="Times New Roman" w:cs="Times New Roman"/>
                <w:b/>
                <w:szCs w:val="21"/>
              </w:rPr>
              <w:t xml:space="preserve">   建设项目环境风险简单分析内容表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5939"/>
            </w:tblGrid>
            <w:tr w14:paraId="223E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42EC6AB6">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建设项目名称</w:t>
                  </w:r>
                </w:p>
              </w:tc>
              <w:tc>
                <w:tcPr>
                  <w:tcW w:w="5782" w:type="dxa"/>
                  <w:shd w:val="clear" w:color="auto" w:fill="auto"/>
                  <w:vAlign w:val="center"/>
                </w:tcPr>
                <w:p w14:paraId="2ABB9994">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德宏州病死畜禽无害化处理项目</w:t>
                  </w:r>
                </w:p>
              </w:tc>
            </w:tr>
            <w:tr w14:paraId="6601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23A14991">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建设地点</w:t>
                  </w:r>
                </w:p>
              </w:tc>
              <w:tc>
                <w:tcPr>
                  <w:tcW w:w="5782" w:type="dxa"/>
                  <w:shd w:val="clear" w:color="auto" w:fill="auto"/>
                  <w:vAlign w:val="center"/>
                </w:tcPr>
                <w:p w14:paraId="7A52535D">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szCs w:val="21"/>
                    </w:rPr>
                    <w:t>芒市三台山乡邦外村委会帕当坝村小组</w:t>
                  </w:r>
                </w:p>
              </w:tc>
            </w:tr>
            <w:tr w14:paraId="2A33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7E088046">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地理坐标</w:t>
                  </w:r>
                </w:p>
              </w:tc>
              <w:tc>
                <w:tcPr>
                  <w:tcW w:w="5782" w:type="dxa"/>
                  <w:shd w:val="clear" w:color="auto" w:fill="auto"/>
                  <w:vAlign w:val="center"/>
                </w:tcPr>
                <w:p w14:paraId="200A8DE6">
                  <w:pPr>
                    <w:spacing w:line="320" w:lineRule="exact"/>
                    <w:jc w:val="center"/>
                    <w:rPr>
                      <w:rFonts w:ascii="Times New Roman" w:hAnsi="Times New Roman" w:eastAsia="宋体" w:cs="Times New Roman"/>
                      <w:kern w:val="0"/>
                      <w:szCs w:val="21"/>
                    </w:rPr>
                  </w:pPr>
                  <w:r>
                    <w:rPr>
                      <w:rFonts w:ascii="Times New Roman" w:hAnsi="Times New Roman" w:eastAsia="宋体" w:cs="Times New Roman"/>
                      <w:szCs w:val="21"/>
                    </w:rPr>
                    <w:t xml:space="preserve">E </w:t>
                  </w:r>
                  <w:r>
                    <w:rPr>
                      <w:rFonts w:hint="eastAsia" w:ascii="Times New Roman" w:hAnsi="Times New Roman" w:eastAsia="宋体" w:cs="Times New Roman"/>
                      <w:szCs w:val="21"/>
                    </w:rPr>
                    <w:t>98°23′58.48″</w:t>
                  </w:r>
                  <w:r>
                    <w:rPr>
                      <w:rFonts w:ascii="Times New Roman" w:hAnsi="Times New Roman" w:eastAsia="宋体" w:cs="Times New Roman"/>
                      <w:szCs w:val="21"/>
                    </w:rPr>
                    <w:t xml:space="preserve">，N </w:t>
                  </w:r>
                  <w:r>
                    <w:rPr>
                      <w:rFonts w:hint="eastAsia" w:ascii="Times New Roman" w:hAnsi="Times New Roman" w:eastAsia="宋体" w:cs="Times New Roman"/>
                      <w:szCs w:val="21"/>
                    </w:rPr>
                    <w:t>24°22′34.72″</w:t>
                  </w:r>
                </w:p>
              </w:tc>
            </w:tr>
            <w:tr w14:paraId="094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2AEB1FCF">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主要危险物质及分布</w:t>
                  </w:r>
                </w:p>
              </w:tc>
              <w:tc>
                <w:tcPr>
                  <w:tcW w:w="5782" w:type="dxa"/>
                  <w:shd w:val="clear" w:color="auto" w:fill="auto"/>
                  <w:vAlign w:val="center"/>
                </w:tcPr>
                <w:p w14:paraId="0F532380">
                  <w:pPr>
                    <w:spacing w:line="320" w:lineRule="exact"/>
                    <w:jc w:val="center"/>
                    <w:rPr>
                      <w:szCs w:val="21"/>
                    </w:rPr>
                  </w:pPr>
                  <w:r>
                    <w:rPr>
                      <w:rFonts w:hint="eastAsia" w:ascii="Times New Roman" w:hAnsi="Times New Roman" w:eastAsia="宋体" w:cs="Times New Roman"/>
                      <w:kern w:val="0"/>
                      <w:szCs w:val="21"/>
                    </w:rPr>
                    <w:t>废机油，均储存于危废间内；油脂暂存于油脂箱内；次氯酸钠储存于库房内。</w:t>
                  </w:r>
                </w:p>
              </w:tc>
            </w:tr>
            <w:tr w14:paraId="1005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4" w:type="dxa"/>
                  <w:shd w:val="clear" w:color="auto" w:fill="auto"/>
                  <w:vAlign w:val="center"/>
                </w:tcPr>
                <w:p w14:paraId="3C2D4D5E">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环境影响</w:t>
                  </w:r>
                  <w:r>
                    <w:rPr>
                      <w:rFonts w:hint="eastAsia" w:ascii="Times New Roman" w:hAnsi="Times New Roman" w:eastAsia="宋体" w:cs="Times New Roman"/>
                      <w:kern w:val="0"/>
                      <w:szCs w:val="21"/>
                      <w:lang w:val="en-US" w:eastAsia="zh-CN"/>
                    </w:rPr>
                    <w:t>途径</w:t>
                  </w:r>
                  <w:r>
                    <w:rPr>
                      <w:rFonts w:hint="eastAsia" w:ascii="Times New Roman" w:hAnsi="Times New Roman" w:eastAsia="宋体" w:cs="Times New Roman"/>
                      <w:kern w:val="0"/>
                      <w:szCs w:val="21"/>
                    </w:rPr>
                    <w:t>及危险后果</w:t>
                  </w:r>
                </w:p>
              </w:tc>
              <w:tc>
                <w:tcPr>
                  <w:tcW w:w="5782" w:type="dxa"/>
                  <w:shd w:val="clear" w:color="auto" w:fill="auto"/>
                  <w:vAlign w:val="center"/>
                </w:tcPr>
                <w:p w14:paraId="5BBE5BF7">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可能发生火灾、爆炸风险，并产生二次废水、废气污染，对周围环境会造成不良影响。</w:t>
                  </w:r>
                  <w:r>
                    <w:rPr>
                      <w:rFonts w:ascii="Times New Roman" w:hAnsi="Times New Roman" w:eastAsia="宋体" w:cs="Times New Roman"/>
                      <w:kern w:val="0"/>
                      <w:szCs w:val="21"/>
                    </w:rPr>
                    <w:t xml:space="preserve"> </w:t>
                  </w:r>
                </w:p>
              </w:tc>
            </w:tr>
            <w:tr w14:paraId="5545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14:paraId="1CCF54A0">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风险防范措施要求</w:t>
                  </w:r>
                </w:p>
              </w:tc>
              <w:tc>
                <w:tcPr>
                  <w:tcW w:w="5782" w:type="dxa"/>
                  <w:shd w:val="clear" w:color="auto" w:fill="auto"/>
                  <w:vAlign w:val="center"/>
                </w:tcPr>
                <w:p w14:paraId="312123A5">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规范设计总图布置。须配备应急桶、铲子、沙子等应急物资。制定完善的存储及使用管理制度，专人负责。编制突发环境事件编制应急预案，报德宏州生态环境局芒市分局备案。</w:t>
                  </w:r>
                </w:p>
              </w:tc>
            </w:tr>
            <w:tr w14:paraId="717E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6" w:type="dxa"/>
                  <w:gridSpan w:val="2"/>
                  <w:shd w:val="clear" w:color="auto" w:fill="auto"/>
                  <w:vAlign w:val="center"/>
                </w:tcPr>
                <w:p w14:paraId="2DECE4A7">
                  <w:pPr>
                    <w:spacing w:line="32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填表说明（列出项目相关信息及评价说明）：</w:t>
                  </w:r>
                </w:p>
                <w:p w14:paraId="70763721">
                  <w:pPr>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本项目拟采取的环境风险防范措施有效可行</w:t>
                  </w:r>
                  <w:r>
                    <w:rPr>
                      <w:rFonts w:hint="eastAsia" w:ascii="Times New Roman" w:hAnsi="Times New Roman" w:eastAsia="宋体" w:cs="Times New Roman"/>
                      <w:kern w:val="0"/>
                      <w:szCs w:val="21"/>
                    </w:rPr>
                    <w:t>。项目环境风险可防控，总体环境风险小。</w:t>
                  </w:r>
                </w:p>
              </w:tc>
            </w:tr>
          </w:tbl>
          <w:p w14:paraId="1928EFFC">
            <w:pPr>
              <w:jc w:val="center"/>
              <w:rPr>
                <w:rFonts w:cs="宋体"/>
              </w:rPr>
            </w:pPr>
          </w:p>
          <w:p w14:paraId="30CC9704">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4.2.7 土壤</w:t>
            </w:r>
            <w:r>
              <w:rPr>
                <w:rFonts w:hint="eastAsia" w:ascii="Times New Roman" w:hAnsi="Times New Roman" w:cs="Times New Roman"/>
                <w:b/>
              </w:rPr>
              <w:t>环境影响分析</w:t>
            </w:r>
          </w:p>
          <w:p w14:paraId="7D3E1200">
            <w:pPr>
              <w:pStyle w:val="8"/>
              <w:spacing w:line="360" w:lineRule="auto"/>
              <w:ind w:firstLine="240" w:firstLineChars="100"/>
              <w:rPr>
                <w:kern w:val="0"/>
                <w:sz w:val="24"/>
                <w:szCs w:val="24"/>
              </w:rPr>
            </w:pPr>
            <w:r>
              <w:rPr>
                <w:rFonts w:hint="eastAsia"/>
                <w:kern w:val="0"/>
                <w:sz w:val="24"/>
                <w:szCs w:val="24"/>
              </w:rPr>
              <w:t>土壤环境不开展专项评价。</w:t>
            </w:r>
            <w:r>
              <w:rPr>
                <w:kern w:val="0"/>
                <w:sz w:val="24"/>
                <w:szCs w:val="24"/>
              </w:rPr>
              <w:t>根据《环境影响评价技术导则</w:t>
            </w:r>
            <w:r>
              <w:rPr>
                <w:rFonts w:hint="eastAsia"/>
                <w:kern w:val="0"/>
                <w:sz w:val="24"/>
                <w:szCs w:val="24"/>
              </w:rPr>
              <w:t xml:space="preserve"> </w:t>
            </w:r>
            <w:r>
              <w:rPr>
                <w:kern w:val="0"/>
                <w:sz w:val="24"/>
                <w:szCs w:val="24"/>
              </w:rPr>
              <w:t>土壤环境（试行）》可知，</w:t>
            </w:r>
            <w:r>
              <w:rPr>
                <w:rFonts w:hint="eastAsia"/>
                <w:kern w:val="0"/>
                <w:sz w:val="24"/>
                <w:szCs w:val="24"/>
              </w:rPr>
              <w:t>病死畜禽无害化处理</w:t>
            </w:r>
            <w:r>
              <w:rPr>
                <w:kern w:val="0"/>
                <w:sz w:val="24"/>
                <w:szCs w:val="24"/>
              </w:rPr>
              <w:t>为</w:t>
            </w:r>
            <w:r>
              <w:rPr>
                <w:rFonts w:hint="eastAsia" w:ascii="宋体" w:hAnsi="宋体"/>
                <w:kern w:val="0"/>
                <w:sz w:val="24"/>
                <w:szCs w:val="24"/>
              </w:rPr>
              <w:t>Ⅳ</w:t>
            </w:r>
            <w:r>
              <w:rPr>
                <w:kern w:val="0"/>
                <w:sz w:val="24"/>
                <w:szCs w:val="24"/>
              </w:rPr>
              <w:t>类项目（</w:t>
            </w:r>
            <w:r>
              <w:rPr>
                <w:rFonts w:hint="eastAsia"/>
                <w:kern w:val="0"/>
                <w:sz w:val="24"/>
                <w:szCs w:val="24"/>
              </w:rPr>
              <w:t>农林牧渔业—其他</w:t>
            </w:r>
            <w:r>
              <w:rPr>
                <w:kern w:val="0"/>
                <w:sz w:val="24"/>
                <w:szCs w:val="24"/>
              </w:rPr>
              <w:t>），项目位于德宏州</w:t>
            </w:r>
            <w:r>
              <w:rPr>
                <w:rFonts w:hint="eastAsia"/>
                <w:kern w:val="0"/>
                <w:sz w:val="24"/>
                <w:szCs w:val="24"/>
              </w:rPr>
              <w:t>芒市三台山乡邦外村委会帕当坝村小组</w:t>
            </w:r>
            <w:r>
              <w:rPr>
                <w:kern w:val="0"/>
                <w:sz w:val="24"/>
                <w:szCs w:val="24"/>
              </w:rPr>
              <w:t>，</w:t>
            </w:r>
            <w:r>
              <w:rPr>
                <w:rFonts w:hint="eastAsia"/>
                <w:kern w:val="0"/>
                <w:sz w:val="24"/>
                <w:szCs w:val="24"/>
              </w:rPr>
              <w:t>厂区四周有耕地，</w:t>
            </w:r>
            <w:r>
              <w:rPr>
                <w:kern w:val="0"/>
                <w:sz w:val="24"/>
                <w:szCs w:val="24"/>
              </w:rPr>
              <w:t>敏感程度为“敏感”，占地规模为0.59 hm</w:t>
            </w:r>
            <w:r>
              <w:rPr>
                <w:kern w:val="0"/>
                <w:sz w:val="24"/>
                <w:szCs w:val="24"/>
                <w:vertAlign w:val="superscript"/>
              </w:rPr>
              <w:t>2</w:t>
            </w:r>
            <w:r>
              <w:rPr>
                <w:kern w:val="0"/>
                <w:sz w:val="24"/>
                <w:szCs w:val="24"/>
              </w:rPr>
              <w:t>＜5hm</w:t>
            </w:r>
            <w:r>
              <w:rPr>
                <w:kern w:val="0"/>
                <w:sz w:val="24"/>
                <w:szCs w:val="24"/>
                <w:vertAlign w:val="superscript"/>
              </w:rPr>
              <w:t>2</w:t>
            </w:r>
            <w:r>
              <w:rPr>
                <w:kern w:val="0"/>
                <w:sz w:val="24"/>
                <w:szCs w:val="24"/>
              </w:rPr>
              <w:t>，属于“</w:t>
            </w:r>
            <w:r>
              <w:rPr>
                <w:rFonts w:hint="eastAsia"/>
                <w:kern w:val="0"/>
                <w:sz w:val="24"/>
                <w:szCs w:val="24"/>
              </w:rPr>
              <w:t>小</w:t>
            </w:r>
            <w:r>
              <w:rPr>
                <w:kern w:val="0"/>
                <w:sz w:val="24"/>
                <w:szCs w:val="24"/>
              </w:rPr>
              <w:t>型”</w:t>
            </w:r>
            <w:r>
              <w:rPr>
                <w:rFonts w:hint="eastAsia"/>
                <w:kern w:val="0"/>
                <w:sz w:val="24"/>
                <w:szCs w:val="24"/>
              </w:rPr>
              <w:t>。</w:t>
            </w:r>
          </w:p>
          <w:p w14:paraId="74AC6E37">
            <w:pPr>
              <w:pStyle w:val="8"/>
              <w:spacing w:line="360" w:lineRule="auto"/>
              <w:ind w:firstLine="240" w:firstLineChars="100"/>
              <w:rPr>
                <w:kern w:val="0"/>
                <w:sz w:val="24"/>
                <w:szCs w:val="24"/>
              </w:rPr>
            </w:pPr>
            <w:r>
              <w:rPr>
                <w:rFonts w:hint="eastAsia"/>
                <w:kern w:val="0"/>
                <w:sz w:val="24"/>
                <w:szCs w:val="24"/>
              </w:rPr>
              <w:t>（1）</w:t>
            </w:r>
            <w:r>
              <w:rPr>
                <w:kern w:val="0"/>
                <w:sz w:val="24"/>
                <w:szCs w:val="24"/>
              </w:rPr>
              <w:t>土壤环境影响源及影响因子识别</w:t>
            </w:r>
          </w:p>
          <w:p w14:paraId="011E42F3">
            <w:pPr>
              <w:pStyle w:val="8"/>
              <w:spacing w:line="360" w:lineRule="auto"/>
              <w:ind w:firstLine="240" w:firstLineChars="100"/>
              <w:rPr>
                <w:kern w:val="0"/>
                <w:sz w:val="24"/>
                <w:szCs w:val="24"/>
              </w:rPr>
            </w:pPr>
            <w:r>
              <w:rPr>
                <w:kern w:val="0"/>
                <w:sz w:val="24"/>
                <w:szCs w:val="24"/>
              </w:rPr>
              <w:t>本项目土壤影响源主要为生产车间、污水处理设施等。</w:t>
            </w:r>
          </w:p>
          <w:p w14:paraId="3CE927D5">
            <w:pPr>
              <w:spacing w:line="500" w:lineRule="exact"/>
              <w:jc w:val="center"/>
              <w:rPr>
                <w:rFonts w:ascii="Times New Roman" w:hAnsi="Times New Roman" w:cs="Times New Roman"/>
                <w:b/>
                <w:szCs w:val="21"/>
              </w:rPr>
            </w:pPr>
            <w:r>
              <w:rPr>
                <w:rFonts w:ascii="Times New Roman" w:hAnsi="Times New Roman" w:cs="Times New Roman"/>
                <w:b/>
                <w:szCs w:val="21"/>
              </w:rPr>
              <w:t>表4-27    土壤环境影响源及影响因子识别表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411"/>
              <w:gridCol w:w="1059"/>
              <w:gridCol w:w="2996"/>
              <w:gridCol w:w="1339"/>
            </w:tblGrid>
            <w:tr w14:paraId="79FC8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3" w:type="dxa"/>
                  <w:vAlign w:val="center"/>
                </w:tcPr>
                <w:p w14:paraId="4E61E08C">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污染源</w:t>
                  </w:r>
                </w:p>
              </w:tc>
              <w:tc>
                <w:tcPr>
                  <w:tcW w:w="1411" w:type="dxa"/>
                  <w:vAlign w:val="center"/>
                </w:tcPr>
                <w:p w14:paraId="440FBBAE">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工艺流程/节点</w:t>
                  </w:r>
                </w:p>
              </w:tc>
              <w:tc>
                <w:tcPr>
                  <w:tcW w:w="1059" w:type="dxa"/>
                  <w:vAlign w:val="center"/>
                </w:tcPr>
                <w:p w14:paraId="22E541B5">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污染途径</w:t>
                  </w:r>
                </w:p>
              </w:tc>
              <w:tc>
                <w:tcPr>
                  <w:tcW w:w="2996" w:type="dxa"/>
                  <w:vAlign w:val="center"/>
                </w:tcPr>
                <w:p w14:paraId="1FA41A6B">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全部污染物指标</w:t>
                  </w:r>
                </w:p>
              </w:tc>
              <w:tc>
                <w:tcPr>
                  <w:tcW w:w="1339" w:type="dxa"/>
                  <w:vAlign w:val="center"/>
                </w:tcPr>
                <w:p w14:paraId="02AD85A5">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特征因子</w:t>
                  </w:r>
                </w:p>
              </w:tc>
            </w:tr>
            <w:tr w14:paraId="32D26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73" w:type="dxa"/>
                  <w:vAlign w:val="center"/>
                </w:tcPr>
                <w:p w14:paraId="01C1D73C">
                  <w:pPr>
                    <w:jc w:val="center"/>
                    <w:rPr>
                      <w:rFonts w:ascii="Times New Roman" w:hAnsi="Times New Roman" w:eastAsia="宋体" w:cs="Times New Roman"/>
                      <w:kern w:val="0"/>
                      <w:szCs w:val="21"/>
                    </w:rPr>
                  </w:pPr>
                  <w:r>
                    <w:rPr>
                      <w:rFonts w:ascii="Times New Roman" w:hAnsi="Times New Roman" w:eastAsia="宋体" w:cs="Times New Roman"/>
                      <w:kern w:val="0"/>
                      <w:szCs w:val="21"/>
                    </w:rPr>
                    <w:t>污水处理设施</w:t>
                  </w:r>
                </w:p>
              </w:tc>
              <w:tc>
                <w:tcPr>
                  <w:tcW w:w="1411" w:type="dxa"/>
                  <w:vAlign w:val="center"/>
                </w:tcPr>
                <w:p w14:paraId="0EAB1518">
                  <w:pPr>
                    <w:jc w:val="center"/>
                    <w:rPr>
                      <w:rFonts w:ascii="Times New Roman" w:hAnsi="Times New Roman" w:eastAsia="宋体" w:cs="Times New Roman"/>
                      <w:kern w:val="0"/>
                      <w:szCs w:val="21"/>
                    </w:rPr>
                  </w:pPr>
                  <w:r>
                    <w:rPr>
                      <w:rFonts w:ascii="Times New Roman" w:hAnsi="Times New Roman" w:eastAsia="宋体" w:cs="Times New Roman"/>
                      <w:kern w:val="0"/>
                      <w:szCs w:val="21"/>
                    </w:rPr>
                    <w:t>废水处理</w:t>
                  </w:r>
                </w:p>
              </w:tc>
              <w:tc>
                <w:tcPr>
                  <w:tcW w:w="1059" w:type="dxa"/>
                  <w:vAlign w:val="center"/>
                </w:tcPr>
                <w:p w14:paraId="0442E387">
                  <w:pPr>
                    <w:jc w:val="center"/>
                    <w:rPr>
                      <w:rFonts w:ascii="Times New Roman" w:hAnsi="Times New Roman" w:eastAsia="宋体" w:cs="Times New Roman"/>
                      <w:kern w:val="0"/>
                      <w:szCs w:val="21"/>
                    </w:rPr>
                  </w:pPr>
                  <w:r>
                    <w:rPr>
                      <w:rFonts w:ascii="Times New Roman" w:hAnsi="Times New Roman" w:eastAsia="宋体" w:cs="Times New Roman"/>
                      <w:kern w:val="0"/>
                      <w:szCs w:val="21"/>
                    </w:rPr>
                    <w:t>垂直入渗、底面漫流</w:t>
                  </w:r>
                </w:p>
              </w:tc>
              <w:tc>
                <w:tcPr>
                  <w:tcW w:w="2996" w:type="dxa"/>
                  <w:vAlign w:val="center"/>
                </w:tcPr>
                <w:p w14:paraId="2DA60F83">
                  <w:pPr>
                    <w:jc w:val="center"/>
                    <w:rPr>
                      <w:rFonts w:ascii="Times New Roman" w:hAnsi="Times New Roman" w:eastAsia="宋体" w:cs="Times New Roman"/>
                      <w:kern w:val="0"/>
                      <w:szCs w:val="21"/>
                    </w:rPr>
                  </w:pPr>
                  <w:r>
                    <w:rPr>
                      <w:rFonts w:ascii="Times New Roman" w:hAnsi="Times New Roman" w:eastAsia="宋体" w:cs="Times New Roman"/>
                      <w:kern w:val="0"/>
                      <w:szCs w:val="21"/>
                    </w:rPr>
                    <w:t>SS、</w:t>
                  </w:r>
                  <w:r>
                    <w:rPr>
                      <w:rFonts w:hint="eastAsia" w:ascii="Times New Roman" w:hAnsi="Times New Roman" w:eastAsia="宋体" w:cs="Times New Roman"/>
                      <w:kern w:val="0"/>
                      <w:szCs w:val="21"/>
                    </w:rPr>
                    <w:t>C</w:t>
                  </w:r>
                  <w:r>
                    <w:rPr>
                      <w:rFonts w:ascii="Times New Roman" w:hAnsi="Times New Roman" w:eastAsia="宋体" w:cs="Times New Roman"/>
                      <w:kern w:val="0"/>
                      <w:szCs w:val="21"/>
                    </w:rPr>
                    <w:t>OD</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动植物油</w:t>
                  </w:r>
                  <w:r>
                    <w:rPr>
                      <w:rFonts w:hint="eastAsia" w:ascii="Times New Roman" w:hAnsi="Times New Roman" w:eastAsia="宋体" w:cs="Times New Roman"/>
                      <w:kern w:val="0"/>
                      <w:szCs w:val="21"/>
                    </w:rPr>
                    <w:t>等</w:t>
                  </w:r>
                </w:p>
              </w:tc>
              <w:tc>
                <w:tcPr>
                  <w:tcW w:w="1339" w:type="dxa"/>
                  <w:vAlign w:val="center"/>
                </w:tcPr>
                <w:p w14:paraId="2110205B">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14:paraId="2E21F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73" w:type="dxa"/>
                  <w:vAlign w:val="center"/>
                </w:tcPr>
                <w:p w14:paraId="2C4EACF0">
                  <w:pPr>
                    <w:jc w:val="center"/>
                    <w:rPr>
                      <w:rFonts w:ascii="Times New Roman" w:hAnsi="Times New Roman" w:eastAsia="宋体" w:cs="Times New Roman"/>
                      <w:kern w:val="0"/>
                      <w:szCs w:val="21"/>
                    </w:rPr>
                  </w:pPr>
                  <w:r>
                    <w:rPr>
                      <w:rFonts w:ascii="Times New Roman" w:hAnsi="Times New Roman" w:eastAsia="宋体" w:cs="Times New Roman"/>
                      <w:kern w:val="0"/>
                      <w:szCs w:val="21"/>
                    </w:rPr>
                    <w:t>生产区</w:t>
                  </w:r>
                </w:p>
              </w:tc>
              <w:tc>
                <w:tcPr>
                  <w:tcW w:w="1411" w:type="dxa"/>
                  <w:vAlign w:val="center"/>
                </w:tcPr>
                <w:p w14:paraId="5B2C830C">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锅炉烟气、车间废气、工艺废气</w:t>
                  </w:r>
                </w:p>
              </w:tc>
              <w:tc>
                <w:tcPr>
                  <w:tcW w:w="1059" w:type="dxa"/>
                  <w:vAlign w:val="center"/>
                </w:tcPr>
                <w:p w14:paraId="485BD2B2">
                  <w:pPr>
                    <w:jc w:val="center"/>
                    <w:rPr>
                      <w:rFonts w:ascii="Times New Roman" w:hAnsi="Times New Roman" w:eastAsia="宋体" w:cs="Times New Roman"/>
                      <w:kern w:val="0"/>
                      <w:szCs w:val="21"/>
                    </w:rPr>
                  </w:pPr>
                  <w:r>
                    <w:rPr>
                      <w:rFonts w:ascii="Times New Roman" w:hAnsi="Times New Roman" w:eastAsia="宋体" w:cs="Times New Roman"/>
                      <w:kern w:val="0"/>
                      <w:szCs w:val="21"/>
                    </w:rPr>
                    <w:t>大气沉降</w:t>
                  </w:r>
                </w:p>
              </w:tc>
              <w:tc>
                <w:tcPr>
                  <w:tcW w:w="2996" w:type="dxa"/>
                  <w:vAlign w:val="center"/>
                </w:tcPr>
                <w:p w14:paraId="341F029A">
                  <w:pPr>
                    <w:jc w:val="center"/>
                    <w:rPr>
                      <w:rFonts w:ascii="Times New Roman" w:hAnsi="Times New Roman" w:eastAsia="宋体" w:cs="Times New Roman"/>
                      <w:kern w:val="0"/>
                      <w:szCs w:val="21"/>
                    </w:rPr>
                  </w:pPr>
                  <w:r>
                    <w:rPr>
                      <w:rFonts w:ascii="Times New Roman" w:hAnsi="Times New Roman" w:eastAsia="宋体" w:cs="Times New Roman"/>
                      <w:kern w:val="0"/>
                      <w:szCs w:val="21"/>
                    </w:rPr>
                    <w:t>烟尘、二氧化硫、氮氧化物，硫化氢、氨</w:t>
                  </w:r>
                </w:p>
              </w:tc>
              <w:tc>
                <w:tcPr>
                  <w:tcW w:w="1339" w:type="dxa"/>
                  <w:vAlign w:val="center"/>
                </w:tcPr>
                <w:p w14:paraId="2C7530AE">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bl>
          <w:p w14:paraId="3662D9AA">
            <w:pPr>
              <w:tabs>
                <w:tab w:val="left" w:pos="1440"/>
                <w:tab w:val="left" w:pos="1800"/>
              </w:tabs>
              <w:adjustRightInd w:val="0"/>
              <w:snapToGrid w:val="0"/>
              <w:ind w:firstLine="420" w:firstLineChars="200"/>
              <w:jc w:val="left"/>
              <w:rPr>
                <w:rFonts w:ascii="Times New Roman" w:hAnsi="Times New Roman" w:cs="Times New Roman"/>
                <w:szCs w:val="21"/>
              </w:rPr>
            </w:pPr>
          </w:p>
          <w:p w14:paraId="142A8504">
            <w:pPr>
              <w:pStyle w:val="8"/>
              <w:spacing w:line="360" w:lineRule="auto"/>
              <w:ind w:firstLine="240" w:firstLineChars="100"/>
              <w:rPr>
                <w:kern w:val="0"/>
                <w:sz w:val="24"/>
                <w:szCs w:val="24"/>
              </w:rPr>
            </w:pPr>
            <w:r>
              <w:rPr>
                <w:kern w:val="0"/>
                <w:sz w:val="24"/>
                <w:szCs w:val="24"/>
              </w:rPr>
              <w:t>根据上表，本项目产生的污染因子为SS、</w:t>
            </w:r>
            <w:r>
              <w:rPr>
                <w:rFonts w:hint="eastAsia"/>
                <w:kern w:val="0"/>
                <w:sz w:val="24"/>
                <w:szCs w:val="24"/>
              </w:rPr>
              <w:t>C</w:t>
            </w:r>
            <w:r>
              <w:rPr>
                <w:kern w:val="0"/>
                <w:sz w:val="24"/>
                <w:szCs w:val="24"/>
              </w:rPr>
              <w:t>OD</w:t>
            </w:r>
            <w:r>
              <w:rPr>
                <w:rFonts w:hint="eastAsia"/>
                <w:kern w:val="0"/>
                <w:sz w:val="24"/>
                <w:szCs w:val="24"/>
              </w:rPr>
              <w:t>、</w:t>
            </w:r>
            <w:r>
              <w:rPr>
                <w:kern w:val="0"/>
                <w:sz w:val="24"/>
                <w:szCs w:val="24"/>
              </w:rPr>
              <w:t>动植物油，烟尘、二氧化硫、氮氧化物，硫化氢、氨，识别本项目土壤环境影响类型属于污染影响型，污染类型为垂直入渗、地面漫流、大气沉降。</w:t>
            </w:r>
          </w:p>
          <w:p w14:paraId="0978AE55">
            <w:pPr>
              <w:pStyle w:val="8"/>
              <w:spacing w:line="360" w:lineRule="auto"/>
              <w:ind w:firstLine="240" w:firstLineChars="100"/>
              <w:rPr>
                <w:kern w:val="0"/>
                <w:sz w:val="24"/>
                <w:szCs w:val="24"/>
              </w:rPr>
            </w:pPr>
            <w:r>
              <w:rPr>
                <w:kern w:val="0"/>
                <w:sz w:val="24"/>
                <w:szCs w:val="24"/>
              </w:rPr>
              <w:t>垂直入渗型：正常状况下，本项目营运期污水经</w:t>
            </w:r>
            <w:r>
              <w:rPr>
                <w:rFonts w:hint="eastAsia"/>
                <w:kern w:val="0"/>
                <w:sz w:val="24"/>
                <w:szCs w:val="24"/>
              </w:rPr>
              <w:t>处理站</w:t>
            </w:r>
            <w:r>
              <w:rPr>
                <w:kern w:val="0"/>
                <w:sz w:val="24"/>
                <w:szCs w:val="24"/>
              </w:rPr>
              <w:t>处理后用于</w:t>
            </w:r>
            <w:r>
              <w:rPr>
                <w:rFonts w:hint="eastAsia"/>
                <w:kern w:val="0"/>
                <w:sz w:val="24"/>
                <w:szCs w:val="24"/>
              </w:rPr>
              <w:t>租用耕地灌溉，</w:t>
            </w:r>
            <w:r>
              <w:rPr>
                <w:kern w:val="0"/>
                <w:sz w:val="24"/>
                <w:szCs w:val="24"/>
              </w:rPr>
              <w:t>废水污染物主要为COD</w:t>
            </w:r>
            <w:r>
              <w:rPr>
                <w:rFonts w:hint="eastAsia"/>
                <w:kern w:val="0"/>
                <w:sz w:val="24"/>
                <w:szCs w:val="24"/>
              </w:rPr>
              <w:t>cr</w:t>
            </w:r>
            <w:r>
              <w:rPr>
                <w:kern w:val="0"/>
                <w:sz w:val="24"/>
                <w:szCs w:val="24"/>
              </w:rPr>
              <w:t>、BOD</w:t>
            </w:r>
            <w:r>
              <w:rPr>
                <w:kern w:val="0"/>
                <w:sz w:val="24"/>
                <w:szCs w:val="24"/>
                <w:vertAlign w:val="subscript"/>
              </w:rPr>
              <w:t>5</w:t>
            </w:r>
            <w:r>
              <w:rPr>
                <w:kern w:val="0"/>
                <w:sz w:val="24"/>
                <w:szCs w:val="24"/>
              </w:rPr>
              <w:t>、SS、</w:t>
            </w:r>
            <w:r>
              <w:rPr>
                <w:rFonts w:hint="eastAsia"/>
                <w:kern w:val="0"/>
                <w:sz w:val="24"/>
                <w:szCs w:val="24"/>
              </w:rPr>
              <w:t>氨氮</w:t>
            </w:r>
            <w:r>
              <w:rPr>
                <w:kern w:val="0"/>
                <w:sz w:val="24"/>
                <w:szCs w:val="24"/>
              </w:rPr>
              <w:t>、</w:t>
            </w:r>
            <w:r>
              <w:rPr>
                <w:rFonts w:hint="eastAsia"/>
                <w:kern w:val="0"/>
                <w:sz w:val="24"/>
                <w:szCs w:val="24"/>
              </w:rPr>
              <w:t>总磷、</w:t>
            </w:r>
            <w:r>
              <w:rPr>
                <w:kern w:val="0"/>
                <w:sz w:val="24"/>
                <w:szCs w:val="24"/>
              </w:rPr>
              <w:t>动植物油</w:t>
            </w:r>
            <w:r>
              <w:rPr>
                <w:rFonts w:hint="eastAsia"/>
                <w:kern w:val="0"/>
                <w:sz w:val="24"/>
                <w:szCs w:val="24"/>
              </w:rPr>
              <w:t>等</w:t>
            </w:r>
            <w:r>
              <w:rPr>
                <w:kern w:val="0"/>
                <w:sz w:val="24"/>
                <w:szCs w:val="24"/>
              </w:rPr>
              <w:t>，不含重金属及难降解有机物。在非正常状况下，废水输送管道和处理池泄露产生的废水可能对土壤环境造成影响。项目在事故情况下会造成物料、污染物等的泄漏，通过垂直入渗途径污染土壤。项目按照《环境影响评价技术导则 地下水环境》(HJ610-2016)中的要求，根据场地特性和项目特征，采取分区防渗，在全面落实分区防渗措施的情况下，物料或污染物的垂直入渗对土壤影响较小。</w:t>
            </w:r>
          </w:p>
          <w:p w14:paraId="69CC78EC">
            <w:pPr>
              <w:pStyle w:val="8"/>
              <w:spacing w:line="360" w:lineRule="auto"/>
              <w:ind w:firstLine="240" w:firstLineChars="100"/>
              <w:rPr>
                <w:kern w:val="0"/>
                <w:sz w:val="24"/>
                <w:szCs w:val="24"/>
              </w:rPr>
            </w:pPr>
            <w:r>
              <w:rPr>
                <w:kern w:val="0"/>
                <w:sz w:val="24"/>
                <w:szCs w:val="24"/>
              </w:rPr>
              <w:t>地面漫流型：本项目营运期正常状况下污水经</w:t>
            </w:r>
            <w:r>
              <w:rPr>
                <w:rFonts w:hint="eastAsia"/>
                <w:kern w:val="0"/>
                <w:sz w:val="24"/>
                <w:szCs w:val="24"/>
              </w:rPr>
              <w:t>处理站</w:t>
            </w:r>
            <w:r>
              <w:rPr>
                <w:kern w:val="0"/>
                <w:sz w:val="24"/>
                <w:szCs w:val="24"/>
              </w:rPr>
              <w:t>处理后</w:t>
            </w:r>
            <w:r>
              <w:rPr>
                <w:rFonts w:hint="eastAsia"/>
                <w:kern w:val="0"/>
                <w:sz w:val="24"/>
                <w:szCs w:val="24"/>
              </w:rPr>
              <w:t>租用耕地灌溉</w:t>
            </w:r>
            <w:r>
              <w:rPr>
                <w:kern w:val="0"/>
                <w:sz w:val="24"/>
                <w:szCs w:val="24"/>
              </w:rPr>
              <w:t>，不外排。本项目废水污染物非正常状况下：</w:t>
            </w:r>
          </w:p>
          <w:p w14:paraId="38422AC0">
            <w:pPr>
              <w:pStyle w:val="8"/>
              <w:spacing w:line="360" w:lineRule="auto"/>
              <w:ind w:firstLine="240" w:firstLineChars="100"/>
              <w:rPr>
                <w:kern w:val="0"/>
                <w:sz w:val="24"/>
                <w:szCs w:val="24"/>
              </w:rPr>
            </w:pPr>
            <w:r>
              <w:rPr>
                <w:rFonts w:hint="eastAsia" w:ascii="宋体" w:hAnsi="宋体" w:cs="宋体"/>
                <w:kern w:val="0"/>
                <w:sz w:val="24"/>
                <w:szCs w:val="24"/>
              </w:rPr>
              <w:t>①</w:t>
            </w:r>
            <w:r>
              <w:rPr>
                <w:kern w:val="0"/>
                <w:sz w:val="24"/>
                <w:szCs w:val="24"/>
              </w:rPr>
              <w:t>若废水管道、废水处理池体破裂时，未经处理的废水溢出厂外，影响土壤环境；</w:t>
            </w:r>
          </w:p>
          <w:p w14:paraId="2AD3ECCA">
            <w:pPr>
              <w:pStyle w:val="8"/>
              <w:spacing w:line="360" w:lineRule="auto"/>
              <w:ind w:firstLine="240" w:firstLineChars="100"/>
              <w:rPr>
                <w:kern w:val="0"/>
                <w:sz w:val="24"/>
                <w:szCs w:val="24"/>
              </w:rPr>
            </w:pPr>
            <w:r>
              <w:rPr>
                <w:rFonts w:hint="eastAsia" w:ascii="宋体" w:hAnsi="宋体" w:cs="宋体"/>
                <w:kern w:val="0"/>
                <w:sz w:val="24"/>
                <w:szCs w:val="24"/>
              </w:rPr>
              <w:t>②</w:t>
            </w:r>
            <w:r>
              <w:rPr>
                <w:kern w:val="0"/>
                <w:sz w:val="24"/>
                <w:szCs w:val="24"/>
              </w:rPr>
              <w:t>如遇停电、机器故障或者检修期间导致废水不能处理</w:t>
            </w:r>
            <w:r>
              <w:rPr>
                <w:rFonts w:hint="eastAsia"/>
                <w:kern w:val="0"/>
                <w:sz w:val="24"/>
                <w:szCs w:val="24"/>
              </w:rPr>
              <w:t>而外溢</w:t>
            </w:r>
            <w:r>
              <w:rPr>
                <w:kern w:val="0"/>
                <w:sz w:val="24"/>
                <w:szCs w:val="24"/>
              </w:rPr>
              <w:t>进入土壤环境；</w:t>
            </w:r>
          </w:p>
          <w:p w14:paraId="2B263934">
            <w:pPr>
              <w:pStyle w:val="8"/>
              <w:spacing w:line="360" w:lineRule="auto"/>
              <w:ind w:firstLine="240" w:firstLineChars="100"/>
              <w:rPr>
                <w:rFonts w:ascii="宋体" w:hAnsi="宋体" w:cs="宋体"/>
                <w:kern w:val="0"/>
                <w:sz w:val="24"/>
                <w:szCs w:val="24"/>
              </w:rPr>
            </w:pPr>
            <w:r>
              <w:rPr>
                <w:rFonts w:ascii="宋体" w:hAnsi="宋体" w:cs="宋体"/>
                <w:kern w:val="0"/>
                <w:sz w:val="24"/>
                <w:szCs w:val="24"/>
              </w:rPr>
              <w:t>大气沉降型：本项目营运期大气污染物主要为二氧化硫、氮氧化物，硫化氢、氨，其排放速率及浓度均满足相应排放标准要求。根据大气预测结果，年均浓度贡献值小，沉降到土壤的输入量小，在土壤吸附、络合、沉淀和阻留作用下，迁移速度较缓慢，大部分残留在土壤耕作层，极少向下层土壤迁移。故大气沉降对土壤影响较小。</w:t>
            </w:r>
          </w:p>
          <w:p w14:paraId="3E7DB0DF">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土壤环境保护措施与对策</w:t>
            </w:r>
          </w:p>
          <w:p w14:paraId="36F32587">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源头控制措施</w:t>
            </w:r>
          </w:p>
          <w:p w14:paraId="78371DCF">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w:t>
            </w:r>
          </w:p>
          <w:p w14:paraId="774CA4C0">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过程防控措施</w:t>
            </w:r>
          </w:p>
          <w:p w14:paraId="536CA519">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hint="eastAsia" w:ascii="Times New Roman" w:hAnsi="Times New Roman" w:cs="Times New Roman"/>
                <w:sz w:val="24"/>
              </w:rPr>
              <w:t>沉降防控措施</w:t>
            </w:r>
          </w:p>
          <w:p w14:paraId="1F447753">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本项目</w:t>
            </w:r>
            <w:r>
              <w:rPr>
                <w:rFonts w:hint="eastAsia" w:ascii="Times New Roman" w:hAnsi="Times New Roman" w:cs="Times New Roman"/>
                <w:sz w:val="24"/>
              </w:rPr>
              <w:t>采取严格的废气治理措施，废气达标排放。同时，</w:t>
            </w:r>
            <w:r>
              <w:rPr>
                <w:rFonts w:ascii="Times New Roman" w:hAnsi="Times New Roman" w:cs="Times New Roman"/>
                <w:sz w:val="24"/>
              </w:rPr>
              <w:t>在空地和厂房周边种植具有较强吸附能力的树木，通过绿化措施降低二氧化硫、氮氧化物沉降对周边土壤的影响</w:t>
            </w:r>
            <w:r>
              <w:rPr>
                <w:rFonts w:hint="eastAsia" w:ascii="Times New Roman" w:hAnsi="Times New Roman" w:cs="Times New Roman"/>
                <w:sz w:val="24"/>
              </w:rPr>
              <w:t>。</w:t>
            </w:r>
          </w:p>
          <w:p w14:paraId="16697037">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地面漫流防治措施</w:t>
            </w:r>
          </w:p>
          <w:p w14:paraId="59AC4CA3">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56AD475E">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b.</w:t>
            </w:r>
            <w:r>
              <w:rPr>
                <w:rFonts w:ascii="Times New Roman" w:hAnsi="Times New Roman" w:cs="Times New Roman"/>
                <w:sz w:val="24"/>
              </w:rPr>
              <w:t>如遇停电、机器故障或者检修期间导致废水不能处理，而致使超过废水收集池容量而溢出时，应立即停产，关闭废水输送阀门，减少送往废水处理系统的废水量</w:t>
            </w:r>
            <w:r>
              <w:rPr>
                <w:rFonts w:hint="eastAsia" w:ascii="Times New Roman" w:hAnsi="Times New Roman" w:cs="Times New Roman"/>
                <w:sz w:val="24"/>
              </w:rPr>
              <w:t>。</w:t>
            </w:r>
          </w:p>
          <w:p w14:paraId="7994CAF6">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ascii="Times New Roman" w:hAnsi="Times New Roman" w:cs="Times New Roman"/>
                <w:sz w:val="24"/>
              </w:rPr>
              <w:t>垂直入渗防治措施</w:t>
            </w:r>
          </w:p>
          <w:p w14:paraId="049034BA">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废水收集沟渠、废水处理池均用水泥硬化，并对各污水处理池做防腐、防渗处理，防渗层为至2mm厚高密度聚乙烯，或至少2mm厚的其它人工材料，渗透系数≤10</w:t>
            </w:r>
            <w:r>
              <w:rPr>
                <w:rFonts w:ascii="Times New Roman" w:hAnsi="Times New Roman" w:cs="Times New Roman"/>
                <w:sz w:val="24"/>
                <w:vertAlign w:val="superscript"/>
              </w:rPr>
              <w:t>-7</w:t>
            </w:r>
            <w:r>
              <w:rPr>
                <w:rFonts w:ascii="Times New Roman" w:hAnsi="Times New Roman" w:cs="Times New Roman"/>
                <w:sz w:val="24"/>
              </w:rPr>
              <w:t>cm/s，因此，项目废水的渗漏对土壤影响较小；为防止污水外渗时发生扩散，环评单位建议建设单位对废水收集沟渠、废水处理池表面涂防渗材料，控制各单元防渗层渗透系数≤10</w:t>
            </w:r>
            <w:r>
              <w:rPr>
                <w:rFonts w:ascii="Times New Roman" w:hAnsi="Times New Roman" w:cs="Times New Roman"/>
                <w:sz w:val="24"/>
                <w:vertAlign w:val="superscript"/>
              </w:rPr>
              <w:t>-7</w:t>
            </w:r>
            <w:r>
              <w:rPr>
                <w:rFonts w:ascii="Times New Roman" w:hAnsi="Times New Roman" w:cs="Times New Roman"/>
                <w:sz w:val="24"/>
              </w:rPr>
              <w:t>cm/s，防止污水外渗时发生扩散。</w:t>
            </w:r>
          </w:p>
          <w:p w14:paraId="3F54A144">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土壤环境影响评价小结</w:t>
            </w:r>
          </w:p>
          <w:p w14:paraId="0DD493E5">
            <w:pPr>
              <w:widowControl/>
              <w:spacing w:line="360" w:lineRule="auto"/>
              <w:ind w:firstLine="240" w:firstLineChars="100"/>
              <w:jc w:val="left"/>
              <w:rPr>
                <w:rFonts w:ascii="Times New Roman" w:hAnsi="Times New Roman" w:cs="Times New Roman"/>
                <w:sz w:val="24"/>
              </w:rPr>
            </w:pPr>
            <w:r>
              <w:rPr>
                <w:rFonts w:ascii="Times New Roman" w:hAnsi="Times New Roman" w:cs="Times New Roman"/>
                <w:sz w:val="24"/>
              </w:rPr>
              <w:t>综上，在正常状况下，本项目营运期污水</w:t>
            </w:r>
            <w:r>
              <w:rPr>
                <w:rFonts w:hint="eastAsia" w:ascii="Times New Roman" w:hAnsi="Times New Roman" w:cs="Times New Roman"/>
                <w:sz w:val="24"/>
              </w:rPr>
              <w:t>经处理站</w:t>
            </w:r>
            <w:r>
              <w:rPr>
                <w:rFonts w:ascii="Times New Roman" w:hAnsi="Times New Roman" w:cs="Times New Roman"/>
                <w:kern w:val="0"/>
                <w:sz w:val="24"/>
              </w:rPr>
              <w:t>处理后</w:t>
            </w:r>
            <w:r>
              <w:rPr>
                <w:rFonts w:hint="eastAsia" w:ascii="Times New Roman" w:hAnsi="Times New Roman" w:cs="Times New Roman"/>
                <w:kern w:val="0"/>
                <w:sz w:val="24"/>
              </w:rPr>
              <w:t>用于</w:t>
            </w:r>
            <w:r>
              <w:rPr>
                <w:rFonts w:hint="eastAsia"/>
                <w:kern w:val="0"/>
                <w:sz w:val="24"/>
              </w:rPr>
              <w:t>租用耕地灌溉</w:t>
            </w:r>
            <w:r>
              <w:rPr>
                <w:rFonts w:ascii="Times New Roman" w:hAnsi="Times New Roman" w:cs="Times New Roman"/>
                <w:sz w:val="24"/>
              </w:rPr>
              <w:t>不外排</w:t>
            </w:r>
            <w:r>
              <w:rPr>
                <w:rFonts w:hint="eastAsia" w:ascii="Times New Roman" w:hAnsi="Times New Roman" w:cs="Times New Roman"/>
                <w:sz w:val="24"/>
              </w:rPr>
              <w:t>，废气达标排放，对区域土壤环境影响小。</w:t>
            </w:r>
          </w:p>
          <w:p w14:paraId="13A4489A">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 xml:space="preserve">4.2.8 </w:t>
            </w:r>
            <w:r>
              <w:rPr>
                <w:rFonts w:hint="eastAsia" w:ascii="Times New Roman" w:hAnsi="Times New Roman" w:cs="Times New Roman"/>
                <w:b/>
              </w:rPr>
              <w:t>地下水</w:t>
            </w:r>
            <w:r>
              <w:rPr>
                <w:rFonts w:ascii="Times New Roman" w:hAnsi="Times New Roman" w:cs="Times New Roman"/>
                <w:b/>
              </w:rPr>
              <w:t>环境</w:t>
            </w:r>
            <w:r>
              <w:rPr>
                <w:rFonts w:hint="eastAsia" w:ascii="Times New Roman" w:hAnsi="Times New Roman" w:cs="Times New Roman"/>
                <w:b/>
              </w:rPr>
              <w:t>影响分析</w:t>
            </w:r>
          </w:p>
          <w:p w14:paraId="085A164B">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根据《环境影响评价技术导则</w:t>
            </w:r>
            <w:r>
              <w:rPr>
                <w:rFonts w:hint="eastAsia" w:ascii="Times New Roman" w:hAnsi="Times New Roman" w:cs="Times New Roman"/>
                <w:sz w:val="24"/>
              </w:rPr>
              <w:t xml:space="preserve"> </w:t>
            </w:r>
            <w:r>
              <w:rPr>
                <w:rFonts w:ascii="Times New Roman" w:hAnsi="Times New Roman" w:cs="Times New Roman"/>
                <w:sz w:val="24"/>
              </w:rPr>
              <w:t>地下水环境》（HJ610-2016）附录A“地下水环境影响评价行业分类表”，本项目属于</w:t>
            </w:r>
            <w:r>
              <w:rPr>
                <w:rFonts w:hint="eastAsia" w:ascii="Times New Roman" w:hAnsi="Times New Roman" w:cs="Times New Roman"/>
                <w:sz w:val="24"/>
              </w:rPr>
              <w:t>“</w:t>
            </w:r>
            <w:r>
              <w:rPr>
                <w:rFonts w:ascii="Times New Roman" w:hAnsi="Times New Roman" w:cs="Times New Roman"/>
                <w:sz w:val="24"/>
              </w:rPr>
              <w:t>U</w:t>
            </w:r>
            <w:r>
              <w:rPr>
                <w:rFonts w:hint="eastAsia" w:ascii="Times New Roman" w:hAnsi="Times New Roman" w:cs="Times New Roman"/>
                <w:sz w:val="24"/>
              </w:rPr>
              <w:t>城镇基础设施及房地产</w:t>
            </w:r>
            <w:r>
              <w:rPr>
                <w:rFonts w:ascii="Times New Roman" w:hAnsi="Times New Roman" w:cs="Times New Roman"/>
                <w:sz w:val="24"/>
              </w:rPr>
              <w:t>——155、</w:t>
            </w:r>
            <w:r>
              <w:rPr>
                <w:rFonts w:hint="eastAsia" w:ascii="Times New Roman" w:hAnsi="Times New Roman" w:cs="Times New Roman"/>
                <w:sz w:val="24"/>
              </w:rPr>
              <w:t>废旧资源（含生物质）加工、再生利用”</w:t>
            </w:r>
            <w:r>
              <w:rPr>
                <w:rFonts w:ascii="Times New Roman" w:hAnsi="Times New Roman" w:cs="Times New Roman"/>
                <w:sz w:val="24"/>
              </w:rPr>
              <w:t>，</w:t>
            </w:r>
            <w:r>
              <w:rPr>
                <w:rFonts w:hint="eastAsia" w:ascii="Times New Roman" w:hAnsi="Times New Roman" w:cs="Times New Roman"/>
                <w:sz w:val="24"/>
              </w:rPr>
              <w:t>编制报告表</w:t>
            </w:r>
            <w:r>
              <w:rPr>
                <w:rFonts w:ascii="Times New Roman" w:hAnsi="Times New Roman" w:cs="Times New Roman"/>
                <w:sz w:val="24"/>
              </w:rPr>
              <w:t>属于</w:t>
            </w:r>
            <w:r>
              <w:rPr>
                <w:rFonts w:hint="eastAsia" w:ascii="宋体" w:hAnsi="宋体" w:eastAsia="宋体" w:cs="Times New Roman"/>
                <w:sz w:val="24"/>
              </w:rPr>
              <w:t>Ⅳ</w:t>
            </w:r>
            <w:r>
              <w:rPr>
                <w:rFonts w:ascii="Times New Roman" w:hAnsi="Times New Roman" w:cs="Times New Roman"/>
                <w:sz w:val="24"/>
              </w:rPr>
              <w:t>类项目</w:t>
            </w:r>
            <w:r>
              <w:rPr>
                <w:rFonts w:hint="eastAsia" w:ascii="Times New Roman" w:hAnsi="Times New Roman" w:cs="Times New Roman"/>
                <w:sz w:val="24"/>
              </w:rPr>
              <w:t>，不开展地下水环境影响评价。且</w:t>
            </w:r>
            <w:r>
              <w:rPr>
                <w:rFonts w:ascii="Times New Roman" w:hAnsi="Times New Roman" w:cs="Times New Roman"/>
                <w:sz w:val="24"/>
              </w:rPr>
              <w:t>项目位于</w:t>
            </w:r>
            <w:r>
              <w:rPr>
                <w:rFonts w:hint="eastAsia" w:ascii="Times New Roman" w:hAnsi="Times New Roman" w:cs="Times New Roman"/>
                <w:sz w:val="24"/>
              </w:rPr>
              <w:t>芒市三台山乡邦外村委会帕当坝村小组</w:t>
            </w:r>
            <w:r>
              <w:rPr>
                <w:rFonts w:ascii="Times New Roman" w:hAnsi="Times New Roman" w:cs="Times New Roman"/>
                <w:sz w:val="24"/>
              </w:rPr>
              <w:t>，地下水环境不敏感</w:t>
            </w:r>
            <w:r>
              <w:rPr>
                <w:rFonts w:hint="eastAsia" w:ascii="Times New Roman" w:hAnsi="Times New Roman" w:cs="Times New Roman"/>
                <w:sz w:val="24"/>
              </w:rPr>
              <w:t>。故，本次评价仅对地下水环境影响进行简单分析。</w:t>
            </w:r>
          </w:p>
          <w:p w14:paraId="088E9BE6">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污染途径</w:t>
            </w:r>
          </w:p>
          <w:p w14:paraId="3D571141">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污染物对地下水的影响主要是由于</w:t>
            </w:r>
            <w:r>
              <w:rPr>
                <w:rFonts w:hint="eastAsia" w:ascii="Times New Roman" w:hAnsi="Times New Roman" w:cs="Times New Roman"/>
                <w:sz w:val="24"/>
              </w:rPr>
              <w:t>受污染</w:t>
            </w:r>
            <w:r>
              <w:rPr>
                <w:rFonts w:ascii="Times New Roman" w:hAnsi="Times New Roman" w:cs="Times New Roman"/>
                <w:sz w:val="24"/>
              </w:rPr>
              <w:t>降雨或废水排放等通过垂直渗透进入包气带</w:t>
            </w:r>
            <w:r>
              <w:rPr>
                <w:rFonts w:hint="eastAsia" w:ascii="Times New Roman" w:hAnsi="Times New Roman" w:cs="Times New Roman"/>
                <w:sz w:val="24"/>
              </w:rPr>
              <w:t>。</w:t>
            </w:r>
            <w:r>
              <w:rPr>
                <w:rFonts w:ascii="Times New Roman" w:hAnsi="Times New Roman" w:cs="Times New Roman"/>
                <w:sz w:val="24"/>
              </w:rPr>
              <w:t>进入包气带的污染物在物理、化学和生物作用下经吸附、转化、迁移和分解后输入地下水。 因此，包气带是联接地面污染物与地下含水层的主要通道和过渡带，既是污染物媒介体，又是污染物的净化场所和防护层。</w:t>
            </w:r>
          </w:p>
          <w:p w14:paraId="209492A8">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地下水能否被污染跟污染物的种类、性质及污染途径有密切关系。一般来说，土壤粒细而紧密，渗透性差，则污染慢；反之，颗粒大松散，渗透性能良好则污染重。</w:t>
            </w:r>
          </w:p>
          <w:p w14:paraId="4A441A9B">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本项目对地下水产生污染的途径主要是渗透污染。渗透污染是导致地下水污染的普遍和主要方式，</w:t>
            </w:r>
            <w:r>
              <w:rPr>
                <w:rFonts w:hint="eastAsia" w:ascii="Times New Roman" w:hAnsi="Times New Roman" w:cs="Times New Roman"/>
                <w:sz w:val="24"/>
              </w:rPr>
              <w:t>其</w:t>
            </w:r>
            <w:r>
              <w:rPr>
                <w:rFonts w:ascii="Times New Roman" w:hAnsi="Times New Roman" w:cs="Times New Roman"/>
                <w:sz w:val="24"/>
              </w:rPr>
              <w:t>主要可能性</w:t>
            </w:r>
            <w:r>
              <w:rPr>
                <w:rFonts w:hint="eastAsia" w:ascii="Times New Roman" w:hAnsi="Times New Roman" w:cs="Times New Roman"/>
                <w:sz w:val="24"/>
              </w:rPr>
              <w:t>来源为：</w:t>
            </w:r>
          </w:p>
          <w:p w14:paraId="29E76E89">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①污水池渗水和</w:t>
            </w:r>
            <w:r>
              <w:rPr>
                <w:rFonts w:ascii="Times New Roman" w:hAnsi="Times New Roman" w:cs="Times New Roman"/>
                <w:sz w:val="24"/>
              </w:rPr>
              <w:t>企业产生的生产废水、生活污水在事故情况下排</w:t>
            </w:r>
            <w:r>
              <w:rPr>
                <w:rFonts w:hint="eastAsia" w:ascii="Times New Roman" w:hAnsi="Times New Roman" w:cs="Times New Roman"/>
                <w:sz w:val="24"/>
              </w:rPr>
              <w:t>入</w:t>
            </w:r>
            <w:r>
              <w:rPr>
                <w:rFonts w:ascii="Times New Roman" w:hAnsi="Times New Roman" w:cs="Times New Roman"/>
                <w:sz w:val="24"/>
              </w:rPr>
              <w:t>地表水环境，再渗入补给含水层，或者直接渗入土壤，而污染含水层。</w:t>
            </w:r>
          </w:p>
          <w:p w14:paraId="64A386EB">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②</w:t>
            </w:r>
            <w:r>
              <w:rPr>
                <w:rFonts w:ascii="Times New Roman" w:hAnsi="Times New Roman" w:cs="Times New Roman"/>
                <w:sz w:val="24"/>
              </w:rPr>
              <w:t>固体废物在雨水淋滤作用下，淋滤液下渗引起</w:t>
            </w:r>
            <w:r>
              <w:rPr>
                <w:rFonts w:hint="eastAsia" w:ascii="Times New Roman" w:hAnsi="Times New Roman" w:cs="Times New Roman"/>
                <w:sz w:val="24"/>
              </w:rPr>
              <w:t>的</w:t>
            </w:r>
            <w:r>
              <w:rPr>
                <w:rFonts w:ascii="Times New Roman" w:hAnsi="Times New Roman" w:cs="Times New Roman"/>
                <w:sz w:val="24"/>
              </w:rPr>
              <w:t>地下水污染</w:t>
            </w:r>
            <w:r>
              <w:rPr>
                <w:rFonts w:hint="eastAsia" w:ascii="Times New Roman" w:hAnsi="Times New Roman" w:cs="Times New Roman"/>
                <w:sz w:val="24"/>
              </w:rPr>
              <w:t>。</w:t>
            </w:r>
          </w:p>
          <w:p w14:paraId="43265917">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hint="eastAsia" w:ascii="Times New Roman" w:hAnsi="Times New Roman" w:cs="Times New Roman"/>
                <w:sz w:val="24"/>
              </w:rPr>
              <w:t>废机油容器破损，废油通过非防渗地面下渗而</w:t>
            </w:r>
            <w:r>
              <w:rPr>
                <w:rFonts w:ascii="Times New Roman" w:hAnsi="Times New Roman" w:cs="Times New Roman"/>
                <w:sz w:val="24"/>
              </w:rPr>
              <w:t>引起</w:t>
            </w:r>
            <w:r>
              <w:rPr>
                <w:rFonts w:hint="eastAsia" w:ascii="Times New Roman" w:hAnsi="Times New Roman" w:cs="Times New Roman"/>
                <w:sz w:val="24"/>
              </w:rPr>
              <w:t>的</w:t>
            </w:r>
            <w:r>
              <w:rPr>
                <w:rFonts w:ascii="Times New Roman" w:hAnsi="Times New Roman" w:cs="Times New Roman"/>
                <w:sz w:val="24"/>
              </w:rPr>
              <w:t>地下水污染</w:t>
            </w:r>
            <w:r>
              <w:rPr>
                <w:rFonts w:hint="eastAsia" w:ascii="Times New Roman" w:hAnsi="Times New Roman" w:cs="Times New Roman"/>
                <w:sz w:val="24"/>
              </w:rPr>
              <w:t>。</w:t>
            </w:r>
          </w:p>
          <w:p w14:paraId="04EC4E0D">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4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④</w:t>
            </w:r>
            <w:r>
              <w:rPr>
                <w:rFonts w:ascii="Times New Roman" w:hAnsi="Times New Roman" w:cs="Times New Roman"/>
                <w:sz w:val="24"/>
              </w:rPr>
              <w:fldChar w:fldCharType="end"/>
            </w:r>
            <w:r>
              <w:rPr>
                <w:rFonts w:hint="eastAsia" w:ascii="Times New Roman" w:hAnsi="Times New Roman" w:cs="Times New Roman"/>
                <w:sz w:val="24"/>
              </w:rPr>
              <w:t>污废水处理设施泄露，污水通过非防渗地面下渗而</w:t>
            </w:r>
            <w:r>
              <w:rPr>
                <w:rFonts w:ascii="Times New Roman" w:hAnsi="Times New Roman" w:cs="Times New Roman"/>
                <w:sz w:val="24"/>
              </w:rPr>
              <w:t>引起</w:t>
            </w:r>
            <w:r>
              <w:rPr>
                <w:rFonts w:hint="eastAsia" w:ascii="Times New Roman" w:hAnsi="Times New Roman" w:cs="Times New Roman"/>
                <w:sz w:val="24"/>
              </w:rPr>
              <w:t>的</w:t>
            </w:r>
            <w:r>
              <w:rPr>
                <w:rFonts w:ascii="Times New Roman" w:hAnsi="Times New Roman" w:cs="Times New Roman"/>
                <w:sz w:val="24"/>
              </w:rPr>
              <w:t>地下水污染</w:t>
            </w:r>
            <w:r>
              <w:rPr>
                <w:rFonts w:hint="eastAsia" w:ascii="Times New Roman" w:hAnsi="Times New Roman" w:cs="Times New Roman"/>
                <w:sz w:val="24"/>
              </w:rPr>
              <w:t>。</w:t>
            </w:r>
          </w:p>
          <w:p w14:paraId="6376FD94">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对策措施</w:t>
            </w:r>
          </w:p>
          <w:p w14:paraId="1C6F39C1">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源头控制措施：构建完善的废水分类收集和分质处理系统，</w:t>
            </w:r>
            <w:r>
              <w:rPr>
                <w:rFonts w:hint="eastAsia" w:ascii="Times New Roman" w:hAnsi="Times New Roman" w:cs="Times New Roman"/>
                <w:sz w:val="24"/>
              </w:rPr>
              <w:t>做好废气处理系统废水的收集、回用措施，以及生活污水的分类处理措施；</w:t>
            </w:r>
            <w:r>
              <w:rPr>
                <w:rFonts w:ascii="Times New Roman" w:hAnsi="Times New Roman" w:cs="Times New Roman"/>
                <w:sz w:val="24"/>
              </w:rPr>
              <w:t>废水收集和输送应设置急防护措施；各类固态废物能够得以妥善处置，避免产生渗滤液。</w:t>
            </w:r>
          </w:p>
          <w:p w14:paraId="6F08BE17">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分区防治措施：为防止地下水污染的被动控制措施即为地面防渗工程，包括两部分内容</w:t>
            </w:r>
            <w:r>
              <w:rPr>
                <w:rFonts w:hint="eastAsia" w:ascii="Times New Roman" w:hAnsi="Times New Roman" w:cs="Times New Roman"/>
                <w:sz w:val="24"/>
              </w:rPr>
              <w:t>，</w:t>
            </w:r>
            <w:r>
              <w:rPr>
                <w:rFonts w:ascii="Times New Roman" w:hAnsi="Times New Roman" w:cs="Times New Roman"/>
                <w:sz w:val="24"/>
              </w:rPr>
              <w:t>一是全厂污染区参照相应标准要求铺设防渗层，以阻止泄漏到地面的污染物进入地下水中；二是全厂污染区防渗区域内设置渗漏污染物收集系统，将滞留在地面的污染物收集起来，集中处理。按照污染分区原则，</w:t>
            </w:r>
            <w:r>
              <w:rPr>
                <w:rFonts w:hint="eastAsia" w:ascii="Times New Roman" w:hAnsi="Times New Roman" w:cs="Times New Roman"/>
                <w:sz w:val="24"/>
              </w:rPr>
              <w:t>本工程新建设施</w:t>
            </w:r>
            <w:r>
              <w:rPr>
                <w:rFonts w:ascii="Times New Roman" w:hAnsi="Times New Roman" w:cs="Times New Roman"/>
                <w:sz w:val="24"/>
              </w:rPr>
              <w:t>全厂污染防治分区情况详见</w:t>
            </w:r>
            <w:r>
              <w:rPr>
                <w:rFonts w:hint="eastAsia" w:ascii="Times New Roman" w:hAnsi="Times New Roman" w:cs="Times New Roman"/>
                <w:sz w:val="24"/>
              </w:rPr>
              <w:t>下</w:t>
            </w:r>
            <w:r>
              <w:rPr>
                <w:rFonts w:ascii="Times New Roman" w:hAnsi="Times New Roman" w:cs="Times New Roman"/>
                <w:sz w:val="24"/>
              </w:rPr>
              <w:t>表。</w:t>
            </w:r>
          </w:p>
          <w:p w14:paraId="109EF708">
            <w:pPr>
              <w:spacing w:line="500" w:lineRule="exact"/>
              <w:jc w:val="center"/>
              <w:rPr>
                <w:rFonts w:ascii="Times New Roman" w:hAnsi="Times New Roman" w:cs="Times New Roman"/>
                <w:b/>
                <w:szCs w:val="21"/>
              </w:rPr>
            </w:pPr>
            <w:r>
              <w:rPr>
                <w:rFonts w:ascii="Times New Roman" w:hAnsi="Times New Roman" w:cs="Times New Roman"/>
                <w:b/>
                <w:szCs w:val="21"/>
              </w:rPr>
              <w:t>表4-28    厂区污染防治分区情况表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4369"/>
            </w:tblGrid>
            <w:tr w14:paraId="494D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62" w:type="dxa"/>
                  <w:shd w:val="clear" w:color="auto" w:fill="auto"/>
                  <w:vAlign w:val="center"/>
                </w:tcPr>
                <w:p w14:paraId="4B4EF3B1">
                  <w:pPr>
                    <w:spacing w:line="320" w:lineRule="exact"/>
                    <w:jc w:val="center"/>
                    <w:rPr>
                      <w:b/>
                      <w:bCs/>
                      <w:kern w:val="0"/>
                      <w:szCs w:val="21"/>
                    </w:rPr>
                  </w:pPr>
                  <w:r>
                    <w:rPr>
                      <w:rFonts w:hint="eastAsia"/>
                      <w:b/>
                      <w:bCs/>
                      <w:kern w:val="0"/>
                      <w:szCs w:val="21"/>
                    </w:rPr>
                    <w:t>防渗分区</w:t>
                  </w:r>
                </w:p>
              </w:tc>
              <w:tc>
                <w:tcPr>
                  <w:tcW w:w="4369" w:type="dxa"/>
                  <w:shd w:val="clear" w:color="auto" w:fill="auto"/>
                  <w:vAlign w:val="center"/>
                </w:tcPr>
                <w:p w14:paraId="3AB0CABE">
                  <w:pPr>
                    <w:spacing w:line="320" w:lineRule="exact"/>
                    <w:jc w:val="center"/>
                    <w:rPr>
                      <w:b/>
                      <w:bCs/>
                      <w:kern w:val="0"/>
                      <w:szCs w:val="21"/>
                    </w:rPr>
                  </w:pPr>
                  <w:r>
                    <w:rPr>
                      <w:rFonts w:hint="eastAsia"/>
                      <w:b/>
                      <w:bCs/>
                      <w:kern w:val="0"/>
                      <w:szCs w:val="21"/>
                    </w:rPr>
                    <w:t>范 围</w:t>
                  </w:r>
                </w:p>
              </w:tc>
            </w:tr>
            <w:tr w14:paraId="7748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62" w:type="dxa"/>
                  <w:shd w:val="clear" w:color="auto" w:fill="auto"/>
                  <w:vAlign w:val="center"/>
                </w:tcPr>
                <w:p w14:paraId="71ADAAB6">
                  <w:pPr>
                    <w:spacing w:line="320" w:lineRule="exact"/>
                    <w:jc w:val="center"/>
                    <w:rPr>
                      <w:kern w:val="0"/>
                      <w:szCs w:val="21"/>
                    </w:rPr>
                  </w:pPr>
                  <w:r>
                    <w:rPr>
                      <w:rFonts w:hint="eastAsia"/>
                      <w:kern w:val="0"/>
                      <w:szCs w:val="21"/>
                    </w:rPr>
                    <w:t>重点防渗区</w:t>
                  </w:r>
                </w:p>
              </w:tc>
              <w:tc>
                <w:tcPr>
                  <w:tcW w:w="4369" w:type="dxa"/>
                  <w:shd w:val="clear" w:color="auto" w:fill="auto"/>
                  <w:vAlign w:val="center"/>
                </w:tcPr>
                <w:p w14:paraId="3794C5E0">
                  <w:pPr>
                    <w:spacing w:line="320" w:lineRule="exact"/>
                    <w:jc w:val="center"/>
                    <w:rPr>
                      <w:kern w:val="0"/>
                      <w:szCs w:val="21"/>
                    </w:rPr>
                  </w:pPr>
                  <w:r>
                    <w:rPr>
                      <w:rFonts w:hint="eastAsia"/>
                      <w:kern w:val="0"/>
                      <w:szCs w:val="21"/>
                    </w:rPr>
                    <w:t>消毒池、生产厂房、污水池、危废间、废气处理系统水池、事故池、生活污水处理站</w:t>
                  </w:r>
                </w:p>
              </w:tc>
            </w:tr>
            <w:tr w14:paraId="1107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62" w:type="dxa"/>
                  <w:shd w:val="clear" w:color="auto" w:fill="auto"/>
                  <w:vAlign w:val="center"/>
                </w:tcPr>
                <w:p w14:paraId="597E104C">
                  <w:pPr>
                    <w:spacing w:line="320" w:lineRule="exact"/>
                    <w:jc w:val="center"/>
                    <w:rPr>
                      <w:kern w:val="0"/>
                      <w:szCs w:val="21"/>
                    </w:rPr>
                  </w:pPr>
                  <w:r>
                    <w:rPr>
                      <w:rFonts w:hint="eastAsia"/>
                      <w:kern w:val="0"/>
                      <w:szCs w:val="21"/>
                    </w:rPr>
                    <w:t>一般防渗区</w:t>
                  </w:r>
                </w:p>
              </w:tc>
              <w:tc>
                <w:tcPr>
                  <w:tcW w:w="4369" w:type="dxa"/>
                  <w:shd w:val="clear" w:color="auto" w:fill="auto"/>
                  <w:vAlign w:val="center"/>
                </w:tcPr>
                <w:p w14:paraId="52DA67A9">
                  <w:pPr>
                    <w:spacing w:line="320" w:lineRule="exact"/>
                    <w:jc w:val="center"/>
                    <w:rPr>
                      <w:kern w:val="0"/>
                      <w:szCs w:val="21"/>
                    </w:rPr>
                  </w:pPr>
                  <w:r>
                    <w:rPr>
                      <w:rFonts w:hint="eastAsia"/>
                      <w:kern w:val="0"/>
                      <w:szCs w:val="21"/>
                    </w:rPr>
                    <w:t>雨水池、冷却塔、储水池</w:t>
                  </w:r>
                </w:p>
              </w:tc>
            </w:tr>
            <w:tr w14:paraId="16C5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662" w:type="dxa"/>
                  <w:shd w:val="clear" w:color="auto" w:fill="auto"/>
                  <w:vAlign w:val="center"/>
                </w:tcPr>
                <w:p w14:paraId="34D80B55">
                  <w:pPr>
                    <w:spacing w:line="320" w:lineRule="exact"/>
                    <w:jc w:val="center"/>
                    <w:rPr>
                      <w:kern w:val="0"/>
                      <w:szCs w:val="21"/>
                    </w:rPr>
                  </w:pPr>
                  <w:r>
                    <w:rPr>
                      <w:rFonts w:hint="eastAsia"/>
                      <w:kern w:val="0"/>
                      <w:szCs w:val="21"/>
                    </w:rPr>
                    <w:t>简单防渗区</w:t>
                  </w:r>
                </w:p>
              </w:tc>
              <w:tc>
                <w:tcPr>
                  <w:tcW w:w="4369" w:type="dxa"/>
                  <w:shd w:val="clear" w:color="auto" w:fill="auto"/>
                  <w:vAlign w:val="center"/>
                </w:tcPr>
                <w:p w14:paraId="3C7FF587">
                  <w:pPr>
                    <w:spacing w:line="320" w:lineRule="exact"/>
                    <w:jc w:val="center"/>
                    <w:rPr>
                      <w:kern w:val="0"/>
                      <w:szCs w:val="21"/>
                    </w:rPr>
                  </w:pPr>
                  <w:r>
                    <w:rPr>
                      <w:rFonts w:hint="eastAsia"/>
                      <w:kern w:val="0"/>
                      <w:szCs w:val="21"/>
                    </w:rPr>
                    <w:t>其它区域</w:t>
                  </w:r>
                </w:p>
              </w:tc>
            </w:tr>
          </w:tbl>
          <w:p w14:paraId="24A85C56">
            <w:pPr>
              <w:widowControl/>
              <w:snapToGrid w:val="0"/>
              <w:jc w:val="center"/>
              <w:rPr>
                <w:kern w:val="0"/>
                <w:szCs w:val="21"/>
              </w:rPr>
            </w:pPr>
          </w:p>
          <w:p w14:paraId="6E75E93F">
            <w:pPr>
              <w:widowControl/>
              <w:spacing w:line="360" w:lineRule="auto"/>
              <w:ind w:firstLine="480" w:firstLineChars="200"/>
              <w:jc w:val="left"/>
              <w:rPr>
                <w:kern w:val="0"/>
                <w:sz w:val="24"/>
              </w:rPr>
            </w:pPr>
            <w:r>
              <w:rPr>
                <w:kern w:val="0"/>
                <w:sz w:val="24"/>
              </w:rPr>
              <w:t>根据防渗技术要求，参照相关标准和规范，结合施工过程中的可操作性和技术水平，针对不同的防渗区域应采用的防渗措施如下（具体设计时可根据实际情况在满足防渗标准的前提下进行必要的调整）：</w:t>
            </w:r>
          </w:p>
          <w:p w14:paraId="2949A690">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1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①</w:t>
            </w:r>
            <w:r>
              <w:rPr>
                <w:rFonts w:ascii="Times New Roman" w:hAnsi="Times New Roman" w:cs="Times New Roman"/>
                <w:sz w:val="24"/>
              </w:rPr>
              <w:fldChar w:fldCharType="end"/>
            </w:r>
            <w:r>
              <w:rPr>
                <w:rFonts w:ascii="Times New Roman" w:hAnsi="Times New Roman" w:cs="Times New Roman"/>
                <w:sz w:val="24"/>
              </w:rPr>
              <w:t>重点防渗区</w:t>
            </w:r>
          </w:p>
          <w:p w14:paraId="4D79E95B">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防渗层</w:t>
            </w:r>
            <w:r>
              <w:rPr>
                <w:rFonts w:ascii="Times New Roman" w:hAnsi="Times New Roman" w:cs="Times New Roman"/>
                <w:sz w:val="24"/>
              </w:rPr>
              <w:t>渗透系数不大于1×10</w:t>
            </w:r>
            <w:r>
              <w:rPr>
                <w:rFonts w:ascii="Times New Roman" w:hAnsi="Times New Roman" w:cs="Times New Roman"/>
                <w:sz w:val="24"/>
                <w:vertAlign w:val="superscript"/>
              </w:rPr>
              <w:t>-10</w:t>
            </w:r>
            <w:r>
              <w:rPr>
                <w:rFonts w:ascii="Times New Roman" w:hAnsi="Times New Roman" w:cs="Times New Roman"/>
                <w:sz w:val="24"/>
              </w:rPr>
              <w:t>cm/s；</w:t>
            </w:r>
            <w:r>
              <w:rPr>
                <w:rFonts w:hint="eastAsia" w:ascii="Times New Roman" w:hAnsi="Times New Roman" w:cs="Times New Roman"/>
                <w:sz w:val="24"/>
              </w:rPr>
              <w:t>也</w:t>
            </w:r>
            <w:r>
              <w:rPr>
                <w:rFonts w:ascii="Times New Roman" w:hAnsi="Times New Roman" w:cs="Times New Roman"/>
                <w:sz w:val="24"/>
              </w:rPr>
              <w:t>可参考《危险废物填埋污染控制标准》（GB18598-2001），对于场区天然基础层饱和渗透系数小于1.0×10</w:t>
            </w:r>
            <w:r>
              <w:rPr>
                <w:rFonts w:ascii="Times New Roman" w:hAnsi="Times New Roman" w:cs="Times New Roman"/>
                <w:sz w:val="24"/>
                <w:vertAlign w:val="superscript"/>
              </w:rPr>
              <w:t>-7</w:t>
            </w:r>
            <w:r>
              <w:rPr>
                <w:rFonts w:ascii="Times New Roman" w:hAnsi="Times New Roman" w:cs="Times New Roman"/>
                <w:sz w:val="24"/>
              </w:rPr>
              <w:t>cm/s，且厚度大于5m，可以选用天然材料衬层。天然材料衬层经机械压实后的饱和渗透系数不应大于1.0×10</w:t>
            </w:r>
            <w:r>
              <w:rPr>
                <w:rFonts w:ascii="Times New Roman" w:hAnsi="Times New Roman" w:cs="Times New Roman"/>
                <w:sz w:val="24"/>
                <w:vertAlign w:val="superscript"/>
              </w:rPr>
              <w:t>-7</w:t>
            </w:r>
            <w:r>
              <w:rPr>
                <w:rFonts w:ascii="Times New Roman" w:hAnsi="Times New Roman" w:cs="Times New Roman"/>
                <w:sz w:val="24"/>
              </w:rPr>
              <w:t>cm/s，厚度不应小于2m。</w:t>
            </w:r>
          </w:p>
          <w:p w14:paraId="346C9D01">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2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②</w:t>
            </w:r>
            <w:r>
              <w:rPr>
                <w:rFonts w:ascii="Times New Roman" w:hAnsi="Times New Roman" w:cs="Times New Roman"/>
                <w:sz w:val="24"/>
              </w:rPr>
              <w:fldChar w:fldCharType="end"/>
            </w:r>
            <w:r>
              <w:rPr>
                <w:rFonts w:ascii="Times New Roman" w:hAnsi="Times New Roman" w:cs="Times New Roman"/>
                <w:sz w:val="24"/>
              </w:rPr>
              <w:t>一般防渗区</w:t>
            </w:r>
          </w:p>
          <w:p w14:paraId="31FC5516">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除做好设备本身的防渗漏外，要求该区域地坪</w:t>
            </w:r>
            <w:r>
              <w:rPr>
                <w:rFonts w:hint="eastAsia" w:ascii="Times New Roman" w:hAnsi="Times New Roman" w:cs="Times New Roman"/>
                <w:sz w:val="24"/>
              </w:rPr>
              <w:t>防渗层</w:t>
            </w:r>
            <w:r>
              <w:rPr>
                <w:rFonts w:ascii="Times New Roman" w:hAnsi="Times New Roman" w:cs="Times New Roman"/>
                <w:sz w:val="24"/>
              </w:rPr>
              <w:t>渗透系数不大于1×10</w:t>
            </w:r>
            <w:r>
              <w:rPr>
                <w:rFonts w:ascii="Times New Roman" w:hAnsi="Times New Roman" w:cs="Times New Roman"/>
                <w:sz w:val="24"/>
                <w:vertAlign w:val="superscript"/>
              </w:rPr>
              <w:t>-7</w:t>
            </w:r>
            <w:r>
              <w:rPr>
                <w:rFonts w:ascii="Times New Roman" w:hAnsi="Times New Roman" w:cs="Times New Roman"/>
                <w:sz w:val="24"/>
              </w:rPr>
              <w:t>cm/s；也可参考《生活垃圾填埋场污染控制标准》（GB16889-2008），一般污染防治区地坪混凝土防渗层抗渗等级不应小于P6，其厚度不宜小于100mm，其防渗层性能应与1.5m厚黏土层（渗透系数1×10</w:t>
            </w:r>
            <w:r>
              <w:rPr>
                <w:rFonts w:ascii="Times New Roman" w:hAnsi="Times New Roman" w:cs="Times New Roman"/>
                <w:sz w:val="24"/>
                <w:vertAlign w:val="superscript"/>
              </w:rPr>
              <w:t>-7</w:t>
            </w:r>
            <w:r>
              <w:rPr>
                <w:rFonts w:ascii="Times New Roman" w:hAnsi="Times New Roman" w:cs="Times New Roman"/>
                <w:sz w:val="24"/>
              </w:rPr>
              <w:t>cm/s）等效。</w:t>
            </w:r>
          </w:p>
          <w:p w14:paraId="1131A619">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hint="eastAsia" w:ascii="Times New Roman" w:hAnsi="Times New Roman" w:cs="Times New Roman"/>
                <w:sz w:val="24"/>
              </w:rPr>
              <w:instrText xml:space="preserve">= 3 \* GB3</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hint="eastAsia" w:ascii="Times New Roman" w:hAnsi="Times New Roman" w:cs="Times New Roman"/>
                <w:sz w:val="24"/>
              </w:rPr>
              <w:t>③</w:t>
            </w:r>
            <w:r>
              <w:rPr>
                <w:rFonts w:ascii="Times New Roman" w:hAnsi="Times New Roman" w:cs="Times New Roman"/>
                <w:sz w:val="24"/>
              </w:rPr>
              <w:fldChar w:fldCharType="end"/>
            </w:r>
            <w:r>
              <w:rPr>
                <w:rFonts w:ascii="Times New Roman" w:hAnsi="Times New Roman" w:cs="Times New Roman"/>
                <w:sz w:val="24"/>
              </w:rPr>
              <w:t>简单防渗区</w:t>
            </w:r>
          </w:p>
          <w:p w14:paraId="0F40927F">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进行一般地面硬化即可。</w:t>
            </w:r>
          </w:p>
          <w:p w14:paraId="146B0B98">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（3）影响分析</w:t>
            </w:r>
          </w:p>
          <w:p w14:paraId="564DF042">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采取分区防渗处理后，正常情况下以上设备、设施不会发生污废水渗漏事故，对地下水环境影响小。但若消毒池、生产厂房、污水池、废气处理系统水池、事故池、生活污水处理站、危废间废机油等发生泄漏，则可能给片区地下水环境造成一定程度不利影响。因此，建设单位应加强管理，避免出现非正常泄漏情况。</w:t>
            </w:r>
          </w:p>
          <w:p w14:paraId="6552B8F5">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4.2.9 环境管理</w:t>
            </w:r>
          </w:p>
          <w:p w14:paraId="4EA7D942">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管理机构</w:t>
            </w:r>
          </w:p>
          <w:p w14:paraId="4BD38F24">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本项目应加强环境管理，设立专门的环境管理机构，对本项目相关的环境问题进行综合管理。管理机构着重环境管理制度、计划的设立、修改与监督执行，加强工作人员环保意识和能力的培训及环保设施的管理与监测工作的组织，确保环保资金到位。建立环保管理台账，并定期报地方环保主管部门备案，审核。</w:t>
            </w:r>
          </w:p>
          <w:p w14:paraId="3304D6BB">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施工期环境管理和监控计划</w:t>
            </w:r>
          </w:p>
          <w:p w14:paraId="7C2B353E">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施工期的环境管理和监控计划包括施工管理队伍中环境管理机构的组成和任务、施工方案的审查、施工期环境监察制度的建立和施工结束后有关污染控制方面的验收内容等。管理机构的组织和职责；施工期环境管理监督小组的成员包括施工单位的环保监督员、监理工程师和建设单位的环境管理人员。施工期施工场地内外有关施工活动的各项污染防治措施的实施均由施工单位负责，由工程监理单位和建设单位进行检查、监督。所在地区环保局审核实施的结果。</w:t>
            </w:r>
          </w:p>
          <w:p w14:paraId="24F4CEDA">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监控计划的内容：监控计划包括监督控制措施、考核手段和控制目标。</w:t>
            </w:r>
          </w:p>
          <w:p w14:paraId="14C0F92B">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控制大气污染，通过教育和监督运行控制。</w:t>
            </w:r>
          </w:p>
          <w:p w14:paraId="5B99F285">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控制噪声污染，通过监督管理和对噪声污染处罚得当的方式控制噪声。</w:t>
            </w:r>
          </w:p>
          <w:p w14:paraId="56B328D9">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控制水质污染，通过试管人员自我要求与监督人员管理，控制水的污染。</w:t>
            </w:r>
          </w:p>
          <w:p w14:paraId="632A8F74">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规范管理</w:t>
            </w:r>
          </w:p>
          <w:p w14:paraId="2F89C72E">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项目投产运行后，应建立个主要污染物类别、数量、浓度、排放方式、排放去向、达标情况等的台账，并按环保部门要求及时上报。</w:t>
            </w:r>
          </w:p>
          <w:p w14:paraId="34C7EA85">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建设单位建立健全环境管理制度和环保设施操作规程，建立健全岗位责任制：建立厂长负责制，明确每名工作人员的责任范围及工作权限。加强监测数据的统计管理，对废气排放口进行编号张贴明确的指示标志，同时对每个排气筒建立档案，明确每个排气筒的监测规范、监测频率，记录每次监测结果。制定总量控制指标，并纳入各级生产组织的经济考核体系，严格控制污染物排放总量。加强项目环境保护管理要求，对污染处理设施的运行和管理要设置专门的管理人员并建立规范的台账记录。</w:t>
            </w:r>
          </w:p>
          <w:p w14:paraId="2270BA4E">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规范采样口</w:t>
            </w:r>
          </w:p>
          <w:p w14:paraId="2072BE20">
            <w:pPr>
              <w:spacing w:line="360" w:lineRule="auto"/>
              <w:ind w:firstLine="240" w:firstLineChars="100"/>
              <w:jc w:val="left"/>
              <w:rPr>
                <w:rFonts w:ascii="Times New Roman" w:hAnsi="Times New Roman" w:cs="Times New Roman"/>
                <w:sz w:val="24"/>
              </w:rPr>
            </w:pPr>
            <w:r>
              <w:rPr>
                <w:rFonts w:ascii="Times New Roman" w:hAnsi="Times New Roman" w:cs="Times New Roman"/>
                <w:sz w:val="24"/>
              </w:rPr>
              <w:t>根据国家标准《环境保护图形标志——排放口(源)》和国家环保局《排污口规范整治要求(试行)》的技术要求，企业所有排污口</w:t>
            </w:r>
            <w:r>
              <w:rPr>
                <w:rFonts w:hint="eastAsia" w:ascii="Times New Roman" w:hAnsi="Times New Roman" w:cs="Times New Roman"/>
                <w:sz w:val="24"/>
              </w:rPr>
              <w:t>（</w:t>
            </w:r>
            <w:r>
              <w:rPr>
                <w:rFonts w:ascii="Times New Roman" w:hAnsi="Times New Roman" w:cs="Times New Roman"/>
                <w:sz w:val="24"/>
              </w:rPr>
              <w:t>包括水、气、声、渣</w:t>
            </w:r>
            <w:r>
              <w:rPr>
                <w:rFonts w:hint="eastAsia" w:ascii="Times New Roman" w:hAnsi="Times New Roman" w:cs="Times New Roman"/>
                <w:sz w:val="24"/>
              </w:rPr>
              <w:t>）</w:t>
            </w:r>
            <w:r>
              <w:rPr>
                <w:rFonts w:ascii="Times New Roman" w:hAnsi="Times New Roman" w:cs="Times New Roman"/>
                <w:sz w:val="24"/>
              </w:rPr>
              <w:t>必须按照“便于采样、便于计算监测、便于日常现场监督检查”的原则和规范化要求，设置与之相适应的环境保护图形标志牌，回执企业排污口分布图。排污口规范化设置技术要求：</w:t>
            </w:r>
          </w:p>
          <w:p w14:paraId="23FA5207">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合理确定废气排气口位置，并按《污染源监测技术规范》设置采样点。</w:t>
            </w:r>
          </w:p>
          <w:p w14:paraId="11D49879">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 xml:space="preserve">按照 GB15562.1-1995 及 GB15562.2-1995《环境保护图形标志》的规定，规范化整治的排污口应设置相应的环境保护图形标志牌。 </w:t>
            </w:r>
          </w:p>
          <w:p w14:paraId="7B43DB9C">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按要求填写由国家环境保护总局统一印制的《中华人民共和国规范化排污标志登记证》并根据登记证的内容建立排污口管理档案。</w:t>
            </w:r>
          </w:p>
          <w:p w14:paraId="05EC2012">
            <w:pPr>
              <w:spacing w:line="360" w:lineRule="auto"/>
              <w:ind w:firstLine="240" w:firstLineChars="1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规范化整治排污口的有关设施属环境保护设施，应将其纳入本单位设备管理，并选派责任心情，有专业知识和技能的兼、专职人员对排污口进行管理。</w:t>
            </w:r>
          </w:p>
          <w:p w14:paraId="129943F4">
            <w:pPr>
              <w:pStyle w:val="10"/>
              <w:spacing w:line="360" w:lineRule="auto"/>
              <w:ind w:left="233" w:leftChars="111" w:right="105" w:rightChars="50"/>
              <w:rPr>
                <w:rFonts w:ascii="Times New Roman" w:hAnsi="Times New Roman" w:cs="Times New Roman"/>
                <w:b/>
              </w:rPr>
            </w:pPr>
            <w:r>
              <w:rPr>
                <w:rFonts w:ascii="Times New Roman" w:hAnsi="Times New Roman" w:cs="Times New Roman"/>
                <w:b/>
              </w:rPr>
              <w:t>4.2.10 环境保护设施验收</w:t>
            </w:r>
          </w:p>
          <w:p w14:paraId="1C267585">
            <w:pPr>
              <w:spacing w:line="360" w:lineRule="auto"/>
              <w:ind w:firstLine="240" w:firstLineChars="100"/>
            </w:pPr>
            <w:r>
              <w:rPr>
                <w:rFonts w:ascii="Times New Roman" w:hAnsi="Times New Roman" w:eastAsia="宋体" w:cs="Times New Roman"/>
                <w:sz w:val="24"/>
              </w:rPr>
              <w:t>根据本项目的具体情况，环境保护设施验收建议内容见下表。</w:t>
            </w:r>
          </w:p>
          <w:p w14:paraId="60F49302">
            <w:pPr>
              <w:ind w:firstLine="480"/>
              <w:jc w:val="center"/>
              <w:rPr>
                <w:rFonts w:ascii="Times New Roman" w:hAnsi="Times New Roman" w:eastAsia="宋体" w:cs="Times New Roman"/>
                <w:b/>
                <w:bCs/>
              </w:rPr>
            </w:pPr>
            <w:r>
              <w:rPr>
                <w:rFonts w:ascii="Times New Roman" w:hAnsi="Times New Roman" w:eastAsia="宋体" w:cs="Times New Roman"/>
                <w:b/>
                <w:bCs/>
              </w:rPr>
              <w:t>表4-29    环境保护设施验收一览表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autofit"/>
              <w:tblCellMar>
                <w:top w:w="0" w:type="dxa"/>
                <w:left w:w="108" w:type="dxa"/>
                <w:bottom w:w="0" w:type="dxa"/>
                <w:right w:w="108" w:type="dxa"/>
              </w:tblCellMar>
            </w:tblPr>
            <w:tblGrid>
              <w:gridCol w:w="884"/>
              <w:gridCol w:w="1401"/>
              <w:gridCol w:w="3260"/>
              <w:gridCol w:w="2455"/>
            </w:tblGrid>
            <w:tr w14:paraId="6C1AD43B">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187" w:hRule="atLeast"/>
                <w:jc w:val="center"/>
              </w:trPr>
              <w:tc>
                <w:tcPr>
                  <w:tcW w:w="884" w:type="dxa"/>
                  <w:vAlign w:val="center"/>
                </w:tcPr>
                <w:p w14:paraId="3BD4E8C6">
                  <w:pPr>
                    <w:jc w:val="center"/>
                    <w:rPr>
                      <w:rFonts w:ascii="Times New Roman" w:hAnsi="Times New Roman" w:eastAsia="宋体" w:cs="Times New Roman"/>
                      <w:b/>
                      <w:bCs/>
                      <w:kern w:val="0"/>
                      <w:szCs w:val="21"/>
                    </w:rPr>
                  </w:pPr>
                  <w:bookmarkStart w:id="78" w:name="_Hlk101361656"/>
                  <w:r>
                    <w:rPr>
                      <w:rFonts w:ascii="Times New Roman" w:hAnsi="Times New Roman" w:eastAsia="宋体" w:cs="Times New Roman"/>
                      <w:b/>
                      <w:bCs/>
                      <w:kern w:val="0"/>
                      <w:szCs w:val="21"/>
                    </w:rPr>
                    <w:t>项目</w:t>
                  </w:r>
                </w:p>
              </w:tc>
              <w:tc>
                <w:tcPr>
                  <w:tcW w:w="1401" w:type="dxa"/>
                  <w:vAlign w:val="center"/>
                </w:tcPr>
                <w:p w14:paraId="475E9EDB">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污染源</w:t>
                  </w:r>
                </w:p>
              </w:tc>
              <w:tc>
                <w:tcPr>
                  <w:tcW w:w="3260" w:type="dxa"/>
                  <w:vAlign w:val="center"/>
                </w:tcPr>
                <w:p w14:paraId="0EDC3B20">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环保设施</w:t>
                  </w:r>
                </w:p>
              </w:tc>
              <w:tc>
                <w:tcPr>
                  <w:tcW w:w="2455" w:type="dxa"/>
                  <w:vAlign w:val="center"/>
                </w:tcPr>
                <w:p w14:paraId="1108ABC7">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验收标准</w:t>
                  </w:r>
                </w:p>
              </w:tc>
            </w:tr>
            <w:tr w14:paraId="3F73D530">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restart"/>
                  <w:vAlign w:val="center"/>
                </w:tcPr>
                <w:p w14:paraId="161E7F28">
                  <w:pPr>
                    <w:jc w:val="center"/>
                    <w:rPr>
                      <w:rFonts w:ascii="Times New Roman" w:hAnsi="Times New Roman" w:eastAsia="宋体" w:cs="Times New Roman"/>
                      <w:kern w:val="0"/>
                      <w:szCs w:val="21"/>
                    </w:rPr>
                  </w:pPr>
                  <w:r>
                    <w:rPr>
                      <w:rFonts w:ascii="Times New Roman" w:hAnsi="Times New Roman" w:eastAsia="宋体" w:cs="Times New Roman"/>
                      <w:kern w:val="0"/>
                      <w:szCs w:val="21"/>
                    </w:rPr>
                    <w:t>废水</w:t>
                  </w:r>
                </w:p>
              </w:tc>
              <w:tc>
                <w:tcPr>
                  <w:tcW w:w="1401" w:type="dxa"/>
                  <w:vAlign w:val="center"/>
                </w:tcPr>
                <w:p w14:paraId="710EB0DD">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w:t>
                  </w:r>
                  <w:r>
                    <w:rPr>
                      <w:rFonts w:ascii="Times New Roman" w:hAnsi="Times New Roman" w:eastAsia="宋体" w:cs="Times New Roman"/>
                      <w:kern w:val="0"/>
                      <w:szCs w:val="21"/>
                    </w:rPr>
                    <w:t>生活污水</w:t>
                  </w:r>
                </w:p>
              </w:tc>
              <w:tc>
                <w:tcPr>
                  <w:tcW w:w="3260" w:type="dxa"/>
                  <w:vAlign w:val="center"/>
                </w:tcPr>
                <w:p w14:paraId="526BF402">
                  <w:pPr>
                    <w:jc w:val="center"/>
                    <w:rPr>
                      <w:rFonts w:ascii="Times New Roman" w:hAnsi="Times New Roman" w:eastAsia="宋体" w:cs="Times New Roman"/>
                      <w:kern w:val="0"/>
                      <w:szCs w:val="21"/>
                    </w:rPr>
                  </w:pPr>
                  <w:r>
                    <w:rPr>
                      <w:rFonts w:hint="eastAsia" w:ascii="Times New Roman" w:hAnsi="Times New Roman" w:cs="Times New Roman"/>
                      <w:szCs w:val="21"/>
                    </w:rPr>
                    <w:t>设1</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szCs w:val="21"/>
                    </w:rPr>
                    <w:t>/</w:t>
                  </w:r>
                  <w:r>
                    <w:rPr>
                      <w:rFonts w:hint="eastAsia" w:ascii="Times New Roman" w:hAnsi="Times New Roman" w:cs="Times New Roman"/>
                      <w:szCs w:val="21"/>
                    </w:rPr>
                    <w:t>d地埋式污水处理站，采用</w:t>
                  </w:r>
                  <w:r>
                    <w:rPr>
                      <w:rFonts w:ascii="Times New Roman" w:hAnsi="Times New Roman" w:cs="Times New Roman"/>
                      <w:szCs w:val="21"/>
                    </w:rPr>
                    <w:t>“</w:t>
                  </w:r>
                  <w:r>
                    <w:rPr>
                      <w:rFonts w:hint="eastAsia" w:ascii="Times New Roman" w:hAnsi="Times New Roman" w:cs="Times New Roman"/>
                      <w:szCs w:val="21"/>
                    </w:rPr>
                    <w:t>隔油+调节+</w:t>
                  </w:r>
                  <w:r>
                    <w:rPr>
                      <w:rFonts w:ascii="Times New Roman" w:hAnsi="Times New Roman" w:cs="Times New Roman"/>
                      <w:szCs w:val="21"/>
                    </w:rPr>
                    <w:t>A</w:t>
                  </w:r>
                  <w:r>
                    <w:rPr>
                      <w:rFonts w:ascii="Times New Roman" w:hAnsi="Times New Roman" w:cs="Times New Roman"/>
                      <w:szCs w:val="21"/>
                      <w:vertAlign w:val="superscript"/>
                    </w:rPr>
                    <w:t>2</w:t>
                  </w:r>
                  <w:r>
                    <w:rPr>
                      <w:rFonts w:ascii="Times New Roman" w:hAnsi="Times New Roman" w:cs="Times New Roman"/>
                      <w:szCs w:val="21"/>
                    </w:rPr>
                    <w:t>O</w:t>
                  </w:r>
                  <w:r>
                    <w:rPr>
                      <w:rFonts w:hint="eastAsia" w:ascii="Times New Roman" w:hAnsi="Times New Roman" w:cs="Times New Roman"/>
                      <w:szCs w:val="21"/>
                    </w:rPr>
                    <w:t>处理</w:t>
                  </w:r>
                  <w:r>
                    <w:rPr>
                      <w:rFonts w:ascii="Times New Roman" w:hAnsi="Times New Roman" w:cs="Times New Roman"/>
                      <w:szCs w:val="21"/>
                    </w:rPr>
                    <w:t>+</w:t>
                  </w:r>
                  <w:r>
                    <w:rPr>
                      <w:rFonts w:hint="eastAsia" w:ascii="Times New Roman" w:hAnsi="Times New Roman" w:cs="Times New Roman"/>
                      <w:szCs w:val="21"/>
                    </w:rPr>
                    <w:t>膜处理+消毒</w:t>
                  </w:r>
                  <w:r>
                    <w:rPr>
                      <w:rFonts w:ascii="Times New Roman" w:hAnsi="Times New Roman" w:cs="Times New Roman"/>
                      <w:szCs w:val="21"/>
                    </w:rPr>
                    <w:t>”</w:t>
                  </w:r>
                  <w:r>
                    <w:rPr>
                      <w:rFonts w:hint="eastAsia" w:ascii="Times New Roman" w:hAnsi="Times New Roman" w:cs="Times New Roman"/>
                      <w:szCs w:val="21"/>
                    </w:rPr>
                    <w:t>工艺；设</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化粪池和</w:t>
                  </w:r>
                  <w:r>
                    <w:rPr>
                      <w:rFonts w:ascii="Times New Roman" w:hAnsi="Times New Roman" w:cs="Times New Roman"/>
                      <w:szCs w:val="21"/>
                    </w:rPr>
                    <w:t>0.1</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隔油池各1个。</w:t>
                  </w:r>
                </w:p>
              </w:tc>
              <w:tc>
                <w:tcPr>
                  <w:tcW w:w="2455" w:type="dxa"/>
                  <w:vAlign w:val="center"/>
                </w:tcPr>
                <w:p w14:paraId="6F7CAE91">
                  <w:pPr>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（GB5084-2021）《农田灌溉水质标准》中的旱地灌溉水质标准</w:t>
                  </w:r>
                </w:p>
              </w:tc>
            </w:tr>
            <w:tr w14:paraId="0A60EB2C">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1FA15BDB">
                  <w:pPr>
                    <w:jc w:val="center"/>
                    <w:rPr>
                      <w:rFonts w:ascii="Times New Roman" w:hAnsi="Times New Roman" w:eastAsia="宋体" w:cs="Times New Roman"/>
                      <w:kern w:val="0"/>
                      <w:szCs w:val="21"/>
                    </w:rPr>
                  </w:pPr>
                </w:p>
              </w:tc>
              <w:tc>
                <w:tcPr>
                  <w:tcW w:w="1401" w:type="dxa"/>
                  <w:vAlign w:val="center"/>
                </w:tcPr>
                <w:p w14:paraId="5E5865A6">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雨污分流</w:t>
                  </w:r>
                </w:p>
              </w:tc>
              <w:tc>
                <w:tcPr>
                  <w:tcW w:w="3260" w:type="dxa"/>
                  <w:vAlign w:val="center"/>
                </w:tcPr>
                <w:p w14:paraId="71449499">
                  <w:pPr>
                    <w:jc w:val="center"/>
                    <w:rPr>
                      <w:rFonts w:ascii="Times New Roman" w:hAnsi="Times New Roman" w:cs="Times New Roman"/>
                      <w:szCs w:val="21"/>
                    </w:rPr>
                  </w:pPr>
                  <w:r>
                    <w:rPr>
                      <w:rFonts w:hint="eastAsia" w:ascii="Times New Roman" w:hAnsi="Times New Roman" w:cs="Times New Roman"/>
                      <w:szCs w:val="21"/>
                    </w:rPr>
                    <w:t>雨水管沟</w:t>
                  </w:r>
                  <w:r>
                    <w:rPr>
                      <w:rFonts w:ascii="Times New Roman" w:hAnsi="Times New Roman" w:cs="Times New Roman"/>
                      <w:szCs w:val="21"/>
                    </w:rPr>
                    <w:t>290</w:t>
                  </w:r>
                  <w:r>
                    <w:rPr>
                      <w:rFonts w:hint="eastAsia" w:ascii="Times New Roman" w:hAnsi="Times New Roman" w:cs="Times New Roman"/>
                      <w:szCs w:val="21"/>
                    </w:rPr>
                    <w:t>m，污水管网1</w:t>
                  </w:r>
                  <w:r>
                    <w:rPr>
                      <w:rFonts w:ascii="Times New Roman" w:hAnsi="Times New Roman" w:cs="Times New Roman"/>
                      <w:szCs w:val="21"/>
                    </w:rPr>
                    <w:t>20</w:t>
                  </w:r>
                  <w:r>
                    <w:rPr>
                      <w:rFonts w:hint="eastAsia" w:ascii="Times New Roman" w:hAnsi="Times New Roman" w:cs="Times New Roman"/>
                      <w:szCs w:val="21"/>
                    </w:rPr>
                    <w:t>m。</w:t>
                  </w:r>
                </w:p>
              </w:tc>
              <w:tc>
                <w:tcPr>
                  <w:tcW w:w="2455" w:type="dxa"/>
                  <w:vAlign w:val="center"/>
                </w:tcPr>
                <w:p w14:paraId="6D6ADC9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实现雨污分流</w:t>
                  </w:r>
                </w:p>
              </w:tc>
            </w:tr>
            <w:tr w14:paraId="2E768C23">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592DE651">
                  <w:pPr>
                    <w:jc w:val="center"/>
                    <w:rPr>
                      <w:rFonts w:ascii="Times New Roman" w:hAnsi="Times New Roman" w:eastAsia="宋体" w:cs="Times New Roman"/>
                      <w:kern w:val="0"/>
                      <w:szCs w:val="21"/>
                    </w:rPr>
                  </w:pPr>
                </w:p>
              </w:tc>
              <w:tc>
                <w:tcPr>
                  <w:tcW w:w="1401" w:type="dxa"/>
                  <w:vAlign w:val="center"/>
                </w:tcPr>
                <w:p w14:paraId="3A4CF8BB">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工艺废水</w:t>
                  </w:r>
                </w:p>
              </w:tc>
              <w:tc>
                <w:tcPr>
                  <w:tcW w:w="3260" w:type="dxa"/>
                  <w:vAlign w:val="center"/>
                </w:tcPr>
                <w:p w14:paraId="111BD6BC">
                  <w:pPr>
                    <w:jc w:val="center"/>
                    <w:rPr>
                      <w:rFonts w:ascii="Times New Roman" w:hAnsi="Times New Roman" w:cs="Times New Roman"/>
                      <w:szCs w:val="21"/>
                    </w:rPr>
                  </w:pPr>
                  <w:r>
                    <w:rPr>
                      <w:rFonts w:hint="eastAsia" w:ascii="Times New Roman" w:hAnsi="Times New Roman" w:cs="Times New Roman"/>
                      <w:szCs w:val="21"/>
                    </w:rPr>
                    <w:t>设1个1</w:t>
                  </w:r>
                  <w:r>
                    <w:rPr>
                      <w:rFonts w:ascii="Times New Roman" w:hAnsi="Times New Roman" w:cs="Times New Roman"/>
                      <w:szCs w:val="21"/>
                    </w:rPr>
                    <w:t>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ascii="Times New Roman" w:hAnsi="Times New Roman" w:cs="Times New Roman"/>
                      <w:bCs/>
                    </w:rPr>
                    <w:t>地埋式暂存罐</w:t>
                  </w:r>
                  <w:r>
                    <w:rPr>
                      <w:rFonts w:hint="eastAsia" w:ascii="Times New Roman" w:hAnsi="Times New Roman" w:cs="Times New Roman"/>
                      <w:bCs/>
                    </w:rPr>
                    <w:t>。</w:t>
                  </w:r>
                </w:p>
              </w:tc>
              <w:tc>
                <w:tcPr>
                  <w:tcW w:w="2455" w:type="dxa"/>
                  <w:vAlign w:val="center"/>
                </w:tcPr>
                <w:p w14:paraId="307B0C5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不外排</w:t>
                  </w:r>
                </w:p>
              </w:tc>
            </w:tr>
            <w:tr w14:paraId="12D60EC0">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2FC049D3">
                  <w:pPr>
                    <w:jc w:val="center"/>
                    <w:rPr>
                      <w:rFonts w:ascii="Times New Roman" w:hAnsi="Times New Roman" w:eastAsia="宋体" w:cs="Times New Roman"/>
                      <w:kern w:val="0"/>
                      <w:szCs w:val="21"/>
                    </w:rPr>
                  </w:pPr>
                </w:p>
              </w:tc>
              <w:tc>
                <w:tcPr>
                  <w:tcW w:w="1401" w:type="dxa"/>
                  <w:vAlign w:val="center"/>
                </w:tcPr>
                <w:p w14:paraId="153153DC">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检验废水</w:t>
                  </w:r>
                </w:p>
              </w:tc>
              <w:tc>
                <w:tcPr>
                  <w:tcW w:w="3260" w:type="dxa"/>
                  <w:vAlign w:val="center"/>
                </w:tcPr>
                <w:p w14:paraId="0D169337">
                  <w:pPr>
                    <w:jc w:val="center"/>
                    <w:rPr>
                      <w:rFonts w:ascii="Times New Roman" w:hAnsi="Times New Roman" w:cs="Times New Roman"/>
                      <w:szCs w:val="21"/>
                    </w:rPr>
                  </w:pPr>
                  <w:r>
                    <w:rPr>
                      <w:rFonts w:hint="eastAsia" w:ascii="Times New Roman" w:hAnsi="Times New Roman" w:cs="Times New Roman"/>
                      <w:szCs w:val="21"/>
                    </w:rPr>
                    <w:t>设1</w:t>
                  </w:r>
                  <w:r>
                    <w:rPr>
                      <w:rFonts w:ascii="Times New Roman" w:hAnsi="Times New Roman" w:cs="Times New Roman"/>
                      <w:szCs w:val="21"/>
                    </w:rPr>
                    <w:t>00L</w:t>
                  </w:r>
                  <w:r>
                    <w:rPr>
                      <w:rFonts w:hint="eastAsia" w:ascii="Times New Roman" w:hAnsi="Times New Roman" w:cs="Times New Roman"/>
                      <w:szCs w:val="21"/>
                    </w:rPr>
                    <w:t>收集桶1个。</w:t>
                  </w:r>
                </w:p>
              </w:tc>
              <w:tc>
                <w:tcPr>
                  <w:tcW w:w="2455" w:type="dxa"/>
                  <w:vAlign w:val="center"/>
                </w:tcPr>
                <w:p w14:paraId="3B0582B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不外排</w:t>
                  </w:r>
                </w:p>
              </w:tc>
            </w:tr>
            <w:tr w14:paraId="47728BE2">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647E58EA">
                  <w:pPr>
                    <w:jc w:val="center"/>
                    <w:rPr>
                      <w:rFonts w:ascii="Times New Roman" w:hAnsi="Times New Roman" w:eastAsia="宋体" w:cs="Times New Roman"/>
                      <w:kern w:val="0"/>
                      <w:szCs w:val="21"/>
                    </w:rPr>
                  </w:pPr>
                </w:p>
              </w:tc>
              <w:tc>
                <w:tcPr>
                  <w:tcW w:w="1401" w:type="dxa"/>
                  <w:vAlign w:val="center"/>
                </w:tcPr>
                <w:p w14:paraId="35953B82">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事故水</w:t>
                  </w:r>
                </w:p>
              </w:tc>
              <w:tc>
                <w:tcPr>
                  <w:tcW w:w="3260" w:type="dxa"/>
                  <w:vAlign w:val="center"/>
                </w:tcPr>
                <w:p w14:paraId="61F598D9">
                  <w:pPr>
                    <w:jc w:val="center"/>
                    <w:rPr>
                      <w:rFonts w:ascii="Times New Roman" w:hAnsi="Times New Roman" w:cs="Times New Roman"/>
                      <w:szCs w:val="21"/>
                    </w:rPr>
                  </w:pPr>
                  <w:r>
                    <w:rPr>
                      <w:rFonts w:hint="eastAsia" w:ascii="Times New Roman" w:hAnsi="Times New Roman" w:cs="Times New Roman"/>
                      <w:szCs w:val="21"/>
                    </w:rPr>
                    <w:t>设</w:t>
                  </w:r>
                  <w:r>
                    <w:rPr>
                      <w:rFonts w:ascii="Times New Roman" w:hAnsi="Times New Roman" w:cs="Times New Roman"/>
                      <w:szCs w:val="21"/>
                    </w:rPr>
                    <w:t>20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应急事故池1座</w:t>
                  </w:r>
                </w:p>
              </w:tc>
              <w:tc>
                <w:tcPr>
                  <w:tcW w:w="2455" w:type="dxa"/>
                  <w:vAlign w:val="center"/>
                </w:tcPr>
                <w:p w14:paraId="404EC3E4">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事故废水不外排</w:t>
                  </w:r>
                </w:p>
              </w:tc>
            </w:tr>
            <w:tr w14:paraId="788A82D3">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4" w:hRule="atLeast"/>
                <w:jc w:val="center"/>
              </w:trPr>
              <w:tc>
                <w:tcPr>
                  <w:tcW w:w="884" w:type="dxa"/>
                  <w:vMerge w:val="continue"/>
                  <w:vAlign w:val="center"/>
                </w:tcPr>
                <w:p w14:paraId="023E839E">
                  <w:pPr>
                    <w:jc w:val="center"/>
                    <w:rPr>
                      <w:rFonts w:ascii="Times New Roman" w:hAnsi="Times New Roman" w:eastAsia="宋体" w:cs="Times New Roman"/>
                      <w:kern w:val="0"/>
                      <w:szCs w:val="21"/>
                    </w:rPr>
                  </w:pPr>
                </w:p>
              </w:tc>
              <w:tc>
                <w:tcPr>
                  <w:tcW w:w="1401" w:type="dxa"/>
                  <w:vAlign w:val="center"/>
                </w:tcPr>
                <w:p w14:paraId="28BD5635">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耕地灌溉</w:t>
                  </w:r>
                </w:p>
              </w:tc>
              <w:tc>
                <w:tcPr>
                  <w:tcW w:w="3260" w:type="dxa"/>
                  <w:vAlign w:val="center"/>
                </w:tcPr>
                <w:p w14:paraId="09CEAEBC">
                  <w:pPr>
                    <w:jc w:val="center"/>
                    <w:rPr>
                      <w:rFonts w:ascii="Times New Roman" w:hAnsi="Times New Roman" w:cs="Times New Roman"/>
                      <w:szCs w:val="21"/>
                    </w:rPr>
                  </w:pPr>
                  <w:r>
                    <w:rPr>
                      <w:rFonts w:hint="eastAsia" w:ascii="Times New Roman" w:hAnsi="Times New Roman" w:cs="Times New Roman"/>
                      <w:szCs w:val="21"/>
                    </w:rPr>
                    <w:t>租用耕地旁设2</w:t>
                  </w:r>
                  <w:r>
                    <w:rPr>
                      <w:rFonts w:ascii="Times New Roman" w:hAnsi="Times New Roman" w:cs="Times New Roman"/>
                      <w:szCs w:val="21"/>
                    </w:rPr>
                    <w:t>50</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储水池和5</w:t>
                  </w:r>
                  <w:r>
                    <w:rPr>
                      <w:rFonts w:ascii="Times New Roman" w:hAnsi="Times New Roman" w:cs="Times New Roman"/>
                      <w:szCs w:val="21"/>
                    </w:rPr>
                    <w:t>5</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退水池各1个。</w:t>
                  </w:r>
                </w:p>
              </w:tc>
              <w:tc>
                <w:tcPr>
                  <w:tcW w:w="2455" w:type="dxa"/>
                  <w:vAlign w:val="center"/>
                </w:tcPr>
                <w:p w14:paraId="7E3ED256">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不外排</w:t>
                  </w:r>
                </w:p>
              </w:tc>
            </w:tr>
            <w:tr w14:paraId="4ECB15E8">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restart"/>
                  <w:vAlign w:val="center"/>
                </w:tcPr>
                <w:p w14:paraId="73F69942">
                  <w:pPr>
                    <w:jc w:val="center"/>
                    <w:rPr>
                      <w:rFonts w:ascii="Times New Roman" w:hAnsi="Times New Roman" w:eastAsia="宋体" w:cs="Times New Roman"/>
                      <w:kern w:val="0"/>
                      <w:szCs w:val="21"/>
                    </w:rPr>
                  </w:pPr>
                  <w:r>
                    <w:rPr>
                      <w:rFonts w:ascii="Times New Roman" w:hAnsi="Times New Roman" w:eastAsia="宋体" w:cs="Times New Roman"/>
                      <w:kern w:val="0"/>
                      <w:szCs w:val="21"/>
                    </w:rPr>
                    <w:t>废气</w:t>
                  </w:r>
                </w:p>
              </w:tc>
              <w:tc>
                <w:tcPr>
                  <w:tcW w:w="1401" w:type="dxa"/>
                  <w:vAlign w:val="center"/>
                </w:tcPr>
                <w:p w14:paraId="7F6B13F4">
                  <w:pPr>
                    <w:jc w:val="center"/>
                    <w:rPr>
                      <w:rFonts w:ascii="Times New Roman" w:hAnsi="Times New Roman" w:eastAsia="宋体" w:cs="Times New Roman"/>
                      <w:kern w:val="0"/>
                      <w:szCs w:val="21"/>
                    </w:rPr>
                  </w:pPr>
                  <w:r>
                    <w:rPr>
                      <w:rFonts w:ascii="Times New Roman" w:hAnsi="Times New Roman" w:cs="Times New Roman"/>
                      <w:szCs w:val="21"/>
                    </w:rPr>
                    <w:t>工艺废气</w:t>
                  </w:r>
                </w:p>
              </w:tc>
              <w:tc>
                <w:tcPr>
                  <w:tcW w:w="3260" w:type="dxa"/>
                  <w:vAlign w:val="center"/>
                </w:tcPr>
                <w:p w14:paraId="6BE2B76E">
                  <w:pPr>
                    <w:jc w:val="center"/>
                    <w:rPr>
                      <w:rFonts w:ascii="Times New Roman" w:hAnsi="Times New Roman" w:eastAsia="宋体" w:cs="Times New Roman"/>
                      <w:kern w:val="0"/>
                      <w:szCs w:val="21"/>
                    </w:rPr>
                  </w:pPr>
                  <w:r>
                    <w:rPr>
                      <w:rFonts w:ascii="Times New Roman" w:hAnsi="Times New Roman" w:cs="Times New Roman"/>
                      <w:szCs w:val="21"/>
                    </w:rPr>
                    <w:t>无害化处理设备密封，恶臭气体</w:t>
                  </w:r>
                  <w:r>
                    <w:rPr>
                      <w:rFonts w:hint="eastAsia" w:ascii="Times New Roman" w:hAnsi="Times New Roman" w:cs="Times New Roman"/>
                      <w:szCs w:val="21"/>
                    </w:rPr>
                    <w:t>采用</w:t>
                  </w:r>
                  <w:r>
                    <w:rPr>
                      <w:rFonts w:ascii="Times New Roman" w:hAnsi="Times New Roman" w:cs="Times New Roman"/>
                      <w:szCs w:val="21"/>
                    </w:rPr>
                    <w:t>冷凝器+酸碱喷淋塔+</w:t>
                  </w:r>
                  <w:r>
                    <w:rPr>
                      <w:rFonts w:hint="eastAsia" w:ascii="Times New Roman" w:hAnsi="Times New Roman" w:cs="Times New Roman"/>
                      <w:szCs w:val="21"/>
                    </w:rPr>
                    <w:t>燃气</w:t>
                  </w:r>
                  <w:r>
                    <w:rPr>
                      <w:rFonts w:ascii="Times New Roman" w:hAnsi="Times New Roman" w:cs="Times New Roman"/>
                      <w:szCs w:val="21"/>
                    </w:rPr>
                    <w:t>锅炉焚烧</w:t>
                  </w:r>
                  <w:r>
                    <w:rPr>
                      <w:rFonts w:hint="eastAsia" w:ascii="Times New Roman" w:hAnsi="Times New Roman" w:cs="Times New Roman"/>
                      <w:szCs w:val="21"/>
                    </w:rPr>
                    <w:t>工艺</w:t>
                  </w:r>
                  <w:r>
                    <w:rPr>
                      <w:rFonts w:ascii="Times New Roman" w:hAnsi="Times New Roman" w:cs="Times New Roman"/>
                      <w:szCs w:val="21"/>
                    </w:rPr>
                    <w:t>处理</w:t>
                  </w:r>
                  <w:r>
                    <w:rPr>
                      <w:rFonts w:hint="eastAsia" w:ascii="Times New Roman" w:hAnsi="Times New Roman" w:cs="Times New Roman"/>
                      <w:szCs w:val="21"/>
                    </w:rPr>
                    <w:t>，尾气</w:t>
                  </w:r>
                  <w:r>
                    <w:rPr>
                      <w:rFonts w:ascii="Times New Roman" w:hAnsi="Times New Roman" w:cs="Times New Roman"/>
                      <w:szCs w:val="21"/>
                    </w:rPr>
                    <w:t>通过35m排气筒排放（DA001</w:t>
                  </w:r>
                  <w:r>
                    <w:rPr>
                      <w:rFonts w:hint="eastAsia" w:ascii="Times New Roman" w:hAnsi="Times New Roman" w:cs="Times New Roman"/>
                      <w:szCs w:val="21"/>
                    </w:rPr>
                    <w:t>）。</w:t>
                  </w:r>
                </w:p>
              </w:tc>
              <w:tc>
                <w:tcPr>
                  <w:tcW w:w="2455" w:type="dxa"/>
                  <w:tcBorders>
                    <w:bottom w:val="single" w:color="auto" w:sz="4" w:space="0"/>
                  </w:tcBorders>
                  <w:vAlign w:val="center"/>
                </w:tcPr>
                <w:p w14:paraId="3A9E5EB3">
                  <w:pPr>
                    <w:jc w:val="center"/>
                    <w:rPr>
                      <w:rFonts w:ascii="Times New Roman" w:hAnsi="Times New Roman" w:eastAsia="宋体" w:cs="Times New Roman"/>
                      <w:kern w:val="0"/>
                      <w:szCs w:val="21"/>
                    </w:rPr>
                  </w:pPr>
                  <w:r>
                    <w:rPr>
                      <w:rFonts w:hint="eastAsia" w:ascii="Times New Roman" w:hAnsi="Times New Roman" w:eastAsia="宋体" w:cs="Times New Roman"/>
                      <w:bCs/>
                      <w:szCs w:val="21"/>
                    </w:rPr>
                    <w:t>《恶臭污染物排放标准》(GB14554-93）表2中相应标准</w:t>
                  </w:r>
                </w:p>
              </w:tc>
            </w:tr>
            <w:tr w14:paraId="4ED086F2">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continue"/>
                  <w:vAlign w:val="center"/>
                </w:tcPr>
                <w:p w14:paraId="6D9DE6BC">
                  <w:pPr>
                    <w:jc w:val="center"/>
                    <w:rPr>
                      <w:rFonts w:ascii="Times New Roman" w:hAnsi="Times New Roman" w:eastAsia="宋体" w:cs="Times New Roman"/>
                      <w:kern w:val="0"/>
                      <w:szCs w:val="21"/>
                    </w:rPr>
                  </w:pPr>
                </w:p>
              </w:tc>
              <w:tc>
                <w:tcPr>
                  <w:tcW w:w="1401" w:type="dxa"/>
                  <w:vAlign w:val="center"/>
                </w:tcPr>
                <w:p w14:paraId="7E020D27">
                  <w:pPr>
                    <w:jc w:val="center"/>
                    <w:rPr>
                      <w:rFonts w:ascii="Times New Roman" w:hAnsi="Times New Roman" w:cs="Times New Roman"/>
                      <w:szCs w:val="21"/>
                    </w:rPr>
                  </w:pPr>
                  <w:r>
                    <w:rPr>
                      <w:rFonts w:hint="eastAsia" w:ascii="Times New Roman" w:hAnsi="Times New Roman" w:cs="Times New Roman"/>
                      <w:szCs w:val="21"/>
                    </w:rPr>
                    <w:t>锅炉烟气</w:t>
                  </w:r>
                </w:p>
              </w:tc>
              <w:tc>
                <w:tcPr>
                  <w:tcW w:w="3260" w:type="dxa"/>
                  <w:vAlign w:val="center"/>
                </w:tcPr>
                <w:p w14:paraId="27533EBF">
                  <w:pPr>
                    <w:jc w:val="center"/>
                    <w:rPr>
                      <w:rFonts w:ascii="Times New Roman" w:hAnsi="Times New Roman" w:cs="Times New Roman"/>
                      <w:szCs w:val="21"/>
                    </w:rPr>
                  </w:pPr>
                  <w:r>
                    <w:rPr>
                      <w:rFonts w:hint="eastAsia" w:ascii="Times New Roman" w:hAnsi="Times New Roman" w:cs="Times New Roman"/>
                      <w:szCs w:val="21"/>
                    </w:rPr>
                    <w:t>设1套双碱法脱硫除尘塔处理，风量5</w:t>
                  </w:r>
                  <w:r>
                    <w:rPr>
                      <w:rFonts w:ascii="Times New Roman" w:hAnsi="Times New Roman" w:cs="Times New Roman"/>
                      <w:szCs w:val="21"/>
                    </w:rPr>
                    <w:t>880.21N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/h，末端设</w:t>
                  </w:r>
                  <w:r>
                    <w:rPr>
                      <w:rFonts w:ascii="Times New Roman" w:hAnsi="Times New Roman" w:cs="Times New Roman"/>
                      <w:szCs w:val="21"/>
                    </w:rPr>
                    <w:t>35m排气筒排放（DA001</w:t>
                  </w:r>
                  <w:r>
                    <w:rPr>
                      <w:rFonts w:hint="eastAsia" w:ascii="Times New Roman" w:hAnsi="Times New Roman" w:cs="Times New Roman"/>
                      <w:szCs w:val="21"/>
                    </w:rPr>
                    <w:t>）。</w:t>
                  </w:r>
                </w:p>
              </w:tc>
              <w:tc>
                <w:tcPr>
                  <w:tcW w:w="2455" w:type="dxa"/>
                  <w:tcBorders>
                    <w:bottom w:val="single" w:color="auto" w:sz="4" w:space="0"/>
                  </w:tcBorders>
                  <w:vAlign w:val="center"/>
                </w:tcPr>
                <w:p w14:paraId="7612BF84">
                  <w:pPr>
                    <w:jc w:val="center"/>
                    <w:rPr>
                      <w:rFonts w:ascii="Times New Roman" w:hAnsi="Times New Roman" w:cs="Times New Roman"/>
                      <w:kern w:val="0"/>
                    </w:rPr>
                  </w:pPr>
                  <w:r>
                    <w:rPr>
                      <w:rFonts w:hint="eastAsia" w:ascii="Times New Roman" w:hAnsi="Times New Roman" w:eastAsia="宋体" w:cs="Times New Roman"/>
                      <w:bCs/>
                      <w:szCs w:val="21"/>
                    </w:rPr>
                    <w:t>烟尘、</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eastAsia="宋体" w:cs="Times New Roman"/>
                      <w:bCs/>
                      <w:szCs w:val="21"/>
                    </w:rPr>
                    <w:t>、</w:t>
                  </w:r>
                  <w:r>
                    <w:rPr>
                      <w:rFonts w:ascii="Times New Roman" w:hAnsi="Times New Roman" w:cs="Times New Roman"/>
                      <w:szCs w:val="21"/>
                    </w:rPr>
                    <w:t>NO</w:t>
                  </w:r>
                  <w:r>
                    <w:rPr>
                      <w:rFonts w:hint="eastAsia" w:ascii="Times New Roman" w:hAnsi="Times New Roman" w:cs="Times New Roman"/>
                      <w:szCs w:val="21"/>
                    </w:rPr>
                    <w:t>x执行</w:t>
                  </w:r>
                  <w:r>
                    <w:rPr>
                      <w:rFonts w:ascii="Times New Roman" w:hAnsi="Times New Roman" w:eastAsia="宋体" w:cs="Times New Roman"/>
                      <w:bCs/>
                      <w:szCs w:val="21"/>
                    </w:rPr>
                    <w:t>《锅炉大气污染物排放标准》（GB13271-2014）</w:t>
                  </w:r>
                  <w:r>
                    <w:rPr>
                      <w:rFonts w:hint="eastAsia" w:ascii="Times New Roman" w:hAnsi="Times New Roman" w:eastAsia="宋体" w:cs="Times New Roman"/>
                      <w:bCs/>
                      <w:szCs w:val="21"/>
                    </w:rPr>
                    <w:t>表2中</w:t>
                  </w:r>
                  <w:r>
                    <w:rPr>
                      <w:rFonts w:ascii="Times New Roman" w:hAnsi="Times New Roman" w:eastAsia="宋体" w:cs="Times New Roman"/>
                      <w:bCs/>
                      <w:szCs w:val="21"/>
                    </w:rPr>
                    <w:t>燃</w:t>
                  </w:r>
                  <w:r>
                    <w:rPr>
                      <w:rFonts w:hint="eastAsia" w:ascii="Times New Roman" w:hAnsi="Times New Roman" w:eastAsia="宋体" w:cs="Times New Roman"/>
                      <w:bCs/>
                      <w:szCs w:val="21"/>
                    </w:rPr>
                    <w:t>煤</w:t>
                  </w:r>
                  <w:r>
                    <w:rPr>
                      <w:rFonts w:ascii="Times New Roman" w:hAnsi="Times New Roman" w:eastAsia="宋体" w:cs="Times New Roman"/>
                      <w:bCs/>
                      <w:szCs w:val="21"/>
                    </w:rPr>
                    <w:t>锅炉排放限值</w:t>
                  </w:r>
                  <w:r>
                    <w:rPr>
                      <w:rFonts w:hint="eastAsia" w:ascii="Times New Roman" w:hAnsi="Times New Roman" w:eastAsia="宋体" w:cs="Times New Roman"/>
                      <w:bCs/>
                      <w:szCs w:val="21"/>
                    </w:rPr>
                    <w:t>，</w:t>
                  </w: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执行</w:t>
                  </w:r>
                  <w:r>
                    <w:rPr>
                      <w:rFonts w:hint="eastAsia" w:ascii="Times New Roman" w:hAnsi="Times New Roman" w:eastAsia="宋体" w:cs="Times New Roman"/>
                      <w:bCs/>
                      <w:szCs w:val="21"/>
                    </w:rPr>
                    <w:t>《恶臭污染物排放标准》(GB14554-93）表2中相应标准</w:t>
                  </w:r>
                </w:p>
              </w:tc>
            </w:tr>
            <w:tr w14:paraId="2A78D1E9">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continue"/>
                  <w:vAlign w:val="center"/>
                </w:tcPr>
                <w:p w14:paraId="41FCD432">
                  <w:pPr>
                    <w:jc w:val="center"/>
                    <w:rPr>
                      <w:rFonts w:ascii="Times New Roman" w:hAnsi="Times New Roman" w:eastAsia="宋体" w:cs="Times New Roman"/>
                      <w:kern w:val="0"/>
                      <w:szCs w:val="21"/>
                    </w:rPr>
                  </w:pPr>
                </w:p>
              </w:tc>
              <w:tc>
                <w:tcPr>
                  <w:tcW w:w="1401" w:type="dxa"/>
                  <w:vAlign w:val="center"/>
                </w:tcPr>
                <w:p w14:paraId="3197EC2F">
                  <w:pPr>
                    <w:jc w:val="center"/>
                    <w:rPr>
                      <w:rFonts w:ascii="Times New Roman" w:hAnsi="Times New Roman" w:cs="Times New Roman"/>
                      <w:szCs w:val="21"/>
                    </w:rPr>
                  </w:pPr>
                  <w:r>
                    <w:rPr>
                      <w:rFonts w:hint="eastAsia" w:ascii="Times New Roman" w:hAnsi="Times New Roman" w:cs="Times New Roman"/>
                      <w:szCs w:val="21"/>
                    </w:rPr>
                    <w:t>车间废气</w:t>
                  </w:r>
                </w:p>
              </w:tc>
              <w:tc>
                <w:tcPr>
                  <w:tcW w:w="3260" w:type="dxa"/>
                  <w:vAlign w:val="center"/>
                </w:tcPr>
                <w:p w14:paraId="1247516A">
                  <w:pPr>
                    <w:jc w:val="center"/>
                    <w:rPr>
                      <w:rFonts w:ascii="Times New Roman" w:hAnsi="Times New Roman" w:cs="Times New Roman"/>
                      <w:szCs w:val="21"/>
                    </w:rPr>
                  </w:pPr>
                  <w:r>
                    <w:rPr>
                      <w:rFonts w:hint="eastAsia" w:ascii="Times New Roman" w:hAnsi="Times New Roman" w:cs="Times New Roman"/>
                      <w:szCs w:val="21"/>
                    </w:rPr>
                    <w:t>无害化车间密闭，设负压收集系统，风量5</w:t>
                  </w:r>
                  <w:r>
                    <w:rPr>
                      <w:rFonts w:ascii="Times New Roman" w:hAnsi="Times New Roman" w:cs="Times New Roman"/>
                      <w:szCs w:val="21"/>
                    </w:rPr>
                    <w:t>000N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/h，废气采用1套二级活性炭+高效过滤处理，末端设</w:t>
                  </w:r>
                  <w:r>
                    <w:rPr>
                      <w:rFonts w:ascii="Times New Roman" w:hAnsi="Times New Roman" w:cs="Times New Roman"/>
                      <w:szCs w:val="21"/>
                    </w:rPr>
                    <w:t>15m排气筒排放（DA002</w:t>
                  </w:r>
                  <w:r>
                    <w:rPr>
                      <w:rFonts w:hint="eastAsia" w:ascii="Times New Roman" w:hAnsi="Times New Roman" w:cs="Times New Roman"/>
                      <w:szCs w:val="21"/>
                    </w:rPr>
                    <w:t>）。</w:t>
                  </w:r>
                </w:p>
              </w:tc>
              <w:tc>
                <w:tcPr>
                  <w:tcW w:w="2455" w:type="dxa"/>
                  <w:tcBorders>
                    <w:bottom w:val="single" w:color="auto" w:sz="4" w:space="0"/>
                  </w:tcBorders>
                  <w:vAlign w:val="center"/>
                </w:tcPr>
                <w:p w14:paraId="07A54C76">
                  <w:pPr>
                    <w:jc w:val="center"/>
                    <w:rPr>
                      <w:rFonts w:ascii="Times New Roman" w:hAnsi="Times New Roman" w:eastAsia="宋体" w:cs="Times New Roman"/>
                      <w:bCs/>
                      <w:szCs w:val="21"/>
                    </w:rPr>
                  </w:pPr>
                  <w:r>
                    <w:rPr>
                      <w:rFonts w:hint="eastAsia" w:ascii="Times New Roman" w:hAnsi="Times New Roman" w:eastAsia="宋体" w:cs="Times New Roman"/>
                      <w:bCs/>
                      <w:szCs w:val="21"/>
                    </w:rPr>
                    <w:t>《恶臭污染物排放标准》(GB14554-93）表2中相应标准</w:t>
                  </w:r>
                </w:p>
              </w:tc>
            </w:tr>
            <w:tr w14:paraId="10D59295">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75" w:hRule="atLeast"/>
                <w:jc w:val="center"/>
              </w:trPr>
              <w:tc>
                <w:tcPr>
                  <w:tcW w:w="884" w:type="dxa"/>
                  <w:vMerge w:val="continue"/>
                  <w:vAlign w:val="center"/>
                </w:tcPr>
                <w:p w14:paraId="526645CF">
                  <w:pPr>
                    <w:jc w:val="center"/>
                    <w:rPr>
                      <w:rFonts w:ascii="Times New Roman" w:hAnsi="Times New Roman" w:eastAsia="宋体" w:cs="Times New Roman"/>
                      <w:kern w:val="0"/>
                      <w:szCs w:val="21"/>
                    </w:rPr>
                  </w:pPr>
                </w:p>
              </w:tc>
              <w:tc>
                <w:tcPr>
                  <w:tcW w:w="1401" w:type="dxa"/>
                  <w:vAlign w:val="center"/>
                </w:tcPr>
                <w:p w14:paraId="52177D2C">
                  <w:pPr>
                    <w:jc w:val="center"/>
                    <w:rPr>
                      <w:rFonts w:ascii="Times New Roman" w:hAnsi="Times New Roman" w:cs="Times New Roman"/>
                      <w:szCs w:val="21"/>
                    </w:rPr>
                  </w:pPr>
                  <w:r>
                    <w:rPr>
                      <w:rFonts w:hint="eastAsia" w:ascii="Times New Roman" w:hAnsi="Times New Roman" w:cs="Times New Roman"/>
                      <w:szCs w:val="21"/>
                    </w:rPr>
                    <w:t>食堂油烟</w:t>
                  </w:r>
                </w:p>
              </w:tc>
              <w:tc>
                <w:tcPr>
                  <w:tcW w:w="3260" w:type="dxa"/>
                  <w:vAlign w:val="center"/>
                </w:tcPr>
                <w:p w14:paraId="1231330A">
                  <w:pPr>
                    <w:jc w:val="center"/>
                    <w:rPr>
                      <w:rFonts w:ascii="Times New Roman" w:hAnsi="Times New Roman" w:cs="Times New Roman"/>
                      <w:szCs w:val="21"/>
                    </w:rPr>
                  </w:pPr>
                  <w:r>
                    <w:rPr>
                      <w:rFonts w:hint="eastAsia" w:ascii="Times New Roman" w:hAnsi="Times New Roman" w:cs="Times New Roman"/>
                      <w:szCs w:val="21"/>
                    </w:rPr>
                    <w:t>设1套油烟净化器，</w:t>
                  </w:r>
                  <w:r>
                    <w:rPr>
                      <w:rFonts w:ascii="Times New Roman" w:hAnsi="Times New Roman" w:cs="Times New Roman"/>
                      <w:szCs w:val="21"/>
                    </w:rPr>
                    <w:t>油烟净化效率不低于60%。</w:t>
                  </w:r>
                </w:p>
              </w:tc>
              <w:tc>
                <w:tcPr>
                  <w:tcW w:w="2455" w:type="dxa"/>
                  <w:tcBorders>
                    <w:bottom w:val="single" w:color="auto" w:sz="4" w:space="0"/>
                  </w:tcBorders>
                  <w:vAlign w:val="center"/>
                </w:tcPr>
                <w:p w14:paraId="3B28C281">
                  <w:pPr>
                    <w:jc w:val="center"/>
                    <w:rPr>
                      <w:rFonts w:ascii="Times New Roman" w:hAnsi="Times New Roman" w:eastAsia="宋体" w:cs="Times New Roman"/>
                      <w:bCs/>
                      <w:szCs w:val="21"/>
                    </w:rPr>
                  </w:pPr>
                  <w:r>
                    <w:rPr>
                      <w:rFonts w:ascii="Times New Roman" w:hAnsi="Times New Roman" w:cs="Times New Roman"/>
                      <w:bCs/>
                    </w:rPr>
                    <w:t>《饮食业油烟排放标准》（GB18483-2001）</w:t>
                  </w:r>
                </w:p>
              </w:tc>
            </w:tr>
            <w:tr w14:paraId="240C38AE">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618" w:hRule="atLeast"/>
                <w:jc w:val="center"/>
              </w:trPr>
              <w:tc>
                <w:tcPr>
                  <w:tcW w:w="884" w:type="dxa"/>
                  <w:vAlign w:val="center"/>
                </w:tcPr>
                <w:p w14:paraId="552BDCED">
                  <w:pPr>
                    <w:jc w:val="center"/>
                    <w:rPr>
                      <w:rFonts w:ascii="Times New Roman" w:hAnsi="Times New Roman" w:eastAsia="宋体" w:cs="Times New Roman"/>
                      <w:kern w:val="0"/>
                      <w:szCs w:val="21"/>
                    </w:rPr>
                  </w:pPr>
                  <w:r>
                    <w:rPr>
                      <w:rFonts w:ascii="Times New Roman" w:hAnsi="Times New Roman" w:eastAsia="宋体" w:cs="Times New Roman"/>
                      <w:kern w:val="0"/>
                      <w:szCs w:val="21"/>
                    </w:rPr>
                    <w:t>噪声</w:t>
                  </w:r>
                </w:p>
              </w:tc>
              <w:tc>
                <w:tcPr>
                  <w:tcW w:w="1401" w:type="dxa"/>
                  <w:vAlign w:val="center"/>
                </w:tcPr>
                <w:p w14:paraId="15F634AF">
                  <w:pPr>
                    <w:jc w:val="center"/>
                    <w:rPr>
                      <w:rFonts w:ascii="Times New Roman" w:hAnsi="Times New Roman" w:eastAsia="宋体" w:cs="Times New Roman"/>
                      <w:kern w:val="0"/>
                      <w:szCs w:val="21"/>
                    </w:rPr>
                  </w:pPr>
                  <w:r>
                    <w:rPr>
                      <w:rFonts w:ascii="Times New Roman" w:hAnsi="Times New Roman" w:eastAsia="宋体" w:cs="Times New Roman"/>
                      <w:kern w:val="0"/>
                      <w:szCs w:val="21"/>
                    </w:rPr>
                    <w:t>机械噪声</w:t>
                  </w:r>
                </w:p>
              </w:tc>
              <w:tc>
                <w:tcPr>
                  <w:tcW w:w="3260" w:type="dxa"/>
                  <w:vAlign w:val="center"/>
                </w:tcPr>
                <w:p w14:paraId="27149C8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设备</w:t>
                  </w:r>
                  <w:r>
                    <w:rPr>
                      <w:rFonts w:ascii="Times New Roman" w:hAnsi="Times New Roman" w:eastAsia="宋体" w:cs="Times New Roman"/>
                      <w:kern w:val="0"/>
                      <w:szCs w:val="21"/>
                    </w:rPr>
                    <w:t>基础</w:t>
                  </w:r>
                  <w:r>
                    <w:rPr>
                      <w:rFonts w:hint="eastAsia" w:ascii="Times New Roman" w:hAnsi="Times New Roman" w:eastAsia="宋体" w:cs="Times New Roman"/>
                      <w:kern w:val="0"/>
                      <w:szCs w:val="21"/>
                    </w:rPr>
                    <w:t>减振；空压机房采用隔音门窗；风机增设消声器；无害化处理车间采取封闭处理等.</w:t>
                  </w:r>
                </w:p>
              </w:tc>
              <w:tc>
                <w:tcPr>
                  <w:tcW w:w="2455" w:type="dxa"/>
                  <w:vAlign w:val="center"/>
                </w:tcPr>
                <w:p w14:paraId="32D43485">
                  <w:pPr>
                    <w:jc w:val="center"/>
                    <w:rPr>
                      <w:rFonts w:ascii="Times New Roman" w:hAnsi="Times New Roman" w:eastAsia="宋体" w:cs="Times New Roman"/>
                      <w:kern w:val="0"/>
                      <w:szCs w:val="21"/>
                    </w:rPr>
                  </w:pPr>
                  <w:r>
                    <w:rPr>
                      <w:rFonts w:ascii="Times New Roman" w:hAnsi="Times New Roman" w:eastAsia="宋体" w:cs="Times New Roman"/>
                      <w:kern w:val="0"/>
                      <w:szCs w:val="21"/>
                    </w:rPr>
                    <w:t>《工业企业厂界环境噪声排放标准》(GB12348-2008)2类标准</w:t>
                  </w:r>
                </w:p>
              </w:tc>
            </w:tr>
            <w:tr w14:paraId="5B0D00E8">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restart"/>
                  <w:vAlign w:val="center"/>
                </w:tcPr>
                <w:p w14:paraId="5B37AC74">
                  <w:pPr>
                    <w:jc w:val="center"/>
                    <w:rPr>
                      <w:rFonts w:ascii="Times New Roman" w:hAnsi="Times New Roman" w:eastAsia="宋体" w:cs="Times New Roman"/>
                      <w:kern w:val="0"/>
                      <w:szCs w:val="21"/>
                    </w:rPr>
                  </w:pPr>
                  <w:r>
                    <w:rPr>
                      <w:rFonts w:ascii="Times New Roman" w:hAnsi="Times New Roman" w:eastAsia="宋体" w:cs="Times New Roman"/>
                      <w:kern w:val="0"/>
                      <w:szCs w:val="21"/>
                    </w:rPr>
                    <w:t>固废</w:t>
                  </w:r>
                </w:p>
              </w:tc>
              <w:tc>
                <w:tcPr>
                  <w:tcW w:w="1401" w:type="dxa"/>
                  <w:vAlign w:val="center"/>
                </w:tcPr>
                <w:p w14:paraId="6CB0268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危险废物</w:t>
                  </w:r>
                </w:p>
              </w:tc>
              <w:tc>
                <w:tcPr>
                  <w:tcW w:w="3260" w:type="dxa"/>
                  <w:vAlign w:val="center"/>
                </w:tcPr>
                <w:p w14:paraId="54C5BD6D">
                  <w:pPr>
                    <w:jc w:val="center"/>
                    <w:rPr>
                      <w:rFonts w:ascii="Times New Roman" w:hAnsi="Times New Roman" w:eastAsia="宋体" w:cs="Times New Roman"/>
                      <w:kern w:val="0"/>
                      <w:sz w:val="24"/>
                    </w:rPr>
                  </w:pPr>
                  <w:r>
                    <w:rPr>
                      <w:rFonts w:hint="eastAsia" w:ascii="Times New Roman" w:hAnsi="Times New Roman" w:eastAsia="宋体" w:cs="Times New Roman"/>
                      <w:kern w:val="0"/>
                      <w:szCs w:val="21"/>
                    </w:rPr>
                    <w:t>设</w:t>
                  </w:r>
                  <w:r>
                    <w:rPr>
                      <w:rFonts w:ascii="Times New Roman" w:hAnsi="Times New Roman" w:cs="Times New Roman"/>
                      <w:szCs w:val="21"/>
                    </w:rPr>
                    <w:t>10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ascii="Times New Roman" w:hAnsi="Times New Roman" w:cs="Times New Roman"/>
                      <w:szCs w:val="21"/>
                    </w:rPr>
                    <w:t>危废暂存间</w:t>
                  </w:r>
                  <w:r>
                    <w:rPr>
                      <w:rFonts w:hint="eastAsia" w:ascii="Times New Roman" w:hAnsi="Times New Roman" w:eastAsia="宋体" w:cs="Times New Roman"/>
                      <w:kern w:val="0"/>
                      <w:szCs w:val="21"/>
                    </w:rPr>
                    <w:t>，配有完善的警示标志和管理台账。</w:t>
                  </w:r>
                </w:p>
              </w:tc>
              <w:tc>
                <w:tcPr>
                  <w:tcW w:w="2455" w:type="dxa"/>
                  <w:vMerge w:val="restart"/>
                  <w:vAlign w:val="center"/>
                </w:tcPr>
                <w:p w14:paraId="0D449BDB">
                  <w:pPr>
                    <w:jc w:val="center"/>
                    <w:rPr>
                      <w:rFonts w:ascii="Times New Roman" w:hAnsi="Times New Roman" w:eastAsia="宋体"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r>
                    <w:rPr>
                      <w:rFonts w:hint="eastAsia" w:ascii="Times New Roman" w:hAnsi="Times New Roman" w:eastAsia="宋体" w:cs="Times New Roman"/>
                      <w:szCs w:val="21"/>
                    </w:rPr>
                    <w:t>%合理处置</w:t>
                  </w:r>
                </w:p>
              </w:tc>
            </w:tr>
            <w:tr w14:paraId="0650630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continue"/>
                  <w:vAlign w:val="center"/>
                </w:tcPr>
                <w:p w14:paraId="20E856A5">
                  <w:pPr>
                    <w:jc w:val="center"/>
                    <w:rPr>
                      <w:rFonts w:ascii="Times New Roman" w:hAnsi="Times New Roman" w:eastAsia="宋体" w:cs="Times New Roman"/>
                      <w:kern w:val="0"/>
                      <w:szCs w:val="21"/>
                    </w:rPr>
                  </w:pPr>
                </w:p>
              </w:tc>
              <w:tc>
                <w:tcPr>
                  <w:tcW w:w="1401" w:type="dxa"/>
                  <w:vAlign w:val="center"/>
                </w:tcPr>
                <w:p w14:paraId="16CF7F33">
                  <w:pPr>
                    <w:jc w:val="center"/>
                    <w:rPr>
                      <w:rFonts w:ascii="Times New Roman" w:hAnsi="Times New Roman" w:eastAsia="宋体" w:cs="Times New Roman"/>
                      <w:kern w:val="0"/>
                      <w:szCs w:val="21"/>
                    </w:rPr>
                  </w:pPr>
                  <w:r>
                    <w:rPr>
                      <w:szCs w:val="21"/>
                    </w:rPr>
                    <w:t>废油脂收集 桶</w:t>
                  </w:r>
                </w:p>
              </w:tc>
              <w:tc>
                <w:tcPr>
                  <w:tcW w:w="3260" w:type="dxa"/>
                  <w:vAlign w:val="center"/>
                </w:tcPr>
                <w:p w14:paraId="00884395">
                  <w:pPr>
                    <w:jc w:val="center"/>
                    <w:rPr>
                      <w:rFonts w:ascii="Times New Roman" w:hAnsi="Times New Roman" w:eastAsia="宋体" w:cs="Times New Roman"/>
                      <w:kern w:val="0"/>
                      <w:szCs w:val="21"/>
                    </w:rPr>
                  </w:pPr>
                  <w:r>
                    <w:rPr>
                      <w:rFonts w:hint="eastAsia" w:ascii="Times New Roman" w:hAnsi="Times New Roman" w:cs="Times New Roman"/>
                      <w:szCs w:val="21"/>
                    </w:rPr>
                    <w:t>专用油脂收集桶2个。</w:t>
                  </w:r>
                </w:p>
              </w:tc>
              <w:tc>
                <w:tcPr>
                  <w:tcW w:w="2455" w:type="dxa"/>
                  <w:vMerge w:val="continue"/>
                  <w:vAlign w:val="center"/>
                </w:tcPr>
                <w:p w14:paraId="45C51607">
                  <w:pPr>
                    <w:jc w:val="center"/>
                    <w:rPr>
                      <w:rFonts w:ascii="Times New Roman" w:hAnsi="Times New Roman" w:eastAsia="宋体" w:cs="Times New Roman"/>
                      <w:szCs w:val="21"/>
                    </w:rPr>
                  </w:pPr>
                </w:p>
              </w:tc>
            </w:tr>
            <w:tr w14:paraId="1B2D9B57">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continue"/>
                  <w:vAlign w:val="center"/>
                </w:tcPr>
                <w:p w14:paraId="0D3E94BC">
                  <w:pPr>
                    <w:jc w:val="center"/>
                    <w:rPr>
                      <w:rFonts w:ascii="Times New Roman" w:hAnsi="Times New Roman" w:eastAsia="宋体" w:cs="Times New Roman"/>
                      <w:kern w:val="0"/>
                      <w:szCs w:val="21"/>
                    </w:rPr>
                  </w:pPr>
                </w:p>
              </w:tc>
              <w:tc>
                <w:tcPr>
                  <w:tcW w:w="1401" w:type="dxa"/>
                  <w:vAlign w:val="center"/>
                </w:tcPr>
                <w:p w14:paraId="1D9CFE62">
                  <w:pPr>
                    <w:jc w:val="center"/>
                    <w:rPr>
                      <w:szCs w:val="21"/>
                    </w:rPr>
                  </w:pPr>
                  <w:r>
                    <w:rPr>
                      <w:rFonts w:ascii="Times New Roman" w:hAnsi="Times New Roman" w:cs="Times New Roman"/>
                      <w:szCs w:val="21"/>
                    </w:rPr>
                    <w:t>泔水收集桶</w:t>
                  </w:r>
                </w:p>
              </w:tc>
              <w:tc>
                <w:tcPr>
                  <w:tcW w:w="3260" w:type="dxa"/>
                  <w:vAlign w:val="center"/>
                </w:tcPr>
                <w:p w14:paraId="2468FDFA">
                  <w:pPr>
                    <w:jc w:val="center"/>
                    <w:rPr>
                      <w:rFonts w:ascii="Times New Roman" w:hAnsi="Times New Roman" w:cs="Times New Roman"/>
                      <w:szCs w:val="21"/>
                    </w:rPr>
                  </w:pPr>
                  <w:r>
                    <w:rPr>
                      <w:rFonts w:hint="eastAsia" w:ascii="Times New Roman" w:hAnsi="Times New Roman" w:cs="Times New Roman"/>
                      <w:szCs w:val="21"/>
                    </w:rPr>
                    <w:t>设1</w:t>
                  </w:r>
                  <w:r>
                    <w:rPr>
                      <w:rFonts w:ascii="Times New Roman" w:hAnsi="Times New Roman" w:cs="Times New Roman"/>
                      <w:szCs w:val="21"/>
                    </w:rPr>
                    <w:t>00L</w:t>
                  </w:r>
                  <w:r>
                    <w:rPr>
                      <w:rFonts w:hint="eastAsia" w:ascii="Times New Roman" w:hAnsi="Times New Roman" w:cs="Times New Roman"/>
                      <w:szCs w:val="21"/>
                    </w:rPr>
                    <w:t>收集桶2个。</w:t>
                  </w:r>
                </w:p>
              </w:tc>
              <w:tc>
                <w:tcPr>
                  <w:tcW w:w="2455" w:type="dxa"/>
                  <w:vMerge w:val="continue"/>
                  <w:vAlign w:val="center"/>
                </w:tcPr>
                <w:p w14:paraId="41041603">
                  <w:pPr>
                    <w:jc w:val="center"/>
                    <w:rPr>
                      <w:rFonts w:ascii="Times New Roman" w:hAnsi="Times New Roman" w:eastAsia="宋体" w:cs="Times New Roman"/>
                      <w:szCs w:val="21"/>
                    </w:rPr>
                  </w:pPr>
                </w:p>
              </w:tc>
            </w:tr>
            <w:tr w14:paraId="57579E4E">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564" w:hRule="atLeast"/>
                <w:jc w:val="center"/>
              </w:trPr>
              <w:tc>
                <w:tcPr>
                  <w:tcW w:w="884" w:type="dxa"/>
                  <w:vMerge w:val="continue"/>
                  <w:vAlign w:val="center"/>
                </w:tcPr>
                <w:p w14:paraId="24A733AF">
                  <w:pPr>
                    <w:jc w:val="center"/>
                    <w:rPr>
                      <w:rFonts w:ascii="Times New Roman" w:hAnsi="Times New Roman" w:eastAsia="宋体" w:cs="Times New Roman"/>
                      <w:kern w:val="0"/>
                      <w:szCs w:val="21"/>
                    </w:rPr>
                  </w:pPr>
                </w:p>
              </w:tc>
              <w:tc>
                <w:tcPr>
                  <w:tcW w:w="1401" w:type="dxa"/>
                  <w:vAlign w:val="center"/>
                </w:tcPr>
                <w:p w14:paraId="2FF8AF50">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生活垃圾</w:t>
                  </w:r>
                </w:p>
              </w:tc>
              <w:tc>
                <w:tcPr>
                  <w:tcW w:w="3260" w:type="dxa"/>
                  <w:vAlign w:val="center"/>
                </w:tcPr>
                <w:p w14:paraId="44E3D9CB">
                  <w:pPr>
                    <w:jc w:val="center"/>
                    <w:rPr>
                      <w:rFonts w:ascii="Times New Roman" w:hAnsi="Times New Roman" w:eastAsia="宋体" w:cs="Times New Roman"/>
                      <w:kern w:val="0"/>
                      <w:szCs w:val="21"/>
                    </w:rPr>
                  </w:pPr>
                  <w:r>
                    <w:rPr>
                      <w:rFonts w:hint="eastAsia" w:ascii="Times New Roman" w:hAnsi="Times New Roman" w:cs="Times New Roman"/>
                      <w:szCs w:val="21"/>
                    </w:rPr>
                    <w:t>设加盖型分类</w:t>
                  </w:r>
                  <w:r>
                    <w:rPr>
                      <w:rFonts w:ascii="Times New Roman" w:hAnsi="Times New Roman" w:cs="Times New Roman"/>
                      <w:szCs w:val="21"/>
                    </w:rPr>
                    <w:t>垃圾桶</w:t>
                  </w:r>
                  <w:r>
                    <w:rPr>
                      <w:rFonts w:hint="eastAsia" w:ascii="Times New Roman" w:hAnsi="Times New Roman" w:cs="Times New Roman"/>
                      <w:szCs w:val="21"/>
                    </w:rPr>
                    <w:t>5个</w:t>
                  </w:r>
                  <w:r>
                    <w:rPr>
                      <w:rFonts w:ascii="Times New Roman" w:hAnsi="Times New Roman" w:cs="Times New Roman"/>
                      <w:szCs w:val="21"/>
                    </w:rPr>
                    <w:t>，</w:t>
                  </w:r>
                  <w:r>
                    <w:rPr>
                      <w:rFonts w:hint="eastAsia" w:ascii="Times New Roman" w:hAnsi="Times New Roman" w:cs="Times New Roman"/>
                      <w:szCs w:val="21"/>
                    </w:rPr>
                    <w:t>小型垃圾桶若干。</w:t>
                  </w:r>
                </w:p>
              </w:tc>
              <w:tc>
                <w:tcPr>
                  <w:tcW w:w="2455" w:type="dxa"/>
                  <w:vMerge w:val="continue"/>
                  <w:vAlign w:val="center"/>
                </w:tcPr>
                <w:p w14:paraId="35CF6C8B">
                  <w:pPr>
                    <w:jc w:val="center"/>
                    <w:rPr>
                      <w:rFonts w:ascii="Times New Roman" w:hAnsi="Times New Roman" w:eastAsia="宋体" w:cs="Times New Roman"/>
                      <w:szCs w:val="21"/>
                    </w:rPr>
                  </w:pPr>
                </w:p>
              </w:tc>
            </w:tr>
            <w:tr w14:paraId="64F557B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287" w:hRule="atLeast"/>
                <w:jc w:val="center"/>
              </w:trPr>
              <w:tc>
                <w:tcPr>
                  <w:tcW w:w="884" w:type="dxa"/>
                  <w:vAlign w:val="center"/>
                </w:tcPr>
                <w:p w14:paraId="0735B9B5">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生态</w:t>
                  </w:r>
                </w:p>
              </w:tc>
              <w:tc>
                <w:tcPr>
                  <w:tcW w:w="1401" w:type="dxa"/>
                  <w:vAlign w:val="center"/>
                </w:tcPr>
                <w:p w14:paraId="7D991836">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绿化</w:t>
                  </w:r>
                </w:p>
              </w:tc>
              <w:tc>
                <w:tcPr>
                  <w:tcW w:w="3260" w:type="dxa"/>
                  <w:vAlign w:val="center"/>
                </w:tcPr>
                <w:p w14:paraId="191DAD7A">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厂区面积</w:t>
                  </w:r>
                  <w:r>
                    <w:rPr>
                      <w:rFonts w:ascii="Times New Roman" w:hAnsi="Times New Roman" w:eastAsia="宋体" w:cs="Times New Roman"/>
                      <w:kern w:val="0"/>
                      <w:szCs w:val="21"/>
                    </w:rPr>
                    <w:t>500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ascii="Times New Roman" w:hAnsi="Times New Roman" w:eastAsia="宋体" w:cs="Times New Roman"/>
                      <w:kern w:val="0"/>
                      <w:szCs w:val="21"/>
                    </w:rPr>
                    <w:t xml:space="preserve"> </w:t>
                  </w:r>
                </w:p>
              </w:tc>
              <w:tc>
                <w:tcPr>
                  <w:tcW w:w="2455" w:type="dxa"/>
                  <w:vAlign w:val="center"/>
                </w:tcPr>
                <w:p w14:paraId="62E1320D">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r>
            <w:bookmarkEnd w:id="78"/>
          </w:tbl>
          <w:p w14:paraId="6F924010"/>
          <w:p w14:paraId="6E6FCE0C">
            <w:pPr>
              <w:pStyle w:val="2"/>
              <w:pBdr>
                <w:bottom w:val="none" w:color="auto" w:sz="0" w:space="0"/>
              </w:pBdr>
              <w:jc w:val="both"/>
            </w:pPr>
          </w:p>
          <w:p w14:paraId="68DF8B5F"/>
          <w:p w14:paraId="30F5DDAE">
            <w:pPr>
              <w:pStyle w:val="2"/>
              <w:pBdr>
                <w:bottom w:val="none" w:color="auto" w:sz="0" w:space="0"/>
              </w:pBdr>
            </w:pPr>
          </w:p>
          <w:p w14:paraId="3439DDD2">
            <w:pPr>
              <w:pStyle w:val="2"/>
              <w:pBdr>
                <w:bottom w:val="none" w:color="auto" w:sz="0" w:space="0"/>
              </w:pBdr>
              <w:jc w:val="both"/>
            </w:pPr>
          </w:p>
          <w:p w14:paraId="0D5A6368"/>
          <w:p w14:paraId="023A9359">
            <w:pPr>
              <w:pStyle w:val="2"/>
              <w:pBdr>
                <w:bottom w:val="none" w:color="auto" w:sz="0" w:space="0"/>
              </w:pBdr>
            </w:pPr>
          </w:p>
          <w:p w14:paraId="64AD2E0C"/>
          <w:p w14:paraId="716A8389">
            <w:pPr>
              <w:pStyle w:val="2"/>
              <w:pBdr>
                <w:bottom w:val="none" w:color="auto" w:sz="0" w:space="0"/>
              </w:pBdr>
            </w:pPr>
          </w:p>
          <w:p w14:paraId="6C2A3F44"/>
          <w:p w14:paraId="585123D9">
            <w:pPr>
              <w:pStyle w:val="2"/>
              <w:pBdr>
                <w:bottom w:val="none" w:color="auto" w:sz="0" w:space="0"/>
              </w:pBdr>
            </w:pPr>
          </w:p>
          <w:p w14:paraId="34A296F3"/>
          <w:p w14:paraId="730DC097">
            <w:pPr>
              <w:pStyle w:val="2"/>
              <w:pBdr>
                <w:bottom w:val="none" w:color="auto" w:sz="0" w:space="0"/>
              </w:pBdr>
            </w:pPr>
          </w:p>
          <w:p w14:paraId="1EB1C096"/>
          <w:p w14:paraId="1BA33264">
            <w:pPr>
              <w:pStyle w:val="2"/>
              <w:pBdr>
                <w:bottom w:val="none" w:color="auto" w:sz="0" w:space="0"/>
              </w:pBdr>
            </w:pPr>
          </w:p>
          <w:p w14:paraId="5E1E419E"/>
          <w:p w14:paraId="37EFA126">
            <w:pPr>
              <w:pStyle w:val="2"/>
              <w:pBdr>
                <w:bottom w:val="none" w:color="auto" w:sz="0" w:space="0"/>
              </w:pBdr>
            </w:pPr>
          </w:p>
          <w:p w14:paraId="421F3698"/>
          <w:p w14:paraId="1C4B7387"/>
          <w:p w14:paraId="0AF1BDE7">
            <w:pPr>
              <w:pStyle w:val="2"/>
              <w:pBdr>
                <w:bottom w:val="none" w:color="auto" w:sz="0" w:space="0"/>
              </w:pBdr>
            </w:pPr>
          </w:p>
          <w:p w14:paraId="2D7EFCDC">
            <w:pPr>
              <w:rPr>
                <w:rFonts w:hint="eastAsia"/>
              </w:rPr>
            </w:pPr>
          </w:p>
          <w:p w14:paraId="665BFD71">
            <w:pPr>
              <w:rPr>
                <w:rFonts w:hint="eastAsia"/>
              </w:rPr>
            </w:pPr>
          </w:p>
          <w:p w14:paraId="4EDDB203">
            <w:pPr>
              <w:rPr>
                <w:rFonts w:hint="eastAsia"/>
              </w:rPr>
            </w:pPr>
          </w:p>
          <w:p w14:paraId="32B365E7">
            <w:pPr>
              <w:rPr>
                <w:rFonts w:hint="eastAsia"/>
              </w:rPr>
            </w:pPr>
          </w:p>
          <w:p w14:paraId="1B1E5416">
            <w:pPr>
              <w:rPr>
                <w:rFonts w:hint="eastAsia"/>
              </w:rPr>
            </w:pPr>
          </w:p>
          <w:p w14:paraId="2D88D54F">
            <w:pPr>
              <w:rPr>
                <w:rFonts w:hint="eastAsia"/>
              </w:rPr>
            </w:pPr>
          </w:p>
          <w:p w14:paraId="3918CC92">
            <w:pPr>
              <w:rPr>
                <w:rFonts w:hint="eastAsia"/>
              </w:rPr>
            </w:pPr>
          </w:p>
          <w:p w14:paraId="42FE960A">
            <w:pPr>
              <w:pStyle w:val="2"/>
              <w:pBdr>
                <w:bottom w:val="none" w:color="auto" w:sz="0" w:space="0"/>
              </w:pBdr>
              <w:rPr>
                <w:rFonts w:hint="eastAsia"/>
              </w:rPr>
            </w:pPr>
          </w:p>
          <w:p w14:paraId="59F45735">
            <w:pPr>
              <w:rPr>
                <w:rFonts w:hint="eastAsia"/>
              </w:rPr>
            </w:pPr>
          </w:p>
          <w:p w14:paraId="74910C33">
            <w:pPr>
              <w:rPr>
                <w:rFonts w:hint="eastAsia"/>
              </w:rPr>
            </w:pPr>
          </w:p>
          <w:p w14:paraId="7971F804">
            <w:pPr>
              <w:rPr>
                <w:rFonts w:hint="eastAsia"/>
              </w:rPr>
            </w:pPr>
          </w:p>
          <w:p w14:paraId="607259A5">
            <w:pPr>
              <w:rPr>
                <w:rFonts w:hint="eastAsia"/>
              </w:rPr>
            </w:pPr>
          </w:p>
          <w:p w14:paraId="2536B255">
            <w:pPr>
              <w:rPr>
                <w:rFonts w:hint="eastAsia"/>
              </w:rPr>
            </w:pPr>
          </w:p>
          <w:p w14:paraId="464EA59E">
            <w:pPr>
              <w:rPr>
                <w:rFonts w:hint="eastAsia"/>
              </w:rPr>
            </w:pPr>
          </w:p>
          <w:p w14:paraId="66E2B40E">
            <w:pPr>
              <w:rPr>
                <w:rFonts w:hint="eastAsia"/>
              </w:rPr>
            </w:pPr>
          </w:p>
          <w:p w14:paraId="2E1CCE79">
            <w:pPr>
              <w:pStyle w:val="2"/>
              <w:pBdr>
                <w:bottom w:val="none" w:color="auto" w:sz="0" w:space="0"/>
              </w:pBdr>
            </w:pPr>
          </w:p>
          <w:p w14:paraId="20FD93D9">
            <w:pPr>
              <w:rPr>
                <w:rFonts w:hint="eastAsia"/>
              </w:rPr>
            </w:pPr>
          </w:p>
          <w:p w14:paraId="4E92D9D4"/>
        </w:tc>
      </w:tr>
    </w:tbl>
    <w:p w14:paraId="54F5E859">
      <w:pPr>
        <w:spacing w:line="360" w:lineRule="auto"/>
        <w:rPr>
          <w:rFonts w:ascii="宋体" w:hAnsi="Times New Roman" w:eastAsia="宋体" w:cs="宋体"/>
          <w:b/>
          <w:sz w:val="28"/>
          <w:szCs w:val="28"/>
          <w:lang w:bidi="ar"/>
        </w:rPr>
        <w:sectPr>
          <w:pgSz w:w="11915" w:h="16840"/>
          <w:pgMar w:top="1702" w:right="1531" w:bottom="1702" w:left="1531" w:header="851" w:footer="851" w:gutter="0"/>
          <w:cols w:space="425" w:num="1"/>
          <w:docGrid w:type="lines" w:linePitch="312" w:charSpace="0"/>
        </w:sectPr>
      </w:pPr>
    </w:p>
    <w:p w14:paraId="3776A1EA">
      <w:pPr>
        <w:pStyle w:val="16"/>
        <w:spacing w:before="312" w:beforeLines="100" w:beforeAutospacing="0" w:after="312" w:afterLines="100" w:afterAutospacing="0"/>
        <w:jc w:val="center"/>
        <w:outlineLvl w:val="0"/>
        <w:rPr>
          <w:rFonts w:ascii="黑体" w:eastAsia="黑体" w:cs="黑体"/>
          <w:snapToGrid w:val="0"/>
          <w:sz w:val="30"/>
          <w:szCs w:val="30"/>
        </w:rPr>
      </w:pPr>
      <w:bookmarkStart w:id="79" w:name="_Toc26860"/>
      <w:r>
        <w:rPr>
          <w:rFonts w:ascii="黑体" w:eastAsia="黑体" w:cs="黑体"/>
          <w:snapToGrid w:val="0"/>
          <w:sz w:val="30"/>
          <w:szCs w:val="30"/>
        </w:rPr>
        <w:t>五、</w:t>
      </w:r>
      <w:bookmarkStart w:id="80" w:name="_Hlk54167917"/>
      <w:r>
        <w:rPr>
          <w:rFonts w:ascii="黑体" w:eastAsia="黑体" w:cs="黑体"/>
          <w:snapToGrid w:val="0"/>
          <w:sz w:val="30"/>
          <w:szCs w:val="30"/>
        </w:rPr>
        <w:t>环境保护措施监督检查清单</w:t>
      </w:r>
      <w:bookmarkEnd w:id="79"/>
      <w:bookmarkEnd w:id="80"/>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755"/>
        <w:gridCol w:w="1336"/>
        <w:gridCol w:w="2174"/>
        <w:gridCol w:w="2008"/>
      </w:tblGrid>
      <w:tr w14:paraId="06836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tcBorders>
              <w:tl2br w:val="single" w:color="auto" w:sz="4" w:space="0"/>
            </w:tcBorders>
          </w:tcPr>
          <w:p w14:paraId="3766D71B">
            <w:pPr>
              <w:adjustRightInd w:val="0"/>
              <w:snapToGrid w:val="0"/>
              <w:ind w:firstLine="840"/>
              <w:rPr>
                <w:rFonts w:ascii="宋体" w:hAnsi="宋体" w:cs="宋体"/>
                <w:szCs w:val="21"/>
              </w:rPr>
            </w:pPr>
            <w:r>
              <w:rPr>
                <w:rFonts w:hint="eastAsia" w:ascii="宋体" w:hAnsi="宋体" w:cs="宋体"/>
                <w:szCs w:val="21"/>
              </w:rPr>
              <w:t>内容</w:t>
            </w:r>
          </w:p>
          <w:p w14:paraId="461C3D52">
            <w:pPr>
              <w:adjustRightInd w:val="0"/>
              <w:snapToGrid w:val="0"/>
              <w:rPr>
                <w:rFonts w:ascii="宋体" w:hAnsi="宋体" w:cs="宋体"/>
                <w:szCs w:val="21"/>
              </w:rPr>
            </w:pPr>
            <w:r>
              <w:rPr>
                <w:rFonts w:hint="eastAsia" w:ascii="宋体" w:hAnsi="宋体" w:cs="宋体"/>
                <w:szCs w:val="21"/>
              </w:rPr>
              <w:t>要素</w:t>
            </w:r>
          </w:p>
        </w:tc>
        <w:tc>
          <w:tcPr>
            <w:tcW w:w="1755" w:type="dxa"/>
            <w:vAlign w:val="center"/>
          </w:tcPr>
          <w:p w14:paraId="55DC4501">
            <w:pPr>
              <w:adjustRightInd w:val="0"/>
              <w:snapToGrid w:val="0"/>
              <w:jc w:val="center"/>
              <w:rPr>
                <w:rFonts w:ascii="宋体" w:hAnsi="宋体" w:cs="宋体"/>
                <w:szCs w:val="21"/>
              </w:rPr>
            </w:pPr>
            <w:r>
              <w:rPr>
                <w:rFonts w:hint="eastAsia" w:ascii="宋体" w:hAnsi="宋体" w:cs="宋体"/>
                <w:szCs w:val="21"/>
              </w:rPr>
              <w:t>排放口(编号、</w:t>
            </w:r>
          </w:p>
          <w:p w14:paraId="6AB6C2F7">
            <w:pPr>
              <w:adjustRightInd w:val="0"/>
              <w:snapToGrid w:val="0"/>
              <w:jc w:val="center"/>
              <w:rPr>
                <w:rFonts w:ascii="宋体" w:hAnsi="宋体" w:cs="宋体"/>
                <w:szCs w:val="21"/>
              </w:rPr>
            </w:pPr>
            <w:r>
              <w:rPr>
                <w:rFonts w:hint="eastAsia" w:ascii="宋体" w:hAnsi="宋体" w:cs="宋体"/>
                <w:szCs w:val="21"/>
              </w:rPr>
              <w:t>名称)/污染源</w:t>
            </w:r>
          </w:p>
        </w:tc>
        <w:tc>
          <w:tcPr>
            <w:tcW w:w="1336" w:type="dxa"/>
            <w:vAlign w:val="center"/>
          </w:tcPr>
          <w:p w14:paraId="00382FEC">
            <w:pPr>
              <w:adjustRightInd w:val="0"/>
              <w:snapToGrid w:val="0"/>
              <w:jc w:val="center"/>
              <w:rPr>
                <w:rFonts w:ascii="宋体" w:hAnsi="宋体" w:cs="宋体"/>
                <w:szCs w:val="21"/>
              </w:rPr>
            </w:pPr>
            <w:r>
              <w:rPr>
                <w:rFonts w:hint="eastAsia" w:ascii="宋体" w:hAnsi="宋体" w:cs="宋体"/>
                <w:szCs w:val="21"/>
              </w:rPr>
              <w:t>污染物项目</w:t>
            </w:r>
          </w:p>
        </w:tc>
        <w:tc>
          <w:tcPr>
            <w:tcW w:w="2174" w:type="dxa"/>
            <w:vAlign w:val="center"/>
          </w:tcPr>
          <w:p w14:paraId="008544B5">
            <w:pPr>
              <w:adjustRightInd w:val="0"/>
              <w:snapToGrid w:val="0"/>
              <w:jc w:val="center"/>
              <w:rPr>
                <w:rFonts w:ascii="宋体" w:hAnsi="宋体" w:cs="宋体"/>
                <w:szCs w:val="21"/>
              </w:rPr>
            </w:pPr>
            <w:r>
              <w:rPr>
                <w:rFonts w:hint="eastAsia" w:ascii="宋体" w:hAnsi="宋体" w:cs="宋体"/>
                <w:szCs w:val="21"/>
              </w:rPr>
              <w:t>环境保护措施</w:t>
            </w:r>
          </w:p>
        </w:tc>
        <w:tc>
          <w:tcPr>
            <w:tcW w:w="2008" w:type="dxa"/>
            <w:vAlign w:val="center"/>
          </w:tcPr>
          <w:p w14:paraId="49890CE9">
            <w:pPr>
              <w:adjustRightInd w:val="0"/>
              <w:snapToGrid w:val="0"/>
              <w:jc w:val="center"/>
              <w:rPr>
                <w:rFonts w:ascii="宋体" w:hAnsi="宋体" w:cs="宋体"/>
                <w:szCs w:val="21"/>
              </w:rPr>
            </w:pPr>
            <w:r>
              <w:rPr>
                <w:rFonts w:hint="eastAsia" w:ascii="宋体" w:hAnsi="宋体" w:cs="宋体"/>
                <w:szCs w:val="21"/>
              </w:rPr>
              <w:t>执行标准</w:t>
            </w:r>
          </w:p>
        </w:tc>
      </w:tr>
      <w:tr w14:paraId="481B5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restart"/>
            <w:vAlign w:val="center"/>
          </w:tcPr>
          <w:p w14:paraId="2A83C43E">
            <w:pPr>
              <w:adjustRightInd w:val="0"/>
              <w:snapToGrid w:val="0"/>
              <w:jc w:val="center"/>
              <w:rPr>
                <w:rFonts w:ascii="宋体" w:hAnsi="宋体" w:cs="宋体"/>
                <w:szCs w:val="21"/>
              </w:rPr>
            </w:pPr>
            <w:r>
              <w:rPr>
                <w:rFonts w:hint="eastAsia" w:ascii="宋体" w:hAnsi="宋体" w:cs="宋体"/>
                <w:szCs w:val="21"/>
              </w:rPr>
              <w:t>大气环境</w:t>
            </w:r>
          </w:p>
        </w:tc>
        <w:tc>
          <w:tcPr>
            <w:tcW w:w="1755" w:type="dxa"/>
            <w:vAlign w:val="center"/>
          </w:tcPr>
          <w:p w14:paraId="7B132E22">
            <w:pPr>
              <w:jc w:val="center"/>
              <w:rPr>
                <w:rFonts w:ascii="Times New Roman" w:hAnsi="Times New Roman" w:eastAsia="宋体" w:cs="Times New Roman"/>
              </w:rPr>
            </w:pPr>
            <w:r>
              <w:rPr>
                <w:rFonts w:ascii="Times New Roman" w:hAnsi="Times New Roman" w:eastAsia="宋体" w:cs="Times New Roman"/>
              </w:rPr>
              <w:t>DA001</w:t>
            </w:r>
            <w:r>
              <w:rPr>
                <w:rFonts w:hint="eastAsia" w:ascii="Times New Roman" w:hAnsi="Times New Roman" w:eastAsia="宋体" w:cs="Times New Roman"/>
              </w:rPr>
              <w:t>排气筒/废气处理设施</w:t>
            </w:r>
          </w:p>
        </w:tc>
        <w:tc>
          <w:tcPr>
            <w:tcW w:w="1336" w:type="dxa"/>
            <w:vAlign w:val="center"/>
          </w:tcPr>
          <w:p w14:paraId="06E24819">
            <w:pPr>
              <w:jc w:val="center"/>
              <w:rPr>
                <w:rFonts w:ascii="Times New Roman" w:hAnsi="Times New Roman" w:eastAsia="宋体" w:cs="Times New Roman"/>
              </w:rPr>
            </w:pPr>
            <w:r>
              <w:rPr>
                <w:rFonts w:hint="eastAsia" w:ascii="Times New Roman" w:hAnsi="Times New Roman" w:cs="Times New Roman"/>
                <w:szCs w:val="21"/>
              </w:rPr>
              <w:t>颗粒物（P</w:t>
            </w:r>
            <w:r>
              <w:rPr>
                <w:rFonts w:ascii="Times New Roman" w:hAnsi="Times New Roman" w:cs="Times New Roman"/>
                <w:szCs w:val="21"/>
              </w:rPr>
              <w:t>M</w:t>
            </w:r>
            <w:r>
              <w:rPr>
                <w:rFonts w:hint="eastAsia" w:ascii="Times New Roman" w:hAnsi="Times New Roman" w:cs="Times New Roman"/>
                <w:szCs w:val="21"/>
                <w:vertAlign w:val="subscript"/>
              </w:rPr>
              <w:t>10</w:t>
            </w:r>
            <w:r>
              <w:rPr>
                <w:rFonts w:hint="eastAsia" w:ascii="Times New Roman" w:hAnsi="Times New Roman" w:cs="Times New Roman"/>
                <w:szCs w:val="21"/>
              </w:rPr>
              <w:t>）</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、NO</w:t>
            </w:r>
            <w:r>
              <w:rPr>
                <w:rFonts w:hint="eastAsia" w:ascii="Times New Roman" w:hAnsi="Times New Roman" w:cs="Times New Roman"/>
                <w:szCs w:val="21"/>
              </w:rPr>
              <w:t>x、N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2174" w:type="dxa"/>
            <w:vAlign w:val="center"/>
          </w:tcPr>
          <w:p w14:paraId="2E7010E1">
            <w:pPr>
              <w:jc w:val="center"/>
              <w:rPr>
                <w:rFonts w:ascii="Times New Roman" w:hAnsi="Times New Roman" w:eastAsia="宋体" w:cs="Times New Roman"/>
              </w:rPr>
            </w:pPr>
            <w:r>
              <w:rPr>
                <w:rFonts w:ascii="Times New Roman" w:hAnsi="Times New Roman" w:cs="Times New Roman"/>
                <w:szCs w:val="21"/>
              </w:rPr>
              <w:t>无害化处理设备密封，恶臭气体</w:t>
            </w:r>
            <w:r>
              <w:rPr>
                <w:rFonts w:hint="eastAsia" w:ascii="Times New Roman" w:hAnsi="Times New Roman" w:cs="Times New Roman"/>
                <w:szCs w:val="21"/>
              </w:rPr>
              <w:t>采用</w:t>
            </w:r>
            <w:r>
              <w:rPr>
                <w:rFonts w:ascii="Times New Roman" w:hAnsi="Times New Roman" w:cs="Times New Roman"/>
                <w:szCs w:val="21"/>
              </w:rPr>
              <w:t>冷凝器+酸碱喷淋塔+</w:t>
            </w:r>
            <w:r>
              <w:rPr>
                <w:rFonts w:hint="eastAsia" w:ascii="Times New Roman" w:hAnsi="Times New Roman" w:cs="Times New Roman"/>
                <w:szCs w:val="21"/>
              </w:rPr>
              <w:t>燃气</w:t>
            </w:r>
            <w:r>
              <w:rPr>
                <w:rFonts w:ascii="Times New Roman" w:hAnsi="Times New Roman" w:cs="Times New Roman"/>
                <w:szCs w:val="21"/>
              </w:rPr>
              <w:t>锅炉焚烧</w:t>
            </w:r>
            <w:r>
              <w:rPr>
                <w:rFonts w:hint="eastAsia" w:ascii="Times New Roman" w:hAnsi="Times New Roman" w:cs="Times New Roman"/>
                <w:szCs w:val="21"/>
              </w:rPr>
              <w:t>工艺</w:t>
            </w:r>
            <w:r>
              <w:rPr>
                <w:rFonts w:ascii="Times New Roman" w:hAnsi="Times New Roman" w:cs="Times New Roman"/>
                <w:szCs w:val="21"/>
              </w:rPr>
              <w:t>处理</w:t>
            </w:r>
            <w:r>
              <w:rPr>
                <w:rFonts w:hint="eastAsia" w:ascii="Times New Roman" w:hAnsi="Times New Roman" w:cs="Times New Roman"/>
                <w:szCs w:val="21"/>
              </w:rPr>
              <w:t>；锅炉尾气设1套双碱法脱硫除尘塔处理，风量5</w:t>
            </w:r>
            <w:r>
              <w:rPr>
                <w:rFonts w:ascii="Times New Roman" w:hAnsi="Times New Roman" w:cs="Times New Roman"/>
                <w:szCs w:val="21"/>
              </w:rPr>
              <w:t>880.21N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/h，末端设</w:t>
            </w:r>
            <w:r>
              <w:rPr>
                <w:rFonts w:ascii="Times New Roman" w:hAnsi="Times New Roman" w:cs="Times New Roman"/>
                <w:szCs w:val="21"/>
              </w:rPr>
              <w:t>35m排气筒排放（DA001</w:t>
            </w:r>
            <w:r>
              <w:rPr>
                <w:rFonts w:hint="eastAsia" w:ascii="Times New Roman" w:hAnsi="Times New Roman" w:cs="Times New Roman"/>
                <w:szCs w:val="21"/>
              </w:rPr>
              <w:t>）</w:t>
            </w:r>
          </w:p>
        </w:tc>
        <w:tc>
          <w:tcPr>
            <w:tcW w:w="2008" w:type="dxa"/>
            <w:vAlign w:val="center"/>
          </w:tcPr>
          <w:p w14:paraId="6911FAD8">
            <w:pPr>
              <w:jc w:val="center"/>
              <w:rPr>
                <w:rFonts w:ascii="Times New Roman" w:hAnsi="Times New Roman" w:eastAsia="宋体" w:cs="Times New Roman"/>
              </w:rPr>
            </w:pPr>
            <w:r>
              <w:rPr>
                <w:rFonts w:hint="eastAsia" w:ascii="Times New Roman" w:hAnsi="Times New Roman" w:eastAsia="宋体" w:cs="Times New Roman"/>
                <w:bCs/>
                <w:szCs w:val="21"/>
              </w:rPr>
              <w:t>烟尘、</w:t>
            </w:r>
            <w:r>
              <w:rPr>
                <w:rFonts w:ascii="Times New Roman" w:hAnsi="Times New Roman" w:cs="Times New Roman"/>
                <w:szCs w:val="21"/>
              </w:rPr>
              <w:t>SO</w:t>
            </w:r>
            <w:r>
              <w:rPr>
                <w:rFonts w:ascii="Times New Roman" w:hAnsi="Times New Roman" w:cs="Times New Roman"/>
                <w:szCs w:val="21"/>
                <w:vertAlign w:val="subscript"/>
              </w:rPr>
              <w:t>2</w:t>
            </w:r>
            <w:r>
              <w:rPr>
                <w:rFonts w:hint="eastAsia" w:ascii="Times New Roman" w:hAnsi="Times New Roman" w:eastAsia="宋体" w:cs="Times New Roman"/>
                <w:bCs/>
                <w:szCs w:val="21"/>
              </w:rPr>
              <w:t>、</w:t>
            </w:r>
            <w:r>
              <w:rPr>
                <w:rFonts w:ascii="Times New Roman" w:hAnsi="Times New Roman" w:cs="Times New Roman"/>
                <w:szCs w:val="21"/>
              </w:rPr>
              <w:t>NO</w:t>
            </w:r>
            <w:r>
              <w:rPr>
                <w:rFonts w:hint="eastAsia" w:ascii="Times New Roman" w:hAnsi="Times New Roman" w:cs="Times New Roman"/>
                <w:szCs w:val="21"/>
              </w:rPr>
              <w:t>x执行</w:t>
            </w:r>
            <w:r>
              <w:rPr>
                <w:rFonts w:ascii="Times New Roman" w:hAnsi="Times New Roman" w:eastAsia="宋体" w:cs="Times New Roman"/>
                <w:bCs/>
                <w:szCs w:val="21"/>
              </w:rPr>
              <w:t>《锅炉大气污染物排放标准》（GB13271-2014）</w:t>
            </w:r>
            <w:r>
              <w:rPr>
                <w:rFonts w:hint="eastAsia" w:ascii="Times New Roman" w:hAnsi="Times New Roman" w:eastAsia="宋体" w:cs="Times New Roman"/>
                <w:bCs/>
                <w:szCs w:val="21"/>
              </w:rPr>
              <w:t>表2中</w:t>
            </w:r>
            <w:r>
              <w:rPr>
                <w:rFonts w:ascii="Times New Roman" w:hAnsi="Times New Roman" w:eastAsia="宋体" w:cs="Times New Roman"/>
                <w:bCs/>
                <w:szCs w:val="21"/>
              </w:rPr>
              <w:t>燃</w:t>
            </w:r>
            <w:r>
              <w:rPr>
                <w:rFonts w:hint="eastAsia" w:ascii="Times New Roman" w:hAnsi="Times New Roman" w:eastAsia="宋体" w:cs="Times New Roman"/>
                <w:bCs/>
                <w:szCs w:val="21"/>
              </w:rPr>
              <w:t>煤</w:t>
            </w:r>
            <w:r>
              <w:rPr>
                <w:rFonts w:ascii="Times New Roman" w:hAnsi="Times New Roman" w:eastAsia="宋体" w:cs="Times New Roman"/>
                <w:bCs/>
                <w:szCs w:val="21"/>
              </w:rPr>
              <w:t>锅炉排放限值</w:t>
            </w:r>
            <w:r>
              <w:rPr>
                <w:rFonts w:hint="eastAsia" w:ascii="Times New Roman" w:hAnsi="Times New Roman" w:eastAsia="宋体" w:cs="Times New Roman"/>
                <w:bCs/>
                <w:szCs w:val="21"/>
              </w:rPr>
              <w:t>，</w:t>
            </w: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eastAsia="宋体" w:cs="Times New Roman"/>
                <w:bCs/>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hint="eastAsia" w:ascii="Times New Roman" w:hAnsi="Times New Roman" w:cs="Times New Roman"/>
                <w:szCs w:val="21"/>
              </w:rPr>
              <w:t>执行</w:t>
            </w:r>
            <w:r>
              <w:rPr>
                <w:rFonts w:hint="eastAsia" w:ascii="Times New Roman" w:hAnsi="Times New Roman" w:eastAsia="宋体" w:cs="Times New Roman"/>
                <w:bCs/>
                <w:szCs w:val="21"/>
              </w:rPr>
              <w:t>《恶臭污染物排放标准》(GB14554-93）表2中相应标准</w:t>
            </w:r>
          </w:p>
        </w:tc>
      </w:tr>
      <w:tr w14:paraId="1F39C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1603" w:type="dxa"/>
            <w:vMerge w:val="continue"/>
            <w:vAlign w:val="center"/>
          </w:tcPr>
          <w:p w14:paraId="68E61AB4">
            <w:pPr>
              <w:adjustRightInd w:val="0"/>
              <w:snapToGrid w:val="0"/>
              <w:jc w:val="center"/>
              <w:rPr>
                <w:rFonts w:ascii="宋体" w:hAnsi="宋体" w:cs="宋体"/>
                <w:szCs w:val="21"/>
              </w:rPr>
            </w:pPr>
          </w:p>
        </w:tc>
        <w:tc>
          <w:tcPr>
            <w:tcW w:w="1755" w:type="dxa"/>
            <w:vAlign w:val="center"/>
          </w:tcPr>
          <w:p w14:paraId="025DC19F">
            <w:pPr>
              <w:jc w:val="center"/>
              <w:rPr>
                <w:rFonts w:ascii="Times New Roman" w:hAnsi="Times New Roman" w:eastAsia="宋体" w:cs="Times New Roman"/>
                <w:szCs w:val="21"/>
              </w:rPr>
            </w:pPr>
            <w:r>
              <w:rPr>
                <w:rFonts w:ascii="Times New Roman" w:hAnsi="Times New Roman" w:eastAsia="宋体" w:cs="Times New Roman"/>
              </w:rPr>
              <w:t>DA002</w:t>
            </w:r>
            <w:r>
              <w:rPr>
                <w:rFonts w:hint="eastAsia" w:ascii="Times New Roman" w:hAnsi="Times New Roman" w:eastAsia="宋体" w:cs="Times New Roman"/>
              </w:rPr>
              <w:t>排气筒/废气处理设施</w:t>
            </w:r>
          </w:p>
        </w:tc>
        <w:tc>
          <w:tcPr>
            <w:tcW w:w="1336" w:type="dxa"/>
            <w:vAlign w:val="center"/>
          </w:tcPr>
          <w:p w14:paraId="6C74AE23">
            <w:pPr>
              <w:jc w:val="center"/>
              <w:rPr>
                <w:rFonts w:ascii="Times New Roman" w:hAnsi="Times New Roman" w:eastAsia="宋体"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2174" w:type="dxa"/>
            <w:vAlign w:val="center"/>
          </w:tcPr>
          <w:p w14:paraId="4F183D1A">
            <w:pPr>
              <w:jc w:val="center"/>
              <w:rPr>
                <w:rFonts w:ascii="Times New Roman" w:hAnsi="Times New Roman" w:eastAsia="宋体" w:cs="Times New Roman"/>
              </w:rPr>
            </w:pPr>
            <w:r>
              <w:rPr>
                <w:rFonts w:hint="eastAsia" w:ascii="Times New Roman" w:hAnsi="Times New Roman" w:cs="Times New Roman"/>
                <w:szCs w:val="21"/>
              </w:rPr>
              <w:t>无害化车间密闭，设负压收集系统，风量5</w:t>
            </w:r>
            <w:r>
              <w:rPr>
                <w:rFonts w:ascii="Times New Roman" w:hAnsi="Times New Roman" w:cs="Times New Roman"/>
                <w:szCs w:val="21"/>
              </w:rPr>
              <w:t>000N</w:t>
            </w:r>
            <w:r>
              <w:rPr>
                <w:rFonts w:hint="eastAsia" w:ascii="Times New Roman" w:hAnsi="Times New Roman" w:cs="Times New Roman"/>
                <w:szCs w:val="21"/>
              </w:rPr>
              <w:t>m</w:t>
            </w:r>
            <w:r>
              <w:rPr>
                <w:rFonts w:hint="eastAsia" w:ascii="Times New Roman" w:hAnsi="Times New Roman" w:cs="Times New Roman"/>
                <w:szCs w:val="21"/>
                <w:vertAlign w:val="superscript"/>
              </w:rPr>
              <w:t>3</w:t>
            </w:r>
            <w:r>
              <w:rPr>
                <w:rFonts w:hint="eastAsia" w:ascii="Times New Roman" w:hAnsi="Times New Roman" w:cs="Times New Roman"/>
                <w:szCs w:val="21"/>
              </w:rPr>
              <w:t>/h，废气采用1套二级活性炭+高效过滤处理，末端设</w:t>
            </w:r>
            <w:r>
              <w:rPr>
                <w:rFonts w:ascii="Times New Roman" w:hAnsi="Times New Roman" w:cs="Times New Roman"/>
                <w:szCs w:val="21"/>
              </w:rPr>
              <w:t>15m排气筒排放（DA002</w:t>
            </w:r>
            <w:r>
              <w:rPr>
                <w:rFonts w:hint="eastAsia" w:ascii="Times New Roman" w:hAnsi="Times New Roman" w:cs="Times New Roman"/>
                <w:szCs w:val="21"/>
              </w:rPr>
              <w:t>）。</w:t>
            </w:r>
          </w:p>
        </w:tc>
        <w:tc>
          <w:tcPr>
            <w:tcW w:w="2008" w:type="dxa"/>
            <w:vAlign w:val="center"/>
          </w:tcPr>
          <w:p w14:paraId="5BBEC574">
            <w:pPr>
              <w:jc w:val="center"/>
              <w:rPr>
                <w:rFonts w:ascii="Times New Roman" w:hAnsi="Times New Roman" w:eastAsia="宋体" w:cs="Times New Roman"/>
              </w:rPr>
            </w:pPr>
            <w:r>
              <w:rPr>
                <w:rFonts w:hint="eastAsia" w:ascii="Times New Roman" w:hAnsi="Times New Roman" w:eastAsia="宋体" w:cs="Times New Roman"/>
                <w:bCs/>
                <w:szCs w:val="21"/>
              </w:rPr>
              <w:t>(GB14554-93）《恶臭污染物排放标准》表2中相应标准</w:t>
            </w:r>
          </w:p>
        </w:tc>
      </w:tr>
      <w:tr w14:paraId="63A46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603" w:type="dxa"/>
            <w:vMerge w:val="continue"/>
            <w:vAlign w:val="center"/>
          </w:tcPr>
          <w:p w14:paraId="5380D592">
            <w:pPr>
              <w:adjustRightInd w:val="0"/>
              <w:snapToGrid w:val="0"/>
              <w:jc w:val="center"/>
              <w:rPr>
                <w:rFonts w:ascii="宋体" w:hAnsi="宋体" w:cs="宋体"/>
                <w:szCs w:val="21"/>
              </w:rPr>
            </w:pPr>
          </w:p>
        </w:tc>
        <w:tc>
          <w:tcPr>
            <w:tcW w:w="1755" w:type="dxa"/>
            <w:vAlign w:val="center"/>
          </w:tcPr>
          <w:p w14:paraId="7AD15BE6">
            <w:pPr>
              <w:jc w:val="center"/>
              <w:rPr>
                <w:rFonts w:ascii="Times New Roman" w:hAnsi="Times New Roman" w:eastAsia="宋体" w:cs="Times New Roman"/>
              </w:rPr>
            </w:pPr>
            <w:r>
              <w:t>污水处理站</w:t>
            </w:r>
          </w:p>
        </w:tc>
        <w:tc>
          <w:tcPr>
            <w:tcW w:w="1336" w:type="dxa"/>
            <w:vAlign w:val="center"/>
          </w:tcPr>
          <w:p w14:paraId="63E535D6">
            <w:pPr>
              <w:jc w:val="center"/>
              <w:rPr>
                <w:rFonts w:ascii="Times New Roman" w:hAnsi="Times New Roman" w:cs="Times New Roman"/>
                <w:szCs w:val="21"/>
              </w:rPr>
            </w:pPr>
            <w:r>
              <w:rPr>
                <w:rFonts w:hint="eastAsia" w:ascii="Times New Roman" w:hAnsi="Times New Roman" w:cs="Times New Roman"/>
                <w:szCs w:val="21"/>
              </w:rPr>
              <w:t>N</w:t>
            </w:r>
            <w:r>
              <w:rPr>
                <w:rFonts w:ascii="Times New Roman" w:hAnsi="Times New Roman" w:cs="Times New Roman"/>
                <w:szCs w:val="21"/>
              </w:rPr>
              <w:t>H</w:t>
            </w:r>
            <w:r>
              <w:rPr>
                <w:rFonts w:ascii="Times New Roman" w:hAnsi="Times New Roman" w:cs="Times New Roman"/>
                <w:szCs w:val="21"/>
                <w:vertAlign w:val="subscript"/>
              </w:rPr>
              <w:t>3</w:t>
            </w:r>
            <w:r>
              <w:rPr>
                <w:rFonts w:hint="eastAsia"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t>、臭气浓度</w:t>
            </w:r>
          </w:p>
        </w:tc>
        <w:tc>
          <w:tcPr>
            <w:tcW w:w="2174" w:type="dxa"/>
            <w:vAlign w:val="center"/>
          </w:tcPr>
          <w:p w14:paraId="02BBBD54">
            <w:pPr>
              <w:jc w:val="center"/>
              <w:rPr>
                <w:rFonts w:ascii="Times New Roman" w:hAnsi="Times New Roman" w:cs="Times New Roman"/>
                <w:szCs w:val="21"/>
              </w:rPr>
            </w:pPr>
            <w:r>
              <w:t>污水处理站各池体均为地埋式并加盖，采取喷洒除臭剂和周边种植绿化植物等措施。</w:t>
            </w:r>
          </w:p>
        </w:tc>
        <w:tc>
          <w:tcPr>
            <w:tcW w:w="2008" w:type="dxa"/>
            <w:vAlign w:val="center"/>
          </w:tcPr>
          <w:p w14:paraId="301E657B">
            <w:pPr>
              <w:jc w:val="center"/>
              <w:rPr>
                <w:rFonts w:ascii="Times New Roman" w:hAnsi="Times New Roman" w:eastAsia="宋体" w:cs="Times New Roman"/>
                <w:bCs/>
                <w:szCs w:val="21"/>
              </w:rPr>
            </w:pPr>
            <w:r>
              <w:rPr>
                <w:rFonts w:hint="eastAsia" w:ascii="Times New Roman" w:hAnsi="Times New Roman" w:eastAsia="宋体" w:cs="Times New Roman"/>
                <w:bCs/>
                <w:szCs w:val="21"/>
              </w:rPr>
              <w:t>(GB14554-93）《恶臭污染物排放标准》表</w:t>
            </w:r>
            <w:r>
              <w:rPr>
                <w:rFonts w:ascii="Times New Roman" w:hAnsi="Times New Roman" w:eastAsia="宋体" w:cs="Times New Roman"/>
                <w:bCs/>
                <w:szCs w:val="21"/>
              </w:rPr>
              <w:t>1</w:t>
            </w:r>
            <w:r>
              <w:rPr>
                <w:rFonts w:hint="eastAsia" w:ascii="Times New Roman" w:hAnsi="Times New Roman" w:eastAsia="宋体" w:cs="Times New Roman"/>
                <w:bCs/>
                <w:szCs w:val="21"/>
              </w:rPr>
              <w:t>中相应标准</w:t>
            </w:r>
          </w:p>
        </w:tc>
      </w:tr>
      <w:tr w14:paraId="1D02F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603" w:type="dxa"/>
            <w:vMerge w:val="continue"/>
            <w:vAlign w:val="center"/>
          </w:tcPr>
          <w:p w14:paraId="735DE2D0">
            <w:pPr>
              <w:adjustRightInd w:val="0"/>
              <w:snapToGrid w:val="0"/>
              <w:jc w:val="center"/>
              <w:rPr>
                <w:rFonts w:ascii="宋体" w:hAnsi="宋体" w:cs="宋体"/>
                <w:szCs w:val="21"/>
              </w:rPr>
            </w:pPr>
          </w:p>
        </w:tc>
        <w:tc>
          <w:tcPr>
            <w:tcW w:w="1755" w:type="dxa"/>
            <w:vAlign w:val="center"/>
          </w:tcPr>
          <w:p w14:paraId="7413C366">
            <w:pPr>
              <w:jc w:val="center"/>
            </w:pPr>
            <w:r>
              <w:rPr>
                <w:rFonts w:hint="eastAsia"/>
              </w:rPr>
              <w:t>食堂</w:t>
            </w:r>
          </w:p>
        </w:tc>
        <w:tc>
          <w:tcPr>
            <w:tcW w:w="1336" w:type="dxa"/>
            <w:vAlign w:val="center"/>
          </w:tcPr>
          <w:p w14:paraId="77E6C1FD">
            <w:pPr>
              <w:jc w:val="center"/>
              <w:rPr>
                <w:rFonts w:ascii="Times New Roman" w:hAnsi="Times New Roman" w:cs="Times New Roman"/>
                <w:szCs w:val="21"/>
              </w:rPr>
            </w:pPr>
            <w:r>
              <w:rPr>
                <w:rFonts w:hint="eastAsia" w:ascii="Times New Roman" w:hAnsi="Times New Roman" w:cs="Times New Roman"/>
                <w:szCs w:val="21"/>
              </w:rPr>
              <w:t>油烟</w:t>
            </w:r>
          </w:p>
        </w:tc>
        <w:tc>
          <w:tcPr>
            <w:tcW w:w="2174" w:type="dxa"/>
            <w:vAlign w:val="center"/>
          </w:tcPr>
          <w:p w14:paraId="08AC85E3">
            <w:pPr>
              <w:jc w:val="center"/>
            </w:pPr>
            <w:r>
              <w:rPr>
                <w:rFonts w:ascii="Times New Roman" w:hAnsi="Times New Roman" w:eastAsia="宋体" w:cs="Times New Roman"/>
                <w:bCs/>
                <w:szCs w:val="21"/>
              </w:rPr>
              <w:t>设置1套油烟净 化器，油烟净化效率不低于 60%</w:t>
            </w:r>
            <w:r>
              <w:rPr>
                <w:rFonts w:hint="eastAsia" w:ascii="Times New Roman" w:hAnsi="Times New Roman" w:eastAsia="宋体" w:cs="Times New Roman"/>
                <w:bCs/>
                <w:szCs w:val="21"/>
              </w:rPr>
              <w:t>。</w:t>
            </w:r>
          </w:p>
        </w:tc>
        <w:tc>
          <w:tcPr>
            <w:tcW w:w="2008" w:type="dxa"/>
            <w:vAlign w:val="center"/>
          </w:tcPr>
          <w:p w14:paraId="6DAC57EF">
            <w:pPr>
              <w:jc w:val="center"/>
              <w:rPr>
                <w:rFonts w:ascii="Times New Roman" w:hAnsi="Times New Roman" w:eastAsia="宋体" w:cs="Times New Roman"/>
                <w:bCs/>
                <w:szCs w:val="21"/>
              </w:rPr>
            </w:pPr>
            <w:r>
              <w:rPr>
                <w:rFonts w:ascii="Times New Roman" w:hAnsi="Times New Roman" w:cs="Times New Roman"/>
                <w:bCs/>
              </w:rPr>
              <w:t>（GB18483-2001）《饮食业油烟排放标准》</w:t>
            </w:r>
          </w:p>
        </w:tc>
      </w:tr>
      <w:tr w14:paraId="193F1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restart"/>
            <w:vAlign w:val="center"/>
          </w:tcPr>
          <w:p w14:paraId="2D9E3D7C">
            <w:pPr>
              <w:adjustRightInd w:val="0"/>
              <w:snapToGrid w:val="0"/>
              <w:jc w:val="center"/>
              <w:rPr>
                <w:rFonts w:ascii="宋体" w:hAnsi="宋体" w:cs="宋体"/>
                <w:szCs w:val="21"/>
              </w:rPr>
            </w:pPr>
            <w:r>
              <w:rPr>
                <w:rFonts w:hint="eastAsia" w:ascii="宋体" w:hAnsi="宋体" w:cs="宋体"/>
                <w:szCs w:val="21"/>
              </w:rPr>
              <w:t>地表水环境</w:t>
            </w:r>
          </w:p>
        </w:tc>
        <w:tc>
          <w:tcPr>
            <w:tcW w:w="1755" w:type="dxa"/>
            <w:vAlign w:val="center"/>
          </w:tcPr>
          <w:p w14:paraId="6E938F24">
            <w:pPr>
              <w:jc w:val="center"/>
              <w:rPr>
                <w:rFonts w:ascii="Times New Roman" w:hAnsi="Times New Roman" w:eastAsia="宋体" w:cs="Times New Roman"/>
              </w:rPr>
            </w:pPr>
            <w:r>
              <w:rPr>
                <w:rFonts w:ascii="Times New Roman" w:hAnsi="Times New Roman" w:eastAsia="宋体" w:cs="Times New Roman"/>
              </w:rPr>
              <w:t>DW001/</w:t>
            </w:r>
            <w:r>
              <w:rPr>
                <w:rFonts w:hint="eastAsia" w:ascii="Times New Roman" w:hAnsi="Times New Roman" w:eastAsia="宋体" w:cs="Times New Roman"/>
              </w:rPr>
              <w:t>生产生活污水</w:t>
            </w:r>
          </w:p>
        </w:tc>
        <w:tc>
          <w:tcPr>
            <w:tcW w:w="1336" w:type="dxa"/>
            <w:vAlign w:val="center"/>
          </w:tcPr>
          <w:p w14:paraId="38E87CE4">
            <w:pPr>
              <w:jc w:val="center"/>
              <w:rPr>
                <w:rFonts w:ascii="Times New Roman" w:hAnsi="Times New Roman" w:eastAsia="宋体" w:cs="Times New Roman"/>
              </w:rPr>
            </w:pPr>
            <w:r>
              <w:rPr>
                <w:rFonts w:hint="eastAsia" w:ascii="Times New Roman" w:hAnsi="Times New Roman" w:eastAsia="宋体" w:cs="Times New Roman"/>
              </w:rPr>
              <w:t>S</w:t>
            </w:r>
            <w:r>
              <w:rPr>
                <w:rFonts w:ascii="Times New Roman" w:hAnsi="Times New Roman" w:eastAsia="宋体" w:cs="Times New Roman"/>
              </w:rPr>
              <w:t>S</w:t>
            </w:r>
            <w:r>
              <w:rPr>
                <w:rFonts w:hint="eastAsia" w:ascii="Times New Roman" w:hAnsi="Times New Roman" w:eastAsia="宋体" w:cs="Times New Roman"/>
              </w:rPr>
              <w:t>、C</w:t>
            </w:r>
            <w:r>
              <w:rPr>
                <w:rFonts w:ascii="Times New Roman" w:hAnsi="Times New Roman" w:eastAsia="宋体" w:cs="Times New Roman"/>
              </w:rPr>
              <w:t>OD</w:t>
            </w:r>
            <w:r>
              <w:rPr>
                <w:rFonts w:hint="eastAsia" w:ascii="Times New Roman" w:hAnsi="Times New Roman" w:eastAsia="宋体" w:cs="Times New Roman"/>
              </w:rPr>
              <w:t>、B</w:t>
            </w:r>
            <w:r>
              <w:rPr>
                <w:rFonts w:ascii="Times New Roman" w:hAnsi="Times New Roman" w:eastAsia="宋体" w:cs="Times New Roman"/>
              </w:rPr>
              <w:t>OD</w:t>
            </w:r>
            <w:r>
              <w:rPr>
                <w:rFonts w:ascii="Times New Roman" w:hAnsi="Times New Roman" w:eastAsia="宋体" w:cs="Times New Roman"/>
                <w:vertAlign w:val="subscript"/>
              </w:rPr>
              <w:t>5</w:t>
            </w:r>
            <w:r>
              <w:rPr>
                <w:rFonts w:hint="eastAsia" w:ascii="Times New Roman" w:hAnsi="Times New Roman" w:eastAsia="宋体" w:cs="Times New Roman"/>
              </w:rPr>
              <w:t>、氨氮、总磷、动植物油等</w:t>
            </w:r>
          </w:p>
        </w:tc>
        <w:tc>
          <w:tcPr>
            <w:tcW w:w="2174" w:type="dxa"/>
            <w:vAlign w:val="center"/>
          </w:tcPr>
          <w:p w14:paraId="03B0B448">
            <w:pPr>
              <w:jc w:val="center"/>
              <w:rPr>
                <w:rFonts w:ascii="Times New Roman" w:hAnsi="Times New Roman" w:eastAsia="宋体" w:cs="Times New Roman"/>
              </w:rPr>
            </w:pPr>
            <w:r>
              <w:rPr>
                <w:rFonts w:hint="eastAsia" w:ascii="Times New Roman" w:hAnsi="Times New Roman" w:eastAsia="宋体" w:cs="Times New Roman"/>
              </w:rPr>
              <w:t>食堂废水经隔油池处理后排入化粪池，其它废水则直接排入化粪池；污水经化粪池处理后排入1</w:t>
            </w:r>
            <w:r>
              <w:rPr>
                <w:rFonts w:ascii="Times New Roman" w:hAnsi="Times New Roman" w:eastAsia="宋体" w:cs="Times New Roman"/>
              </w:rPr>
              <w:t>5</w:t>
            </w:r>
            <w:r>
              <w:rPr>
                <w:rFonts w:hint="eastAsia" w:ascii="Times New Roman" w:hAnsi="Times New Roman" w:eastAsia="宋体" w:cs="Times New Roman"/>
              </w:rPr>
              <w:t>m</w:t>
            </w:r>
            <w:r>
              <w:rPr>
                <w:rFonts w:hint="eastAsia" w:ascii="Times New Roman" w:hAnsi="Times New Roman" w:eastAsia="宋体" w:cs="Times New Roman"/>
                <w:vertAlign w:val="superscript"/>
              </w:rPr>
              <w:t>3</w:t>
            </w:r>
            <w:r>
              <w:rPr>
                <w:rFonts w:ascii="Times New Roman" w:hAnsi="Times New Roman" w:eastAsia="宋体" w:cs="Times New Roman"/>
              </w:rPr>
              <w:t>/</w:t>
            </w:r>
            <w:r>
              <w:rPr>
                <w:rFonts w:hint="eastAsia" w:ascii="Times New Roman" w:hAnsi="Times New Roman" w:eastAsia="宋体" w:cs="Times New Roman"/>
              </w:rPr>
              <w:t>d处理站，配套设污水管</w:t>
            </w:r>
            <w:r>
              <w:rPr>
                <w:rFonts w:ascii="Times New Roman" w:hAnsi="Times New Roman" w:eastAsia="宋体" w:cs="Times New Roman"/>
              </w:rPr>
              <w:t>120</w:t>
            </w:r>
            <w:r>
              <w:rPr>
                <w:rFonts w:hint="eastAsia" w:ascii="Times New Roman" w:hAnsi="Times New Roman" w:eastAsia="宋体" w:cs="Times New Roman"/>
              </w:rPr>
              <w:t>m；尾水全部用于租用耕地灌溉，不排放，配套设1</w:t>
            </w:r>
            <w:r>
              <w:rPr>
                <w:rFonts w:ascii="Times New Roman" w:hAnsi="Times New Roman" w:eastAsia="宋体" w:cs="Times New Roman"/>
              </w:rPr>
              <w:t>31</w:t>
            </w:r>
            <w:r>
              <w:rPr>
                <w:rFonts w:hint="eastAsia" w:ascii="Times New Roman" w:hAnsi="Times New Roman" w:eastAsia="宋体" w:cs="Times New Roman"/>
              </w:rPr>
              <w:t>亩耕地。</w:t>
            </w:r>
          </w:p>
        </w:tc>
        <w:tc>
          <w:tcPr>
            <w:tcW w:w="2008" w:type="dxa"/>
            <w:vAlign w:val="center"/>
          </w:tcPr>
          <w:p w14:paraId="40FC0870">
            <w:pPr>
              <w:jc w:val="center"/>
              <w:rPr>
                <w:rFonts w:ascii="Times New Roman" w:hAnsi="Times New Roman" w:eastAsia="宋体" w:cs="Times New Roman"/>
              </w:rPr>
            </w:pPr>
            <w:r>
              <w:rPr>
                <w:rFonts w:ascii="Times New Roman" w:hAnsi="Times New Roman" w:eastAsia="宋体" w:cs="Times New Roman"/>
                <w:kern w:val="0"/>
                <w:szCs w:val="21"/>
                <w:lang w:bidi="ar"/>
              </w:rPr>
              <w:t>（GB5084-2021）《农田灌溉水质 标准》中的旱地灌溉水质标准</w:t>
            </w:r>
          </w:p>
        </w:tc>
      </w:tr>
      <w:tr w14:paraId="16E97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783E8537">
            <w:pPr>
              <w:adjustRightInd w:val="0"/>
              <w:snapToGrid w:val="0"/>
              <w:jc w:val="center"/>
              <w:rPr>
                <w:rFonts w:ascii="宋体" w:hAnsi="宋体" w:cs="宋体"/>
                <w:szCs w:val="21"/>
              </w:rPr>
            </w:pPr>
          </w:p>
        </w:tc>
        <w:tc>
          <w:tcPr>
            <w:tcW w:w="1755" w:type="dxa"/>
            <w:vAlign w:val="center"/>
          </w:tcPr>
          <w:p w14:paraId="07CCC69A">
            <w:pPr>
              <w:jc w:val="center"/>
              <w:rPr>
                <w:rFonts w:ascii="Times New Roman" w:hAnsi="Times New Roman" w:eastAsia="宋体" w:cs="Times New Roman"/>
              </w:rPr>
            </w:pPr>
            <w:r>
              <w:rPr>
                <w:rFonts w:ascii="Times New Roman" w:hAnsi="Times New Roman" w:cs="Times New Roman"/>
                <w:bCs/>
              </w:rPr>
              <w:t>工艺废水</w:t>
            </w:r>
          </w:p>
        </w:tc>
        <w:tc>
          <w:tcPr>
            <w:tcW w:w="1336" w:type="dxa"/>
            <w:vAlign w:val="center"/>
          </w:tcPr>
          <w:p w14:paraId="64F44AF8">
            <w:pPr>
              <w:jc w:val="center"/>
              <w:rPr>
                <w:rFonts w:ascii="Times New Roman" w:hAnsi="Times New Roman" w:eastAsia="宋体" w:cs="Times New Roman"/>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w:t>
            </w:r>
            <w:r>
              <w:rPr>
                <w:rFonts w:hint="eastAsia" w:ascii="Times New Roman" w:hAnsi="Times New Roman" w:cs="Times New Roman"/>
                <w:szCs w:val="21"/>
              </w:rPr>
              <w:t>氨氮、动植物油等</w:t>
            </w:r>
          </w:p>
        </w:tc>
        <w:tc>
          <w:tcPr>
            <w:tcW w:w="2174" w:type="dxa"/>
            <w:vAlign w:val="center"/>
          </w:tcPr>
          <w:p w14:paraId="775DB97D">
            <w:pPr>
              <w:jc w:val="center"/>
              <w:rPr>
                <w:rFonts w:ascii="Times New Roman" w:hAnsi="Times New Roman" w:eastAsia="宋体" w:cs="Times New Roman"/>
              </w:rPr>
            </w:pPr>
            <w:r>
              <w:rPr>
                <w:rFonts w:hint="eastAsia" w:ascii="Times New Roman" w:hAnsi="Times New Roman" w:cs="Times New Roman"/>
                <w:bCs/>
              </w:rPr>
              <w:t>设1</w:t>
            </w:r>
            <w:r>
              <w:rPr>
                <w:rFonts w:ascii="Times New Roman" w:hAnsi="Times New Roman" w:cs="Times New Roman"/>
                <w:bCs/>
              </w:rPr>
              <w:t>个10</w:t>
            </w:r>
            <w:r>
              <w:rPr>
                <w:rFonts w:hint="eastAsia" w:ascii="Times New Roman" w:hAnsi="Times New Roman" w:cs="Times New Roman"/>
                <w:bCs/>
              </w:rPr>
              <w:t>m</w:t>
            </w:r>
            <w:r>
              <w:rPr>
                <w:rFonts w:hint="eastAsia" w:ascii="Times New Roman" w:hAnsi="Times New Roman" w:cs="Times New Roman"/>
                <w:bCs/>
                <w:vertAlign w:val="superscript"/>
              </w:rPr>
              <w:t>3</w:t>
            </w:r>
            <w:r>
              <w:rPr>
                <w:rFonts w:ascii="Times New Roman" w:hAnsi="Times New Roman" w:cs="Times New Roman"/>
                <w:bCs/>
              </w:rPr>
              <w:t>的地埋式暂存罐收集、暂存，</w:t>
            </w:r>
            <w:r>
              <w:rPr>
                <w:rFonts w:hint="eastAsia" w:ascii="Times New Roman" w:hAnsi="Times New Roman" w:cs="Times New Roman"/>
                <w:bCs/>
              </w:rPr>
              <w:t>然后</w:t>
            </w:r>
            <w:r>
              <w:rPr>
                <w:rFonts w:ascii="Times New Roman" w:hAnsi="Times New Roman" w:cs="Times New Roman"/>
                <w:bCs/>
              </w:rPr>
              <w:t>进入</w:t>
            </w:r>
            <w:r>
              <w:rPr>
                <w:rFonts w:hint="eastAsia" w:ascii="Times New Roman" w:hAnsi="Times New Roman" w:cs="Times New Roman"/>
                <w:bCs/>
              </w:rPr>
              <w:t>厂区</w:t>
            </w:r>
            <w:r>
              <w:rPr>
                <w:rFonts w:ascii="Times New Roman" w:hAnsi="Times New Roman" w:cs="Times New Roman"/>
                <w:bCs/>
              </w:rPr>
              <w:t>污水处理站处理。</w:t>
            </w:r>
          </w:p>
        </w:tc>
        <w:tc>
          <w:tcPr>
            <w:tcW w:w="2008" w:type="dxa"/>
            <w:vAlign w:val="center"/>
          </w:tcPr>
          <w:p w14:paraId="1AB7E1AA">
            <w:pPr>
              <w:jc w:val="center"/>
              <w:rPr>
                <w:rFonts w:ascii="Times New Roman" w:hAnsi="Times New Roman" w:eastAsia="宋体" w:cs="Times New Roman"/>
              </w:rPr>
            </w:pPr>
            <w:r>
              <w:rPr>
                <w:rFonts w:hint="eastAsia" w:ascii="Times New Roman" w:hAnsi="Times New Roman" w:eastAsia="宋体" w:cs="Times New Roman"/>
              </w:rPr>
              <w:t>/</w:t>
            </w:r>
          </w:p>
        </w:tc>
      </w:tr>
      <w:tr w14:paraId="1C37E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31984127">
            <w:pPr>
              <w:adjustRightInd w:val="0"/>
              <w:snapToGrid w:val="0"/>
              <w:jc w:val="center"/>
              <w:rPr>
                <w:rFonts w:ascii="宋体" w:hAnsi="宋体" w:cs="宋体"/>
                <w:szCs w:val="21"/>
              </w:rPr>
            </w:pPr>
          </w:p>
        </w:tc>
        <w:tc>
          <w:tcPr>
            <w:tcW w:w="1755" w:type="dxa"/>
            <w:vAlign w:val="center"/>
          </w:tcPr>
          <w:p w14:paraId="3BE0E7B3">
            <w:pPr>
              <w:jc w:val="center"/>
              <w:rPr>
                <w:rFonts w:ascii="Times New Roman" w:hAnsi="Times New Roman" w:cs="Times New Roman"/>
                <w:bCs/>
              </w:rPr>
            </w:pPr>
            <w:r>
              <w:rPr>
                <w:rFonts w:hint="eastAsia" w:ascii="Times New Roman" w:hAnsi="Times New Roman" w:cs="Times New Roman"/>
                <w:bCs/>
              </w:rPr>
              <w:t>冲洗废水</w:t>
            </w:r>
          </w:p>
        </w:tc>
        <w:tc>
          <w:tcPr>
            <w:tcW w:w="1336" w:type="dxa"/>
            <w:vAlign w:val="center"/>
          </w:tcPr>
          <w:p w14:paraId="2D73DCE2">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w:t>
            </w:r>
            <w:r>
              <w:rPr>
                <w:rFonts w:hint="eastAsia" w:ascii="Times New Roman" w:hAnsi="Times New Roman" w:cs="Times New Roman"/>
                <w:szCs w:val="21"/>
              </w:rPr>
              <w:t>氨氮、动植物油等</w:t>
            </w:r>
          </w:p>
        </w:tc>
        <w:tc>
          <w:tcPr>
            <w:tcW w:w="2174" w:type="dxa"/>
            <w:vAlign w:val="center"/>
          </w:tcPr>
          <w:p w14:paraId="4D11C8F9">
            <w:pPr>
              <w:jc w:val="center"/>
              <w:rPr>
                <w:rFonts w:ascii="Times New Roman" w:hAnsi="Times New Roman" w:cs="Times New Roman"/>
                <w:bCs/>
              </w:rPr>
            </w:pPr>
            <w:r>
              <w:rPr>
                <w:rFonts w:hint="eastAsia"/>
              </w:rPr>
              <w:t>收集后均送</w:t>
            </w:r>
            <w:r>
              <w:rPr>
                <w:rFonts w:ascii="Times New Roman" w:hAnsi="Times New Roman" w:cs="Times New Roman"/>
                <w:bCs/>
              </w:rPr>
              <w:t>污水处理站处理</w:t>
            </w:r>
            <w:r>
              <w:rPr>
                <w:rFonts w:hint="eastAsia" w:ascii="Times New Roman" w:hAnsi="Times New Roman" w:cs="Times New Roman"/>
                <w:bCs/>
              </w:rPr>
              <w:t>。</w:t>
            </w:r>
          </w:p>
        </w:tc>
        <w:tc>
          <w:tcPr>
            <w:tcW w:w="2008" w:type="dxa"/>
            <w:vAlign w:val="center"/>
          </w:tcPr>
          <w:p w14:paraId="01FA8062">
            <w:pPr>
              <w:jc w:val="center"/>
              <w:rPr>
                <w:rFonts w:ascii="Times New Roman" w:hAnsi="Times New Roman" w:eastAsia="宋体" w:cs="Times New Roman"/>
              </w:rPr>
            </w:pPr>
            <w:r>
              <w:rPr>
                <w:rFonts w:hint="eastAsia" w:ascii="Times New Roman" w:hAnsi="Times New Roman" w:eastAsia="宋体" w:cs="Times New Roman"/>
              </w:rPr>
              <w:t>/</w:t>
            </w:r>
          </w:p>
        </w:tc>
      </w:tr>
      <w:tr w14:paraId="4603F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0F826AFB">
            <w:pPr>
              <w:adjustRightInd w:val="0"/>
              <w:snapToGrid w:val="0"/>
              <w:jc w:val="center"/>
              <w:rPr>
                <w:rFonts w:ascii="宋体" w:hAnsi="宋体" w:cs="宋体"/>
                <w:szCs w:val="21"/>
              </w:rPr>
            </w:pPr>
          </w:p>
        </w:tc>
        <w:tc>
          <w:tcPr>
            <w:tcW w:w="1755" w:type="dxa"/>
            <w:vAlign w:val="center"/>
          </w:tcPr>
          <w:p w14:paraId="3827D361">
            <w:pPr>
              <w:jc w:val="center"/>
              <w:rPr>
                <w:rFonts w:ascii="Times New Roman" w:hAnsi="Times New Roman" w:cs="Times New Roman"/>
                <w:bCs/>
              </w:rPr>
            </w:pPr>
            <w:r>
              <w:rPr>
                <w:rFonts w:ascii="Times New Roman" w:hAnsi="Times New Roman" w:cs="Times New Roman"/>
                <w:bCs/>
              </w:rPr>
              <w:t>冷却塔</w:t>
            </w:r>
            <w:r>
              <w:rPr>
                <w:rFonts w:hint="eastAsia" w:ascii="Times New Roman" w:hAnsi="Times New Roman" w:cs="Times New Roman"/>
                <w:bCs/>
              </w:rPr>
              <w:t>排水</w:t>
            </w:r>
          </w:p>
        </w:tc>
        <w:tc>
          <w:tcPr>
            <w:tcW w:w="1336" w:type="dxa"/>
            <w:vAlign w:val="center"/>
          </w:tcPr>
          <w:p w14:paraId="3B4D18D9">
            <w:pPr>
              <w:jc w:val="center"/>
              <w:rPr>
                <w:rFonts w:ascii="Times New Roman" w:hAnsi="Times New Roman" w:cs="Times New Roman"/>
                <w:szCs w:val="21"/>
              </w:rPr>
            </w:pPr>
            <w:r>
              <w:rPr>
                <w:rFonts w:ascii="Times New Roman" w:hAnsi="Times New Roman" w:cs="Times New Roman"/>
                <w:szCs w:val="21"/>
              </w:rPr>
              <w:t>COD、SS、</w:t>
            </w:r>
            <w:r>
              <w:rPr>
                <w:rFonts w:hint="eastAsia" w:ascii="Times New Roman" w:hAnsi="Times New Roman" w:cs="Times New Roman"/>
                <w:szCs w:val="21"/>
              </w:rPr>
              <w:t>全盐量等</w:t>
            </w:r>
          </w:p>
        </w:tc>
        <w:tc>
          <w:tcPr>
            <w:tcW w:w="2174" w:type="dxa"/>
            <w:vAlign w:val="center"/>
          </w:tcPr>
          <w:p w14:paraId="0DE4E0C3">
            <w:pPr>
              <w:jc w:val="center"/>
            </w:pPr>
            <w:r>
              <w:rPr>
                <w:rFonts w:ascii="Times New Roman" w:hAnsi="Times New Roman" w:cs="Times New Roman"/>
                <w:bCs/>
              </w:rPr>
              <w:t>采用收集桶收集后回用于车间地面冲洗</w:t>
            </w:r>
            <w:r>
              <w:rPr>
                <w:rFonts w:hint="eastAsia" w:ascii="Times New Roman" w:hAnsi="Times New Roman" w:cs="Times New Roman"/>
                <w:bCs/>
              </w:rPr>
              <w:t>。</w:t>
            </w:r>
          </w:p>
        </w:tc>
        <w:tc>
          <w:tcPr>
            <w:tcW w:w="2008" w:type="dxa"/>
            <w:vAlign w:val="center"/>
          </w:tcPr>
          <w:p w14:paraId="6E8F9736">
            <w:pPr>
              <w:jc w:val="center"/>
              <w:rPr>
                <w:rFonts w:ascii="Times New Roman" w:hAnsi="Times New Roman" w:eastAsia="宋体" w:cs="Times New Roman"/>
              </w:rPr>
            </w:pPr>
            <w:r>
              <w:rPr>
                <w:rFonts w:hint="eastAsia" w:ascii="Times New Roman" w:hAnsi="Times New Roman" w:eastAsia="宋体" w:cs="Times New Roman"/>
              </w:rPr>
              <w:t>/</w:t>
            </w:r>
          </w:p>
        </w:tc>
      </w:tr>
      <w:tr w14:paraId="19D2B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44BFD5FA">
            <w:pPr>
              <w:adjustRightInd w:val="0"/>
              <w:snapToGrid w:val="0"/>
              <w:jc w:val="center"/>
              <w:rPr>
                <w:rFonts w:ascii="宋体" w:hAnsi="宋体" w:cs="宋体"/>
                <w:szCs w:val="21"/>
              </w:rPr>
            </w:pPr>
          </w:p>
        </w:tc>
        <w:tc>
          <w:tcPr>
            <w:tcW w:w="1755" w:type="dxa"/>
            <w:vAlign w:val="center"/>
          </w:tcPr>
          <w:p w14:paraId="29BB5122">
            <w:pPr>
              <w:jc w:val="center"/>
              <w:rPr>
                <w:rFonts w:ascii="Times New Roman" w:hAnsi="Times New Roman" w:cs="Times New Roman"/>
                <w:bCs/>
              </w:rPr>
            </w:pPr>
            <w:r>
              <w:rPr>
                <w:rFonts w:ascii="Times New Roman" w:hAnsi="Times New Roman" w:cs="Times New Roman"/>
                <w:bCs/>
              </w:rPr>
              <w:t>检验废水</w:t>
            </w:r>
          </w:p>
        </w:tc>
        <w:tc>
          <w:tcPr>
            <w:tcW w:w="1336" w:type="dxa"/>
            <w:vAlign w:val="center"/>
          </w:tcPr>
          <w:p w14:paraId="2DC90625">
            <w:pPr>
              <w:jc w:val="center"/>
              <w:rPr>
                <w:rFonts w:ascii="Times New Roman" w:hAnsi="Times New Roman" w:cs="Times New Roman"/>
                <w:szCs w:val="21"/>
              </w:rPr>
            </w:pPr>
            <w:r>
              <w:rPr>
                <w:rFonts w:hint="eastAsia" w:ascii="Times New Roman" w:hAnsi="Times New Roman" w:cs="Times New Roman"/>
                <w:bCs/>
              </w:rPr>
              <w:t>p</w:t>
            </w:r>
            <w:r>
              <w:rPr>
                <w:rFonts w:ascii="Times New Roman" w:hAnsi="Times New Roman" w:cs="Times New Roman"/>
                <w:bCs/>
              </w:rPr>
              <w:t>H</w:t>
            </w:r>
            <w:r>
              <w:rPr>
                <w:rFonts w:hint="eastAsia" w:ascii="Times New Roman" w:hAnsi="Times New Roman" w:cs="Times New Roman"/>
                <w:bCs/>
              </w:rPr>
              <w:t>、</w:t>
            </w:r>
            <w:r>
              <w:rPr>
                <w:rFonts w:ascii="Times New Roman" w:hAnsi="Times New Roman" w:cs="Times New Roman"/>
                <w:bCs/>
              </w:rPr>
              <w:t>COD、SS、</w:t>
            </w:r>
            <w:r>
              <w:rPr>
                <w:rFonts w:hint="eastAsia" w:ascii="Times New Roman" w:hAnsi="Times New Roman" w:cs="Times New Roman"/>
                <w:bCs/>
              </w:rPr>
              <w:t>氨氮等</w:t>
            </w:r>
          </w:p>
        </w:tc>
        <w:tc>
          <w:tcPr>
            <w:tcW w:w="2174" w:type="dxa"/>
            <w:vAlign w:val="center"/>
          </w:tcPr>
          <w:p w14:paraId="3911D4F8">
            <w:pPr>
              <w:jc w:val="center"/>
              <w:rPr>
                <w:rFonts w:ascii="Times New Roman" w:hAnsi="Times New Roman" w:cs="Times New Roman"/>
                <w:bCs/>
              </w:rPr>
            </w:pPr>
            <w:r>
              <w:rPr>
                <w:rFonts w:hint="eastAsia" w:ascii="Times New Roman" w:hAnsi="Times New Roman" w:cs="Times New Roman"/>
                <w:bCs/>
              </w:rPr>
              <w:t>采用</w:t>
            </w:r>
            <w:r>
              <w:rPr>
                <w:rFonts w:ascii="Times New Roman" w:hAnsi="Times New Roman" w:cs="Times New Roman"/>
                <w:bCs/>
              </w:rPr>
              <w:t>收集桶收集，进行酸碱中和预处理后进入污水处理站处理。</w:t>
            </w:r>
          </w:p>
        </w:tc>
        <w:tc>
          <w:tcPr>
            <w:tcW w:w="2008" w:type="dxa"/>
            <w:vAlign w:val="center"/>
          </w:tcPr>
          <w:p w14:paraId="5FC013F5">
            <w:pPr>
              <w:jc w:val="center"/>
              <w:rPr>
                <w:rFonts w:ascii="Times New Roman" w:hAnsi="Times New Roman" w:eastAsia="宋体" w:cs="Times New Roman"/>
              </w:rPr>
            </w:pPr>
            <w:r>
              <w:rPr>
                <w:rFonts w:hint="eastAsia" w:ascii="Times New Roman" w:hAnsi="Times New Roman" w:eastAsia="宋体" w:cs="Times New Roman"/>
              </w:rPr>
              <w:t>/</w:t>
            </w:r>
          </w:p>
        </w:tc>
      </w:tr>
      <w:tr w14:paraId="0BAFC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1D0F4C3E">
            <w:pPr>
              <w:adjustRightInd w:val="0"/>
              <w:snapToGrid w:val="0"/>
              <w:jc w:val="center"/>
              <w:rPr>
                <w:rFonts w:ascii="宋体" w:hAnsi="宋体" w:cs="宋体"/>
                <w:szCs w:val="21"/>
              </w:rPr>
            </w:pPr>
          </w:p>
        </w:tc>
        <w:tc>
          <w:tcPr>
            <w:tcW w:w="1755" w:type="dxa"/>
            <w:vAlign w:val="center"/>
          </w:tcPr>
          <w:p w14:paraId="6CC8985C">
            <w:pPr>
              <w:jc w:val="center"/>
              <w:rPr>
                <w:rFonts w:ascii="Times New Roman" w:hAnsi="Times New Roman" w:eastAsia="宋体" w:cs="Times New Roman"/>
              </w:rPr>
            </w:pPr>
            <w:r>
              <w:rPr>
                <w:rFonts w:hint="eastAsia" w:ascii="Times New Roman" w:hAnsi="Times New Roman" w:eastAsia="宋体" w:cs="Times New Roman"/>
              </w:rPr>
              <w:t>事故水</w:t>
            </w:r>
          </w:p>
        </w:tc>
        <w:tc>
          <w:tcPr>
            <w:tcW w:w="1336" w:type="dxa"/>
            <w:vAlign w:val="center"/>
          </w:tcPr>
          <w:p w14:paraId="1C34D472">
            <w:pPr>
              <w:jc w:val="center"/>
              <w:rPr>
                <w:rFonts w:ascii="Times New Roman" w:hAnsi="Times New Roman" w:eastAsia="宋体" w:cs="Times New Roman"/>
              </w:rPr>
            </w:pPr>
            <w:r>
              <w:rPr>
                <w:rFonts w:hint="eastAsia" w:ascii="Times New Roman" w:hAnsi="Times New Roman" w:eastAsia="宋体" w:cs="Times New Roman"/>
              </w:rPr>
              <w:t>S</w:t>
            </w:r>
            <w:r>
              <w:rPr>
                <w:rFonts w:ascii="Times New Roman" w:hAnsi="Times New Roman" w:eastAsia="宋体" w:cs="Times New Roman"/>
              </w:rPr>
              <w:t>S</w:t>
            </w:r>
            <w:r>
              <w:rPr>
                <w:rFonts w:hint="eastAsia" w:ascii="Times New Roman" w:hAnsi="Times New Roman" w:eastAsia="宋体" w:cs="Times New Roman"/>
              </w:rPr>
              <w:t>、C</w:t>
            </w:r>
            <w:r>
              <w:rPr>
                <w:rFonts w:ascii="Times New Roman" w:hAnsi="Times New Roman" w:eastAsia="宋体" w:cs="Times New Roman"/>
              </w:rPr>
              <w:t>OD</w:t>
            </w:r>
            <w:r>
              <w:rPr>
                <w:rFonts w:hint="eastAsia" w:ascii="Times New Roman" w:hAnsi="Times New Roman" w:eastAsia="宋体" w:cs="Times New Roman"/>
              </w:rPr>
              <w:t>等</w:t>
            </w:r>
          </w:p>
        </w:tc>
        <w:tc>
          <w:tcPr>
            <w:tcW w:w="2174" w:type="dxa"/>
            <w:vAlign w:val="center"/>
          </w:tcPr>
          <w:p w14:paraId="2414AF0E">
            <w:pPr>
              <w:jc w:val="center"/>
              <w:rPr>
                <w:rFonts w:ascii="Times New Roman" w:hAnsi="Times New Roman" w:eastAsia="宋体" w:cs="Times New Roman"/>
              </w:rPr>
            </w:pPr>
            <w:r>
              <w:rPr>
                <w:rFonts w:hint="eastAsia" w:ascii="Times New Roman" w:hAnsi="Times New Roman" w:eastAsia="宋体" w:cs="Times New Roman"/>
              </w:rPr>
              <w:t>设</w:t>
            </w:r>
            <w:r>
              <w:rPr>
                <w:rFonts w:ascii="Times New Roman" w:hAnsi="Times New Roman" w:eastAsia="宋体" w:cs="Times New Roman"/>
              </w:rPr>
              <w:t>20</w:t>
            </w:r>
            <w:r>
              <w:rPr>
                <w:rFonts w:hint="eastAsia" w:ascii="Times New Roman" w:hAnsi="Times New Roman" w:eastAsia="宋体" w:cs="Times New Roman"/>
              </w:rPr>
              <w:t>m</w:t>
            </w:r>
            <w:r>
              <w:rPr>
                <w:rFonts w:hint="eastAsia" w:ascii="Times New Roman" w:hAnsi="Times New Roman" w:eastAsia="宋体" w:cs="Times New Roman"/>
                <w:vertAlign w:val="superscript"/>
              </w:rPr>
              <w:t>3</w:t>
            </w:r>
            <w:r>
              <w:rPr>
                <w:rFonts w:hint="eastAsia" w:ascii="Times New Roman" w:hAnsi="Times New Roman" w:eastAsia="宋体" w:cs="Times New Roman"/>
              </w:rPr>
              <w:t>事故池，事故水不外排</w:t>
            </w:r>
          </w:p>
        </w:tc>
        <w:tc>
          <w:tcPr>
            <w:tcW w:w="2008" w:type="dxa"/>
            <w:vAlign w:val="center"/>
          </w:tcPr>
          <w:p w14:paraId="1298D372">
            <w:pPr>
              <w:jc w:val="center"/>
              <w:rPr>
                <w:rFonts w:ascii="Times New Roman" w:hAnsi="Times New Roman" w:eastAsia="宋体" w:cs="Times New Roman"/>
              </w:rPr>
            </w:pPr>
            <w:r>
              <w:rPr>
                <w:rFonts w:hint="eastAsia" w:ascii="Times New Roman" w:hAnsi="Times New Roman" w:eastAsia="宋体" w:cs="Times New Roman"/>
              </w:rPr>
              <w:t>/</w:t>
            </w:r>
          </w:p>
        </w:tc>
      </w:tr>
      <w:tr w14:paraId="6181D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restart"/>
            <w:vAlign w:val="center"/>
          </w:tcPr>
          <w:p w14:paraId="56661FAD">
            <w:pPr>
              <w:adjustRightInd w:val="0"/>
              <w:snapToGrid w:val="0"/>
              <w:jc w:val="center"/>
              <w:rPr>
                <w:rFonts w:ascii="宋体" w:hAnsi="宋体" w:cs="宋体"/>
                <w:szCs w:val="21"/>
              </w:rPr>
            </w:pPr>
            <w:r>
              <w:rPr>
                <w:rFonts w:hint="eastAsia" w:ascii="宋体" w:hAnsi="宋体" w:cs="宋体"/>
                <w:szCs w:val="21"/>
              </w:rPr>
              <w:t>声环境</w:t>
            </w:r>
          </w:p>
        </w:tc>
        <w:tc>
          <w:tcPr>
            <w:tcW w:w="1755" w:type="dxa"/>
            <w:vAlign w:val="center"/>
          </w:tcPr>
          <w:p w14:paraId="5C5252C8">
            <w:pPr>
              <w:jc w:val="center"/>
              <w:rPr>
                <w:rFonts w:ascii="Times New Roman" w:hAnsi="Times New Roman" w:eastAsia="宋体" w:cs="Times New Roman"/>
              </w:rPr>
            </w:pPr>
            <w:r>
              <w:rPr>
                <w:rFonts w:hint="eastAsia" w:ascii="Times New Roman" w:hAnsi="Times New Roman" w:eastAsia="宋体" w:cs="Times New Roman"/>
              </w:rPr>
              <w:t>生产设备噪声</w:t>
            </w:r>
          </w:p>
        </w:tc>
        <w:tc>
          <w:tcPr>
            <w:tcW w:w="1336" w:type="dxa"/>
            <w:vAlign w:val="center"/>
          </w:tcPr>
          <w:p w14:paraId="09358D30">
            <w:pPr>
              <w:jc w:val="center"/>
              <w:rPr>
                <w:rFonts w:ascii="Times New Roman" w:hAnsi="Times New Roman" w:eastAsia="宋体" w:cs="Times New Roman"/>
              </w:rPr>
            </w:pPr>
            <w:r>
              <w:rPr>
                <w:rFonts w:ascii="Times New Roman" w:hAnsi="Times New Roman" w:eastAsia="宋体" w:cs="Times New Roman"/>
              </w:rPr>
              <w:t>Leq</w:t>
            </w:r>
            <w:r>
              <w:rPr>
                <w:rFonts w:hint="eastAsia" w:ascii="Times New Roman" w:hAnsi="Times New Roman" w:eastAsia="宋体" w:cs="Times New Roman"/>
              </w:rPr>
              <w:t>（</w:t>
            </w:r>
            <w:r>
              <w:rPr>
                <w:rFonts w:ascii="Times New Roman" w:hAnsi="Times New Roman" w:eastAsia="宋体" w:cs="Times New Roman"/>
              </w:rPr>
              <w:t>A</w:t>
            </w:r>
            <w:r>
              <w:rPr>
                <w:rFonts w:hint="eastAsia" w:ascii="Times New Roman" w:hAnsi="Times New Roman" w:eastAsia="宋体" w:cs="Times New Roman"/>
              </w:rPr>
              <w:t>）</w:t>
            </w:r>
          </w:p>
        </w:tc>
        <w:tc>
          <w:tcPr>
            <w:tcW w:w="2174" w:type="dxa"/>
            <w:vAlign w:val="center"/>
          </w:tcPr>
          <w:p w14:paraId="02BCDA9D">
            <w:pPr>
              <w:jc w:val="center"/>
              <w:rPr>
                <w:rFonts w:ascii="Times New Roman" w:hAnsi="Times New Roman" w:eastAsia="宋体" w:cs="Times New Roman"/>
              </w:rPr>
            </w:pPr>
            <w:r>
              <w:rPr>
                <w:rFonts w:hint="eastAsia" w:ascii="Times New Roman" w:hAnsi="Times New Roman" w:eastAsia="宋体" w:cs="Times New Roman"/>
              </w:rPr>
              <w:t>基础减振，厂房隔声</w:t>
            </w:r>
          </w:p>
        </w:tc>
        <w:tc>
          <w:tcPr>
            <w:tcW w:w="2008" w:type="dxa"/>
            <w:vMerge w:val="restart"/>
            <w:vAlign w:val="center"/>
          </w:tcPr>
          <w:p w14:paraId="5AB23257">
            <w:pPr>
              <w:jc w:val="center"/>
              <w:rPr>
                <w:rFonts w:ascii="Times New Roman" w:hAnsi="Times New Roman" w:eastAsia="宋体" w:cs="Times New Roman"/>
              </w:rPr>
            </w:pPr>
            <w:r>
              <w:rPr>
                <w:rFonts w:ascii="Times New Roman" w:hAnsi="Times New Roman" w:eastAsia="宋体" w:cs="Times New Roman"/>
              </w:rPr>
              <w:t>《工业企业厂界环境噪声排放标准》（GB12348-2008）2类标准</w:t>
            </w:r>
          </w:p>
        </w:tc>
      </w:tr>
      <w:tr w14:paraId="34DD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007D5805">
            <w:pPr>
              <w:adjustRightInd w:val="0"/>
              <w:snapToGrid w:val="0"/>
              <w:jc w:val="center"/>
              <w:rPr>
                <w:rFonts w:ascii="宋体" w:hAnsi="宋体" w:cs="宋体"/>
                <w:szCs w:val="21"/>
              </w:rPr>
            </w:pPr>
          </w:p>
        </w:tc>
        <w:tc>
          <w:tcPr>
            <w:tcW w:w="1755" w:type="dxa"/>
            <w:vAlign w:val="center"/>
          </w:tcPr>
          <w:p w14:paraId="6F9D87F2">
            <w:pPr>
              <w:jc w:val="center"/>
              <w:rPr>
                <w:rFonts w:ascii="Times New Roman" w:hAnsi="Times New Roman" w:eastAsia="宋体" w:cs="Times New Roman"/>
              </w:rPr>
            </w:pPr>
            <w:r>
              <w:rPr>
                <w:rFonts w:hint="eastAsia" w:ascii="Times New Roman" w:hAnsi="Times New Roman" w:eastAsia="宋体" w:cs="Times New Roman"/>
              </w:rPr>
              <w:t>空压机</w:t>
            </w:r>
          </w:p>
        </w:tc>
        <w:tc>
          <w:tcPr>
            <w:tcW w:w="1336" w:type="dxa"/>
            <w:vAlign w:val="center"/>
          </w:tcPr>
          <w:p w14:paraId="0EFCAC3F">
            <w:pPr>
              <w:jc w:val="center"/>
              <w:rPr>
                <w:rFonts w:ascii="Times New Roman" w:hAnsi="Times New Roman" w:eastAsia="宋体" w:cs="Times New Roman"/>
              </w:rPr>
            </w:pPr>
            <w:r>
              <w:rPr>
                <w:rFonts w:ascii="Times New Roman" w:hAnsi="Times New Roman" w:eastAsia="宋体" w:cs="Times New Roman"/>
              </w:rPr>
              <w:t>Leq</w:t>
            </w:r>
            <w:r>
              <w:rPr>
                <w:rFonts w:hint="eastAsia" w:ascii="Times New Roman" w:hAnsi="Times New Roman" w:eastAsia="宋体" w:cs="Times New Roman"/>
              </w:rPr>
              <w:t>（</w:t>
            </w:r>
            <w:r>
              <w:rPr>
                <w:rFonts w:ascii="Times New Roman" w:hAnsi="Times New Roman" w:eastAsia="宋体" w:cs="Times New Roman"/>
              </w:rPr>
              <w:t>A</w:t>
            </w:r>
            <w:r>
              <w:rPr>
                <w:rFonts w:hint="eastAsia" w:ascii="Times New Roman" w:hAnsi="Times New Roman" w:eastAsia="宋体" w:cs="Times New Roman"/>
              </w:rPr>
              <w:t>）</w:t>
            </w:r>
          </w:p>
        </w:tc>
        <w:tc>
          <w:tcPr>
            <w:tcW w:w="2174" w:type="dxa"/>
            <w:vAlign w:val="center"/>
          </w:tcPr>
          <w:p w14:paraId="7A5AFB56">
            <w:pPr>
              <w:jc w:val="center"/>
              <w:rPr>
                <w:rFonts w:ascii="Times New Roman" w:hAnsi="Times New Roman" w:eastAsia="宋体" w:cs="Times New Roman"/>
              </w:rPr>
            </w:pPr>
            <w:r>
              <w:rPr>
                <w:rFonts w:hint="eastAsia" w:ascii="Times New Roman" w:hAnsi="Times New Roman" w:eastAsia="宋体" w:cs="Times New Roman"/>
              </w:rPr>
              <w:t>基础减振，车间</w:t>
            </w:r>
            <w:r>
              <w:rPr>
                <w:rFonts w:hint="eastAsia" w:ascii="Times New Roman" w:hAnsi="Times New Roman" w:eastAsia="宋体" w:cs="Times New Roman"/>
                <w:kern w:val="0"/>
                <w:szCs w:val="21"/>
              </w:rPr>
              <w:t>采用隔音门窗，封闭作业。</w:t>
            </w:r>
          </w:p>
        </w:tc>
        <w:tc>
          <w:tcPr>
            <w:tcW w:w="2008" w:type="dxa"/>
            <w:vMerge w:val="continue"/>
            <w:vAlign w:val="center"/>
          </w:tcPr>
          <w:p w14:paraId="7AE84CFC">
            <w:pPr>
              <w:jc w:val="center"/>
              <w:rPr>
                <w:rFonts w:ascii="Times New Roman" w:hAnsi="Times New Roman" w:eastAsia="宋体" w:cs="Times New Roman"/>
              </w:rPr>
            </w:pPr>
          </w:p>
        </w:tc>
      </w:tr>
      <w:tr w14:paraId="34498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Merge w:val="continue"/>
            <w:vAlign w:val="center"/>
          </w:tcPr>
          <w:p w14:paraId="593A7E6D">
            <w:pPr>
              <w:adjustRightInd w:val="0"/>
              <w:snapToGrid w:val="0"/>
              <w:jc w:val="center"/>
              <w:rPr>
                <w:rFonts w:ascii="宋体" w:hAnsi="宋体" w:cs="宋体"/>
                <w:szCs w:val="21"/>
              </w:rPr>
            </w:pPr>
          </w:p>
        </w:tc>
        <w:tc>
          <w:tcPr>
            <w:tcW w:w="1755" w:type="dxa"/>
            <w:vAlign w:val="center"/>
          </w:tcPr>
          <w:p w14:paraId="26CA2699">
            <w:pPr>
              <w:jc w:val="center"/>
              <w:rPr>
                <w:rFonts w:ascii="Times New Roman" w:hAnsi="Times New Roman" w:eastAsia="宋体" w:cs="Times New Roman"/>
              </w:rPr>
            </w:pPr>
            <w:r>
              <w:rPr>
                <w:rFonts w:hint="eastAsia" w:ascii="Times New Roman" w:hAnsi="Times New Roman" w:eastAsia="宋体" w:cs="Times New Roman"/>
              </w:rPr>
              <w:t>废气处理风机</w:t>
            </w:r>
          </w:p>
        </w:tc>
        <w:tc>
          <w:tcPr>
            <w:tcW w:w="1336" w:type="dxa"/>
            <w:vAlign w:val="center"/>
          </w:tcPr>
          <w:p w14:paraId="703F84AE">
            <w:pPr>
              <w:jc w:val="center"/>
              <w:rPr>
                <w:rFonts w:ascii="Times New Roman" w:hAnsi="Times New Roman" w:eastAsia="宋体" w:cs="Times New Roman"/>
              </w:rPr>
            </w:pPr>
            <w:r>
              <w:rPr>
                <w:rFonts w:ascii="Times New Roman" w:hAnsi="Times New Roman" w:eastAsia="宋体" w:cs="Times New Roman"/>
              </w:rPr>
              <w:t>Leq</w:t>
            </w:r>
            <w:r>
              <w:rPr>
                <w:rFonts w:hint="eastAsia" w:ascii="Times New Roman" w:hAnsi="Times New Roman" w:eastAsia="宋体" w:cs="Times New Roman"/>
              </w:rPr>
              <w:t>（</w:t>
            </w:r>
            <w:r>
              <w:rPr>
                <w:rFonts w:ascii="Times New Roman" w:hAnsi="Times New Roman" w:eastAsia="宋体" w:cs="Times New Roman"/>
              </w:rPr>
              <w:t>A</w:t>
            </w:r>
            <w:r>
              <w:rPr>
                <w:rFonts w:hint="eastAsia" w:ascii="Times New Roman" w:hAnsi="Times New Roman" w:eastAsia="宋体" w:cs="Times New Roman"/>
              </w:rPr>
              <w:t>）</w:t>
            </w:r>
          </w:p>
        </w:tc>
        <w:tc>
          <w:tcPr>
            <w:tcW w:w="2174" w:type="dxa"/>
            <w:vAlign w:val="center"/>
          </w:tcPr>
          <w:p w14:paraId="76796877">
            <w:pPr>
              <w:jc w:val="center"/>
              <w:rPr>
                <w:rFonts w:ascii="Times New Roman" w:hAnsi="Times New Roman" w:eastAsia="宋体" w:cs="Times New Roman"/>
              </w:rPr>
            </w:pPr>
            <w:r>
              <w:rPr>
                <w:rFonts w:hint="eastAsia" w:ascii="Times New Roman" w:hAnsi="Times New Roman" w:eastAsia="宋体" w:cs="Times New Roman"/>
              </w:rPr>
              <w:t>加装消声器</w:t>
            </w:r>
          </w:p>
        </w:tc>
        <w:tc>
          <w:tcPr>
            <w:tcW w:w="2008" w:type="dxa"/>
            <w:vMerge w:val="continue"/>
            <w:vAlign w:val="center"/>
          </w:tcPr>
          <w:p w14:paraId="4D698B42">
            <w:pPr>
              <w:adjustRightInd w:val="0"/>
              <w:snapToGrid w:val="0"/>
              <w:jc w:val="center"/>
              <w:rPr>
                <w:rFonts w:ascii="宋体" w:hAnsi="宋体" w:eastAsia="宋体" w:cs="宋体"/>
                <w:szCs w:val="21"/>
              </w:rPr>
            </w:pPr>
          </w:p>
        </w:tc>
      </w:tr>
      <w:tr w14:paraId="60D61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3" w:type="dxa"/>
            <w:vAlign w:val="center"/>
          </w:tcPr>
          <w:p w14:paraId="2FEB9672">
            <w:pPr>
              <w:adjustRightInd w:val="0"/>
              <w:snapToGrid w:val="0"/>
              <w:jc w:val="center"/>
              <w:rPr>
                <w:rFonts w:ascii="宋体" w:hAnsi="宋体" w:cs="宋体"/>
                <w:szCs w:val="21"/>
              </w:rPr>
            </w:pPr>
            <w:r>
              <w:rPr>
                <w:rFonts w:hint="eastAsia" w:ascii="宋体" w:hAnsi="宋体" w:cs="宋体"/>
                <w:szCs w:val="21"/>
              </w:rPr>
              <w:t>电磁辐射</w:t>
            </w:r>
          </w:p>
        </w:tc>
        <w:tc>
          <w:tcPr>
            <w:tcW w:w="7273" w:type="dxa"/>
            <w:gridSpan w:val="4"/>
            <w:vAlign w:val="center"/>
          </w:tcPr>
          <w:p w14:paraId="040ECBA4">
            <w:pPr>
              <w:adjustRightInd w:val="0"/>
              <w:snapToGrid w:val="0"/>
              <w:jc w:val="center"/>
              <w:rPr>
                <w:rFonts w:ascii="宋体" w:hAnsi="宋体" w:eastAsia="宋体" w:cs="宋体"/>
                <w:szCs w:val="21"/>
              </w:rPr>
            </w:pPr>
            <w:r>
              <w:rPr>
                <w:rFonts w:hint="eastAsia" w:ascii="宋体" w:hAnsi="宋体" w:eastAsia="宋体" w:cs="宋体"/>
                <w:szCs w:val="21"/>
              </w:rPr>
              <w:t>/</w:t>
            </w:r>
          </w:p>
        </w:tc>
      </w:tr>
      <w:tr w14:paraId="03096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603" w:type="dxa"/>
            <w:vAlign w:val="center"/>
          </w:tcPr>
          <w:p w14:paraId="373949D8">
            <w:pPr>
              <w:adjustRightInd w:val="0"/>
              <w:snapToGrid w:val="0"/>
              <w:jc w:val="center"/>
              <w:rPr>
                <w:rFonts w:ascii="宋体" w:hAnsi="宋体" w:cs="宋体"/>
                <w:szCs w:val="21"/>
              </w:rPr>
            </w:pPr>
            <w:r>
              <w:rPr>
                <w:rFonts w:hint="eastAsia" w:ascii="宋体" w:hAnsi="宋体" w:cs="宋体"/>
                <w:szCs w:val="21"/>
              </w:rPr>
              <w:t>固体废物</w:t>
            </w:r>
          </w:p>
        </w:tc>
        <w:tc>
          <w:tcPr>
            <w:tcW w:w="7273" w:type="dxa"/>
            <w:gridSpan w:val="4"/>
            <w:vAlign w:val="center"/>
          </w:tcPr>
          <w:p w14:paraId="02E2A37C">
            <w:pPr>
              <w:pStyle w:val="10"/>
              <w:snapToGrid w:val="0"/>
              <w:ind w:left="0" w:right="105" w:rightChars="50"/>
              <w:rPr>
                <w:rFonts w:ascii="Times New Roman" w:hAnsi="Times New Roman" w:cs="Times New Roman"/>
                <w:bCs/>
                <w:sz w:val="21"/>
                <w:szCs w:val="21"/>
              </w:rPr>
            </w:pPr>
            <w:r>
              <w:rPr>
                <w:rFonts w:ascii="Times New Roman" w:hAnsi="Times New Roman" w:cs="Times New Roman"/>
                <w:bCs/>
                <w:sz w:val="21"/>
                <w:szCs w:val="21"/>
              </w:rPr>
              <w:t>a.一般固废</w:t>
            </w:r>
          </w:p>
          <w:p w14:paraId="61E5318A">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1 \* GB3 </w:instrText>
            </w:r>
            <w:r>
              <w:rPr>
                <w:rFonts w:ascii="Times New Roman" w:hAnsi="Times New Roman" w:cs="Times New Roman"/>
                <w:bCs/>
                <w:sz w:val="21"/>
                <w:szCs w:val="21"/>
              </w:rPr>
              <w:fldChar w:fldCharType="separate"/>
            </w:r>
            <w:r>
              <w:rPr>
                <w:rFonts w:hint="eastAsia"/>
                <w:bCs/>
                <w:sz w:val="21"/>
                <w:szCs w:val="21"/>
              </w:rPr>
              <w:t>①</w:t>
            </w:r>
            <w:r>
              <w:rPr>
                <w:rFonts w:ascii="Times New Roman" w:hAnsi="Times New Roman" w:cs="Times New Roman"/>
                <w:bCs/>
                <w:sz w:val="21"/>
                <w:szCs w:val="21"/>
              </w:rPr>
              <w:fldChar w:fldCharType="end"/>
            </w:r>
            <w:r>
              <w:rPr>
                <w:rFonts w:ascii="Times New Roman" w:hAnsi="Times New Roman" w:cs="Times New Roman"/>
                <w:bCs/>
                <w:sz w:val="21"/>
                <w:szCs w:val="21"/>
              </w:rPr>
              <w:t>隔油池废油脂</w:t>
            </w:r>
          </w:p>
          <w:p w14:paraId="18954128">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采用收集桶收集后全部进入化制罐内化制后，作为生物柴油原料外售。</w:t>
            </w:r>
          </w:p>
          <w:p w14:paraId="47A65698">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2 \* GB3 </w:instrText>
            </w:r>
            <w:r>
              <w:rPr>
                <w:rFonts w:ascii="Times New Roman" w:hAnsi="Times New Roman" w:cs="Times New Roman"/>
                <w:bCs/>
                <w:sz w:val="21"/>
                <w:szCs w:val="21"/>
              </w:rPr>
              <w:fldChar w:fldCharType="separate"/>
            </w:r>
            <w:r>
              <w:rPr>
                <w:rFonts w:hint="eastAsia"/>
                <w:bCs/>
                <w:sz w:val="21"/>
                <w:szCs w:val="21"/>
              </w:rPr>
              <w:t>②</w:t>
            </w:r>
            <w:r>
              <w:rPr>
                <w:rFonts w:ascii="Times New Roman" w:hAnsi="Times New Roman" w:cs="Times New Roman"/>
                <w:bCs/>
                <w:sz w:val="21"/>
                <w:szCs w:val="21"/>
              </w:rPr>
              <w:fldChar w:fldCharType="end"/>
            </w:r>
            <w:r>
              <w:rPr>
                <w:rFonts w:ascii="Times New Roman" w:hAnsi="Times New Roman" w:cs="Times New Roman"/>
                <w:bCs/>
                <w:sz w:val="21"/>
                <w:szCs w:val="21"/>
              </w:rPr>
              <w:t>食堂泔水</w:t>
            </w:r>
          </w:p>
          <w:p w14:paraId="7119A8F9">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在食堂内设泔水桶收集，将食堂泔水统一收集后按三台山乡管理部门要求清运处置。</w:t>
            </w:r>
          </w:p>
          <w:p w14:paraId="298CCC3C">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3 \* GB3 </w:instrText>
            </w:r>
            <w:r>
              <w:rPr>
                <w:rFonts w:ascii="Times New Roman" w:hAnsi="Times New Roman" w:cs="Times New Roman"/>
                <w:bCs/>
                <w:sz w:val="21"/>
                <w:szCs w:val="21"/>
              </w:rPr>
              <w:fldChar w:fldCharType="separate"/>
            </w:r>
            <w:r>
              <w:rPr>
                <w:rFonts w:hint="eastAsia"/>
                <w:bCs/>
                <w:sz w:val="21"/>
                <w:szCs w:val="21"/>
              </w:rPr>
              <w:t>③</w:t>
            </w:r>
            <w:r>
              <w:rPr>
                <w:rFonts w:ascii="Times New Roman" w:hAnsi="Times New Roman" w:cs="Times New Roman"/>
                <w:bCs/>
                <w:sz w:val="21"/>
                <w:szCs w:val="21"/>
              </w:rPr>
              <w:fldChar w:fldCharType="end"/>
            </w:r>
            <w:r>
              <w:rPr>
                <w:rFonts w:ascii="Times New Roman" w:hAnsi="Times New Roman" w:cs="Times New Roman"/>
                <w:bCs/>
                <w:sz w:val="21"/>
                <w:szCs w:val="21"/>
              </w:rPr>
              <w:t>生活垃圾</w:t>
            </w:r>
          </w:p>
          <w:p w14:paraId="35645E80">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统一收集后委托三台山乡环卫部门定期清运处置。</w:t>
            </w:r>
          </w:p>
          <w:p w14:paraId="37982B75">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4 \* GB3 </w:instrText>
            </w:r>
            <w:r>
              <w:rPr>
                <w:rFonts w:ascii="Times New Roman" w:hAnsi="Times New Roman" w:cs="Times New Roman"/>
                <w:bCs/>
                <w:sz w:val="21"/>
                <w:szCs w:val="21"/>
              </w:rPr>
              <w:fldChar w:fldCharType="separate"/>
            </w:r>
            <w:r>
              <w:rPr>
                <w:rFonts w:hint="eastAsia"/>
                <w:bCs/>
                <w:sz w:val="21"/>
                <w:szCs w:val="21"/>
              </w:rPr>
              <w:t>④</w:t>
            </w:r>
            <w:r>
              <w:rPr>
                <w:rFonts w:ascii="Times New Roman" w:hAnsi="Times New Roman" w:cs="Times New Roman"/>
                <w:bCs/>
                <w:sz w:val="21"/>
                <w:szCs w:val="21"/>
              </w:rPr>
              <w:fldChar w:fldCharType="end"/>
            </w:r>
            <w:r>
              <w:rPr>
                <w:rFonts w:ascii="Times New Roman" w:hAnsi="Times New Roman" w:cs="Times New Roman"/>
                <w:bCs/>
                <w:sz w:val="21"/>
                <w:szCs w:val="21"/>
              </w:rPr>
              <w:t>脱硫除尘塔沉渣</w:t>
            </w:r>
          </w:p>
          <w:p w14:paraId="22F86134">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定期清掏，作为其它企业化工原料外售。</w:t>
            </w:r>
          </w:p>
          <w:p w14:paraId="0867BA05">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5 \* GB3 </w:instrText>
            </w:r>
            <w:r>
              <w:rPr>
                <w:rFonts w:ascii="Times New Roman" w:hAnsi="Times New Roman" w:cs="Times New Roman"/>
                <w:bCs/>
                <w:sz w:val="21"/>
                <w:szCs w:val="21"/>
              </w:rPr>
              <w:fldChar w:fldCharType="separate"/>
            </w:r>
            <w:r>
              <w:rPr>
                <w:rFonts w:hint="eastAsia"/>
                <w:bCs/>
                <w:sz w:val="21"/>
                <w:szCs w:val="21"/>
              </w:rPr>
              <w:t>⑤</w:t>
            </w:r>
            <w:r>
              <w:rPr>
                <w:rFonts w:ascii="Times New Roman" w:hAnsi="Times New Roman" w:cs="Times New Roman"/>
                <w:bCs/>
                <w:sz w:val="21"/>
                <w:szCs w:val="21"/>
              </w:rPr>
              <w:fldChar w:fldCharType="end"/>
            </w:r>
            <w:r>
              <w:rPr>
                <w:rFonts w:ascii="Times New Roman" w:hAnsi="Times New Roman" w:cs="Times New Roman"/>
                <w:bCs/>
                <w:sz w:val="21"/>
                <w:szCs w:val="21"/>
              </w:rPr>
              <w:t>废活性炭</w:t>
            </w:r>
          </w:p>
          <w:p w14:paraId="538FD322">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废活性炭由厂家回收。</w:t>
            </w:r>
          </w:p>
          <w:p w14:paraId="51BB6ED3">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6 \* GB3 </w:instrText>
            </w:r>
            <w:r>
              <w:rPr>
                <w:rFonts w:ascii="Times New Roman" w:hAnsi="Times New Roman" w:cs="Times New Roman"/>
                <w:bCs/>
                <w:sz w:val="21"/>
                <w:szCs w:val="21"/>
              </w:rPr>
              <w:fldChar w:fldCharType="separate"/>
            </w:r>
            <w:r>
              <w:rPr>
                <w:rFonts w:hint="eastAsia"/>
                <w:bCs/>
                <w:sz w:val="21"/>
                <w:szCs w:val="21"/>
              </w:rPr>
              <w:t>⑥</w:t>
            </w:r>
            <w:r>
              <w:rPr>
                <w:rFonts w:ascii="Times New Roman" w:hAnsi="Times New Roman" w:cs="Times New Roman"/>
                <w:bCs/>
                <w:sz w:val="21"/>
                <w:szCs w:val="21"/>
              </w:rPr>
              <w:fldChar w:fldCharType="end"/>
            </w:r>
            <w:r>
              <w:rPr>
                <w:rFonts w:ascii="Times New Roman" w:hAnsi="Times New Roman" w:cs="Times New Roman"/>
                <w:bCs/>
                <w:sz w:val="21"/>
                <w:szCs w:val="21"/>
              </w:rPr>
              <w:t>废胴体包装袋</w:t>
            </w:r>
          </w:p>
          <w:p w14:paraId="40540E26">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废包装袋收集、消毒后回用。</w:t>
            </w:r>
          </w:p>
          <w:p w14:paraId="0D95B3CF">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7 \* GB3 </w:instrText>
            </w:r>
            <w:r>
              <w:rPr>
                <w:rFonts w:ascii="Times New Roman" w:hAnsi="Times New Roman" w:cs="Times New Roman"/>
                <w:bCs/>
                <w:sz w:val="21"/>
                <w:szCs w:val="21"/>
              </w:rPr>
              <w:fldChar w:fldCharType="separate"/>
            </w:r>
            <w:r>
              <w:rPr>
                <w:rFonts w:hint="eastAsia"/>
                <w:bCs/>
                <w:sz w:val="21"/>
                <w:szCs w:val="21"/>
              </w:rPr>
              <w:t>⑦</w:t>
            </w:r>
            <w:r>
              <w:rPr>
                <w:rFonts w:ascii="Times New Roman" w:hAnsi="Times New Roman" w:cs="Times New Roman"/>
                <w:bCs/>
                <w:sz w:val="21"/>
                <w:szCs w:val="21"/>
              </w:rPr>
              <w:fldChar w:fldCharType="end"/>
            </w:r>
            <w:r>
              <w:rPr>
                <w:rFonts w:ascii="Times New Roman" w:hAnsi="Times New Roman" w:cs="Times New Roman"/>
                <w:bCs/>
                <w:sz w:val="21"/>
                <w:szCs w:val="21"/>
              </w:rPr>
              <w:t>炉渣</w:t>
            </w:r>
          </w:p>
          <w:p w14:paraId="17F2CA39">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锅炉旁设1座封闭式炉渣暂存间，灰渣统一收集，作为有机肥原料定期外售。</w:t>
            </w:r>
          </w:p>
          <w:p w14:paraId="198F3DDA">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b.危险废物</w:t>
            </w:r>
          </w:p>
          <w:p w14:paraId="452F24A5">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8 \* GB3 </w:instrText>
            </w:r>
            <w:r>
              <w:rPr>
                <w:rFonts w:ascii="Times New Roman" w:hAnsi="Times New Roman" w:cs="Times New Roman"/>
                <w:bCs/>
                <w:sz w:val="21"/>
                <w:szCs w:val="21"/>
              </w:rPr>
              <w:fldChar w:fldCharType="separate"/>
            </w:r>
            <w:r>
              <w:rPr>
                <w:rFonts w:hint="eastAsia"/>
                <w:bCs/>
                <w:sz w:val="21"/>
                <w:szCs w:val="21"/>
              </w:rPr>
              <w:t>⑧</w:t>
            </w:r>
            <w:r>
              <w:rPr>
                <w:rFonts w:ascii="Times New Roman" w:hAnsi="Times New Roman" w:cs="Times New Roman"/>
                <w:bCs/>
                <w:sz w:val="21"/>
                <w:szCs w:val="21"/>
              </w:rPr>
              <w:fldChar w:fldCharType="end"/>
            </w:r>
            <w:r>
              <w:rPr>
                <w:rFonts w:ascii="Times New Roman" w:hAnsi="Times New Roman" w:cs="Times New Roman"/>
                <w:bCs/>
                <w:sz w:val="21"/>
                <w:szCs w:val="21"/>
              </w:rPr>
              <w:t>污泥</w:t>
            </w:r>
          </w:p>
          <w:p w14:paraId="491D323A">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拟设置1个收集桶专门收集滤饼，同时加入次氯酸钠消毒处理后，暂存于危险废物暂存间，最终委托有资质的单位定期清运处置。</w:t>
            </w:r>
          </w:p>
          <w:p w14:paraId="71D8E6D4">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 9 \* GB3 </w:instrText>
            </w:r>
            <w:r>
              <w:rPr>
                <w:rFonts w:ascii="Times New Roman" w:hAnsi="Times New Roman" w:cs="Times New Roman"/>
                <w:bCs/>
                <w:sz w:val="21"/>
                <w:szCs w:val="21"/>
              </w:rPr>
              <w:fldChar w:fldCharType="separate"/>
            </w:r>
            <w:r>
              <w:rPr>
                <w:rFonts w:hint="eastAsia"/>
                <w:bCs/>
                <w:sz w:val="21"/>
                <w:szCs w:val="21"/>
              </w:rPr>
              <w:t>⑨</w:t>
            </w:r>
            <w:r>
              <w:rPr>
                <w:rFonts w:ascii="Times New Roman" w:hAnsi="Times New Roman" w:cs="Times New Roman"/>
                <w:bCs/>
                <w:sz w:val="21"/>
                <w:szCs w:val="21"/>
              </w:rPr>
              <w:fldChar w:fldCharType="end"/>
            </w:r>
            <w:r>
              <w:rPr>
                <w:rFonts w:ascii="Times New Roman" w:hAnsi="Times New Roman" w:cs="Times New Roman"/>
                <w:bCs/>
                <w:sz w:val="21"/>
                <w:szCs w:val="21"/>
              </w:rPr>
              <w:t>废机油</w:t>
            </w:r>
          </w:p>
          <w:p w14:paraId="2CA63EA7">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收集后暂存于危险废物暂存间，最终委托有危险废物处置资质的单位进行处理。</w:t>
            </w:r>
          </w:p>
          <w:p w14:paraId="6CC37590">
            <w:pPr>
              <w:pStyle w:val="10"/>
              <w:snapToGrid w:val="0"/>
              <w:ind w:left="0" w:right="105" w:rightChars="50" w:firstLine="210" w:firstLineChars="100"/>
              <w:rPr>
                <w:rFonts w:ascii="Times New Roman" w:hAnsi="Times New Roman" w:cs="Times New Roman"/>
                <w:bCs/>
                <w:sz w:val="21"/>
                <w:szCs w:val="21"/>
              </w:rPr>
            </w:pPr>
            <w:r>
              <w:rPr>
                <w:rFonts w:ascii="Times New Roman" w:hAnsi="Times New Roman" w:cs="Times New Roman"/>
                <w:bCs/>
                <w:sz w:val="21"/>
                <w:szCs w:val="21"/>
              </w:rPr>
              <w:t>厂区设1座10m</w:t>
            </w:r>
            <w:r>
              <w:rPr>
                <w:rFonts w:ascii="Times New Roman" w:hAnsi="Times New Roman" w:cs="Times New Roman"/>
                <w:bCs/>
                <w:sz w:val="21"/>
                <w:szCs w:val="21"/>
                <w:vertAlign w:val="superscript"/>
              </w:rPr>
              <w:t>2</w:t>
            </w:r>
            <w:r>
              <w:rPr>
                <w:rFonts w:ascii="Times New Roman" w:hAnsi="Times New Roman" w:cs="Times New Roman"/>
                <w:bCs/>
                <w:sz w:val="21"/>
                <w:szCs w:val="21"/>
              </w:rPr>
              <w:t>危废暂存间，配有完善的警示标志和管理台账。本次环评要求建设单位建设危废间期间做好防渗措施，并留影像资料备查。</w:t>
            </w:r>
          </w:p>
        </w:tc>
      </w:tr>
      <w:tr w14:paraId="63BAF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1603" w:type="dxa"/>
            <w:vAlign w:val="center"/>
          </w:tcPr>
          <w:p w14:paraId="5207ED6A">
            <w:pPr>
              <w:adjustRightInd w:val="0"/>
              <w:snapToGrid w:val="0"/>
              <w:jc w:val="center"/>
              <w:rPr>
                <w:rFonts w:ascii="宋体" w:hAnsi="宋体" w:cs="宋体"/>
                <w:szCs w:val="21"/>
              </w:rPr>
            </w:pPr>
            <w:r>
              <w:rPr>
                <w:rFonts w:hint="eastAsia" w:ascii="宋体" w:hAnsi="宋体" w:cs="宋体"/>
                <w:szCs w:val="21"/>
              </w:rPr>
              <w:t>土壤及地下水</w:t>
            </w:r>
          </w:p>
          <w:p w14:paraId="08A85715">
            <w:pPr>
              <w:adjustRightInd w:val="0"/>
              <w:snapToGrid w:val="0"/>
              <w:jc w:val="center"/>
              <w:rPr>
                <w:rFonts w:ascii="宋体" w:hAnsi="宋体" w:cs="宋体"/>
                <w:szCs w:val="21"/>
              </w:rPr>
            </w:pPr>
            <w:r>
              <w:rPr>
                <w:rFonts w:hint="eastAsia" w:ascii="宋体" w:hAnsi="宋体" w:cs="宋体"/>
                <w:szCs w:val="21"/>
              </w:rPr>
              <w:t>污染防治措施</w:t>
            </w:r>
          </w:p>
        </w:tc>
        <w:tc>
          <w:tcPr>
            <w:tcW w:w="7273" w:type="dxa"/>
            <w:gridSpan w:val="4"/>
            <w:vAlign w:val="center"/>
          </w:tcPr>
          <w:p w14:paraId="2005164F">
            <w:pPr>
              <w:pStyle w:val="10"/>
              <w:snapToGrid w:val="0"/>
              <w:ind w:left="0" w:right="105" w:rightChars="50"/>
              <w:rPr>
                <w:rFonts w:ascii="Times New Roman" w:hAnsi="Times New Roman" w:cs="Times New Roman"/>
                <w:sz w:val="21"/>
                <w:szCs w:val="21"/>
              </w:rPr>
            </w:pPr>
            <w:r>
              <w:rPr>
                <w:rFonts w:hint="eastAsia" w:ascii="Times New Roman" w:hAnsi="Times New Roman" w:cs="Times New Roman"/>
                <w:sz w:val="21"/>
                <w:szCs w:val="21"/>
              </w:rPr>
              <w:t>1、土壤环境保护措施</w:t>
            </w:r>
          </w:p>
          <w:p w14:paraId="3C37C1FB">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①</w:t>
            </w:r>
            <w:r>
              <w:rPr>
                <w:rFonts w:ascii="Times New Roman" w:hAnsi="Times New Roman" w:cs="Times New Roman"/>
                <w:sz w:val="21"/>
                <w:szCs w:val="21"/>
              </w:rPr>
              <w:t>源头控制措施</w:t>
            </w:r>
          </w:p>
          <w:p w14:paraId="0D398A91">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w:t>
            </w:r>
          </w:p>
          <w:p w14:paraId="790E76AE">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②</w:t>
            </w:r>
            <w:r>
              <w:rPr>
                <w:rFonts w:ascii="Times New Roman" w:hAnsi="Times New Roman" w:cs="Times New Roman"/>
                <w:sz w:val="21"/>
                <w:szCs w:val="21"/>
              </w:rPr>
              <w:t>过程防控措施</w:t>
            </w:r>
          </w:p>
          <w:p w14:paraId="17CB983D">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在空地和厂房周边种植具有较强吸附能力的树木，通过绿化措施降低二氧化硫、氮氧化物、</w:t>
            </w:r>
            <w:r>
              <w:rPr>
                <w:rFonts w:hint="eastAsia" w:ascii="Times New Roman" w:hAnsi="Times New Roman" w:cs="Times New Roman"/>
                <w:sz w:val="21"/>
                <w:szCs w:val="21"/>
              </w:rPr>
              <w:t>氨气、硫化氢</w:t>
            </w:r>
            <w:r>
              <w:rPr>
                <w:rFonts w:ascii="Times New Roman" w:hAnsi="Times New Roman" w:cs="Times New Roman"/>
                <w:sz w:val="21"/>
                <w:szCs w:val="21"/>
              </w:rPr>
              <w:t>沉降对周边土壤的影响；</w:t>
            </w:r>
          </w:p>
          <w:p w14:paraId="3674AE56">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地面漫流防治措施：</w:t>
            </w:r>
          </w:p>
          <w:p w14:paraId="6F012A90">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a.</w:t>
            </w:r>
            <w:r>
              <w:rPr>
                <w:rFonts w:ascii="Times New Roman" w:hAnsi="Times New Roman" w:cs="Times New Roman"/>
                <w:sz w:val="21"/>
                <w:szCs w:val="21"/>
              </w:rPr>
              <w:t>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46352769">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b.</w:t>
            </w:r>
            <w:r>
              <w:rPr>
                <w:rFonts w:ascii="Times New Roman" w:hAnsi="Times New Roman" w:cs="Times New Roman"/>
                <w:sz w:val="21"/>
                <w:szCs w:val="21"/>
              </w:rPr>
              <w:t>如遇停电、机器故障或者检修期间导致废水不能处理，而致使超过废水收集池容量而溢出时，应立即停产，关闭废水输送阀门，减少送往废水处理系统的废水量；</w:t>
            </w:r>
          </w:p>
          <w:p w14:paraId="50270CE4">
            <w:pPr>
              <w:pStyle w:val="10"/>
              <w:snapToGrid w:val="0"/>
              <w:ind w:left="0" w:right="105" w:rightChars="50" w:firstLine="210" w:firstLineChars="100"/>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垂直入渗防治措施：废水收集沟渠、废水处理池均用水泥硬化，并对各污水处理池做防腐、防渗处理，防渗层为至2mm厚高密度聚乙烯，或至少2mm厚的其它人工材料，渗透系数≤10</w:t>
            </w:r>
            <w:r>
              <w:rPr>
                <w:rFonts w:ascii="Times New Roman" w:hAnsi="Times New Roman" w:cs="Times New Roman"/>
                <w:sz w:val="21"/>
                <w:szCs w:val="21"/>
                <w:vertAlign w:val="superscript"/>
              </w:rPr>
              <w:t>-7</w:t>
            </w:r>
            <w:r>
              <w:rPr>
                <w:rFonts w:ascii="Times New Roman" w:hAnsi="Times New Roman" w:cs="Times New Roman"/>
                <w:sz w:val="21"/>
                <w:szCs w:val="21"/>
              </w:rPr>
              <w:t>cm/s，因此，项目废水的渗漏对土壤影响较小；为防止污水外渗时发生扩散，环评单位建议建设单位对废水收集沟渠、废水处理池表面涂防渗材料，控制各单元防渗层渗透系数≤10</w:t>
            </w:r>
            <w:r>
              <w:rPr>
                <w:rFonts w:ascii="Times New Roman" w:hAnsi="Times New Roman" w:cs="Times New Roman"/>
                <w:sz w:val="21"/>
                <w:szCs w:val="21"/>
                <w:vertAlign w:val="superscript"/>
              </w:rPr>
              <w:t>-7</w:t>
            </w:r>
            <w:r>
              <w:rPr>
                <w:rFonts w:ascii="Times New Roman" w:hAnsi="Times New Roman" w:cs="Times New Roman"/>
                <w:sz w:val="21"/>
                <w:szCs w:val="21"/>
              </w:rPr>
              <w:t>cm/s，防止污水外渗时发生扩散。</w:t>
            </w:r>
          </w:p>
          <w:p w14:paraId="4413467D">
            <w:pPr>
              <w:pStyle w:val="10"/>
              <w:snapToGrid w:val="0"/>
              <w:ind w:left="0" w:right="105" w:rightChars="50"/>
              <w:rPr>
                <w:rFonts w:ascii="Times New Roman" w:hAnsi="Times New Roman" w:cs="Times New Roman"/>
                <w:sz w:val="21"/>
                <w:szCs w:val="21"/>
              </w:rPr>
            </w:pPr>
            <w:r>
              <w:rPr>
                <w:rFonts w:hint="eastAsia" w:ascii="Times New Roman" w:hAnsi="Times New Roman" w:cs="Times New Roman"/>
                <w:sz w:val="21"/>
                <w:szCs w:val="21"/>
              </w:rPr>
              <w:t>2、地下水环境保护措施</w:t>
            </w:r>
          </w:p>
          <w:p w14:paraId="76C0A833">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 1 \* GB3</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hint="eastAsia" w:ascii="Times New Roman" w:hAnsi="Times New Roman" w:cs="Times New Roman"/>
                <w:sz w:val="21"/>
                <w:szCs w:val="21"/>
              </w:rPr>
              <w:t>①</w:t>
            </w:r>
            <w:r>
              <w:rPr>
                <w:rFonts w:ascii="Times New Roman" w:hAnsi="Times New Roman" w:cs="Times New Roman"/>
                <w:sz w:val="21"/>
                <w:szCs w:val="21"/>
              </w:rPr>
              <w:fldChar w:fldCharType="end"/>
            </w:r>
            <w:r>
              <w:rPr>
                <w:rFonts w:ascii="Times New Roman" w:hAnsi="Times New Roman" w:cs="Times New Roman"/>
                <w:sz w:val="21"/>
                <w:szCs w:val="21"/>
              </w:rPr>
              <w:t>源头控制措施</w:t>
            </w:r>
          </w:p>
          <w:p w14:paraId="60E131E4">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构建完善的废水分类收集和分质处理系统，</w:t>
            </w:r>
            <w:r>
              <w:rPr>
                <w:rFonts w:hint="eastAsia" w:ascii="Times New Roman" w:hAnsi="Times New Roman" w:cs="Times New Roman"/>
                <w:sz w:val="21"/>
                <w:szCs w:val="21"/>
              </w:rPr>
              <w:t>做好设备冲洗废水的收集、回用措施，以及生活污水的分类处理措施；</w:t>
            </w:r>
            <w:r>
              <w:rPr>
                <w:rFonts w:ascii="Times New Roman" w:hAnsi="Times New Roman" w:cs="Times New Roman"/>
                <w:sz w:val="21"/>
                <w:szCs w:val="21"/>
              </w:rPr>
              <w:t>废水收集和输送应设置急防护措施；各类固态废物能够得以妥善处置，避免产生渗滤液。</w:t>
            </w:r>
          </w:p>
          <w:p w14:paraId="308F5DFF">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 2 \* GB3</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hint="eastAsia" w:ascii="Times New Roman" w:hAnsi="Times New Roman" w:cs="Times New Roman"/>
                <w:sz w:val="21"/>
                <w:szCs w:val="21"/>
              </w:rPr>
              <w:t>②</w:t>
            </w:r>
            <w:r>
              <w:rPr>
                <w:rFonts w:ascii="Times New Roman" w:hAnsi="Times New Roman" w:cs="Times New Roman"/>
                <w:sz w:val="21"/>
                <w:szCs w:val="21"/>
              </w:rPr>
              <w:fldChar w:fldCharType="end"/>
            </w:r>
            <w:r>
              <w:rPr>
                <w:rFonts w:ascii="Times New Roman" w:hAnsi="Times New Roman" w:cs="Times New Roman"/>
                <w:sz w:val="21"/>
                <w:szCs w:val="21"/>
              </w:rPr>
              <w:t>分区防治措施</w:t>
            </w:r>
          </w:p>
          <w:p w14:paraId="641E7225">
            <w:pPr>
              <w:pStyle w:val="10"/>
              <w:snapToGrid w:val="0"/>
              <w:ind w:left="0" w:right="105" w:rightChars="50" w:firstLine="210" w:firstLineChars="100"/>
              <w:rPr>
                <w:rFonts w:ascii="Times New Roman" w:hAnsi="Times New Roman" w:cs="Times New Roman"/>
                <w:sz w:val="21"/>
                <w:szCs w:val="21"/>
              </w:rPr>
            </w:pPr>
            <w:r>
              <w:rPr>
                <w:rFonts w:ascii="Times New Roman" w:hAnsi="Times New Roman" w:cs="Times New Roman"/>
                <w:sz w:val="21"/>
                <w:szCs w:val="21"/>
              </w:rPr>
              <w:t>为防止地下水污染的被动控制措施即为地面防渗工程，包括两部分内容</w:t>
            </w:r>
            <w:r>
              <w:rPr>
                <w:rFonts w:hint="eastAsia" w:ascii="Times New Roman" w:hAnsi="Times New Roman" w:cs="Times New Roman"/>
                <w:sz w:val="21"/>
                <w:szCs w:val="21"/>
              </w:rPr>
              <w:t>，</w:t>
            </w:r>
            <w:r>
              <w:rPr>
                <w:rFonts w:ascii="Times New Roman" w:hAnsi="Times New Roman" w:cs="Times New Roman"/>
                <w:sz w:val="21"/>
                <w:szCs w:val="21"/>
              </w:rPr>
              <w:t>一是全厂污染区参照相应标准要求铺设防渗层，以阻止泄漏到地面的污染物进入地下水中；二是全厂污染区防渗区域内设置渗漏污染物收集系统，将滞留在地面的污染物收集起来，集中处理。</w:t>
            </w:r>
          </w:p>
          <w:p w14:paraId="044C733C">
            <w:pPr>
              <w:pStyle w:val="10"/>
              <w:snapToGrid w:val="0"/>
              <w:ind w:left="0" w:right="105" w:rightChars="50" w:firstLine="240" w:firstLineChars="100"/>
              <w:rPr>
                <w:rFonts w:ascii="Times New Roman" w:hAnsi="Times New Roman" w:cs="Times New Roman"/>
              </w:rPr>
            </w:pPr>
          </w:p>
        </w:tc>
      </w:tr>
      <w:tr w14:paraId="560E4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03" w:type="dxa"/>
            <w:vAlign w:val="center"/>
          </w:tcPr>
          <w:p w14:paraId="425F5433">
            <w:pPr>
              <w:adjustRightInd w:val="0"/>
              <w:snapToGrid w:val="0"/>
              <w:jc w:val="center"/>
              <w:rPr>
                <w:rFonts w:ascii="宋体" w:hAnsi="宋体" w:cs="宋体"/>
                <w:szCs w:val="21"/>
              </w:rPr>
            </w:pPr>
            <w:r>
              <w:rPr>
                <w:rFonts w:hint="eastAsia" w:ascii="宋体" w:hAnsi="宋体" w:cs="宋体"/>
                <w:szCs w:val="21"/>
              </w:rPr>
              <w:t>生态保护措施</w:t>
            </w:r>
          </w:p>
        </w:tc>
        <w:tc>
          <w:tcPr>
            <w:tcW w:w="7273" w:type="dxa"/>
            <w:gridSpan w:val="4"/>
            <w:vAlign w:val="center"/>
          </w:tcPr>
          <w:p w14:paraId="3A16DE36">
            <w:pPr>
              <w:jc w:val="center"/>
              <w:rPr>
                <w:rFonts w:ascii="Times New Roman" w:hAnsi="Times New Roman" w:eastAsia="宋体" w:cs="Times New Roman"/>
              </w:rPr>
            </w:pPr>
            <w:r>
              <w:rPr>
                <w:rFonts w:hint="eastAsia" w:ascii="Times New Roman" w:hAnsi="Times New Roman" w:eastAsia="宋体" w:cs="Times New Roman"/>
                <w:kern w:val="0"/>
                <w:szCs w:val="21"/>
              </w:rPr>
              <w:t>厂区设</w:t>
            </w:r>
            <w:r>
              <w:rPr>
                <w:rFonts w:ascii="Times New Roman" w:hAnsi="Times New Roman" w:cs="Times New Roman"/>
                <w:szCs w:val="21"/>
              </w:rPr>
              <w:t>500</w:t>
            </w:r>
            <w:r>
              <w:rPr>
                <w:rFonts w:hint="eastAsia" w:ascii="Times New Roman" w:hAnsi="Times New Roman" w:cs="Times New Roman"/>
                <w:szCs w:val="21"/>
              </w:rPr>
              <w:t>m</w:t>
            </w:r>
            <w:r>
              <w:rPr>
                <w:rFonts w:hint="eastAsia" w:ascii="Times New Roman" w:hAnsi="Times New Roman" w:cs="Times New Roman"/>
                <w:szCs w:val="21"/>
                <w:vertAlign w:val="superscript"/>
              </w:rPr>
              <w:t>2</w:t>
            </w:r>
            <w:r>
              <w:rPr>
                <w:rFonts w:hint="eastAsia" w:ascii="Times New Roman" w:hAnsi="Times New Roman" w:eastAsia="宋体" w:cs="Times New Roman"/>
                <w:kern w:val="0"/>
                <w:szCs w:val="21"/>
              </w:rPr>
              <w:t>绿化带，并</w:t>
            </w:r>
            <w:r>
              <w:rPr>
                <w:rFonts w:hint="eastAsia" w:ascii="Times New Roman" w:hAnsi="Times New Roman" w:eastAsia="宋体" w:cs="Times New Roman"/>
              </w:rPr>
              <w:t>加强厂区绿化带养护.</w:t>
            </w:r>
          </w:p>
        </w:tc>
      </w:tr>
      <w:tr w14:paraId="3E9F6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1603" w:type="dxa"/>
            <w:vAlign w:val="center"/>
          </w:tcPr>
          <w:p w14:paraId="52FCDF58">
            <w:pPr>
              <w:adjustRightInd w:val="0"/>
              <w:snapToGrid w:val="0"/>
              <w:jc w:val="center"/>
              <w:rPr>
                <w:rFonts w:ascii="宋体" w:hAnsi="宋体" w:cs="宋体"/>
                <w:spacing w:val="-8"/>
                <w:szCs w:val="21"/>
              </w:rPr>
            </w:pPr>
            <w:r>
              <w:rPr>
                <w:rFonts w:hint="eastAsia" w:ascii="宋体" w:hAnsi="宋体" w:cs="宋体"/>
                <w:spacing w:val="-8"/>
                <w:szCs w:val="21"/>
              </w:rPr>
              <w:t>环境风险</w:t>
            </w:r>
          </w:p>
          <w:p w14:paraId="2F6CEB52">
            <w:pPr>
              <w:adjustRightInd w:val="0"/>
              <w:snapToGrid w:val="0"/>
              <w:jc w:val="center"/>
              <w:rPr>
                <w:rFonts w:ascii="宋体" w:hAnsi="宋体" w:cs="宋体"/>
                <w:spacing w:val="-8"/>
                <w:szCs w:val="21"/>
              </w:rPr>
            </w:pPr>
            <w:r>
              <w:rPr>
                <w:rFonts w:hint="eastAsia" w:ascii="宋体" w:hAnsi="宋体" w:cs="宋体"/>
                <w:spacing w:val="-8"/>
                <w:szCs w:val="21"/>
              </w:rPr>
              <w:t>防范措施</w:t>
            </w:r>
          </w:p>
        </w:tc>
        <w:tc>
          <w:tcPr>
            <w:tcW w:w="7273" w:type="dxa"/>
            <w:gridSpan w:val="4"/>
            <w:vAlign w:val="center"/>
          </w:tcPr>
          <w:p w14:paraId="27D05099">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项目储油罐设置20m</w:t>
            </w:r>
            <w:r>
              <w:rPr>
                <w:rFonts w:ascii="Times New Roman" w:hAnsi="Times New Roman" w:cs="Times New Roman"/>
                <w:sz w:val="21"/>
                <w:szCs w:val="21"/>
                <w:vertAlign w:val="superscript"/>
              </w:rPr>
              <w:t>3</w:t>
            </w:r>
            <w:r>
              <w:rPr>
                <w:rFonts w:ascii="Times New Roman" w:hAnsi="Times New Roman" w:cs="Times New Roman"/>
                <w:sz w:val="21"/>
                <w:szCs w:val="21"/>
              </w:rPr>
              <w:t>的围堰，围堰区进行防渗处理。</w:t>
            </w:r>
          </w:p>
          <w:p w14:paraId="0FB0D4A9">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②</w:t>
            </w:r>
            <w:r>
              <w:rPr>
                <w:rFonts w:ascii="Times New Roman" w:hAnsi="Times New Roman" w:cs="Times New Roman"/>
                <w:sz w:val="21"/>
                <w:szCs w:val="21"/>
              </w:rPr>
              <w:t>项目设置一间危险废物暂存间，并进行防渗处理，废机油采用专用收集桶收集后，暂存于危险废物暂存间，交由有资质的单位定期清运处置，并设立台账管理。</w:t>
            </w:r>
          </w:p>
          <w:p w14:paraId="5F719ADB">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③</w:t>
            </w:r>
            <w:r>
              <w:rPr>
                <w:rFonts w:ascii="Times New Roman" w:hAnsi="Times New Roman" w:cs="Times New Roman"/>
                <w:sz w:val="21"/>
                <w:szCs w:val="21"/>
              </w:rPr>
              <w:t>在油储罐区及危废暂存间摆放灭火毯和消防沙池。</w:t>
            </w:r>
          </w:p>
          <w:p w14:paraId="396890CB">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④</w:t>
            </w:r>
            <w:r>
              <w:rPr>
                <w:rFonts w:ascii="Times New Roman" w:hAnsi="Times New Roman" w:cs="Times New Roman"/>
                <w:sz w:val="21"/>
                <w:szCs w:val="21"/>
              </w:rPr>
              <w:t>设置一个20m</w:t>
            </w:r>
            <w:r>
              <w:rPr>
                <w:rFonts w:ascii="Times New Roman" w:hAnsi="Times New Roman" w:cs="Times New Roman"/>
                <w:sz w:val="21"/>
                <w:szCs w:val="21"/>
                <w:vertAlign w:val="superscript"/>
              </w:rPr>
              <w:t>3</w:t>
            </w:r>
            <w:r>
              <w:rPr>
                <w:rFonts w:ascii="Times New Roman" w:hAnsi="Times New Roman" w:cs="Times New Roman"/>
                <w:sz w:val="21"/>
                <w:szCs w:val="21"/>
              </w:rPr>
              <w:t>的事故应急池，用于收集事故废水。</w:t>
            </w:r>
          </w:p>
          <w:p w14:paraId="31236443">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⑤</w:t>
            </w:r>
            <w:r>
              <w:rPr>
                <w:rFonts w:ascii="Times New Roman" w:hAnsi="Times New Roman" w:cs="Times New Roman"/>
                <w:sz w:val="21"/>
                <w:szCs w:val="21"/>
              </w:rPr>
              <w:t>建立健全安全生产责任制实行定期性安全检查，及时发现事故隐患并迅速给以消除。</w:t>
            </w:r>
          </w:p>
          <w:p w14:paraId="5BF1964F">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⑥</w:t>
            </w:r>
            <w:r>
              <w:rPr>
                <w:rFonts w:ascii="Times New Roman" w:hAnsi="Times New Roman" w:cs="Times New Roman"/>
                <w:sz w:val="21"/>
                <w:szCs w:val="21"/>
              </w:rPr>
              <w:t>增强安全意识，加强安全教育，增强职工安全意识，认真贯彻安全法规和制度，防止人的错误行为，制定相应的应急措施。</w:t>
            </w:r>
          </w:p>
          <w:p w14:paraId="1E552756">
            <w:pPr>
              <w:pStyle w:val="10"/>
              <w:snapToGrid w:val="0"/>
              <w:ind w:left="0" w:right="105" w:rightChars="50" w:firstLine="210" w:firstLineChars="100"/>
              <w:rPr>
                <w:rFonts w:ascii="Times New Roman" w:hAnsi="Times New Roman" w:cs="Times New Roman"/>
                <w:sz w:val="21"/>
                <w:szCs w:val="21"/>
              </w:rPr>
            </w:pPr>
            <w:r>
              <w:rPr>
                <w:rFonts w:hint="eastAsia"/>
                <w:sz w:val="21"/>
                <w:szCs w:val="21"/>
              </w:rPr>
              <w:t>⑦</w:t>
            </w:r>
            <w:r>
              <w:rPr>
                <w:rFonts w:ascii="Times New Roman" w:hAnsi="Times New Roman" w:cs="Times New Roman"/>
                <w:sz w:val="21"/>
                <w:szCs w:val="21"/>
              </w:rPr>
              <w:t>按相关规范编制突发环境事件应急预案并报</w:t>
            </w:r>
            <w:r>
              <w:rPr>
                <w:rFonts w:hint="eastAsia" w:ascii="Times New Roman" w:hAnsi="Times New Roman" w:cs="Times New Roman"/>
                <w:sz w:val="21"/>
                <w:szCs w:val="21"/>
              </w:rPr>
              <w:t>德宏州</w:t>
            </w:r>
            <w:r>
              <w:rPr>
                <w:rFonts w:ascii="Times New Roman" w:hAnsi="Times New Roman" w:cs="Times New Roman"/>
                <w:sz w:val="21"/>
                <w:szCs w:val="21"/>
              </w:rPr>
              <w:t>生态环境局</w:t>
            </w:r>
            <w:r>
              <w:rPr>
                <w:rFonts w:hint="eastAsia" w:ascii="Times New Roman" w:hAnsi="Times New Roman" w:cs="Times New Roman"/>
                <w:sz w:val="21"/>
                <w:szCs w:val="21"/>
              </w:rPr>
              <w:t>芒市</w:t>
            </w:r>
            <w:r>
              <w:rPr>
                <w:rFonts w:ascii="Times New Roman" w:hAnsi="Times New Roman" w:cs="Times New Roman"/>
                <w:sz w:val="21"/>
                <w:szCs w:val="21"/>
              </w:rPr>
              <w:t>分局备案。</w:t>
            </w:r>
          </w:p>
        </w:tc>
      </w:tr>
      <w:tr w14:paraId="35140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4" w:hRule="atLeast"/>
          <w:jc w:val="center"/>
        </w:trPr>
        <w:tc>
          <w:tcPr>
            <w:tcW w:w="1603" w:type="dxa"/>
            <w:vAlign w:val="center"/>
          </w:tcPr>
          <w:p w14:paraId="4D5E4BC9">
            <w:pPr>
              <w:adjustRightInd w:val="0"/>
              <w:snapToGrid w:val="0"/>
              <w:jc w:val="center"/>
              <w:rPr>
                <w:rFonts w:ascii="宋体" w:hAnsi="宋体" w:eastAsia="宋体" w:cs="宋体"/>
                <w:szCs w:val="21"/>
              </w:rPr>
            </w:pPr>
            <w:r>
              <w:rPr>
                <w:rFonts w:hint="eastAsia" w:ascii="宋体" w:hAnsi="宋体" w:eastAsia="宋体" w:cs="宋体"/>
                <w:szCs w:val="21"/>
              </w:rPr>
              <w:t>其他环境</w:t>
            </w:r>
          </w:p>
          <w:p w14:paraId="72075107">
            <w:pPr>
              <w:adjustRightInd w:val="0"/>
              <w:snapToGrid w:val="0"/>
              <w:jc w:val="center"/>
              <w:rPr>
                <w:rFonts w:ascii="宋体" w:hAnsi="宋体" w:eastAsia="宋体" w:cs="宋体"/>
                <w:szCs w:val="21"/>
              </w:rPr>
            </w:pPr>
            <w:r>
              <w:rPr>
                <w:rFonts w:hint="eastAsia" w:ascii="宋体" w:hAnsi="宋体" w:eastAsia="宋体" w:cs="宋体"/>
                <w:szCs w:val="21"/>
              </w:rPr>
              <w:t>管理要求</w:t>
            </w:r>
          </w:p>
        </w:tc>
        <w:tc>
          <w:tcPr>
            <w:tcW w:w="7273" w:type="dxa"/>
            <w:gridSpan w:val="4"/>
            <w:vAlign w:val="center"/>
          </w:tcPr>
          <w:p w14:paraId="0584C5B3">
            <w:pPr>
              <w:pStyle w:val="10"/>
              <w:snapToGrid w:val="0"/>
              <w:ind w:left="0" w:right="105" w:rightChars="50" w:firstLine="210" w:firstLineChars="100"/>
              <w:rPr>
                <w:rFonts w:ascii="Times New Roman" w:hAnsi="Times New Roman" w:cs="Times New Roman"/>
                <w:szCs w:val="21"/>
              </w:rPr>
            </w:pPr>
            <w:r>
              <w:rPr>
                <w:rFonts w:ascii="Times New Roman" w:hAnsi="Times New Roman" w:cs="Times New Roman"/>
                <w:sz w:val="21"/>
                <w:szCs w:val="21"/>
              </w:rPr>
              <w:t>厂区低处设20m</w:t>
            </w:r>
            <w:r>
              <w:rPr>
                <w:rFonts w:ascii="Times New Roman" w:hAnsi="Times New Roman" w:cs="Times New Roman"/>
                <w:sz w:val="21"/>
                <w:szCs w:val="21"/>
                <w:vertAlign w:val="superscript"/>
              </w:rPr>
              <w:t>3</w:t>
            </w:r>
            <w:r>
              <w:rPr>
                <w:rFonts w:ascii="Times New Roman" w:hAnsi="Times New Roman" w:cs="Times New Roman"/>
                <w:sz w:val="21"/>
                <w:szCs w:val="21"/>
              </w:rPr>
              <w:t>应急事故池（兼消防废收集水池）。由建设单位指定 1 名管理人员兼职环境保护管理，负责日常的环境管理监督、落实环 境监测及竣工环境保护验收要求。</w:t>
            </w:r>
          </w:p>
        </w:tc>
      </w:tr>
    </w:tbl>
    <w:p w14:paraId="60A75D99">
      <w:pPr>
        <w:jc w:val="center"/>
      </w:pPr>
    </w:p>
    <w:p w14:paraId="7897A943">
      <w:pPr>
        <w:jc w:val="center"/>
      </w:pPr>
    </w:p>
    <w:p w14:paraId="39F4B544">
      <w:pPr>
        <w:pStyle w:val="16"/>
        <w:jc w:val="center"/>
        <w:outlineLvl w:val="0"/>
        <w:rPr>
          <w:rFonts w:ascii="黑体" w:eastAsia="黑体" w:cs="黑体"/>
          <w:sz w:val="30"/>
          <w:szCs w:val="30"/>
        </w:rPr>
      </w:pPr>
      <w:r>
        <w:rPr>
          <w:snapToGrid w:val="0"/>
          <w:lang w:bidi="ar"/>
        </w:rPr>
        <w:br w:type="page"/>
      </w:r>
      <w:bookmarkStart w:id="81" w:name="_Toc10151"/>
      <w:r>
        <w:rPr>
          <w:rFonts w:ascii="黑体" w:eastAsia="黑体" w:cs="黑体"/>
          <w:snapToGrid w:val="0"/>
          <w:sz w:val="30"/>
          <w:szCs w:val="30"/>
        </w:rPr>
        <w:t>六、结论</w:t>
      </w:r>
      <w:bookmarkEnd w:id="81"/>
    </w:p>
    <w:tbl>
      <w:tblPr>
        <w:tblStyle w:val="18"/>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381E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29" w:hRule="atLeast"/>
          <w:jc w:val="center"/>
        </w:trPr>
        <w:tc>
          <w:tcPr>
            <w:tcW w:w="8865" w:type="dxa"/>
            <w:tcBorders>
              <w:top w:val="single" w:color="auto" w:sz="8" w:space="0"/>
              <w:left w:val="single" w:color="auto" w:sz="8" w:space="0"/>
              <w:bottom w:val="single" w:color="auto" w:sz="8" w:space="0"/>
              <w:right w:val="single" w:color="auto" w:sz="8" w:space="0"/>
            </w:tcBorders>
            <w:shd w:val="clear" w:color="auto" w:fill="auto"/>
          </w:tcPr>
          <w:p w14:paraId="68E5CBB7">
            <w:pPr>
              <w:widowControl/>
              <w:spacing w:line="360" w:lineRule="auto"/>
              <w:ind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6.1 结论</w:t>
            </w:r>
          </w:p>
          <w:p w14:paraId="0582D465">
            <w:pPr>
              <w:widowControl/>
              <w:spacing w:line="360" w:lineRule="auto"/>
              <w:ind w:firstLine="240" w:firstLineChars="100"/>
              <w:jc w:val="left"/>
              <w:rPr>
                <w:rFonts w:ascii="Times New Roman" w:hAnsi="Times New Roman" w:eastAsia="宋体" w:cs="Times New Roman"/>
                <w:kern w:val="0"/>
                <w:sz w:val="24"/>
              </w:rPr>
            </w:pPr>
            <w:r>
              <w:rPr>
                <w:rFonts w:ascii="Times New Roman" w:hAnsi="Times New Roman" w:eastAsia="宋体" w:cs="Times New Roman"/>
                <w:kern w:val="0"/>
                <w:sz w:val="24"/>
              </w:rPr>
              <w:t>本项目符合国家和地方相关产业政策，选址合理，场内平面布置合理。对产生的废气、废水、噪声、固废采取措施治理后，能够实现污染物的达标排放，不会对环境造成大的影响，不会降低当地的环境功能。在严格执行有关环保法规和“三同时” 制度，认真落实本报告提出的各项污染防治措施的基础上，从环境保护角度分析， 本项目的建设是可行的。</w:t>
            </w:r>
          </w:p>
          <w:p w14:paraId="2F7F4234">
            <w:pPr>
              <w:widowControl/>
              <w:spacing w:line="360" w:lineRule="auto"/>
              <w:ind w:firstLine="241" w:firstLineChars="1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6.2 建议和要求</w:t>
            </w:r>
          </w:p>
          <w:p w14:paraId="30234C17">
            <w:pPr>
              <w:widowControl/>
              <w:spacing w:line="360" w:lineRule="auto"/>
              <w:ind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（1）根据环评要求，落实“三废”治理费用，做到专款专用，项目实施后应保证足够的环保资金，确保污染防治措施有效地运行，保证污染物达标排放；</w:t>
            </w:r>
          </w:p>
          <w:p w14:paraId="5B594232">
            <w:pPr>
              <w:widowControl/>
              <w:spacing w:line="360" w:lineRule="auto"/>
              <w:ind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（2）加强环境管理，提高工作人员环保意识；</w:t>
            </w:r>
          </w:p>
          <w:p w14:paraId="1929D007">
            <w:pPr>
              <w:widowControl/>
              <w:spacing w:line="360" w:lineRule="auto"/>
              <w:ind w:firstLine="240" w:firstLineChars="1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（3）加强环保设施运行维护，确保污染物稳定达标排放；</w:t>
            </w:r>
          </w:p>
          <w:p w14:paraId="7FE07C2F">
            <w:pPr>
              <w:widowControl/>
              <w:spacing w:line="360" w:lineRule="auto"/>
              <w:ind w:firstLine="240" w:firstLineChars="100"/>
              <w:jc w:val="left"/>
            </w:pPr>
            <w:r>
              <w:rPr>
                <w:rFonts w:hint="eastAsia" w:ascii="Times New Roman" w:hAnsi="Times New Roman" w:eastAsia="宋体" w:cs="Times New Roman"/>
                <w:kern w:val="0"/>
                <w:sz w:val="24"/>
              </w:rPr>
              <w:t>（4）</w:t>
            </w:r>
            <w:r>
              <w:rPr>
                <w:rFonts w:ascii="Times New Roman" w:hAnsi="Times New Roman" w:eastAsia="宋体" w:cs="Times New Roman"/>
                <w:kern w:val="0"/>
                <w:sz w:val="24"/>
              </w:rPr>
              <w:t>做好</w:t>
            </w:r>
            <w:r>
              <w:rPr>
                <w:rFonts w:hint="eastAsia" w:ascii="Times New Roman" w:hAnsi="Times New Roman" w:eastAsia="宋体" w:cs="Times New Roman"/>
                <w:kern w:val="0"/>
                <w:sz w:val="24"/>
              </w:rPr>
              <w:t>厂区</w:t>
            </w:r>
            <w:r>
              <w:rPr>
                <w:rFonts w:ascii="Times New Roman" w:hAnsi="Times New Roman" w:eastAsia="宋体" w:cs="Times New Roman"/>
                <w:kern w:val="0"/>
                <w:sz w:val="24"/>
              </w:rPr>
              <w:t>的绿化工作，美化环境，净化空气。</w:t>
            </w:r>
          </w:p>
        </w:tc>
      </w:tr>
    </w:tbl>
    <w:p w14:paraId="14C2CF06">
      <w:pPr>
        <w:rPr>
          <w:rFonts w:ascii="宋体" w:hAnsi="Times New Roman" w:eastAsia="宋体" w:cs="Times New Roman"/>
          <w:lang w:bidi="ar"/>
        </w:rPr>
        <w:sectPr>
          <w:pgSz w:w="11906" w:h="16838"/>
          <w:pgMar w:top="1702" w:right="1531" w:bottom="1702" w:left="1531" w:header="851" w:footer="851" w:gutter="0"/>
          <w:cols w:space="425" w:num="1"/>
          <w:docGrid w:type="lines" w:linePitch="312" w:charSpace="0"/>
        </w:sectPr>
      </w:pPr>
    </w:p>
    <w:p w14:paraId="0021C104">
      <w:pPr>
        <w:pStyle w:val="16"/>
        <w:adjustRightInd w:val="0"/>
        <w:snapToGrid w:val="0"/>
        <w:spacing w:beforeAutospacing="0" w:afterAutospacing="0"/>
        <w:outlineLvl w:val="0"/>
        <w:rPr>
          <w:rFonts w:cs="宋体"/>
          <w:szCs w:val="24"/>
        </w:rPr>
      </w:pPr>
      <w:bookmarkStart w:id="82" w:name="_Toc12358"/>
      <w:r>
        <w:rPr>
          <w:rFonts w:cs="宋体"/>
          <w:snapToGrid w:val="0"/>
          <w:szCs w:val="24"/>
        </w:rPr>
        <w:t>附表</w:t>
      </w:r>
      <w:bookmarkEnd w:id="82"/>
    </w:p>
    <w:p w14:paraId="3B9B9D10">
      <w:pPr>
        <w:pStyle w:val="16"/>
        <w:adjustRightInd w:val="0"/>
        <w:spacing w:beforeAutospacing="0" w:afterAutospacing="0" w:line="360" w:lineRule="auto"/>
        <w:jc w:val="center"/>
        <w:rPr>
          <w:rFonts w:cs="宋体"/>
          <w:b/>
          <w:bCs/>
          <w:snapToGrid w:val="0"/>
          <w:sz w:val="36"/>
          <w:szCs w:val="36"/>
        </w:rPr>
      </w:pPr>
      <w:bookmarkStart w:id="83" w:name="_Toc13414"/>
      <w:bookmarkStart w:id="84" w:name="_Toc616_WPSOffice_Level1"/>
      <w:bookmarkStart w:id="85" w:name="_Toc19344_WPSOffice_Level1"/>
      <w:r>
        <w:rPr>
          <w:rFonts w:cs="宋体"/>
          <w:b/>
          <w:bCs/>
          <w:snapToGrid w:val="0"/>
          <w:sz w:val="36"/>
          <w:szCs w:val="36"/>
        </w:rPr>
        <w:t>建设项目污染物排放量汇总表</w:t>
      </w:r>
      <w:bookmarkEnd w:id="83"/>
      <w:bookmarkEnd w:id="84"/>
      <w:bookmarkEnd w:id="85"/>
    </w:p>
    <w:p w14:paraId="03C472ED">
      <w:pPr>
        <w:pStyle w:val="16"/>
        <w:adjustRightInd w:val="0"/>
        <w:spacing w:beforeAutospacing="0" w:afterAutospacing="0"/>
        <w:jc w:val="right"/>
        <w:rPr>
          <w:rFonts w:ascii="Times New Roman" w:hAnsi="Times New Roman"/>
          <w:b/>
          <w:bCs/>
          <w:snapToGrid w:val="0"/>
          <w:sz w:val="15"/>
          <w:szCs w:val="15"/>
        </w:rPr>
      </w:pPr>
      <w:bookmarkStart w:id="86" w:name="_Toc18618"/>
      <w:r>
        <w:rPr>
          <w:rFonts w:ascii="Times New Roman" w:hAnsi="Times New Roman"/>
          <w:b/>
          <w:bCs/>
          <w:snapToGrid w:val="0"/>
          <w:sz w:val="18"/>
          <w:szCs w:val="18"/>
        </w:rPr>
        <w:t>（单位：t/a）</w:t>
      </w:r>
      <w:bookmarkEnd w:id="86"/>
    </w:p>
    <w:tbl>
      <w:tblPr>
        <w:tblStyle w:val="18"/>
        <w:tblW w:w="137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544"/>
        <w:gridCol w:w="1702"/>
        <w:gridCol w:w="1276"/>
        <w:gridCol w:w="1702"/>
        <w:gridCol w:w="1559"/>
        <w:gridCol w:w="1761"/>
        <w:gridCol w:w="1650"/>
        <w:gridCol w:w="1135"/>
      </w:tblGrid>
      <w:tr w14:paraId="18B88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tcBorders>
              <w:top w:val="single" w:color="auto" w:sz="8" w:space="0"/>
              <w:left w:val="single" w:color="auto" w:sz="8" w:space="0"/>
              <w:bottom w:val="single" w:color="auto" w:sz="4" w:space="0"/>
              <w:right w:val="single" w:color="auto" w:sz="4" w:space="0"/>
              <w:tl2br w:val="single" w:color="auto" w:sz="4" w:space="0"/>
            </w:tcBorders>
            <w:shd w:val="clear" w:color="auto" w:fill="auto"/>
            <w:tcMar>
              <w:left w:w="28" w:type="dxa"/>
              <w:right w:w="28" w:type="dxa"/>
            </w:tcMar>
            <w:vAlign w:val="center"/>
          </w:tcPr>
          <w:p w14:paraId="0A58A76D">
            <w:pPr>
              <w:pStyle w:val="32"/>
              <w:widowControl/>
              <w:spacing w:before="31" w:line="240" w:lineRule="auto"/>
              <w:rPr>
                <w:rFonts w:ascii="Times New Roman"/>
                <w:kern w:val="21"/>
                <w:szCs w:val="21"/>
              </w:rPr>
            </w:pPr>
            <w:r>
              <w:rPr>
                <w:rFonts w:hint="eastAsia" w:ascii="Times New Roman"/>
                <w:snapToGrid w:val="0"/>
                <w:kern w:val="21"/>
                <w:szCs w:val="21"/>
              </w:rPr>
              <w:t xml:space="preserve"> </w:t>
            </w:r>
            <w:r>
              <w:rPr>
                <w:rFonts w:ascii="Times New Roman"/>
                <w:snapToGrid w:val="0"/>
                <w:kern w:val="21"/>
                <w:szCs w:val="21"/>
              </w:rPr>
              <w:t xml:space="preserve">    项目</w:t>
            </w:r>
          </w:p>
          <w:p w14:paraId="1223153B">
            <w:pPr>
              <w:pStyle w:val="32"/>
              <w:widowControl/>
              <w:spacing w:before="31" w:line="240" w:lineRule="auto"/>
              <w:jc w:val="both"/>
              <w:rPr>
                <w:rFonts w:ascii="Times New Roman"/>
                <w:kern w:val="21"/>
                <w:szCs w:val="21"/>
              </w:rPr>
            </w:pPr>
            <w:r>
              <w:rPr>
                <w:rFonts w:ascii="Times New Roman"/>
                <w:snapToGrid w:val="0"/>
                <w:kern w:val="21"/>
                <w:szCs w:val="21"/>
              </w:rPr>
              <w:t>分类</w:t>
            </w:r>
          </w:p>
        </w:tc>
        <w:tc>
          <w:tcPr>
            <w:tcW w:w="1544"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2A6BBC67">
            <w:pPr>
              <w:pStyle w:val="32"/>
              <w:widowControl/>
              <w:spacing w:before="31" w:line="240" w:lineRule="auto"/>
              <w:rPr>
                <w:rFonts w:ascii="Times New Roman"/>
                <w:kern w:val="21"/>
                <w:szCs w:val="21"/>
              </w:rPr>
            </w:pPr>
            <w:r>
              <w:rPr>
                <w:rFonts w:ascii="Times New Roman"/>
                <w:snapToGrid w:val="0"/>
                <w:kern w:val="21"/>
                <w:szCs w:val="21"/>
              </w:rPr>
              <w:t>污染物名称</w:t>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5A7E7D71">
            <w:pPr>
              <w:pStyle w:val="32"/>
              <w:widowControl/>
              <w:spacing w:before="31" w:line="240" w:lineRule="auto"/>
              <w:rPr>
                <w:rFonts w:ascii="Times New Roman"/>
                <w:kern w:val="21"/>
                <w:szCs w:val="21"/>
              </w:rPr>
            </w:pPr>
            <w:r>
              <w:rPr>
                <w:rFonts w:ascii="Times New Roman"/>
                <w:snapToGrid w:val="0"/>
                <w:kern w:val="21"/>
                <w:szCs w:val="21"/>
              </w:rPr>
              <w:t>现有工程</w:t>
            </w:r>
          </w:p>
          <w:p w14:paraId="4D335963">
            <w:pPr>
              <w:pStyle w:val="32"/>
              <w:widowControl/>
              <w:spacing w:before="31" w:line="240" w:lineRule="auto"/>
              <w:rPr>
                <w:rFonts w:ascii="Times New Roman"/>
                <w:snapToGrid w:val="0"/>
                <w:kern w:val="21"/>
                <w:szCs w:val="21"/>
              </w:rPr>
            </w:pPr>
            <w:r>
              <w:rPr>
                <w:rFonts w:ascii="Times New Roman"/>
                <w:snapToGrid w:val="0"/>
                <w:kern w:val="21"/>
                <w:szCs w:val="21"/>
              </w:rPr>
              <w:t>排放量（固体废物产生量）</w:t>
            </w:r>
            <w:r>
              <w:rPr>
                <w:rFonts w:ascii="Times New Roman"/>
                <w:kern w:val="21"/>
                <w:szCs w:val="21"/>
              </w:rPr>
              <w:fldChar w:fldCharType="begin"/>
            </w:r>
            <w:r>
              <w:rPr>
                <w:rFonts w:ascii="Times New Roman"/>
                <w:snapToGrid w:val="0"/>
                <w:kern w:val="21"/>
                <w:szCs w:val="21"/>
              </w:rPr>
              <w:instrText xml:space="preserve"> = 1 \* GB3 \* MERGEFORMAT </w:instrText>
            </w:r>
            <w:r>
              <w:rPr>
                <w:rFonts w:ascii="Times New Roman"/>
                <w:kern w:val="21"/>
                <w:szCs w:val="21"/>
              </w:rPr>
              <w:fldChar w:fldCharType="separate"/>
            </w:r>
            <w:r>
              <w:rPr>
                <w:rFonts w:ascii="Times New Roman"/>
                <w:kern w:val="2"/>
                <w:szCs w:val="21"/>
              </w:rPr>
              <w:t>①</w:t>
            </w:r>
            <w:r>
              <w:rPr>
                <w:rFonts w:ascii="Times New Roman"/>
                <w:kern w:val="21"/>
                <w:szCs w:val="21"/>
              </w:rPr>
              <w:fldChar w:fldCharType="end"/>
            </w:r>
          </w:p>
        </w:tc>
        <w:tc>
          <w:tcPr>
            <w:tcW w:w="1276"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595EE2B2">
            <w:pPr>
              <w:pStyle w:val="32"/>
              <w:widowControl/>
              <w:spacing w:before="31" w:line="240" w:lineRule="auto"/>
              <w:rPr>
                <w:rFonts w:ascii="Times New Roman"/>
                <w:kern w:val="21"/>
                <w:szCs w:val="21"/>
              </w:rPr>
            </w:pPr>
            <w:r>
              <w:rPr>
                <w:rFonts w:ascii="Times New Roman"/>
                <w:snapToGrid w:val="0"/>
                <w:kern w:val="21"/>
                <w:szCs w:val="21"/>
              </w:rPr>
              <w:t>现有工程</w:t>
            </w:r>
          </w:p>
          <w:p w14:paraId="550F33C1">
            <w:pPr>
              <w:pStyle w:val="32"/>
              <w:widowControl/>
              <w:spacing w:before="31" w:line="240" w:lineRule="auto"/>
              <w:rPr>
                <w:rFonts w:ascii="Times New Roman"/>
                <w:kern w:val="21"/>
                <w:szCs w:val="21"/>
              </w:rPr>
            </w:pPr>
            <w:r>
              <w:rPr>
                <w:rFonts w:ascii="Times New Roman"/>
                <w:snapToGrid w:val="0"/>
                <w:kern w:val="21"/>
                <w:szCs w:val="21"/>
              </w:rPr>
              <w:t>许可排放量</w:t>
            </w:r>
          </w:p>
          <w:p w14:paraId="05E0AC7C">
            <w:pPr>
              <w:pStyle w:val="32"/>
              <w:widowControl/>
              <w:spacing w:before="31" w:line="240" w:lineRule="auto"/>
              <w:rPr>
                <w:rFonts w:ascii="Times New Roman"/>
                <w:snapToGrid w:val="0"/>
                <w:kern w:val="21"/>
                <w:szCs w:val="21"/>
              </w:rPr>
            </w:pPr>
            <w:r>
              <w:rPr>
                <w:rFonts w:ascii="Times New Roman"/>
                <w:kern w:val="21"/>
                <w:szCs w:val="21"/>
              </w:rPr>
              <w:fldChar w:fldCharType="begin"/>
            </w:r>
            <w:r>
              <w:rPr>
                <w:rFonts w:ascii="Times New Roman"/>
                <w:kern w:val="21"/>
                <w:szCs w:val="21"/>
              </w:rPr>
              <w:instrText xml:space="preserve"> </w:instrText>
            </w:r>
            <w:r>
              <w:rPr>
                <w:rFonts w:ascii="Times New Roman"/>
                <w:snapToGrid w:val="0"/>
                <w:kern w:val="21"/>
                <w:szCs w:val="21"/>
              </w:rPr>
              <w:instrText xml:space="preserve">= 2 \* GB3 \* MERGEFORMAT </w:instrText>
            </w:r>
            <w:r>
              <w:rPr>
                <w:rFonts w:ascii="Times New Roman"/>
                <w:kern w:val="21"/>
                <w:szCs w:val="21"/>
              </w:rPr>
              <w:fldChar w:fldCharType="separate"/>
            </w:r>
            <w:r>
              <w:rPr>
                <w:rFonts w:ascii="Times New Roman"/>
                <w:snapToGrid w:val="0"/>
                <w:kern w:val="21"/>
                <w:szCs w:val="21"/>
              </w:rPr>
              <w:t>②</w:t>
            </w:r>
            <w:r>
              <w:rPr>
                <w:rFonts w:ascii="Times New Roman"/>
                <w:kern w:val="21"/>
                <w:szCs w:val="21"/>
              </w:rPr>
              <w:fldChar w:fldCharType="end"/>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4EFABBA7">
            <w:pPr>
              <w:pStyle w:val="32"/>
              <w:widowControl/>
              <w:spacing w:before="31" w:line="240" w:lineRule="auto"/>
              <w:rPr>
                <w:rFonts w:ascii="Times New Roman"/>
                <w:kern w:val="21"/>
                <w:szCs w:val="21"/>
              </w:rPr>
            </w:pPr>
            <w:r>
              <w:rPr>
                <w:rFonts w:ascii="Times New Roman"/>
                <w:snapToGrid w:val="0"/>
                <w:kern w:val="21"/>
                <w:szCs w:val="21"/>
              </w:rPr>
              <w:t>在建工程</w:t>
            </w:r>
          </w:p>
          <w:p w14:paraId="31A1368F">
            <w:pPr>
              <w:pStyle w:val="32"/>
              <w:widowControl/>
              <w:spacing w:before="31" w:line="240" w:lineRule="auto"/>
              <w:rPr>
                <w:rFonts w:ascii="Times New Roman"/>
                <w:snapToGrid w:val="0"/>
                <w:kern w:val="21"/>
                <w:szCs w:val="21"/>
              </w:rPr>
            </w:pPr>
            <w:r>
              <w:rPr>
                <w:rFonts w:ascii="Times New Roman"/>
                <w:snapToGrid w:val="0"/>
                <w:kern w:val="21"/>
                <w:szCs w:val="21"/>
              </w:rPr>
              <w:t>排放量（固体废物产生量）</w:t>
            </w:r>
            <w:r>
              <w:rPr>
                <w:rFonts w:ascii="Times New Roman"/>
                <w:kern w:val="21"/>
                <w:szCs w:val="21"/>
              </w:rPr>
              <w:fldChar w:fldCharType="begin"/>
            </w:r>
            <w:r>
              <w:rPr>
                <w:rFonts w:ascii="Times New Roman"/>
                <w:snapToGrid w:val="0"/>
                <w:kern w:val="21"/>
                <w:szCs w:val="21"/>
              </w:rPr>
              <w:instrText xml:space="preserve"> = 3 \* GB3 \* MERGEFORMAT </w:instrText>
            </w:r>
            <w:r>
              <w:rPr>
                <w:rFonts w:ascii="Times New Roman"/>
                <w:kern w:val="21"/>
                <w:szCs w:val="21"/>
              </w:rPr>
              <w:fldChar w:fldCharType="separate"/>
            </w:r>
            <w:r>
              <w:rPr>
                <w:rFonts w:ascii="Times New Roman"/>
                <w:kern w:val="2"/>
                <w:szCs w:val="21"/>
              </w:rPr>
              <w:t>③</w:t>
            </w:r>
            <w:r>
              <w:rPr>
                <w:rFonts w:ascii="Times New Roman"/>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5CEB09E9">
            <w:pPr>
              <w:pStyle w:val="32"/>
              <w:widowControl/>
              <w:spacing w:before="31" w:line="240" w:lineRule="auto"/>
              <w:rPr>
                <w:rFonts w:ascii="Times New Roman"/>
                <w:kern w:val="21"/>
                <w:szCs w:val="21"/>
              </w:rPr>
            </w:pPr>
            <w:r>
              <w:rPr>
                <w:rFonts w:ascii="Times New Roman"/>
                <w:snapToGrid w:val="0"/>
                <w:kern w:val="21"/>
                <w:szCs w:val="21"/>
              </w:rPr>
              <w:t>本项目</w:t>
            </w:r>
          </w:p>
          <w:p w14:paraId="05B40271">
            <w:pPr>
              <w:pStyle w:val="32"/>
              <w:widowControl/>
              <w:spacing w:before="31" w:line="240" w:lineRule="auto"/>
              <w:rPr>
                <w:rFonts w:ascii="Times New Roman"/>
                <w:snapToGrid w:val="0"/>
                <w:kern w:val="21"/>
                <w:szCs w:val="21"/>
              </w:rPr>
            </w:pPr>
            <w:r>
              <w:rPr>
                <w:rFonts w:ascii="Times New Roman"/>
                <w:snapToGrid w:val="0"/>
                <w:kern w:val="21"/>
                <w:szCs w:val="21"/>
              </w:rPr>
              <w:t>排放量（固体废物产生量）</w:t>
            </w:r>
            <w:r>
              <w:rPr>
                <w:rFonts w:ascii="Times New Roman"/>
                <w:kern w:val="21"/>
                <w:szCs w:val="21"/>
              </w:rPr>
              <w:fldChar w:fldCharType="begin"/>
            </w:r>
            <w:r>
              <w:rPr>
                <w:rFonts w:ascii="Times New Roman"/>
                <w:snapToGrid w:val="0"/>
                <w:kern w:val="21"/>
                <w:szCs w:val="21"/>
              </w:rPr>
              <w:instrText xml:space="preserve"> = 4 \* GB3 \* MERGEFORMAT </w:instrText>
            </w:r>
            <w:r>
              <w:rPr>
                <w:rFonts w:ascii="Times New Roman"/>
                <w:kern w:val="21"/>
                <w:szCs w:val="21"/>
              </w:rPr>
              <w:fldChar w:fldCharType="separate"/>
            </w:r>
            <w:r>
              <w:rPr>
                <w:rFonts w:ascii="Times New Roman"/>
                <w:kern w:val="2"/>
                <w:szCs w:val="21"/>
              </w:rPr>
              <w:t>④</w:t>
            </w:r>
            <w:r>
              <w:rPr>
                <w:rFonts w:ascii="Times New Roman"/>
                <w:kern w:val="21"/>
                <w:szCs w:val="21"/>
              </w:rPr>
              <w:fldChar w:fldCharType="end"/>
            </w:r>
          </w:p>
        </w:tc>
        <w:tc>
          <w:tcPr>
            <w:tcW w:w="176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0577254C">
            <w:pPr>
              <w:pStyle w:val="32"/>
              <w:widowControl/>
              <w:spacing w:before="31" w:line="240" w:lineRule="auto"/>
              <w:rPr>
                <w:rFonts w:ascii="Times New Roman"/>
                <w:kern w:val="21"/>
                <w:szCs w:val="21"/>
              </w:rPr>
            </w:pPr>
            <w:r>
              <w:rPr>
                <w:rFonts w:ascii="Times New Roman"/>
                <w:snapToGrid w:val="0"/>
                <w:kern w:val="21"/>
                <w:szCs w:val="21"/>
              </w:rPr>
              <w:t>以新带老削减量</w:t>
            </w:r>
          </w:p>
          <w:p w14:paraId="341E65B5">
            <w:pPr>
              <w:pStyle w:val="32"/>
              <w:widowControl/>
              <w:spacing w:before="31" w:line="240" w:lineRule="auto"/>
              <w:rPr>
                <w:rFonts w:ascii="Times New Roman"/>
                <w:snapToGrid w:val="0"/>
                <w:kern w:val="21"/>
                <w:szCs w:val="21"/>
              </w:rPr>
            </w:pPr>
            <w:r>
              <w:rPr>
                <w:rFonts w:ascii="Times New Roman"/>
                <w:snapToGrid w:val="0"/>
                <w:kern w:val="21"/>
                <w:szCs w:val="21"/>
              </w:rPr>
              <w:t>（新建项目不填）</w:t>
            </w:r>
            <w:r>
              <w:rPr>
                <w:rFonts w:ascii="Times New Roman"/>
                <w:kern w:val="21"/>
                <w:szCs w:val="21"/>
              </w:rPr>
              <w:fldChar w:fldCharType="begin"/>
            </w:r>
            <w:r>
              <w:rPr>
                <w:rFonts w:ascii="Times New Roman"/>
                <w:snapToGrid w:val="0"/>
                <w:kern w:val="21"/>
                <w:szCs w:val="21"/>
              </w:rPr>
              <w:instrText xml:space="preserve"> = 5 \* GB3 \* MERGEFORMAT </w:instrText>
            </w:r>
            <w:r>
              <w:rPr>
                <w:rFonts w:ascii="Times New Roman"/>
                <w:kern w:val="21"/>
                <w:szCs w:val="21"/>
              </w:rPr>
              <w:fldChar w:fldCharType="separate"/>
            </w:r>
            <w:r>
              <w:rPr>
                <w:rFonts w:ascii="Times New Roman"/>
                <w:kern w:val="2"/>
                <w:szCs w:val="21"/>
              </w:rPr>
              <w:t>⑤</w:t>
            </w:r>
            <w:r>
              <w:rPr>
                <w:rFonts w:ascii="Times New Roman"/>
                <w:kern w:val="21"/>
                <w:szCs w:val="21"/>
              </w:rPr>
              <w:fldChar w:fldCharType="end"/>
            </w:r>
          </w:p>
        </w:tc>
        <w:tc>
          <w:tcPr>
            <w:tcW w:w="1650"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14:paraId="6780F0E0">
            <w:pPr>
              <w:pStyle w:val="32"/>
              <w:widowControl/>
              <w:spacing w:before="31" w:line="240" w:lineRule="auto"/>
              <w:rPr>
                <w:rFonts w:ascii="Times New Roman"/>
                <w:kern w:val="21"/>
                <w:szCs w:val="21"/>
              </w:rPr>
            </w:pPr>
            <w:r>
              <w:rPr>
                <w:rFonts w:ascii="Times New Roman"/>
                <w:snapToGrid w:val="0"/>
                <w:kern w:val="21"/>
                <w:szCs w:val="21"/>
              </w:rPr>
              <w:t>本项目建成后</w:t>
            </w:r>
          </w:p>
          <w:p w14:paraId="4D253BC8">
            <w:pPr>
              <w:pStyle w:val="32"/>
              <w:widowControl/>
              <w:spacing w:before="31" w:line="240" w:lineRule="auto"/>
              <w:rPr>
                <w:rFonts w:ascii="Times New Roman"/>
                <w:snapToGrid w:val="0"/>
                <w:kern w:val="21"/>
                <w:szCs w:val="21"/>
              </w:rPr>
            </w:pPr>
            <w:r>
              <w:rPr>
                <w:rFonts w:ascii="Times New Roman"/>
                <w:snapToGrid w:val="0"/>
                <w:kern w:val="21"/>
                <w:szCs w:val="21"/>
              </w:rPr>
              <w:t>全厂排放量（固体废物产生量）</w:t>
            </w:r>
            <w:r>
              <w:rPr>
                <w:rFonts w:ascii="Times New Roman"/>
                <w:kern w:val="21"/>
                <w:szCs w:val="21"/>
              </w:rPr>
              <w:fldChar w:fldCharType="begin"/>
            </w:r>
            <w:r>
              <w:rPr>
                <w:rFonts w:ascii="Times New Roman"/>
                <w:snapToGrid w:val="0"/>
                <w:kern w:val="21"/>
                <w:szCs w:val="21"/>
              </w:rPr>
              <w:instrText xml:space="preserve"> = 6 \* GB3 \* MERGEFORMAT </w:instrText>
            </w:r>
            <w:r>
              <w:rPr>
                <w:rFonts w:ascii="Times New Roman"/>
                <w:kern w:val="21"/>
                <w:szCs w:val="21"/>
              </w:rPr>
              <w:fldChar w:fldCharType="separate"/>
            </w:r>
            <w:r>
              <w:rPr>
                <w:rFonts w:ascii="Times New Roman"/>
                <w:kern w:val="2"/>
                <w:szCs w:val="21"/>
              </w:rPr>
              <w:t>⑥</w:t>
            </w:r>
            <w:r>
              <w:rPr>
                <w:rFonts w:ascii="Times New Roman"/>
                <w:kern w:val="21"/>
                <w:szCs w:val="21"/>
              </w:rPr>
              <w:fldChar w:fldCharType="end"/>
            </w:r>
          </w:p>
        </w:tc>
        <w:tc>
          <w:tcPr>
            <w:tcW w:w="1135" w:type="dxa"/>
            <w:tcBorders>
              <w:top w:val="single" w:color="auto" w:sz="8" w:space="0"/>
              <w:left w:val="single" w:color="auto" w:sz="4" w:space="0"/>
              <w:bottom w:val="single" w:color="auto" w:sz="4" w:space="0"/>
              <w:right w:val="single" w:color="auto" w:sz="8" w:space="0"/>
            </w:tcBorders>
            <w:shd w:val="clear" w:color="auto" w:fill="auto"/>
            <w:tcMar>
              <w:left w:w="28" w:type="dxa"/>
              <w:right w:w="28" w:type="dxa"/>
            </w:tcMar>
            <w:vAlign w:val="center"/>
          </w:tcPr>
          <w:p w14:paraId="751F4E0B">
            <w:pPr>
              <w:pStyle w:val="32"/>
              <w:widowControl/>
              <w:spacing w:before="31" w:line="240" w:lineRule="auto"/>
              <w:rPr>
                <w:rFonts w:ascii="Times New Roman"/>
                <w:kern w:val="21"/>
                <w:szCs w:val="21"/>
              </w:rPr>
            </w:pPr>
            <w:r>
              <w:rPr>
                <w:rFonts w:ascii="Times New Roman"/>
                <w:snapToGrid w:val="0"/>
                <w:kern w:val="21"/>
                <w:szCs w:val="21"/>
              </w:rPr>
              <w:t>变化量</w:t>
            </w:r>
          </w:p>
          <w:p w14:paraId="481A4559">
            <w:pPr>
              <w:pStyle w:val="32"/>
              <w:widowControl/>
              <w:spacing w:before="31" w:line="240" w:lineRule="auto"/>
              <w:rPr>
                <w:rFonts w:ascii="Times New Roman"/>
                <w:snapToGrid w:val="0"/>
                <w:kern w:val="21"/>
                <w:szCs w:val="21"/>
              </w:rPr>
            </w:pPr>
            <w:r>
              <w:rPr>
                <w:rFonts w:ascii="Times New Roman"/>
                <w:kern w:val="21"/>
                <w:szCs w:val="21"/>
              </w:rPr>
              <w:fldChar w:fldCharType="begin"/>
            </w:r>
            <w:r>
              <w:rPr>
                <w:rFonts w:ascii="Times New Roman"/>
                <w:kern w:val="21"/>
                <w:szCs w:val="21"/>
              </w:rPr>
              <w:instrText xml:space="preserve"> </w:instrText>
            </w:r>
            <w:r>
              <w:rPr>
                <w:rFonts w:ascii="Times New Roman"/>
                <w:snapToGrid w:val="0"/>
                <w:kern w:val="21"/>
                <w:szCs w:val="21"/>
              </w:rPr>
              <w:instrText xml:space="preserve">= 7 \* GB3 \* MERGEFORMAT </w:instrText>
            </w:r>
            <w:r>
              <w:rPr>
                <w:rFonts w:ascii="Times New Roman"/>
                <w:kern w:val="21"/>
                <w:szCs w:val="21"/>
              </w:rPr>
              <w:fldChar w:fldCharType="separate"/>
            </w:r>
            <w:r>
              <w:rPr>
                <w:rFonts w:ascii="Times New Roman"/>
                <w:kern w:val="2"/>
                <w:szCs w:val="21"/>
              </w:rPr>
              <w:t>⑦</w:t>
            </w:r>
            <w:r>
              <w:rPr>
                <w:rFonts w:ascii="Times New Roman"/>
                <w:kern w:val="21"/>
                <w:szCs w:val="21"/>
              </w:rPr>
              <w:fldChar w:fldCharType="end"/>
            </w:r>
          </w:p>
        </w:tc>
      </w:tr>
      <w:tr w14:paraId="7042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right w:val="single" w:color="auto" w:sz="4" w:space="0"/>
            </w:tcBorders>
            <w:shd w:val="clear" w:color="auto" w:fill="auto"/>
            <w:vAlign w:val="center"/>
          </w:tcPr>
          <w:p w14:paraId="27585C8F">
            <w:pPr>
              <w:pStyle w:val="32"/>
              <w:widowControl/>
              <w:spacing w:before="31" w:line="240" w:lineRule="auto"/>
              <w:rPr>
                <w:rFonts w:ascii="Times New Roman"/>
                <w:kern w:val="21"/>
                <w:szCs w:val="21"/>
              </w:rPr>
            </w:pPr>
            <w:r>
              <w:rPr>
                <w:rFonts w:ascii="Times New Roman"/>
                <w:snapToGrid w:val="0"/>
                <w:kern w:val="21"/>
                <w:szCs w:val="21"/>
              </w:rPr>
              <w:t>废气</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9FC1649">
            <w:pPr>
              <w:pStyle w:val="32"/>
              <w:widowControl/>
              <w:spacing w:before="31" w:line="240" w:lineRule="auto"/>
              <w:rPr>
                <w:rFonts w:ascii="Times New Roman"/>
                <w:snapToGrid w:val="0"/>
                <w:kern w:val="21"/>
                <w:szCs w:val="21"/>
              </w:rPr>
            </w:pPr>
            <w:r>
              <w:rPr>
                <w:rFonts w:ascii="Times New Roman"/>
                <w:szCs w:val="21"/>
              </w:rPr>
              <w:t>废气量</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570EA32">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DE6DA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77E0EA3">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9280022">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36B5677">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E39697F">
            <w:pPr>
              <w:pStyle w:val="32"/>
              <w:widowControl/>
              <w:spacing w:before="31" w:line="240" w:lineRule="auto"/>
              <w:rPr>
                <w:rFonts w:ascii="Times New Roman"/>
                <w:snapToGrid w:val="0"/>
                <w:kern w:val="21"/>
                <w:szCs w:val="21"/>
              </w:rPr>
            </w:pPr>
            <w:r>
              <w:rPr>
                <w:rFonts w:ascii="Times New Roman"/>
                <w:szCs w:val="21"/>
              </w:rPr>
              <w:t>0.26</w:t>
            </w:r>
            <w:r>
              <w:rPr>
                <w:rFonts w:hint="eastAsia" w:ascii="Times New Roman"/>
                <w:szCs w:val="21"/>
              </w:rPr>
              <w:t>×1</w:t>
            </w:r>
            <w:r>
              <w:rPr>
                <w:rFonts w:ascii="Times New Roman"/>
                <w:szCs w:val="21"/>
              </w:rPr>
              <w:t>0</w:t>
            </w:r>
            <w:r>
              <w:rPr>
                <w:rFonts w:ascii="Times New Roman"/>
                <w:szCs w:val="21"/>
                <w:vertAlign w:val="superscript"/>
              </w:rPr>
              <w:t>8</w:t>
            </w:r>
            <w:r>
              <w:rPr>
                <w:rFonts w:hint="eastAsia" w:ascii="Times New Roman"/>
                <w:szCs w:val="21"/>
              </w:rPr>
              <w:t>m</w:t>
            </w:r>
            <w:r>
              <w:rPr>
                <w:rFonts w:hint="eastAsia" w:ascii="Times New Roman"/>
                <w:szCs w:val="21"/>
                <w:vertAlign w:val="superscript"/>
              </w:rPr>
              <w:t>3</w:t>
            </w:r>
            <w:r>
              <w:rPr>
                <w:rFonts w:hint="eastAsia" w:ascii="Times New Roman"/>
                <w:szCs w:val="21"/>
              </w:rPr>
              <w:t>/a</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BB49300">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4BD20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26AC1215">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31B146B0">
            <w:pPr>
              <w:pStyle w:val="32"/>
              <w:widowControl/>
              <w:spacing w:before="31" w:line="240" w:lineRule="auto"/>
              <w:rPr>
                <w:rFonts w:ascii="Times New Roman"/>
                <w:snapToGrid w:val="0"/>
                <w:kern w:val="21"/>
                <w:szCs w:val="21"/>
              </w:rPr>
            </w:pPr>
            <w:r>
              <w:rPr>
                <w:rFonts w:hint="eastAsia" w:ascii="Times New Roman"/>
                <w:szCs w:val="21"/>
              </w:rPr>
              <w:t>颗粒物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B9C765F">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E96724">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9CB01E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3D4626">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0F16910">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AB0AD98">
            <w:pPr>
              <w:pStyle w:val="32"/>
              <w:widowControl/>
              <w:spacing w:before="31" w:line="240" w:lineRule="auto"/>
              <w:rPr>
                <w:rFonts w:ascii="Times New Roman"/>
                <w:snapToGrid w:val="0"/>
                <w:kern w:val="21"/>
                <w:szCs w:val="21"/>
              </w:rPr>
            </w:pPr>
            <w:r>
              <w:rPr>
                <w:rFonts w:ascii="Times New Roman"/>
                <w:szCs w:val="21"/>
              </w:rPr>
              <w:t>0.1170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FBDC3AE">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3FBDE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19952EDA">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3966D0DF">
            <w:pPr>
              <w:pStyle w:val="32"/>
              <w:widowControl/>
              <w:spacing w:before="31" w:line="240" w:lineRule="auto"/>
              <w:rPr>
                <w:rFonts w:ascii="Times New Roman"/>
                <w:snapToGrid w:val="0"/>
                <w:kern w:val="21"/>
                <w:szCs w:val="21"/>
              </w:rPr>
            </w:pPr>
            <w:r>
              <w:rPr>
                <w:rFonts w:ascii="Times New Roman"/>
                <w:szCs w:val="21"/>
              </w:rPr>
              <w:t>SO</w:t>
            </w:r>
            <w:r>
              <w:rPr>
                <w:rFonts w:ascii="Times New Roman"/>
                <w:szCs w:val="21"/>
                <w:vertAlign w:val="subscript"/>
              </w:rPr>
              <w:t>2</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C589C2A">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4C8D70">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C42C70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62E127D">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2474A83">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D5428CD">
            <w:pPr>
              <w:pStyle w:val="32"/>
              <w:widowControl/>
              <w:spacing w:before="31" w:line="240" w:lineRule="auto"/>
              <w:rPr>
                <w:rFonts w:ascii="Times New Roman"/>
                <w:snapToGrid w:val="0"/>
                <w:kern w:val="21"/>
                <w:szCs w:val="21"/>
              </w:rPr>
            </w:pPr>
            <w:r>
              <w:rPr>
                <w:rFonts w:ascii="Times New Roman"/>
                <w:szCs w:val="21"/>
              </w:rPr>
              <w:t>0.1840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6B851C1">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0260F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4F76E31D">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B4017F3">
            <w:pPr>
              <w:pStyle w:val="32"/>
              <w:widowControl/>
              <w:spacing w:before="31" w:line="240" w:lineRule="auto"/>
              <w:rPr>
                <w:rFonts w:ascii="Times New Roman"/>
                <w:snapToGrid w:val="0"/>
                <w:kern w:val="21"/>
                <w:szCs w:val="21"/>
              </w:rPr>
            </w:pPr>
            <w:r>
              <w:rPr>
                <w:rFonts w:ascii="Times New Roman"/>
                <w:szCs w:val="21"/>
              </w:rPr>
              <w:t>NOx</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301DEE6">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D59908">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F4130A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EB5C5E3">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CA82C73">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C9EE967">
            <w:pPr>
              <w:pStyle w:val="32"/>
              <w:widowControl/>
              <w:spacing w:before="31" w:line="240" w:lineRule="auto"/>
              <w:rPr>
                <w:rFonts w:ascii="Times New Roman"/>
                <w:snapToGrid w:val="0"/>
                <w:kern w:val="21"/>
                <w:szCs w:val="21"/>
              </w:rPr>
            </w:pPr>
            <w:r>
              <w:rPr>
                <w:rFonts w:ascii="Times New Roman"/>
                <w:szCs w:val="21"/>
              </w:rPr>
              <w:t>2.2129</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25E647D">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39A7C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42F4FB66">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81C5F1F">
            <w:pPr>
              <w:pStyle w:val="32"/>
              <w:widowControl/>
              <w:spacing w:before="31" w:line="240" w:lineRule="auto"/>
              <w:rPr>
                <w:rFonts w:ascii="Times New Roman"/>
                <w:snapToGrid w:val="0"/>
                <w:kern w:val="21"/>
                <w:szCs w:val="21"/>
              </w:rPr>
            </w:pPr>
            <w:r>
              <w:rPr>
                <w:rFonts w:hint="eastAsia" w:ascii="Times New Roman"/>
                <w:szCs w:val="21"/>
              </w:rPr>
              <w:t>H</w:t>
            </w:r>
            <w:r>
              <w:rPr>
                <w:rFonts w:ascii="Times New Roman"/>
                <w:szCs w:val="21"/>
                <w:vertAlign w:val="subscript"/>
              </w:rPr>
              <w:t>2</w:t>
            </w:r>
            <w:r>
              <w:rPr>
                <w:rFonts w:ascii="Times New Roman"/>
                <w:szCs w:val="21"/>
              </w:rPr>
              <w:t>S</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ED1C9A1">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D6342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0AAE866">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8FFEF01">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129767E">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DE32753">
            <w:pPr>
              <w:pStyle w:val="32"/>
              <w:widowControl/>
              <w:spacing w:before="31" w:line="240" w:lineRule="auto"/>
              <w:rPr>
                <w:rFonts w:ascii="Times New Roman"/>
                <w:snapToGrid w:val="0"/>
                <w:kern w:val="21"/>
                <w:szCs w:val="21"/>
              </w:rPr>
            </w:pPr>
            <w:r>
              <w:rPr>
                <w:rFonts w:ascii="Times New Roman"/>
                <w:szCs w:val="21"/>
              </w:rPr>
              <w:t>0.0315</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BF13F4A">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14A1F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76987F8E">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12EC5CA4">
            <w:pPr>
              <w:pStyle w:val="32"/>
              <w:widowControl/>
              <w:spacing w:before="31" w:line="240" w:lineRule="auto"/>
              <w:rPr>
                <w:rFonts w:ascii="Times New Roman"/>
                <w:snapToGrid w:val="0"/>
                <w:kern w:val="21"/>
                <w:szCs w:val="21"/>
              </w:rPr>
            </w:pPr>
            <w:r>
              <w:rPr>
                <w:rFonts w:hint="eastAsia" w:ascii="Times New Roman"/>
                <w:szCs w:val="21"/>
              </w:rPr>
              <w:t>N</w:t>
            </w:r>
            <w:r>
              <w:rPr>
                <w:rFonts w:ascii="Times New Roman"/>
                <w:szCs w:val="21"/>
              </w:rPr>
              <w:t>H</w:t>
            </w:r>
            <w:r>
              <w:rPr>
                <w:rFonts w:ascii="Times New Roman"/>
                <w:szCs w:val="21"/>
                <w:vertAlign w:val="subscript"/>
              </w:rPr>
              <w:t>3</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41869B9">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7F3267">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6F8121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E5BD23F">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C587BC8">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6FB6E45">
            <w:pPr>
              <w:pStyle w:val="32"/>
              <w:widowControl/>
              <w:spacing w:before="31" w:line="240" w:lineRule="auto"/>
              <w:rPr>
                <w:rFonts w:ascii="Times New Roman"/>
                <w:snapToGrid w:val="0"/>
                <w:kern w:val="21"/>
                <w:szCs w:val="21"/>
              </w:rPr>
            </w:pPr>
            <w:r>
              <w:rPr>
                <w:rFonts w:ascii="Times New Roman"/>
                <w:szCs w:val="21"/>
              </w:rPr>
              <w:t>1.49×10</w:t>
            </w:r>
            <w:r>
              <w:rPr>
                <w:rFonts w:ascii="Times New Roman"/>
                <w:szCs w:val="21"/>
                <w:vertAlign w:val="superscript"/>
              </w:rPr>
              <w:t>-4</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BB95E1E">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06097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8379CA">
            <w:pPr>
              <w:pStyle w:val="32"/>
              <w:widowControl/>
              <w:spacing w:before="31" w:line="240" w:lineRule="auto"/>
              <w:rPr>
                <w:rFonts w:ascii="Times New Roman"/>
                <w:kern w:val="21"/>
                <w:szCs w:val="21"/>
              </w:rPr>
            </w:pPr>
            <w:r>
              <w:rPr>
                <w:rFonts w:ascii="Times New Roman"/>
                <w:snapToGrid w:val="0"/>
                <w:kern w:val="21"/>
                <w:szCs w:val="21"/>
              </w:rPr>
              <w:t>废水</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20805B5A">
            <w:pPr>
              <w:pStyle w:val="32"/>
              <w:widowControl/>
              <w:spacing w:beforeLines="0" w:line="240" w:lineRule="auto"/>
              <w:rPr>
                <w:rFonts w:ascii="Times New Roman"/>
                <w:snapToGrid w:val="0"/>
                <w:kern w:val="21"/>
                <w:szCs w:val="21"/>
              </w:rPr>
            </w:pPr>
            <w:r>
              <w:rPr>
                <w:rFonts w:hint="eastAsia" w:ascii="Times New Roman"/>
                <w:snapToGrid w:val="0"/>
                <w:kern w:val="21"/>
                <w:szCs w:val="21"/>
              </w:rPr>
              <w:t>水量</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28BA0AD">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1D6F79">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DBEA44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C2FE66">
            <w:pPr>
              <w:widowControl/>
              <w:jc w:val="center"/>
              <w:textAlignment w:val="center"/>
              <w:rPr>
                <w:rFonts w:ascii="Times New Roman" w:eastAsia="宋体"/>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526C0FB">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A444097">
            <w:pPr>
              <w:widowControl/>
              <w:jc w:val="center"/>
              <w:textAlignment w:val="center"/>
              <w:rPr>
                <w:rFonts w:ascii="Times New Roman" w:hAnsi="Times New Roman" w:eastAsia="宋体" w:cs="Times New Roman"/>
                <w:kern w:val="0"/>
                <w:szCs w:val="21"/>
                <w:lang w:bidi="ar"/>
              </w:rPr>
            </w:pPr>
            <w:r>
              <w:rPr>
                <w:rFonts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4476283">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5A793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F407DBC">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EBF7B6B">
            <w:pPr>
              <w:pStyle w:val="32"/>
              <w:widowControl/>
              <w:spacing w:beforeLines="0" w:line="240" w:lineRule="auto"/>
              <w:rPr>
                <w:rFonts w:ascii="Times New Roman"/>
                <w:snapToGrid w:val="0"/>
                <w:kern w:val="21"/>
                <w:szCs w:val="21"/>
              </w:rPr>
            </w:pPr>
            <w:r>
              <w:rPr>
                <w:rFonts w:ascii="Times New Roman"/>
              </w:rPr>
              <w:t>COD</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D4DDA9A">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F95BE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D3C8119">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0C2F0FD">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0A5AA0E">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BF680B9">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D5AC552">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4BB6F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08142FF">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B1AD551">
            <w:pPr>
              <w:pStyle w:val="32"/>
              <w:widowControl/>
              <w:spacing w:beforeLines="0" w:line="240" w:lineRule="auto"/>
              <w:rPr>
                <w:rFonts w:ascii="Times New Roman"/>
                <w:snapToGrid w:val="0"/>
                <w:kern w:val="21"/>
                <w:szCs w:val="21"/>
              </w:rPr>
            </w:pPr>
            <w:r>
              <w:rPr>
                <w:rFonts w:ascii="Times New Roman"/>
              </w:rPr>
              <w:t>BOD</w:t>
            </w:r>
            <w:r>
              <w:rPr>
                <w:rFonts w:ascii="Times New Roman"/>
                <w:vertAlign w:val="subscript"/>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FC13F05">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9C1AD5">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9CB293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F5E1BE0">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3698D54">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82E8F8A">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6715B7DB">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41D6A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17A0BE0">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9C3142B">
            <w:pPr>
              <w:pStyle w:val="32"/>
              <w:widowControl/>
              <w:spacing w:beforeLines="0" w:line="240" w:lineRule="auto"/>
              <w:rPr>
                <w:rFonts w:ascii="Times New Roman"/>
                <w:snapToGrid w:val="0"/>
                <w:kern w:val="21"/>
                <w:szCs w:val="21"/>
              </w:rPr>
            </w:pPr>
            <w:r>
              <w:rPr>
                <w:rFonts w:hint="eastAsia" w:ascii="Times New Roman"/>
              </w:rPr>
              <w:t>S</w:t>
            </w:r>
            <w:r>
              <w:rPr>
                <w:rFonts w:ascii="Times New Roman"/>
              </w:rPr>
              <w:t>S</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E707D76">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4049B5">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DE06DAE">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8B64FE">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16C0539">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715104F7">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BDE7138">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76195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486759A">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1C3580C1">
            <w:pPr>
              <w:pStyle w:val="32"/>
              <w:widowControl/>
              <w:spacing w:beforeLines="0" w:line="240" w:lineRule="auto"/>
              <w:rPr>
                <w:rFonts w:ascii="Times New Roman"/>
                <w:snapToGrid w:val="0"/>
                <w:kern w:val="21"/>
                <w:szCs w:val="21"/>
              </w:rPr>
            </w:pPr>
            <w:r>
              <w:rPr>
                <w:rFonts w:hint="eastAsia" w:ascii="Times New Roman"/>
              </w:rPr>
              <w:t>氨氮</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B13A641">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E8D7AD">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66A42F1">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E1D65F8">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7D2F21E">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BC83700">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7DB9993">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6D665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B4F1BDA">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613D1F1">
            <w:pPr>
              <w:pStyle w:val="32"/>
              <w:widowControl/>
              <w:spacing w:beforeLines="0" w:line="240" w:lineRule="auto"/>
              <w:rPr>
                <w:rFonts w:ascii="Times New Roman"/>
              </w:rPr>
            </w:pPr>
            <w:r>
              <w:rPr>
                <w:rFonts w:hint="eastAsia" w:ascii="Times New Roman"/>
              </w:rPr>
              <w:t>总磷</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C7CB8E8">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432291">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C17325E">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C152F54">
            <w:pPr>
              <w:widowControl/>
              <w:jc w:val="center"/>
              <w:textAlignment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A6A88E7">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D9BDE35">
            <w:pPr>
              <w:widowControl/>
              <w:jc w:val="center"/>
              <w:textAlignment w:val="center"/>
              <w:rPr>
                <w:rFonts w:ascii="Times New Roman" w:hAnsi="Times New Roman" w:cs="Times New Roman"/>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3105CFA6">
            <w:pPr>
              <w:widowControl/>
              <w:jc w:val="center"/>
              <w:textAlignment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r>
      <w:tr w14:paraId="22EB9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F8F41FB">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5D0B922">
            <w:pPr>
              <w:pStyle w:val="32"/>
              <w:widowControl/>
              <w:spacing w:beforeLines="0" w:line="240" w:lineRule="auto"/>
              <w:rPr>
                <w:rFonts w:ascii="Times New Roman"/>
                <w:snapToGrid w:val="0"/>
                <w:kern w:val="21"/>
                <w:szCs w:val="21"/>
              </w:rPr>
            </w:pPr>
            <w:r>
              <w:rPr>
                <w:rFonts w:hint="eastAsia" w:ascii="Times New Roman"/>
                <w:snapToGrid w:val="0"/>
                <w:kern w:val="21"/>
                <w:szCs w:val="21"/>
              </w:rPr>
              <w:t>动植物油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7FC44B2">
            <w:pPr>
              <w:pStyle w:val="32"/>
              <w:widowControl/>
              <w:spacing w:beforeLines="0" w:line="240" w:lineRule="auto"/>
              <w:rPr>
                <w:rFonts w:ascii="Times New Roman"/>
                <w:snapToGrid w:val="0"/>
                <w:kern w:val="21"/>
                <w:szCs w:val="21"/>
              </w:rPr>
            </w:pPr>
            <w:r>
              <w:rPr>
                <w:rFonts w:ascii="Times New Roman"/>
                <w:snapToGrid w:val="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A4F06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DC83E3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645429A">
            <w:pPr>
              <w:widowControl/>
              <w:jc w:val="center"/>
              <w:textAlignment w:val="center"/>
              <w:rPr>
                <w:rFonts w:ascii="Times New Roman" w:hAnsi="Times New Roman"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2B9EBD2">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5D2B0A8">
            <w:pPr>
              <w:widowControl/>
              <w:jc w:val="center"/>
              <w:textAlignment w:val="center"/>
              <w:rPr>
                <w:rFonts w:ascii="Times New Roman" w:hAnsi="Times New Roman" w:eastAsia="宋体" w:cs="Times New Roman"/>
                <w:kern w:val="0"/>
                <w:szCs w:val="21"/>
                <w:lang w:bidi="ar"/>
              </w:rPr>
            </w:pPr>
            <w:r>
              <w:rPr>
                <w:rFonts w:hint="eastAsia" w:ascii="Times New Roman" w:hAnsi="Times New Roman" w:cs="Times New Roman"/>
              </w:rPr>
              <w:t>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78DC3787">
            <w:pPr>
              <w:widowControl/>
              <w:jc w:val="center"/>
              <w:textAlignment w:val="center"/>
              <w:rPr>
                <w:rFonts w:ascii="Times New Roman" w:hAnsi="Times New Roman" w:eastAsia="宋体" w:cs="Times New Roman"/>
                <w:kern w:val="0"/>
                <w:szCs w:val="21"/>
                <w:lang w:bidi="ar"/>
              </w:rPr>
            </w:pPr>
            <w:r>
              <w:rPr>
                <w:rFonts w:ascii="Times New Roman" w:hAnsi="Times New Roman" w:eastAsia="宋体" w:cs="Times New Roman"/>
                <w:snapToGrid w:val="0"/>
                <w:kern w:val="21"/>
                <w:szCs w:val="21"/>
              </w:rPr>
              <w:t>—</w:t>
            </w:r>
          </w:p>
        </w:tc>
      </w:tr>
      <w:tr w14:paraId="4FA73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right w:val="single" w:color="auto" w:sz="4" w:space="0"/>
            </w:tcBorders>
            <w:shd w:val="clear" w:color="auto" w:fill="auto"/>
            <w:vAlign w:val="center"/>
          </w:tcPr>
          <w:p w14:paraId="5E9E952F">
            <w:pPr>
              <w:pStyle w:val="32"/>
              <w:widowControl/>
              <w:spacing w:before="31" w:line="240" w:lineRule="auto"/>
              <w:rPr>
                <w:rFonts w:ascii="Times New Roman"/>
                <w:kern w:val="21"/>
                <w:szCs w:val="21"/>
              </w:rPr>
            </w:pPr>
            <w:r>
              <w:rPr>
                <w:rFonts w:ascii="Times New Roman"/>
                <w:snapToGrid w:val="0"/>
                <w:kern w:val="21"/>
                <w:szCs w:val="21"/>
              </w:rPr>
              <w:t>一般工业</w:t>
            </w:r>
          </w:p>
          <w:p w14:paraId="7BDE21D7">
            <w:pPr>
              <w:pStyle w:val="32"/>
              <w:spacing w:before="31" w:line="240" w:lineRule="auto"/>
              <w:rPr>
                <w:rFonts w:ascii="Times New Roman"/>
                <w:snapToGrid w:val="0"/>
                <w:kern w:val="21"/>
                <w:szCs w:val="21"/>
              </w:rPr>
            </w:pPr>
            <w:r>
              <w:rPr>
                <w:rFonts w:ascii="Times New Roman"/>
                <w:snapToGrid w:val="0"/>
                <w:kern w:val="21"/>
                <w:szCs w:val="21"/>
              </w:rPr>
              <w:t>固体废物</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726C80C5">
            <w:pPr>
              <w:widowControl/>
              <w:jc w:val="center"/>
              <w:textAlignment w:val="center"/>
              <w:rPr>
                <w:rFonts w:ascii="Times New Roman"/>
                <w:snapToGrid w:val="0"/>
                <w:kern w:val="21"/>
                <w:szCs w:val="21"/>
              </w:rPr>
            </w:pPr>
            <w:r>
              <w:rPr>
                <w:rFonts w:ascii="Times New Roman" w:hAnsi="Times New Roman" w:cs="Times New Roman"/>
              </w:rPr>
              <w:t>废油脂</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DB16EE8">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884276">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1349EF0">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B0FB43A">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FF1DA7F">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67C72D3">
            <w:pPr>
              <w:pStyle w:val="32"/>
              <w:widowControl/>
              <w:spacing w:before="31" w:line="240" w:lineRule="auto"/>
              <w:rPr>
                <w:rFonts w:ascii="Times New Roman"/>
                <w:szCs w:val="21"/>
              </w:rPr>
            </w:pPr>
            <w:r>
              <w:rPr>
                <w:rFonts w:hint="eastAsia" w:ascii="Times New Roman"/>
                <w:bCs/>
                <w:szCs w:val="21"/>
              </w:rPr>
              <w:t>0</w:t>
            </w:r>
            <w:r>
              <w:rPr>
                <w:rFonts w:ascii="Times New Roman"/>
                <w:bCs/>
                <w:szCs w:val="21"/>
              </w:rPr>
              <w:t>.05</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402BA06">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1AF9E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9AA8CA4">
            <w:pPr>
              <w:pStyle w:val="32"/>
              <w:widowControl/>
              <w:spacing w:before="31" w:line="240" w:lineRule="auto"/>
              <w:rPr>
                <w:rFonts w:ascii="Times New Roman"/>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57747321">
            <w:pPr>
              <w:widowControl/>
              <w:jc w:val="center"/>
              <w:textAlignment w:val="center"/>
              <w:rPr>
                <w:rFonts w:ascii="Times New Roman"/>
                <w:snapToGrid w:val="0"/>
                <w:kern w:val="21"/>
                <w:szCs w:val="21"/>
              </w:rPr>
            </w:pPr>
            <w:r>
              <w:rPr>
                <w:rFonts w:ascii="Times New Roman" w:hAnsi="Times New Roman" w:cs="Times New Roman"/>
              </w:rPr>
              <w:t>泔水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532F934">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5BE5A6">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BD2B819">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DD9C868">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1FFD6B4">
            <w:pPr>
              <w:pStyle w:val="32"/>
              <w:widowControl/>
              <w:spacing w:before="31" w:line="240" w:lineRule="auto"/>
              <w:rPr>
                <w:rFonts w:ascii="Times New Roman"/>
                <w:snapToGrid w:val="0"/>
                <w:kern w:val="21"/>
                <w:szCs w:val="21"/>
              </w:rPr>
            </w:pPr>
            <w:r>
              <w:rPr>
                <w:rFonts w:ascii="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95B33C7">
            <w:pPr>
              <w:pStyle w:val="32"/>
              <w:widowControl/>
              <w:spacing w:before="31" w:line="240" w:lineRule="auto"/>
              <w:rPr>
                <w:rFonts w:ascii="Times New Roman"/>
                <w:szCs w:val="21"/>
              </w:rPr>
            </w:pPr>
            <w:r>
              <w:rPr>
                <w:rFonts w:hint="eastAsia" w:ascii="Times New Roman"/>
              </w:rPr>
              <w:t>1</w:t>
            </w:r>
            <w:r>
              <w:rPr>
                <w:rFonts w:ascii="Times New Roman"/>
              </w:rPr>
              <w:t>.62</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478FEA9">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465EE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7A854AA9">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025F6BC0">
            <w:pPr>
              <w:widowControl/>
              <w:jc w:val="center"/>
              <w:textAlignment w:val="center"/>
              <w:rPr>
                <w:rFonts w:ascii="Times New Roman"/>
                <w:snapToGrid w:val="0"/>
                <w:kern w:val="21"/>
                <w:szCs w:val="21"/>
              </w:rPr>
            </w:pPr>
            <w:r>
              <w:rPr>
                <w:rFonts w:ascii="Times New Roman" w:hAnsi="Times New Roman" w:cs="Times New Roman"/>
              </w:rPr>
              <w:t>生活垃圾</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148AC0C">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FCB3F0">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CC5B45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6821202">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326019F">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B1C0CF9">
            <w:pPr>
              <w:pStyle w:val="32"/>
              <w:widowControl/>
              <w:spacing w:before="31" w:line="240" w:lineRule="auto"/>
              <w:rPr>
                <w:rFonts w:ascii="Times New Roman"/>
                <w:szCs w:val="21"/>
              </w:rPr>
            </w:pPr>
            <w:r>
              <w:rPr>
                <w:rFonts w:hint="eastAsia" w:ascii="Times New Roman"/>
              </w:rPr>
              <w:t>4</w:t>
            </w:r>
            <w:r>
              <w:rPr>
                <w:rFonts w:ascii="Times New Roman"/>
              </w:rPr>
              <w:t>.05</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03D9EC16">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0E314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FD73A86">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CEF882A">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bCs/>
                <w:szCs w:val="21"/>
              </w:rPr>
              <w:t>沉渣</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67D6744">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F5D68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65C7B8E">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76A9C49">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CCEE279">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04E41C3">
            <w:pPr>
              <w:pStyle w:val="32"/>
              <w:widowControl/>
              <w:spacing w:before="31" w:line="240" w:lineRule="auto"/>
              <w:rPr>
                <w:rFonts w:ascii="Times New Roman"/>
                <w:szCs w:val="21"/>
              </w:rPr>
            </w:pPr>
            <w:r>
              <w:rPr>
                <w:rFonts w:ascii="Times New Roman"/>
              </w:rPr>
              <w:t>3.13</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A2C0FDE">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752D6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27412AC">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0B410041">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rPr>
              <w:t>废活性炭</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1DA1AE4">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989241">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5CDDFFC">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D0372D7">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3F2E7B5">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74A21409">
            <w:pPr>
              <w:pStyle w:val="32"/>
              <w:widowControl/>
              <w:spacing w:before="31" w:line="240" w:lineRule="auto"/>
              <w:rPr>
                <w:rFonts w:ascii="Times New Roman"/>
                <w:szCs w:val="21"/>
              </w:rPr>
            </w:pPr>
            <w:r>
              <w:rPr>
                <w:rFonts w:hint="eastAsia" w:ascii="Times New Roman"/>
              </w:rPr>
              <w:t>1</w:t>
            </w:r>
            <w:r>
              <w:rPr>
                <w:rFonts w:ascii="Times New Roman"/>
              </w:rPr>
              <w:t>.20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4616EB1D">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489EB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08D5ABC">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A9F0811">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bCs/>
                <w:szCs w:val="21"/>
              </w:rPr>
              <w:t>废包装袋</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ECCA301">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436696">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C8C5FE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59819F4">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CEE4E96">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BC0D085">
            <w:pPr>
              <w:pStyle w:val="32"/>
              <w:widowControl/>
              <w:spacing w:before="31" w:line="240" w:lineRule="auto"/>
              <w:rPr>
                <w:rFonts w:ascii="Times New Roman"/>
                <w:szCs w:val="21"/>
              </w:rPr>
            </w:pPr>
            <w:r>
              <w:rPr>
                <w:rFonts w:hint="eastAsia" w:ascii="Times New Roman"/>
              </w:rPr>
              <w:t>0</w:t>
            </w:r>
            <w:r>
              <w:rPr>
                <w:rFonts w:ascii="Times New Roman"/>
              </w:rPr>
              <w:t>.10</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22B207D4">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0803B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66009C64">
            <w:pPr>
              <w:jc w:val="center"/>
              <w:rPr>
                <w:rFonts w:ascii="Times New Roman" w:hAnsi="Times New Roman" w:eastAsia="宋体" w:cs="Times New Roman"/>
                <w:sz w:val="20"/>
                <w:szCs w:val="20"/>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4409D2F8">
            <w:pPr>
              <w:widowControl/>
              <w:jc w:val="center"/>
              <w:textAlignment w:val="center"/>
              <w:rPr>
                <w:rFonts w:ascii="Times New Roman" w:hAnsi="Times New Roman" w:cs="Times New Roman"/>
                <w:snapToGrid w:val="0"/>
                <w:kern w:val="21"/>
                <w:szCs w:val="21"/>
              </w:rPr>
            </w:pPr>
            <w:r>
              <w:rPr>
                <w:rFonts w:hint="eastAsia" w:ascii="Times New Roman" w:hAnsi="Times New Roman" w:cs="Times New Roman"/>
                <w:bCs/>
                <w:szCs w:val="21"/>
              </w:rPr>
              <w:t>炉渣</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B285570">
            <w:pPr>
              <w:widowControl/>
              <w:jc w:val="center"/>
              <w:textAlignment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35D7F8">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EAD7BAB">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84B27BC">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5F608D1">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BF66C48">
            <w:pPr>
              <w:pStyle w:val="32"/>
              <w:widowControl/>
              <w:spacing w:before="31" w:line="240" w:lineRule="auto"/>
              <w:rPr>
                <w:rFonts w:ascii="Times New Roman"/>
                <w:szCs w:val="21"/>
              </w:rPr>
            </w:pPr>
            <w:r>
              <w:rPr>
                <w:rFonts w:hint="eastAsia" w:ascii="Times New Roman"/>
              </w:rPr>
              <w:t>2</w:t>
            </w:r>
            <w:r>
              <w:rPr>
                <w:rFonts w:ascii="Times New Roman"/>
              </w:rPr>
              <w:t>9.52</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5B9DA5AC">
            <w:pPr>
              <w:adjustRightInd w:val="0"/>
              <w:jc w:val="center"/>
              <w:rPr>
                <w:rFonts w:ascii="Times New Roman" w:hAnsi="Times New Roman" w:eastAsia="宋体" w:cs="Times New Roman"/>
                <w:bCs/>
                <w:szCs w:val="21"/>
              </w:rPr>
            </w:pPr>
            <w:r>
              <w:rPr>
                <w:rFonts w:ascii="Times New Roman" w:hAnsi="Times New Roman" w:eastAsia="宋体" w:cs="Times New Roman"/>
                <w:snapToGrid w:val="0"/>
                <w:kern w:val="21"/>
                <w:szCs w:val="21"/>
              </w:rPr>
              <w:t>—</w:t>
            </w:r>
          </w:p>
        </w:tc>
      </w:tr>
      <w:tr w14:paraId="4181B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restart"/>
            <w:tcBorders>
              <w:top w:val="single" w:color="auto" w:sz="4" w:space="0"/>
              <w:left w:val="single" w:color="auto" w:sz="8" w:space="0"/>
              <w:right w:val="single" w:color="auto" w:sz="4" w:space="0"/>
            </w:tcBorders>
            <w:shd w:val="clear" w:color="auto" w:fill="auto"/>
            <w:vAlign w:val="center"/>
          </w:tcPr>
          <w:p w14:paraId="79732923">
            <w:pPr>
              <w:pStyle w:val="32"/>
              <w:widowControl/>
              <w:spacing w:before="31" w:line="240" w:lineRule="auto"/>
              <w:rPr>
                <w:rFonts w:ascii="Times New Roman"/>
                <w:kern w:val="21"/>
                <w:szCs w:val="21"/>
              </w:rPr>
            </w:pPr>
            <w:r>
              <w:rPr>
                <w:rFonts w:ascii="Times New Roman"/>
                <w:snapToGrid w:val="0"/>
                <w:kern w:val="21"/>
                <w:szCs w:val="21"/>
              </w:rPr>
              <w:t>危险废物</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7D25BF53">
            <w:pPr>
              <w:adjustRightInd w:val="0"/>
              <w:jc w:val="center"/>
              <w:rPr>
                <w:rFonts w:ascii="Times New Roman" w:hAnsi="Times New Roman" w:eastAsia="宋体" w:cs="Times New Roman"/>
                <w:snapToGrid w:val="0"/>
                <w:kern w:val="21"/>
                <w:szCs w:val="21"/>
              </w:rPr>
            </w:pPr>
            <w:r>
              <w:rPr>
                <w:rFonts w:hint="eastAsia" w:ascii="Times New Roman" w:hAnsi="Times New Roman" w:cs="Times New Roman"/>
                <w:bCs/>
                <w:szCs w:val="21"/>
              </w:rPr>
              <w:t>污泥</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FE14E5C">
            <w:pPr>
              <w:adjustRightInd w:val="0"/>
              <w:jc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DECE07">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D1A02D4">
            <w:pPr>
              <w:widowControl/>
              <w:spacing w:before="31"/>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126F1BA">
            <w:pPr>
              <w:adjustRightInd w:val="0"/>
              <w:jc w:val="center"/>
              <w:rPr>
                <w:rFonts w:ascii="Times New Roman" w:hAnsi="Times New Roman" w:eastAsia="宋体" w:cs="Times New Roman"/>
                <w:snapToGrid w:val="0"/>
                <w:kern w:val="21"/>
                <w:szCs w:val="21"/>
              </w:rPr>
            </w:pPr>
            <w:r>
              <w:rPr>
                <w:rFonts w:ascii="Times New Roman" w:hAnsi="Times New Roman" w:eastAsia="宋体" w:cs="Times New Roman"/>
                <w:snapToGrid w:val="0"/>
                <w:kern w:val="21"/>
                <w:szCs w:val="21"/>
              </w:rPr>
              <w:t>—</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A1F7019">
            <w:pPr>
              <w:widowControl/>
              <w:spacing w:before="31"/>
              <w:jc w:val="center"/>
              <w:rPr>
                <w:rFonts w:ascii="Times New Roman"/>
                <w:snapToGrid w:val="0"/>
                <w:kern w:val="21"/>
                <w:szCs w:val="21"/>
              </w:rPr>
            </w:pPr>
            <w:r>
              <w:rPr>
                <w:rFonts w:ascii="Times New Roman" w:hAnsi="Times New Roman" w:eastAsia="宋体" w:cs="Times New Roman"/>
                <w:snapToGrid w:val="0"/>
                <w:kern w:val="21"/>
                <w:szCs w:val="21"/>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1F410B9">
            <w:pPr>
              <w:adjustRightInd w:val="0"/>
              <w:jc w:val="center"/>
              <w:rPr>
                <w:rFonts w:ascii="Times New Roman" w:hAnsi="Times New Roman" w:eastAsia="宋体" w:cs="Times New Roman"/>
                <w:snapToGrid w:val="0"/>
                <w:kern w:val="21"/>
                <w:szCs w:val="21"/>
              </w:rPr>
            </w:pPr>
            <w:r>
              <w:rPr>
                <w:rFonts w:hint="eastAsia" w:ascii="Times New Roman" w:hAnsi="Times New Roman" w:cs="Times New Roman"/>
              </w:rPr>
              <w:t>0</w:t>
            </w:r>
            <w:r>
              <w:rPr>
                <w:rFonts w:ascii="Times New Roman" w:hAnsi="Times New Roman" w:cs="Times New Roman"/>
              </w:rPr>
              <w:t>.59</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357B3A0D">
            <w:pPr>
              <w:pStyle w:val="32"/>
              <w:widowControl/>
              <w:spacing w:before="31" w:line="240" w:lineRule="auto"/>
              <w:rPr>
                <w:rFonts w:ascii="Times New Roman"/>
                <w:snapToGrid w:val="0"/>
                <w:kern w:val="21"/>
                <w:szCs w:val="21"/>
              </w:rPr>
            </w:pPr>
            <w:r>
              <w:rPr>
                <w:rFonts w:ascii="Times New Roman"/>
                <w:snapToGrid w:val="0"/>
                <w:kern w:val="21"/>
                <w:szCs w:val="21"/>
              </w:rPr>
              <w:t>—</w:t>
            </w:r>
          </w:p>
        </w:tc>
      </w:tr>
      <w:tr w14:paraId="7F76E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1" w:type="dxa"/>
            <w:vMerge w:val="continue"/>
            <w:tcBorders>
              <w:left w:val="single" w:color="auto" w:sz="8" w:space="0"/>
              <w:right w:val="single" w:color="auto" w:sz="4" w:space="0"/>
            </w:tcBorders>
            <w:shd w:val="clear" w:color="auto" w:fill="auto"/>
            <w:vAlign w:val="center"/>
          </w:tcPr>
          <w:p w14:paraId="1F50B506">
            <w:pPr>
              <w:pStyle w:val="32"/>
              <w:widowControl/>
              <w:spacing w:before="31" w:line="240" w:lineRule="auto"/>
              <w:rPr>
                <w:rFonts w:ascii="Times New Roman"/>
                <w:snapToGrid w:val="0"/>
                <w:kern w:val="21"/>
                <w:szCs w:val="21"/>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14:paraId="38972184">
            <w:pPr>
              <w:adjustRightInd w:val="0"/>
              <w:jc w:val="center"/>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机修废物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80D4E21">
            <w:pPr>
              <w:adjustRightInd w:val="0"/>
              <w:jc w:val="center"/>
              <w:rPr>
                <w:rFonts w:ascii="Times New Roman" w:hAnsi="Times New Roman" w:eastAsia="宋体" w:cs="Times New Roman"/>
                <w:snapToGrid w:val="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170A05">
            <w:pPr>
              <w:widowControl/>
              <w:spacing w:before="31"/>
              <w:jc w:val="center"/>
              <w:rPr>
                <w:rFonts w:ascii="Times New Roman" w:hAnsi="Times New Roman" w:eastAsia="宋体" w:cs="Times New Roman"/>
                <w:snapToGrid w:val="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0EB57AE">
            <w:pPr>
              <w:widowControl/>
              <w:spacing w:before="31"/>
              <w:jc w:val="center"/>
              <w:rPr>
                <w:rFonts w:ascii="Times New Roman" w:hAnsi="Times New Roman" w:eastAsia="宋体" w:cs="Times New Roman"/>
                <w:snapToGrid w:val="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3016621">
            <w:pPr>
              <w:adjustRightInd w:val="0"/>
              <w:jc w:val="center"/>
              <w:rPr>
                <w:rFonts w:ascii="Times New Roman" w:hAnsi="Times New Roman" w:eastAsia="宋体" w:cs="Times New Roman"/>
                <w:snapToGrid w:val="0"/>
                <w:kern w:val="21"/>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BC260D9">
            <w:pPr>
              <w:widowControl/>
              <w:spacing w:before="31"/>
              <w:jc w:val="center"/>
              <w:rPr>
                <w:rFonts w:ascii="Times New Roman" w:hAnsi="Times New Roman" w:eastAsia="宋体" w:cs="Times New Roman"/>
                <w:snapToGrid w:val="0"/>
                <w:kern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ACB0F8A">
            <w:pPr>
              <w:adjustRightInd w:val="0"/>
              <w:jc w:val="center"/>
              <w:rPr>
                <w:rFonts w:ascii="Times New Roman" w:hAnsi="Times New Roman" w:eastAsia="宋体" w:cs="Times New Roman"/>
                <w:snapToGrid w:val="0"/>
                <w:kern w:val="21"/>
                <w:szCs w:val="21"/>
              </w:rPr>
            </w:pPr>
            <w:r>
              <w:rPr>
                <w:rFonts w:hint="eastAsia" w:ascii="Times New Roman" w:hAnsi="Times New Roman" w:cs="Times New Roman"/>
              </w:rPr>
              <w:t>0</w:t>
            </w:r>
            <w:r>
              <w:rPr>
                <w:rFonts w:ascii="Times New Roman" w:hAnsi="Times New Roman" w:cs="Times New Roman"/>
              </w:rPr>
              <w:t>.31</w:t>
            </w:r>
          </w:p>
        </w:tc>
        <w:tc>
          <w:tcPr>
            <w:tcW w:w="1135" w:type="dxa"/>
            <w:tcBorders>
              <w:top w:val="single" w:color="auto" w:sz="4" w:space="0"/>
              <w:left w:val="single" w:color="auto" w:sz="4" w:space="0"/>
              <w:bottom w:val="single" w:color="auto" w:sz="4" w:space="0"/>
              <w:right w:val="single" w:color="auto" w:sz="8" w:space="0"/>
            </w:tcBorders>
            <w:shd w:val="clear" w:color="auto" w:fill="auto"/>
            <w:vAlign w:val="center"/>
          </w:tcPr>
          <w:p w14:paraId="1F9678D9">
            <w:pPr>
              <w:pStyle w:val="32"/>
              <w:widowControl/>
              <w:spacing w:before="31" w:line="240" w:lineRule="auto"/>
              <w:rPr>
                <w:rFonts w:ascii="Times New Roman"/>
                <w:snapToGrid w:val="0"/>
                <w:kern w:val="21"/>
                <w:szCs w:val="21"/>
              </w:rPr>
            </w:pPr>
          </w:p>
        </w:tc>
      </w:tr>
    </w:tbl>
    <w:p w14:paraId="35DA1192">
      <w:pPr>
        <w:pStyle w:val="32"/>
        <w:widowControl/>
        <w:spacing w:beforeLines="0" w:line="240" w:lineRule="auto"/>
        <w:jc w:val="left"/>
      </w:pPr>
      <w:bookmarkStart w:id="87" w:name="_Toc30116_WPSOffice_Level1"/>
      <w:bookmarkStart w:id="88" w:name="_Toc15332_WPSOffice_Level1"/>
      <w:bookmarkStart w:id="89" w:name="_Toc31124"/>
      <w:r>
        <w:rPr>
          <w:rFonts w:hAnsi="宋体"/>
          <w:snapToGrid w:val="0"/>
          <w:kern w:val="21"/>
          <w:szCs w:val="21"/>
        </w:rPr>
        <w:t>注：</w:t>
      </w:r>
      <w:r>
        <w:rPr>
          <w:rFonts w:hAnsi="宋体"/>
          <w:kern w:val="21"/>
          <w:szCs w:val="21"/>
        </w:rPr>
        <w:fldChar w:fldCharType="begin"/>
      </w:r>
      <w:r>
        <w:rPr>
          <w:rFonts w:hAnsi="宋体"/>
          <w:snapToGrid w:val="0"/>
          <w:kern w:val="21"/>
          <w:szCs w:val="21"/>
        </w:rPr>
        <w:instrText xml:space="preserve"> = 6 \* GB3 \*</w:instrText>
      </w:r>
      <w:bookmarkEnd w:id="87"/>
      <w:bookmarkEnd w:id="88"/>
      <w:r>
        <w:rPr>
          <w:rFonts w:hAnsi="宋体"/>
          <w:snapToGrid w:val="0"/>
          <w:kern w:val="21"/>
          <w:szCs w:val="21"/>
        </w:rPr>
        <w:instrText xml:space="preserve"> MERGEFORMAT </w:instrText>
      </w:r>
      <w:r>
        <w:rPr>
          <w:rFonts w:hAnsi="宋体"/>
          <w:kern w:val="21"/>
          <w:szCs w:val="21"/>
        </w:rPr>
        <w:fldChar w:fldCharType="separate"/>
      </w:r>
      <w:r>
        <w:rPr>
          <w:rFonts w:hAnsi="宋体"/>
          <w:szCs w:val="21"/>
        </w:rPr>
        <w:t>⑥</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1 \* GB3 \* MERGEFORMAT </w:instrText>
      </w:r>
      <w:r>
        <w:rPr>
          <w:rFonts w:hAnsi="宋体"/>
          <w:kern w:val="21"/>
          <w:szCs w:val="21"/>
        </w:rPr>
        <w:fldChar w:fldCharType="separate"/>
      </w:r>
      <w:r>
        <w:rPr>
          <w:rFonts w:hAnsi="宋体"/>
          <w:szCs w:val="21"/>
        </w:rPr>
        <w:t>①</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3 \* GB3 \* MERGEFORMAT </w:instrText>
      </w:r>
      <w:r>
        <w:rPr>
          <w:rFonts w:hAnsi="宋体"/>
          <w:kern w:val="21"/>
          <w:szCs w:val="21"/>
        </w:rPr>
        <w:fldChar w:fldCharType="separate"/>
      </w:r>
      <w:r>
        <w:rPr>
          <w:rFonts w:hAnsi="宋体"/>
          <w:szCs w:val="21"/>
        </w:rPr>
        <w:t>③</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4 \* GB3 \* MERGEFORMAT </w:instrText>
      </w:r>
      <w:r>
        <w:rPr>
          <w:rFonts w:hAnsi="宋体"/>
          <w:kern w:val="21"/>
          <w:szCs w:val="21"/>
        </w:rPr>
        <w:fldChar w:fldCharType="separate"/>
      </w:r>
      <w:r>
        <w:rPr>
          <w:rFonts w:hAnsi="宋体"/>
          <w:szCs w:val="21"/>
        </w:rPr>
        <w:t>④</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5 \* GB3 \* MERGEFORMAT </w:instrText>
      </w:r>
      <w:r>
        <w:rPr>
          <w:rFonts w:hAnsi="宋体"/>
          <w:kern w:val="21"/>
          <w:szCs w:val="21"/>
        </w:rPr>
        <w:fldChar w:fldCharType="separate"/>
      </w:r>
      <w:r>
        <w:rPr>
          <w:rFonts w:hAnsi="宋体"/>
          <w:szCs w:val="21"/>
        </w:rPr>
        <w:t>⑤</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7 \* GB3 \* MERGEFORMAT </w:instrText>
      </w:r>
      <w:r>
        <w:rPr>
          <w:rFonts w:hAnsi="宋体"/>
          <w:kern w:val="21"/>
          <w:szCs w:val="21"/>
        </w:rPr>
        <w:fldChar w:fldCharType="separate"/>
      </w:r>
      <w:r>
        <w:rPr>
          <w:rFonts w:hAnsi="宋体"/>
          <w:szCs w:val="21"/>
        </w:rPr>
        <w:t>⑦</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6 \* GB3 \* MERGEFORMAT </w:instrText>
      </w:r>
      <w:r>
        <w:rPr>
          <w:rFonts w:hAnsi="宋体"/>
          <w:kern w:val="21"/>
          <w:szCs w:val="21"/>
        </w:rPr>
        <w:fldChar w:fldCharType="separate"/>
      </w:r>
      <w:r>
        <w:rPr>
          <w:rFonts w:hAnsi="宋体"/>
          <w:szCs w:val="21"/>
        </w:rPr>
        <w:t>⑥</w:t>
      </w:r>
      <w:r>
        <w:rPr>
          <w:rFonts w:hAnsi="宋体"/>
          <w:kern w:val="21"/>
          <w:szCs w:val="21"/>
        </w:rPr>
        <w:fldChar w:fldCharType="end"/>
      </w:r>
      <w:r>
        <w:rPr>
          <w:rFonts w:hAnsi="宋体"/>
          <w:snapToGrid w:val="0"/>
          <w:kern w:val="21"/>
          <w:szCs w:val="21"/>
        </w:rPr>
        <w:t>-</w:t>
      </w:r>
      <w:r>
        <w:rPr>
          <w:rFonts w:hAnsi="宋体"/>
          <w:kern w:val="21"/>
          <w:szCs w:val="21"/>
        </w:rPr>
        <w:fldChar w:fldCharType="begin"/>
      </w:r>
      <w:r>
        <w:rPr>
          <w:rFonts w:hAnsi="宋体"/>
          <w:snapToGrid w:val="0"/>
          <w:kern w:val="21"/>
          <w:szCs w:val="21"/>
        </w:rPr>
        <w:instrText xml:space="preserve"> = 1 \* GB3 \* MERGEFORMAT </w:instrText>
      </w:r>
      <w:r>
        <w:rPr>
          <w:rFonts w:hAnsi="宋体"/>
          <w:kern w:val="21"/>
          <w:szCs w:val="21"/>
        </w:rPr>
        <w:fldChar w:fldCharType="separate"/>
      </w:r>
      <w:r>
        <w:rPr>
          <w:rFonts w:hAnsi="宋体"/>
          <w:szCs w:val="21"/>
        </w:rPr>
        <w:t>①</w:t>
      </w:r>
      <w:r>
        <w:rPr>
          <w:rFonts w:hAnsi="宋体"/>
          <w:kern w:val="21"/>
          <w:szCs w:val="21"/>
        </w:rPr>
        <w:fldChar w:fldCharType="end"/>
      </w:r>
      <w:bookmarkEnd w:id="89"/>
    </w:p>
    <w:sectPr>
      <w:pgSz w:w="16838" w:h="11906" w:orient="landscape"/>
      <w:pgMar w:top="1531" w:right="1702" w:bottom="1531" w:left="1702"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EFCE">
    <w:pPr>
      <w:pStyle w:val="14"/>
      <w:jc w:val="center"/>
    </w:pPr>
  </w:p>
  <w:p w14:paraId="2A178AD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091074"/>
      <w:docPartObj>
        <w:docPartGallery w:val="autotext"/>
      </w:docPartObj>
    </w:sdtPr>
    <w:sdtContent>
      <w:p w14:paraId="5109CE5C">
        <w:pPr>
          <w:pStyle w:val="14"/>
          <w:jc w:val="center"/>
        </w:pPr>
        <w:r>
          <w:fldChar w:fldCharType="begin"/>
        </w:r>
        <w:r>
          <w:instrText xml:space="preserve">PAGE   \* MERGEFORMAT</w:instrText>
        </w:r>
        <w:r>
          <w:fldChar w:fldCharType="separate"/>
        </w:r>
        <w:r>
          <w:rPr>
            <w:lang w:val="zh-CN"/>
          </w:rPr>
          <w:t>2</w:t>
        </w:r>
        <w:r>
          <w:fldChar w:fldCharType="end"/>
        </w:r>
      </w:p>
    </w:sdtContent>
  </w:sdt>
  <w:p w14:paraId="57A9F66B">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172A27"/>
    <w:rsid w:val="00007508"/>
    <w:rsid w:val="0001154A"/>
    <w:rsid w:val="00011CA4"/>
    <w:rsid w:val="000173C3"/>
    <w:rsid w:val="000201A4"/>
    <w:rsid w:val="00020858"/>
    <w:rsid w:val="00021047"/>
    <w:rsid w:val="00024368"/>
    <w:rsid w:val="0002455E"/>
    <w:rsid w:val="00024E02"/>
    <w:rsid w:val="00024FEE"/>
    <w:rsid w:val="0002630F"/>
    <w:rsid w:val="0003068D"/>
    <w:rsid w:val="00031559"/>
    <w:rsid w:val="000317A8"/>
    <w:rsid w:val="00032594"/>
    <w:rsid w:val="00032ACD"/>
    <w:rsid w:val="00033074"/>
    <w:rsid w:val="00033237"/>
    <w:rsid w:val="0003323D"/>
    <w:rsid w:val="00034941"/>
    <w:rsid w:val="00035491"/>
    <w:rsid w:val="000361A5"/>
    <w:rsid w:val="00043F09"/>
    <w:rsid w:val="0004464E"/>
    <w:rsid w:val="00045715"/>
    <w:rsid w:val="00050378"/>
    <w:rsid w:val="0005066C"/>
    <w:rsid w:val="000508D9"/>
    <w:rsid w:val="00050D2E"/>
    <w:rsid w:val="00051E9E"/>
    <w:rsid w:val="0005293F"/>
    <w:rsid w:val="0005302C"/>
    <w:rsid w:val="00053160"/>
    <w:rsid w:val="000537DE"/>
    <w:rsid w:val="000548F4"/>
    <w:rsid w:val="00054D78"/>
    <w:rsid w:val="00056DFB"/>
    <w:rsid w:val="000571DA"/>
    <w:rsid w:val="000614F3"/>
    <w:rsid w:val="000621C2"/>
    <w:rsid w:val="00064180"/>
    <w:rsid w:val="00066C80"/>
    <w:rsid w:val="00067829"/>
    <w:rsid w:val="000730B0"/>
    <w:rsid w:val="00074A69"/>
    <w:rsid w:val="00076069"/>
    <w:rsid w:val="00077B95"/>
    <w:rsid w:val="00080872"/>
    <w:rsid w:val="0008111C"/>
    <w:rsid w:val="00081967"/>
    <w:rsid w:val="00081F89"/>
    <w:rsid w:val="00082048"/>
    <w:rsid w:val="0008333B"/>
    <w:rsid w:val="000858D7"/>
    <w:rsid w:val="00087A25"/>
    <w:rsid w:val="000910A4"/>
    <w:rsid w:val="00091B2C"/>
    <w:rsid w:val="0009272F"/>
    <w:rsid w:val="00092FD5"/>
    <w:rsid w:val="000930F6"/>
    <w:rsid w:val="00095F57"/>
    <w:rsid w:val="00097746"/>
    <w:rsid w:val="00097E0B"/>
    <w:rsid w:val="00097F2A"/>
    <w:rsid w:val="000A0E38"/>
    <w:rsid w:val="000A1329"/>
    <w:rsid w:val="000A4812"/>
    <w:rsid w:val="000A4C7B"/>
    <w:rsid w:val="000A7417"/>
    <w:rsid w:val="000B0B87"/>
    <w:rsid w:val="000B2B26"/>
    <w:rsid w:val="000B3732"/>
    <w:rsid w:val="000B3DF3"/>
    <w:rsid w:val="000B47AF"/>
    <w:rsid w:val="000B5581"/>
    <w:rsid w:val="000B5C13"/>
    <w:rsid w:val="000B62C6"/>
    <w:rsid w:val="000B6D25"/>
    <w:rsid w:val="000B79AB"/>
    <w:rsid w:val="000B7A2A"/>
    <w:rsid w:val="000B7DA5"/>
    <w:rsid w:val="000C1721"/>
    <w:rsid w:val="000C4197"/>
    <w:rsid w:val="000C7167"/>
    <w:rsid w:val="000D1235"/>
    <w:rsid w:val="000D2C0C"/>
    <w:rsid w:val="000D2E8B"/>
    <w:rsid w:val="000D3A04"/>
    <w:rsid w:val="000D3CEC"/>
    <w:rsid w:val="000D3F84"/>
    <w:rsid w:val="000D45D3"/>
    <w:rsid w:val="000D51DC"/>
    <w:rsid w:val="000D6C91"/>
    <w:rsid w:val="000E3B1A"/>
    <w:rsid w:val="000E4E4D"/>
    <w:rsid w:val="000E72FE"/>
    <w:rsid w:val="000F2ECE"/>
    <w:rsid w:val="000F3236"/>
    <w:rsid w:val="000F67B1"/>
    <w:rsid w:val="000F722A"/>
    <w:rsid w:val="000F7E37"/>
    <w:rsid w:val="00100201"/>
    <w:rsid w:val="0010290C"/>
    <w:rsid w:val="0010457F"/>
    <w:rsid w:val="0010583D"/>
    <w:rsid w:val="001063FE"/>
    <w:rsid w:val="00107389"/>
    <w:rsid w:val="001108B1"/>
    <w:rsid w:val="00110902"/>
    <w:rsid w:val="00112556"/>
    <w:rsid w:val="0011442D"/>
    <w:rsid w:val="0012152E"/>
    <w:rsid w:val="00121A4F"/>
    <w:rsid w:val="00123CCF"/>
    <w:rsid w:val="00124198"/>
    <w:rsid w:val="00124A32"/>
    <w:rsid w:val="0012546D"/>
    <w:rsid w:val="00125510"/>
    <w:rsid w:val="001260D0"/>
    <w:rsid w:val="001275AF"/>
    <w:rsid w:val="00130CB6"/>
    <w:rsid w:val="00132F11"/>
    <w:rsid w:val="001332D5"/>
    <w:rsid w:val="00133D86"/>
    <w:rsid w:val="00134E4F"/>
    <w:rsid w:val="00135746"/>
    <w:rsid w:val="00140323"/>
    <w:rsid w:val="00144B36"/>
    <w:rsid w:val="0014784F"/>
    <w:rsid w:val="00147C21"/>
    <w:rsid w:val="0015201E"/>
    <w:rsid w:val="00154A88"/>
    <w:rsid w:val="00155D95"/>
    <w:rsid w:val="00156505"/>
    <w:rsid w:val="0016107D"/>
    <w:rsid w:val="001628BF"/>
    <w:rsid w:val="00163DB0"/>
    <w:rsid w:val="0016535B"/>
    <w:rsid w:val="001670F9"/>
    <w:rsid w:val="00167A78"/>
    <w:rsid w:val="00170164"/>
    <w:rsid w:val="00171FEE"/>
    <w:rsid w:val="00172A27"/>
    <w:rsid w:val="00176415"/>
    <w:rsid w:val="00176B0C"/>
    <w:rsid w:val="00176D39"/>
    <w:rsid w:val="00177A78"/>
    <w:rsid w:val="00177C8F"/>
    <w:rsid w:val="00181AA6"/>
    <w:rsid w:val="00181F91"/>
    <w:rsid w:val="001840FA"/>
    <w:rsid w:val="0018536E"/>
    <w:rsid w:val="00186D24"/>
    <w:rsid w:val="00186EEC"/>
    <w:rsid w:val="001871F3"/>
    <w:rsid w:val="0019222B"/>
    <w:rsid w:val="00194A87"/>
    <w:rsid w:val="00195EA1"/>
    <w:rsid w:val="001A1156"/>
    <w:rsid w:val="001A466C"/>
    <w:rsid w:val="001B033C"/>
    <w:rsid w:val="001B0905"/>
    <w:rsid w:val="001B51CD"/>
    <w:rsid w:val="001B582C"/>
    <w:rsid w:val="001B71D1"/>
    <w:rsid w:val="001C1695"/>
    <w:rsid w:val="001C2473"/>
    <w:rsid w:val="001C2E07"/>
    <w:rsid w:val="001C3767"/>
    <w:rsid w:val="001C4BE6"/>
    <w:rsid w:val="001D06AD"/>
    <w:rsid w:val="001D08EA"/>
    <w:rsid w:val="001D16A2"/>
    <w:rsid w:val="001D3747"/>
    <w:rsid w:val="001D4287"/>
    <w:rsid w:val="001D442F"/>
    <w:rsid w:val="001D44D6"/>
    <w:rsid w:val="001E30A1"/>
    <w:rsid w:val="001E3381"/>
    <w:rsid w:val="001E3C9D"/>
    <w:rsid w:val="001E47AF"/>
    <w:rsid w:val="001E7513"/>
    <w:rsid w:val="001E7689"/>
    <w:rsid w:val="001E7AC9"/>
    <w:rsid w:val="001E7DFA"/>
    <w:rsid w:val="001F1274"/>
    <w:rsid w:val="001F1A11"/>
    <w:rsid w:val="001F1D15"/>
    <w:rsid w:val="001F2182"/>
    <w:rsid w:val="001F446F"/>
    <w:rsid w:val="001F47F6"/>
    <w:rsid w:val="001F4A77"/>
    <w:rsid w:val="001F52D6"/>
    <w:rsid w:val="001F67EA"/>
    <w:rsid w:val="001F74AA"/>
    <w:rsid w:val="001F7985"/>
    <w:rsid w:val="0020009C"/>
    <w:rsid w:val="00200E7D"/>
    <w:rsid w:val="002016BE"/>
    <w:rsid w:val="00201E0A"/>
    <w:rsid w:val="00202E32"/>
    <w:rsid w:val="00204B5E"/>
    <w:rsid w:val="0020676C"/>
    <w:rsid w:val="00210839"/>
    <w:rsid w:val="00212208"/>
    <w:rsid w:val="002134D4"/>
    <w:rsid w:val="00213551"/>
    <w:rsid w:val="0021397C"/>
    <w:rsid w:val="002155BA"/>
    <w:rsid w:val="0021768C"/>
    <w:rsid w:val="00220051"/>
    <w:rsid w:val="002206A3"/>
    <w:rsid w:val="00221C39"/>
    <w:rsid w:val="00224AA0"/>
    <w:rsid w:val="00224F76"/>
    <w:rsid w:val="00225177"/>
    <w:rsid w:val="002253CE"/>
    <w:rsid w:val="00226734"/>
    <w:rsid w:val="00226A76"/>
    <w:rsid w:val="00230C34"/>
    <w:rsid w:val="00231CB1"/>
    <w:rsid w:val="00231D85"/>
    <w:rsid w:val="00232DDA"/>
    <w:rsid w:val="00233293"/>
    <w:rsid w:val="00235327"/>
    <w:rsid w:val="0023758A"/>
    <w:rsid w:val="00243A53"/>
    <w:rsid w:val="002471FF"/>
    <w:rsid w:val="002501BC"/>
    <w:rsid w:val="002502D3"/>
    <w:rsid w:val="00251593"/>
    <w:rsid w:val="0025217C"/>
    <w:rsid w:val="002535A4"/>
    <w:rsid w:val="00255EC5"/>
    <w:rsid w:val="00256EA2"/>
    <w:rsid w:val="00262DE4"/>
    <w:rsid w:val="00263E4B"/>
    <w:rsid w:val="0026535F"/>
    <w:rsid w:val="00266E64"/>
    <w:rsid w:val="0026755B"/>
    <w:rsid w:val="0027119E"/>
    <w:rsid w:val="0027222A"/>
    <w:rsid w:val="002744CA"/>
    <w:rsid w:val="00276CEC"/>
    <w:rsid w:val="00277E2B"/>
    <w:rsid w:val="002800DA"/>
    <w:rsid w:val="002810B6"/>
    <w:rsid w:val="00282B7B"/>
    <w:rsid w:val="002838F5"/>
    <w:rsid w:val="0028482E"/>
    <w:rsid w:val="00285146"/>
    <w:rsid w:val="00287503"/>
    <w:rsid w:val="00292FF8"/>
    <w:rsid w:val="00293478"/>
    <w:rsid w:val="00294162"/>
    <w:rsid w:val="00294E37"/>
    <w:rsid w:val="002977F7"/>
    <w:rsid w:val="002A02E2"/>
    <w:rsid w:val="002A2D26"/>
    <w:rsid w:val="002A3D86"/>
    <w:rsid w:val="002A5B6B"/>
    <w:rsid w:val="002A622E"/>
    <w:rsid w:val="002A7558"/>
    <w:rsid w:val="002B065F"/>
    <w:rsid w:val="002B0851"/>
    <w:rsid w:val="002B1533"/>
    <w:rsid w:val="002B177F"/>
    <w:rsid w:val="002B204D"/>
    <w:rsid w:val="002B5AF8"/>
    <w:rsid w:val="002B6813"/>
    <w:rsid w:val="002C1A06"/>
    <w:rsid w:val="002C1D34"/>
    <w:rsid w:val="002C23AE"/>
    <w:rsid w:val="002C35A1"/>
    <w:rsid w:val="002C40A4"/>
    <w:rsid w:val="002C565A"/>
    <w:rsid w:val="002C5D86"/>
    <w:rsid w:val="002C711A"/>
    <w:rsid w:val="002D139F"/>
    <w:rsid w:val="002D3A0A"/>
    <w:rsid w:val="002D5676"/>
    <w:rsid w:val="002D61C2"/>
    <w:rsid w:val="002E069E"/>
    <w:rsid w:val="002E0B97"/>
    <w:rsid w:val="002E0C8B"/>
    <w:rsid w:val="002E4EC1"/>
    <w:rsid w:val="002E50B0"/>
    <w:rsid w:val="002E5622"/>
    <w:rsid w:val="002E5713"/>
    <w:rsid w:val="002E5BAD"/>
    <w:rsid w:val="002F3F29"/>
    <w:rsid w:val="002F4953"/>
    <w:rsid w:val="002F5092"/>
    <w:rsid w:val="002F7CA5"/>
    <w:rsid w:val="00301BD5"/>
    <w:rsid w:val="00302178"/>
    <w:rsid w:val="00303D3E"/>
    <w:rsid w:val="003105EA"/>
    <w:rsid w:val="0031168B"/>
    <w:rsid w:val="00312C66"/>
    <w:rsid w:val="00312EF9"/>
    <w:rsid w:val="0031642B"/>
    <w:rsid w:val="00316492"/>
    <w:rsid w:val="00317036"/>
    <w:rsid w:val="00321665"/>
    <w:rsid w:val="00321CBA"/>
    <w:rsid w:val="00323026"/>
    <w:rsid w:val="003241F5"/>
    <w:rsid w:val="0032440E"/>
    <w:rsid w:val="003248E9"/>
    <w:rsid w:val="00325320"/>
    <w:rsid w:val="00330A02"/>
    <w:rsid w:val="00331D8C"/>
    <w:rsid w:val="00332B23"/>
    <w:rsid w:val="00334386"/>
    <w:rsid w:val="00334603"/>
    <w:rsid w:val="0033734B"/>
    <w:rsid w:val="00340185"/>
    <w:rsid w:val="00341508"/>
    <w:rsid w:val="00342E05"/>
    <w:rsid w:val="00342ED5"/>
    <w:rsid w:val="00343579"/>
    <w:rsid w:val="003442EC"/>
    <w:rsid w:val="00345F37"/>
    <w:rsid w:val="0034683D"/>
    <w:rsid w:val="003469C4"/>
    <w:rsid w:val="0035140A"/>
    <w:rsid w:val="00352083"/>
    <w:rsid w:val="00352FEF"/>
    <w:rsid w:val="0035468D"/>
    <w:rsid w:val="00355268"/>
    <w:rsid w:val="00355C93"/>
    <w:rsid w:val="003564B7"/>
    <w:rsid w:val="00356C57"/>
    <w:rsid w:val="00360344"/>
    <w:rsid w:val="003604FE"/>
    <w:rsid w:val="00362063"/>
    <w:rsid w:val="00366958"/>
    <w:rsid w:val="003670A1"/>
    <w:rsid w:val="0037024F"/>
    <w:rsid w:val="00374BA4"/>
    <w:rsid w:val="00375D15"/>
    <w:rsid w:val="003776C3"/>
    <w:rsid w:val="003776DF"/>
    <w:rsid w:val="00382E91"/>
    <w:rsid w:val="00383BF6"/>
    <w:rsid w:val="003857B8"/>
    <w:rsid w:val="00387584"/>
    <w:rsid w:val="003901D0"/>
    <w:rsid w:val="00390372"/>
    <w:rsid w:val="00391088"/>
    <w:rsid w:val="0039329C"/>
    <w:rsid w:val="00393583"/>
    <w:rsid w:val="0039371B"/>
    <w:rsid w:val="00393C76"/>
    <w:rsid w:val="0039462B"/>
    <w:rsid w:val="0039477B"/>
    <w:rsid w:val="003949C4"/>
    <w:rsid w:val="003950FD"/>
    <w:rsid w:val="00397F5B"/>
    <w:rsid w:val="00397FDB"/>
    <w:rsid w:val="003A0CC9"/>
    <w:rsid w:val="003A1A4C"/>
    <w:rsid w:val="003A3313"/>
    <w:rsid w:val="003A3EDC"/>
    <w:rsid w:val="003A6DC3"/>
    <w:rsid w:val="003B29D8"/>
    <w:rsid w:val="003B32A8"/>
    <w:rsid w:val="003B4BB4"/>
    <w:rsid w:val="003B55F9"/>
    <w:rsid w:val="003B567A"/>
    <w:rsid w:val="003B7C3E"/>
    <w:rsid w:val="003B7CD7"/>
    <w:rsid w:val="003C0755"/>
    <w:rsid w:val="003C0A99"/>
    <w:rsid w:val="003C1EDF"/>
    <w:rsid w:val="003C3F3D"/>
    <w:rsid w:val="003C42BB"/>
    <w:rsid w:val="003C45DC"/>
    <w:rsid w:val="003D08E3"/>
    <w:rsid w:val="003D0A91"/>
    <w:rsid w:val="003D1529"/>
    <w:rsid w:val="003D1598"/>
    <w:rsid w:val="003D3069"/>
    <w:rsid w:val="003D41CF"/>
    <w:rsid w:val="003D7259"/>
    <w:rsid w:val="003D753F"/>
    <w:rsid w:val="003D7CD0"/>
    <w:rsid w:val="003E3ACF"/>
    <w:rsid w:val="003E3F12"/>
    <w:rsid w:val="003E4265"/>
    <w:rsid w:val="003E43D6"/>
    <w:rsid w:val="003E4B28"/>
    <w:rsid w:val="003E5B1B"/>
    <w:rsid w:val="003F004D"/>
    <w:rsid w:val="003F2BF5"/>
    <w:rsid w:val="003F38EE"/>
    <w:rsid w:val="003F4271"/>
    <w:rsid w:val="003F43DC"/>
    <w:rsid w:val="003F612B"/>
    <w:rsid w:val="003F6CA0"/>
    <w:rsid w:val="003F7533"/>
    <w:rsid w:val="003F79BD"/>
    <w:rsid w:val="003F7D15"/>
    <w:rsid w:val="004019E1"/>
    <w:rsid w:val="00401BAD"/>
    <w:rsid w:val="00402063"/>
    <w:rsid w:val="00403462"/>
    <w:rsid w:val="00403851"/>
    <w:rsid w:val="00404460"/>
    <w:rsid w:val="00404D8B"/>
    <w:rsid w:val="00407A81"/>
    <w:rsid w:val="00410DC8"/>
    <w:rsid w:val="004116A3"/>
    <w:rsid w:val="00411CEF"/>
    <w:rsid w:val="004155C3"/>
    <w:rsid w:val="00416540"/>
    <w:rsid w:val="0042085E"/>
    <w:rsid w:val="004210E4"/>
    <w:rsid w:val="004215F7"/>
    <w:rsid w:val="004221B7"/>
    <w:rsid w:val="00423417"/>
    <w:rsid w:val="00423700"/>
    <w:rsid w:val="00423F66"/>
    <w:rsid w:val="00425DE3"/>
    <w:rsid w:val="00426853"/>
    <w:rsid w:val="00430AF4"/>
    <w:rsid w:val="00433298"/>
    <w:rsid w:val="004348F0"/>
    <w:rsid w:val="00436E72"/>
    <w:rsid w:val="0043711D"/>
    <w:rsid w:val="00437A86"/>
    <w:rsid w:val="004408CE"/>
    <w:rsid w:val="004431C9"/>
    <w:rsid w:val="0044338D"/>
    <w:rsid w:val="00446E40"/>
    <w:rsid w:val="004527B8"/>
    <w:rsid w:val="00452C85"/>
    <w:rsid w:val="004533B5"/>
    <w:rsid w:val="004548C1"/>
    <w:rsid w:val="00455009"/>
    <w:rsid w:val="00455A37"/>
    <w:rsid w:val="004560EF"/>
    <w:rsid w:val="0045615D"/>
    <w:rsid w:val="00457D36"/>
    <w:rsid w:val="00460FC9"/>
    <w:rsid w:val="0046266F"/>
    <w:rsid w:val="004627A6"/>
    <w:rsid w:val="00464BA5"/>
    <w:rsid w:val="00464C4B"/>
    <w:rsid w:val="00465EF4"/>
    <w:rsid w:val="00466EB5"/>
    <w:rsid w:val="00471F12"/>
    <w:rsid w:val="00475A2C"/>
    <w:rsid w:val="00477C12"/>
    <w:rsid w:val="00477E89"/>
    <w:rsid w:val="00480EEB"/>
    <w:rsid w:val="00483FCA"/>
    <w:rsid w:val="00485463"/>
    <w:rsid w:val="00485E49"/>
    <w:rsid w:val="00485F55"/>
    <w:rsid w:val="004867FF"/>
    <w:rsid w:val="00491EA5"/>
    <w:rsid w:val="0049338F"/>
    <w:rsid w:val="004945FE"/>
    <w:rsid w:val="00496438"/>
    <w:rsid w:val="004A1E65"/>
    <w:rsid w:val="004A3809"/>
    <w:rsid w:val="004A5B7F"/>
    <w:rsid w:val="004A6AFE"/>
    <w:rsid w:val="004B0CAE"/>
    <w:rsid w:val="004B2AF6"/>
    <w:rsid w:val="004B2DBB"/>
    <w:rsid w:val="004B453F"/>
    <w:rsid w:val="004B5C3E"/>
    <w:rsid w:val="004B5EA6"/>
    <w:rsid w:val="004B61C7"/>
    <w:rsid w:val="004B70F8"/>
    <w:rsid w:val="004B7718"/>
    <w:rsid w:val="004C0248"/>
    <w:rsid w:val="004C0656"/>
    <w:rsid w:val="004C0684"/>
    <w:rsid w:val="004C0A9F"/>
    <w:rsid w:val="004C2138"/>
    <w:rsid w:val="004C2820"/>
    <w:rsid w:val="004C32A8"/>
    <w:rsid w:val="004C3D1E"/>
    <w:rsid w:val="004C596B"/>
    <w:rsid w:val="004C657A"/>
    <w:rsid w:val="004D04AE"/>
    <w:rsid w:val="004D0AE9"/>
    <w:rsid w:val="004D1167"/>
    <w:rsid w:val="004D2AE0"/>
    <w:rsid w:val="004D5458"/>
    <w:rsid w:val="004E1C07"/>
    <w:rsid w:val="004E23C1"/>
    <w:rsid w:val="004E51F5"/>
    <w:rsid w:val="004E6687"/>
    <w:rsid w:val="004E6801"/>
    <w:rsid w:val="004E7CB8"/>
    <w:rsid w:val="004F02A2"/>
    <w:rsid w:val="004F0906"/>
    <w:rsid w:val="004F0F28"/>
    <w:rsid w:val="004F1794"/>
    <w:rsid w:val="004F218E"/>
    <w:rsid w:val="004F462F"/>
    <w:rsid w:val="004F4F6B"/>
    <w:rsid w:val="004F5373"/>
    <w:rsid w:val="004F603F"/>
    <w:rsid w:val="004F6F88"/>
    <w:rsid w:val="005020D7"/>
    <w:rsid w:val="0050483B"/>
    <w:rsid w:val="00505A7A"/>
    <w:rsid w:val="0050625E"/>
    <w:rsid w:val="00506C83"/>
    <w:rsid w:val="005075FC"/>
    <w:rsid w:val="005105A0"/>
    <w:rsid w:val="00510FB1"/>
    <w:rsid w:val="00512E98"/>
    <w:rsid w:val="00514679"/>
    <w:rsid w:val="00515704"/>
    <w:rsid w:val="00516342"/>
    <w:rsid w:val="00516AED"/>
    <w:rsid w:val="005171A5"/>
    <w:rsid w:val="00520DE0"/>
    <w:rsid w:val="0052102D"/>
    <w:rsid w:val="005237F5"/>
    <w:rsid w:val="0052544C"/>
    <w:rsid w:val="005256DA"/>
    <w:rsid w:val="0052693C"/>
    <w:rsid w:val="00531709"/>
    <w:rsid w:val="00531CF6"/>
    <w:rsid w:val="00535238"/>
    <w:rsid w:val="00535CD3"/>
    <w:rsid w:val="00536D6D"/>
    <w:rsid w:val="00542BDA"/>
    <w:rsid w:val="00542E50"/>
    <w:rsid w:val="005432D4"/>
    <w:rsid w:val="005446D1"/>
    <w:rsid w:val="00544F06"/>
    <w:rsid w:val="005462C7"/>
    <w:rsid w:val="00546D4C"/>
    <w:rsid w:val="0055036E"/>
    <w:rsid w:val="00550B5C"/>
    <w:rsid w:val="00551B7C"/>
    <w:rsid w:val="005521C2"/>
    <w:rsid w:val="00554500"/>
    <w:rsid w:val="00554B15"/>
    <w:rsid w:val="005579CD"/>
    <w:rsid w:val="00557CFE"/>
    <w:rsid w:val="00557E90"/>
    <w:rsid w:val="00557F13"/>
    <w:rsid w:val="0056055D"/>
    <w:rsid w:val="005608D5"/>
    <w:rsid w:val="005634E8"/>
    <w:rsid w:val="00564FC2"/>
    <w:rsid w:val="0056706D"/>
    <w:rsid w:val="00571E25"/>
    <w:rsid w:val="00572818"/>
    <w:rsid w:val="005742D7"/>
    <w:rsid w:val="005746D8"/>
    <w:rsid w:val="0058033B"/>
    <w:rsid w:val="00581721"/>
    <w:rsid w:val="005818B2"/>
    <w:rsid w:val="00582824"/>
    <w:rsid w:val="00583FD2"/>
    <w:rsid w:val="00584262"/>
    <w:rsid w:val="00585063"/>
    <w:rsid w:val="005867D3"/>
    <w:rsid w:val="0058734F"/>
    <w:rsid w:val="00590E40"/>
    <w:rsid w:val="00594369"/>
    <w:rsid w:val="005954C9"/>
    <w:rsid w:val="0059629E"/>
    <w:rsid w:val="005A0F3B"/>
    <w:rsid w:val="005A17E5"/>
    <w:rsid w:val="005A20F6"/>
    <w:rsid w:val="005A2543"/>
    <w:rsid w:val="005B05EB"/>
    <w:rsid w:val="005B0BE7"/>
    <w:rsid w:val="005B19A2"/>
    <w:rsid w:val="005B1CFE"/>
    <w:rsid w:val="005B23DB"/>
    <w:rsid w:val="005B2AB7"/>
    <w:rsid w:val="005B3577"/>
    <w:rsid w:val="005B40C4"/>
    <w:rsid w:val="005B4263"/>
    <w:rsid w:val="005B5A88"/>
    <w:rsid w:val="005B5AE2"/>
    <w:rsid w:val="005B69E4"/>
    <w:rsid w:val="005B7A53"/>
    <w:rsid w:val="005C16BD"/>
    <w:rsid w:val="005C3F37"/>
    <w:rsid w:val="005C4C71"/>
    <w:rsid w:val="005C5CF4"/>
    <w:rsid w:val="005C6A2F"/>
    <w:rsid w:val="005D0173"/>
    <w:rsid w:val="005D0241"/>
    <w:rsid w:val="005D0453"/>
    <w:rsid w:val="005D185C"/>
    <w:rsid w:val="005D4007"/>
    <w:rsid w:val="005D7D4A"/>
    <w:rsid w:val="005E090A"/>
    <w:rsid w:val="005E0BDD"/>
    <w:rsid w:val="005E2037"/>
    <w:rsid w:val="005E2536"/>
    <w:rsid w:val="005E5C28"/>
    <w:rsid w:val="005E6436"/>
    <w:rsid w:val="005E7F67"/>
    <w:rsid w:val="005F0B1A"/>
    <w:rsid w:val="005F1CDD"/>
    <w:rsid w:val="005F2986"/>
    <w:rsid w:val="005F6531"/>
    <w:rsid w:val="005F6688"/>
    <w:rsid w:val="005F6CAE"/>
    <w:rsid w:val="005F7F2E"/>
    <w:rsid w:val="0060207E"/>
    <w:rsid w:val="00602A76"/>
    <w:rsid w:val="00605AEC"/>
    <w:rsid w:val="00605E8F"/>
    <w:rsid w:val="00606F18"/>
    <w:rsid w:val="0061109F"/>
    <w:rsid w:val="006115BA"/>
    <w:rsid w:val="006119DF"/>
    <w:rsid w:val="006127B6"/>
    <w:rsid w:val="00612B76"/>
    <w:rsid w:val="00612C74"/>
    <w:rsid w:val="00612DB2"/>
    <w:rsid w:val="00615F3C"/>
    <w:rsid w:val="00616F83"/>
    <w:rsid w:val="00616FBB"/>
    <w:rsid w:val="006266FF"/>
    <w:rsid w:val="00626C9C"/>
    <w:rsid w:val="00626E37"/>
    <w:rsid w:val="00627191"/>
    <w:rsid w:val="00630013"/>
    <w:rsid w:val="0063010C"/>
    <w:rsid w:val="00632624"/>
    <w:rsid w:val="0063450A"/>
    <w:rsid w:val="00634DDA"/>
    <w:rsid w:val="006363D4"/>
    <w:rsid w:val="006378B9"/>
    <w:rsid w:val="0064131A"/>
    <w:rsid w:val="0064139F"/>
    <w:rsid w:val="00643B4E"/>
    <w:rsid w:val="0064440F"/>
    <w:rsid w:val="006448BC"/>
    <w:rsid w:val="00646AF7"/>
    <w:rsid w:val="0064770D"/>
    <w:rsid w:val="006524DF"/>
    <w:rsid w:val="006546EF"/>
    <w:rsid w:val="00654737"/>
    <w:rsid w:val="006550C7"/>
    <w:rsid w:val="006557B1"/>
    <w:rsid w:val="00655D4F"/>
    <w:rsid w:val="0066060B"/>
    <w:rsid w:val="00661097"/>
    <w:rsid w:val="00664298"/>
    <w:rsid w:val="0066479A"/>
    <w:rsid w:val="00664931"/>
    <w:rsid w:val="006651A8"/>
    <w:rsid w:val="00665DCA"/>
    <w:rsid w:val="00670601"/>
    <w:rsid w:val="00671CD0"/>
    <w:rsid w:val="00672D0C"/>
    <w:rsid w:val="00674264"/>
    <w:rsid w:val="00674BA2"/>
    <w:rsid w:val="00674FB9"/>
    <w:rsid w:val="00676E66"/>
    <w:rsid w:val="00677424"/>
    <w:rsid w:val="00682706"/>
    <w:rsid w:val="00683320"/>
    <w:rsid w:val="00683827"/>
    <w:rsid w:val="00684962"/>
    <w:rsid w:val="006860AE"/>
    <w:rsid w:val="006874C6"/>
    <w:rsid w:val="00687C82"/>
    <w:rsid w:val="00687F04"/>
    <w:rsid w:val="00691401"/>
    <w:rsid w:val="00692CC0"/>
    <w:rsid w:val="006935DB"/>
    <w:rsid w:val="006936C6"/>
    <w:rsid w:val="00695240"/>
    <w:rsid w:val="006A06B9"/>
    <w:rsid w:val="006A071E"/>
    <w:rsid w:val="006A0BF6"/>
    <w:rsid w:val="006A0E51"/>
    <w:rsid w:val="006A1827"/>
    <w:rsid w:val="006A1BCA"/>
    <w:rsid w:val="006A3CD2"/>
    <w:rsid w:val="006A5877"/>
    <w:rsid w:val="006A665F"/>
    <w:rsid w:val="006B2413"/>
    <w:rsid w:val="006B24E3"/>
    <w:rsid w:val="006B2E98"/>
    <w:rsid w:val="006B36A1"/>
    <w:rsid w:val="006B47FF"/>
    <w:rsid w:val="006C0338"/>
    <w:rsid w:val="006C04FF"/>
    <w:rsid w:val="006C5532"/>
    <w:rsid w:val="006C664E"/>
    <w:rsid w:val="006C78EB"/>
    <w:rsid w:val="006D1AD9"/>
    <w:rsid w:val="006D1CD8"/>
    <w:rsid w:val="006D4378"/>
    <w:rsid w:val="006D4CAD"/>
    <w:rsid w:val="006D588F"/>
    <w:rsid w:val="006D62D4"/>
    <w:rsid w:val="006D6537"/>
    <w:rsid w:val="006D7528"/>
    <w:rsid w:val="006E2D0B"/>
    <w:rsid w:val="006E3C56"/>
    <w:rsid w:val="006E3E5D"/>
    <w:rsid w:val="006E4DFC"/>
    <w:rsid w:val="006E5EFD"/>
    <w:rsid w:val="006E60EB"/>
    <w:rsid w:val="006E66F3"/>
    <w:rsid w:val="006F02E3"/>
    <w:rsid w:val="006F1D4A"/>
    <w:rsid w:val="006F271D"/>
    <w:rsid w:val="006F37BE"/>
    <w:rsid w:val="006F41DE"/>
    <w:rsid w:val="006F4954"/>
    <w:rsid w:val="00702397"/>
    <w:rsid w:val="007023B6"/>
    <w:rsid w:val="007031C5"/>
    <w:rsid w:val="00705E64"/>
    <w:rsid w:val="007061F1"/>
    <w:rsid w:val="00707C74"/>
    <w:rsid w:val="007112CE"/>
    <w:rsid w:val="00711CBF"/>
    <w:rsid w:val="00712687"/>
    <w:rsid w:val="007135F1"/>
    <w:rsid w:val="00715340"/>
    <w:rsid w:val="00717032"/>
    <w:rsid w:val="007210BA"/>
    <w:rsid w:val="007210D1"/>
    <w:rsid w:val="0072138D"/>
    <w:rsid w:val="007231E3"/>
    <w:rsid w:val="00724148"/>
    <w:rsid w:val="00730821"/>
    <w:rsid w:val="007327CE"/>
    <w:rsid w:val="00734E2C"/>
    <w:rsid w:val="00734E78"/>
    <w:rsid w:val="00735BF6"/>
    <w:rsid w:val="0074141B"/>
    <w:rsid w:val="00742DA9"/>
    <w:rsid w:val="00742EFF"/>
    <w:rsid w:val="00746316"/>
    <w:rsid w:val="007464FB"/>
    <w:rsid w:val="00746C37"/>
    <w:rsid w:val="00752197"/>
    <w:rsid w:val="007532A2"/>
    <w:rsid w:val="00755A3D"/>
    <w:rsid w:val="00756676"/>
    <w:rsid w:val="0075677A"/>
    <w:rsid w:val="0076189E"/>
    <w:rsid w:val="00761E6C"/>
    <w:rsid w:val="00762C34"/>
    <w:rsid w:val="00762F7F"/>
    <w:rsid w:val="007637AF"/>
    <w:rsid w:val="00771545"/>
    <w:rsid w:val="00771FAD"/>
    <w:rsid w:val="0077249E"/>
    <w:rsid w:val="0077448B"/>
    <w:rsid w:val="00775B7C"/>
    <w:rsid w:val="00776E1D"/>
    <w:rsid w:val="00777FF6"/>
    <w:rsid w:val="00782403"/>
    <w:rsid w:val="00782BCA"/>
    <w:rsid w:val="00783F88"/>
    <w:rsid w:val="00784E72"/>
    <w:rsid w:val="007850D8"/>
    <w:rsid w:val="00785688"/>
    <w:rsid w:val="007860F1"/>
    <w:rsid w:val="007872C6"/>
    <w:rsid w:val="007876D2"/>
    <w:rsid w:val="00787A3A"/>
    <w:rsid w:val="00790A89"/>
    <w:rsid w:val="00791305"/>
    <w:rsid w:val="0079343F"/>
    <w:rsid w:val="007A0156"/>
    <w:rsid w:val="007A02BF"/>
    <w:rsid w:val="007A0DBD"/>
    <w:rsid w:val="007A2279"/>
    <w:rsid w:val="007A52BA"/>
    <w:rsid w:val="007A64DB"/>
    <w:rsid w:val="007B0171"/>
    <w:rsid w:val="007B21CE"/>
    <w:rsid w:val="007B3059"/>
    <w:rsid w:val="007B3075"/>
    <w:rsid w:val="007B34CB"/>
    <w:rsid w:val="007B3962"/>
    <w:rsid w:val="007B4C81"/>
    <w:rsid w:val="007B764C"/>
    <w:rsid w:val="007C00EB"/>
    <w:rsid w:val="007C29CA"/>
    <w:rsid w:val="007C2D6E"/>
    <w:rsid w:val="007C4543"/>
    <w:rsid w:val="007C48B5"/>
    <w:rsid w:val="007C4E52"/>
    <w:rsid w:val="007D1406"/>
    <w:rsid w:val="007D2BDD"/>
    <w:rsid w:val="007D315B"/>
    <w:rsid w:val="007D3644"/>
    <w:rsid w:val="007D46D6"/>
    <w:rsid w:val="007D5990"/>
    <w:rsid w:val="007D5CBD"/>
    <w:rsid w:val="007D647F"/>
    <w:rsid w:val="007E0573"/>
    <w:rsid w:val="007E0F77"/>
    <w:rsid w:val="007E2AC0"/>
    <w:rsid w:val="007E4D7E"/>
    <w:rsid w:val="007E52B9"/>
    <w:rsid w:val="007F1C79"/>
    <w:rsid w:val="007F1F93"/>
    <w:rsid w:val="007F3D3E"/>
    <w:rsid w:val="007F504E"/>
    <w:rsid w:val="007F65DF"/>
    <w:rsid w:val="008000A2"/>
    <w:rsid w:val="008006EC"/>
    <w:rsid w:val="008010A7"/>
    <w:rsid w:val="00803104"/>
    <w:rsid w:val="00803CC4"/>
    <w:rsid w:val="00803DF0"/>
    <w:rsid w:val="00804FC3"/>
    <w:rsid w:val="00806995"/>
    <w:rsid w:val="008076EA"/>
    <w:rsid w:val="00811E5B"/>
    <w:rsid w:val="00812A64"/>
    <w:rsid w:val="00812BD0"/>
    <w:rsid w:val="0081303B"/>
    <w:rsid w:val="008144BE"/>
    <w:rsid w:val="00816387"/>
    <w:rsid w:val="0082127E"/>
    <w:rsid w:val="00823E80"/>
    <w:rsid w:val="00824A52"/>
    <w:rsid w:val="00825130"/>
    <w:rsid w:val="0082526F"/>
    <w:rsid w:val="008314EB"/>
    <w:rsid w:val="0083236A"/>
    <w:rsid w:val="0083550B"/>
    <w:rsid w:val="008357E8"/>
    <w:rsid w:val="00835D5D"/>
    <w:rsid w:val="00836B54"/>
    <w:rsid w:val="00840032"/>
    <w:rsid w:val="00841599"/>
    <w:rsid w:val="00841C8E"/>
    <w:rsid w:val="00844668"/>
    <w:rsid w:val="008450C8"/>
    <w:rsid w:val="008470AE"/>
    <w:rsid w:val="0084710F"/>
    <w:rsid w:val="00847439"/>
    <w:rsid w:val="00850270"/>
    <w:rsid w:val="00852428"/>
    <w:rsid w:val="00854140"/>
    <w:rsid w:val="008551EC"/>
    <w:rsid w:val="00855314"/>
    <w:rsid w:val="00855A6B"/>
    <w:rsid w:val="008601AD"/>
    <w:rsid w:val="008609BA"/>
    <w:rsid w:val="00862486"/>
    <w:rsid w:val="00864EFF"/>
    <w:rsid w:val="00866610"/>
    <w:rsid w:val="0087165C"/>
    <w:rsid w:val="00872544"/>
    <w:rsid w:val="00872E58"/>
    <w:rsid w:val="00872F35"/>
    <w:rsid w:val="00874526"/>
    <w:rsid w:val="00875014"/>
    <w:rsid w:val="008752B0"/>
    <w:rsid w:val="00876033"/>
    <w:rsid w:val="008809B2"/>
    <w:rsid w:val="00881828"/>
    <w:rsid w:val="00882CF2"/>
    <w:rsid w:val="008833EF"/>
    <w:rsid w:val="00883DE6"/>
    <w:rsid w:val="0088434F"/>
    <w:rsid w:val="00885691"/>
    <w:rsid w:val="0089111B"/>
    <w:rsid w:val="00892ADB"/>
    <w:rsid w:val="00893793"/>
    <w:rsid w:val="0089420C"/>
    <w:rsid w:val="008942D1"/>
    <w:rsid w:val="0089443B"/>
    <w:rsid w:val="008960BD"/>
    <w:rsid w:val="008976EB"/>
    <w:rsid w:val="008A3976"/>
    <w:rsid w:val="008A44EB"/>
    <w:rsid w:val="008A7AC7"/>
    <w:rsid w:val="008B0099"/>
    <w:rsid w:val="008B14A2"/>
    <w:rsid w:val="008B169B"/>
    <w:rsid w:val="008B1F22"/>
    <w:rsid w:val="008B250D"/>
    <w:rsid w:val="008B296D"/>
    <w:rsid w:val="008B5470"/>
    <w:rsid w:val="008B5D71"/>
    <w:rsid w:val="008B62BB"/>
    <w:rsid w:val="008B7013"/>
    <w:rsid w:val="008B7765"/>
    <w:rsid w:val="008C093D"/>
    <w:rsid w:val="008C5F69"/>
    <w:rsid w:val="008C5FDB"/>
    <w:rsid w:val="008D00C0"/>
    <w:rsid w:val="008D0401"/>
    <w:rsid w:val="008D07C5"/>
    <w:rsid w:val="008D35E0"/>
    <w:rsid w:val="008D49AE"/>
    <w:rsid w:val="008D5751"/>
    <w:rsid w:val="008E0701"/>
    <w:rsid w:val="008E1936"/>
    <w:rsid w:val="008E53D4"/>
    <w:rsid w:val="008E728A"/>
    <w:rsid w:val="008F00ED"/>
    <w:rsid w:val="008F03AB"/>
    <w:rsid w:val="008F2533"/>
    <w:rsid w:val="008F3148"/>
    <w:rsid w:val="008F3731"/>
    <w:rsid w:val="008F45A0"/>
    <w:rsid w:val="008F65AA"/>
    <w:rsid w:val="008F6CE5"/>
    <w:rsid w:val="008F6EFE"/>
    <w:rsid w:val="008F776D"/>
    <w:rsid w:val="009006A9"/>
    <w:rsid w:val="0090241B"/>
    <w:rsid w:val="00904576"/>
    <w:rsid w:val="00904AEE"/>
    <w:rsid w:val="00904B89"/>
    <w:rsid w:val="0090552E"/>
    <w:rsid w:val="00907839"/>
    <w:rsid w:val="009101E2"/>
    <w:rsid w:val="00910E96"/>
    <w:rsid w:val="009125A8"/>
    <w:rsid w:val="00913A81"/>
    <w:rsid w:val="00913C93"/>
    <w:rsid w:val="0091407D"/>
    <w:rsid w:val="00915F30"/>
    <w:rsid w:val="00916527"/>
    <w:rsid w:val="009178C5"/>
    <w:rsid w:val="00920021"/>
    <w:rsid w:val="00920221"/>
    <w:rsid w:val="00920BA4"/>
    <w:rsid w:val="009223B2"/>
    <w:rsid w:val="00923FB5"/>
    <w:rsid w:val="009271F1"/>
    <w:rsid w:val="00930280"/>
    <w:rsid w:val="00931761"/>
    <w:rsid w:val="00933081"/>
    <w:rsid w:val="0093427F"/>
    <w:rsid w:val="00936223"/>
    <w:rsid w:val="00943212"/>
    <w:rsid w:val="00944BC2"/>
    <w:rsid w:val="00946371"/>
    <w:rsid w:val="009472AF"/>
    <w:rsid w:val="00947BB0"/>
    <w:rsid w:val="00950A65"/>
    <w:rsid w:val="00952DD4"/>
    <w:rsid w:val="0095371A"/>
    <w:rsid w:val="00955058"/>
    <w:rsid w:val="00962619"/>
    <w:rsid w:val="00965C1D"/>
    <w:rsid w:val="00966138"/>
    <w:rsid w:val="00966B4A"/>
    <w:rsid w:val="009677DB"/>
    <w:rsid w:val="009678C1"/>
    <w:rsid w:val="00967F95"/>
    <w:rsid w:val="00970892"/>
    <w:rsid w:val="0097274E"/>
    <w:rsid w:val="009743AC"/>
    <w:rsid w:val="00975326"/>
    <w:rsid w:val="00980B96"/>
    <w:rsid w:val="00980D2F"/>
    <w:rsid w:val="00981AB1"/>
    <w:rsid w:val="00982B10"/>
    <w:rsid w:val="00982DDC"/>
    <w:rsid w:val="009835C2"/>
    <w:rsid w:val="009868D8"/>
    <w:rsid w:val="0098739A"/>
    <w:rsid w:val="009904C5"/>
    <w:rsid w:val="0099053B"/>
    <w:rsid w:val="009906A7"/>
    <w:rsid w:val="00990A9B"/>
    <w:rsid w:val="00990BB7"/>
    <w:rsid w:val="00993D04"/>
    <w:rsid w:val="009966B7"/>
    <w:rsid w:val="009976EC"/>
    <w:rsid w:val="009A1347"/>
    <w:rsid w:val="009A2B20"/>
    <w:rsid w:val="009A4011"/>
    <w:rsid w:val="009A4809"/>
    <w:rsid w:val="009A6CC8"/>
    <w:rsid w:val="009B1385"/>
    <w:rsid w:val="009B2211"/>
    <w:rsid w:val="009B2523"/>
    <w:rsid w:val="009B4C13"/>
    <w:rsid w:val="009B6E94"/>
    <w:rsid w:val="009B6F17"/>
    <w:rsid w:val="009B6F35"/>
    <w:rsid w:val="009B71EA"/>
    <w:rsid w:val="009C0121"/>
    <w:rsid w:val="009C084D"/>
    <w:rsid w:val="009C0AAE"/>
    <w:rsid w:val="009C2BD6"/>
    <w:rsid w:val="009C724B"/>
    <w:rsid w:val="009C7D2A"/>
    <w:rsid w:val="009D19F2"/>
    <w:rsid w:val="009D1EF8"/>
    <w:rsid w:val="009D7503"/>
    <w:rsid w:val="009D7A6C"/>
    <w:rsid w:val="009D7FD7"/>
    <w:rsid w:val="009E0D8A"/>
    <w:rsid w:val="009E1A8C"/>
    <w:rsid w:val="009E32BB"/>
    <w:rsid w:val="009E3D24"/>
    <w:rsid w:val="009E4E98"/>
    <w:rsid w:val="009F1F5B"/>
    <w:rsid w:val="009F2BBF"/>
    <w:rsid w:val="009F2DAB"/>
    <w:rsid w:val="009F3970"/>
    <w:rsid w:val="009F3F93"/>
    <w:rsid w:val="009F54A6"/>
    <w:rsid w:val="009F609A"/>
    <w:rsid w:val="00A01B6B"/>
    <w:rsid w:val="00A02924"/>
    <w:rsid w:val="00A02A6B"/>
    <w:rsid w:val="00A035D0"/>
    <w:rsid w:val="00A04965"/>
    <w:rsid w:val="00A1413A"/>
    <w:rsid w:val="00A16304"/>
    <w:rsid w:val="00A171CF"/>
    <w:rsid w:val="00A17390"/>
    <w:rsid w:val="00A17573"/>
    <w:rsid w:val="00A175EC"/>
    <w:rsid w:val="00A20D68"/>
    <w:rsid w:val="00A21AA5"/>
    <w:rsid w:val="00A2248E"/>
    <w:rsid w:val="00A227CC"/>
    <w:rsid w:val="00A24837"/>
    <w:rsid w:val="00A24E12"/>
    <w:rsid w:val="00A256F6"/>
    <w:rsid w:val="00A25BC6"/>
    <w:rsid w:val="00A26A9E"/>
    <w:rsid w:val="00A27404"/>
    <w:rsid w:val="00A301E9"/>
    <w:rsid w:val="00A307B0"/>
    <w:rsid w:val="00A30E09"/>
    <w:rsid w:val="00A30EF5"/>
    <w:rsid w:val="00A32F46"/>
    <w:rsid w:val="00A33A5F"/>
    <w:rsid w:val="00A35716"/>
    <w:rsid w:val="00A35A93"/>
    <w:rsid w:val="00A35FCC"/>
    <w:rsid w:val="00A37558"/>
    <w:rsid w:val="00A41608"/>
    <w:rsid w:val="00A4216A"/>
    <w:rsid w:val="00A426BA"/>
    <w:rsid w:val="00A43124"/>
    <w:rsid w:val="00A439B1"/>
    <w:rsid w:val="00A44839"/>
    <w:rsid w:val="00A456FB"/>
    <w:rsid w:val="00A518DD"/>
    <w:rsid w:val="00A52EF1"/>
    <w:rsid w:val="00A55BD3"/>
    <w:rsid w:val="00A56E75"/>
    <w:rsid w:val="00A57204"/>
    <w:rsid w:val="00A575C4"/>
    <w:rsid w:val="00A62423"/>
    <w:rsid w:val="00A62F13"/>
    <w:rsid w:val="00A643B0"/>
    <w:rsid w:val="00A647F4"/>
    <w:rsid w:val="00A71F6D"/>
    <w:rsid w:val="00A73079"/>
    <w:rsid w:val="00A763D8"/>
    <w:rsid w:val="00A771CF"/>
    <w:rsid w:val="00A779F6"/>
    <w:rsid w:val="00A77CCD"/>
    <w:rsid w:val="00A809D3"/>
    <w:rsid w:val="00A846C9"/>
    <w:rsid w:val="00A87096"/>
    <w:rsid w:val="00A90125"/>
    <w:rsid w:val="00A902AD"/>
    <w:rsid w:val="00A9074E"/>
    <w:rsid w:val="00A92496"/>
    <w:rsid w:val="00A93D53"/>
    <w:rsid w:val="00A93F6D"/>
    <w:rsid w:val="00A94E2C"/>
    <w:rsid w:val="00A95138"/>
    <w:rsid w:val="00A970ED"/>
    <w:rsid w:val="00AA16D3"/>
    <w:rsid w:val="00AA34D3"/>
    <w:rsid w:val="00AA530F"/>
    <w:rsid w:val="00AA624C"/>
    <w:rsid w:val="00AA7F27"/>
    <w:rsid w:val="00AB082B"/>
    <w:rsid w:val="00AB40CA"/>
    <w:rsid w:val="00AB4C4D"/>
    <w:rsid w:val="00AB599F"/>
    <w:rsid w:val="00AB75D6"/>
    <w:rsid w:val="00AC0237"/>
    <w:rsid w:val="00AC0FF6"/>
    <w:rsid w:val="00AC1B7E"/>
    <w:rsid w:val="00AC2E6F"/>
    <w:rsid w:val="00AC521E"/>
    <w:rsid w:val="00AC5358"/>
    <w:rsid w:val="00AC5A2A"/>
    <w:rsid w:val="00AC74B9"/>
    <w:rsid w:val="00AC7A1D"/>
    <w:rsid w:val="00AD0445"/>
    <w:rsid w:val="00AD23C0"/>
    <w:rsid w:val="00AD3533"/>
    <w:rsid w:val="00AD3544"/>
    <w:rsid w:val="00AD40DA"/>
    <w:rsid w:val="00AD442F"/>
    <w:rsid w:val="00AD493E"/>
    <w:rsid w:val="00AD66EA"/>
    <w:rsid w:val="00AD7242"/>
    <w:rsid w:val="00AE0595"/>
    <w:rsid w:val="00AE5318"/>
    <w:rsid w:val="00AE5A31"/>
    <w:rsid w:val="00AE6D2F"/>
    <w:rsid w:val="00AF194E"/>
    <w:rsid w:val="00AF5E6F"/>
    <w:rsid w:val="00AF6D6F"/>
    <w:rsid w:val="00AF7AF1"/>
    <w:rsid w:val="00B0370A"/>
    <w:rsid w:val="00B04FD1"/>
    <w:rsid w:val="00B050B0"/>
    <w:rsid w:val="00B056B8"/>
    <w:rsid w:val="00B06A62"/>
    <w:rsid w:val="00B10098"/>
    <w:rsid w:val="00B11A6D"/>
    <w:rsid w:val="00B12204"/>
    <w:rsid w:val="00B12380"/>
    <w:rsid w:val="00B14CF9"/>
    <w:rsid w:val="00B152BC"/>
    <w:rsid w:val="00B17908"/>
    <w:rsid w:val="00B20551"/>
    <w:rsid w:val="00B2085D"/>
    <w:rsid w:val="00B20A2D"/>
    <w:rsid w:val="00B20D58"/>
    <w:rsid w:val="00B21F81"/>
    <w:rsid w:val="00B301AB"/>
    <w:rsid w:val="00B3041A"/>
    <w:rsid w:val="00B30DE4"/>
    <w:rsid w:val="00B310B8"/>
    <w:rsid w:val="00B31BE8"/>
    <w:rsid w:val="00B320DB"/>
    <w:rsid w:val="00B3265D"/>
    <w:rsid w:val="00B32EB0"/>
    <w:rsid w:val="00B357AB"/>
    <w:rsid w:val="00B35B77"/>
    <w:rsid w:val="00B35F31"/>
    <w:rsid w:val="00B36133"/>
    <w:rsid w:val="00B3642C"/>
    <w:rsid w:val="00B37644"/>
    <w:rsid w:val="00B378CF"/>
    <w:rsid w:val="00B404B0"/>
    <w:rsid w:val="00B42267"/>
    <w:rsid w:val="00B4228D"/>
    <w:rsid w:val="00B426FD"/>
    <w:rsid w:val="00B52008"/>
    <w:rsid w:val="00B52884"/>
    <w:rsid w:val="00B52AD5"/>
    <w:rsid w:val="00B53090"/>
    <w:rsid w:val="00B53D2A"/>
    <w:rsid w:val="00B54357"/>
    <w:rsid w:val="00B55F51"/>
    <w:rsid w:val="00B5621A"/>
    <w:rsid w:val="00B61E72"/>
    <w:rsid w:val="00B63430"/>
    <w:rsid w:val="00B6430F"/>
    <w:rsid w:val="00B665A7"/>
    <w:rsid w:val="00B70C17"/>
    <w:rsid w:val="00B71AD3"/>
    <w:rsid w:val="00B75533"/>
    <w:rsid w:val="00B7555D"/>
    <w:rsid w:val="00B8038D"/>
    <w:rsid w:val="00B80430"/>
    <w:rsid w:val="00B81023"/>
    <w:rsid w:val="00B81799"/>
    <w:rsid w:val="00B826CE"/>
    <w:rsid w:val="00B82BE8"/>
    <w:rsid w:val="00B87287"/>
    <w:rsid w:val="00B87D94"/>
    <w:rsid w:val="00B90674"/>
    <w:rsid w:val="00B9077D"/>
    <w:rsid w:val="00B94A91"/>
    <w:rsid w:val="00B95393"/>
    <w:rsid w:val="00B954E7"/>
    <w:rsid w:val="00B9682A"/>
    <w:rsid w:val="00B970EB"/>
    <w:rsid w:val="00BA1EE4"/>
    <w:rsid w:val="00BA78A0"/>
    <w:rsid w:val="00BB0B3C"/>
    <w:rsid w:val="00BB0B7A"/>
    <w:rsid w:val="00BB11F8"/>
    <w:rsid w:val="00BB2E4A"/>
    <w:rsid w:val="00BB3B92"/>
    <w:rsid w:val="00BB48AB"/>
    <w:rsid w:val="00BB5408"/>
    <w:rsid w:val="00BB6033"/>
    <w:rsid w:val="00BB61B1"/>
    <w:rsid w:val="00BB7CFE"/>
    <w:rsid w:val="00BB7E6F"/>
    <w:rsid w:val="00BC094F"/>
    <w:rsid w:val="00BC4D7A"/>
    <w:rsid w:val="00BC5655"/>
    <w:rsid w:val="00BC70BD"/>
    <w:rsid w:val="00BC711C"/>
    <w:rsid w:val="00BC7A6C"/>
    <w:rsid w:val="00BD0E7B"/>
    <w:rsid w:val="00BD1881"/>
    <w:rsid w:val="00BD3444"/>
    <w:rsid w:val="00BD3671"/>
    <w:rsid w:val="00BD622C"/>
    <w:rsid w:val="00BD66C1"/>
    <w:rsid w:val="00BD745C"/>
    <w:rsid w:val="00BD7AE9"/>
    <w:rsid w:val="00BE505B"/>
    <w:rsid w:val="00BE6522"/>
    <w:rsid w:val="00BE6645"/>
    <w:rsid w:val="00BE7D3A"/>
    <w:rsid w:val="00BE7E0D"/>
    <w:rsid w:val="00BE7F8A"/>
    <w:rsid w:val="00BF0005"/>
    <w:rsid w:val="00BF05B9"/>
    <w:rsid w:val="00BF085E"/>
    <w:rsid w:val="00BF2890"/>
    <w:rsid w:val="00BF313C"/>
    <w:rsid w:val="00BF3F27"/>
    <w:rsid w:val="00BF72C6"/>
    <w:rsid w:val="00BF77B0"/>
    <w:rsid w:val="00C001D6"/>
    <w:rsid w:val="00C01256"/>
    <w:rsid w:val="00C035C5"/>
    <w:rsid w:val="00C04237"/>
    <w:rsid w:val="00C052A2"/>
    <w:rsid w:val="00C06229"/>
    <w:rsid w:val="00C10C5C"/>
    <w:rsid w:val="00C13C4C"/>
    <w:rsid w:val="00C15A12"/>
    <w:rsid w:val="00C16AEF"/>
    <w:rsid w:val="00C2138C"/>
    <w:rsid w:val="00C21765"/>
    <w:rsid w:val="00C23E53"/>
    <w:rsid w:val="00C24390"/>
    <w:rsid w:val="00C266E5"/>
    <w:rsid w:val="00C26CE5"/>
    <w:rsid w:val="00C30024"/>
    <w:rsid w:val="00C32A2F"/>
    <w:rsid w:val="00C32BB2"/>
    <w:rsid w:val="00C33A89"/>
    <w:rsid w:val="00C340AC"/>
    <w:rsid w:val="00C35787"/>
    <w:rsid w:val="00C362CE"/>
    <w:rsid w:val="00C37636"/>
    <w:rsid w:val="00C411FD"/>
    <w:rsid w:val="00C44F67"/>
    <w:rsid w:val="00C45611"/>
    <w:rsid w:val="00C460F3"/>
    <w:rsid w:val="00C462DD"/>
    <w:rsid w:val="00C465C5"/>
    <w:rsid w:val="00C46740"/>
    <w:rsid w:val="00C469B0"/>
    <w:rsid w:val="00C46C06"/>
    <w:rsid w:val="00C46F4A"/>
    <w:rsid w:val="00C476AF"/>
    <w:rsid w:val="00C5259A"/>
    <w:rsid w:val="00C5276A"/>
    <w:rsid w:val="00C53018"/>
    <w:rsid w:val="00C53E6D"/>
    <w:rsid w:val="00C5405A"/>
    <w:rsid w:val="00C547FD"/>
    <w:rsid w:val="00C56FBB"/>
    <w:rsid w:val="00C617D2"/>
    <w:rsid w:val="00C63052"/>
    <w:rsid w:val="00C65250"/>
    <w:rsid w:val="00C66AE7"/>
    <w:rsid w:val="00C67FD0"/>
    <w:rsid w:val="00C71236"/>
    <w:rsid w:val="00C712F3"/>
    <w:rsid w:val="00C74866"/>
    <w:rsid w:val="00C7687D"/>
    <w:rsid w:val="00C771C5"/>
    <w:rsid w:val="00C80F92"/>
    <w:rsid w:val="00C8109E"/>
    <w:rsid w:val="00C8341D"/>
    <w:rsid w:val="00C83ABB"/>
    <w:rsid w:val="00C853E5"/>
    <w:rsid w:val="00C868CB"/>
    <w:rsid w:val="00C86D5F"/>
    <w:rsid w:val="00C87C97"/>
    <w:rsid w:val="00C87F2E"/>
    <w:rsid w:val="00C91A8B"/>
    <w:rsid w:val="00C91C53"/>
    <w:rsid w:val="00C92146"/>
    <w:rsid w:val="00C92CE8"/>
    <w:rsid w:val="00C9358D"/>
    <w:rsid w:val="00C93D3F"/>
    <w:rsid w:val="00C9536D"/>
    <w:rsid w:val="00C9555A"/>
    <w:rsid w:val="00C95EBD"/>
    <w:rsid w:val="00C9677B"/>
    <w:rsid w:val="00CA1485"/>
    <w:rsid w:val="00CA1A38"/>
    <w:rsid w:val="00CA20E1"/>
    <w:rsid w:val="00CA2B1F"/>
    <w:rsid w:val="00CA36A0"/>
    <w:rsid w:val="00CA38F6"/>
    <w:rsid w:val="00CA540E"/>
    <w:rsid w:val="00CA615C"/>
    <w:rsid w:val="00CB1278"/>
    <w:rsid w:val="00CB2F9D"/>
    <w:rsid w:val="00CB34AE"/>
    <w:rsid w:val="00CB3FF7"/>
    <w:rsid w:val="00CB42F8"/>
    <w:rsid w:val="00CB6CFF"/>
    <w:rsid w:val="00CC06E7"/>
    <w:rsid w:val="00CC1CC9"/>
    <w:rsid w:val="00CC2C44"/>
    <w:rsid w:val="00CC2D05"/>
    <w:rsid w:val="00CC32E9"/>
    <w:rsid w:val="00CC3356"/>
    <w:rsid w:val="00CC4E9D"/>
    <w:rsid w:val="00CC5B81"/>
    <w:rsid w:val="00CC734B"/>
    <w:rsid w:val="00CD12B6"/>
    <w:rsid w:val="00CD2A1A"/>
    <w:rsid w:val="00CD548D"/>
    <w:rsid w:val="00CD5DFB"/>
    <w:rsid w:val="00CD6AA8"/>
    <w:rsid w:val="00CD7048"/>
    <w:rsid w:val="00CD73F4"/>
    <w:rsid w:val="00CD7EF5"/>
    <w:rsid w:val="00CE09C6"/>
    <w:rsid w:val="00CE0F1C"/>
    <w:rsid w:val="00CE1160"/>
    <w:rsid w:val="00CE1BE2"/>
    <w:rsid w:val="00CE277A"/>
    <w:rsid w:val="00CE4905"/>
    <w:rsid w:val="00CE5BE6"/>
    <w:rsid w:val="00CE787C"/>
    <w:rsid w:val="00CF0A96"/>
    <w:rsid w:val="00CF2480"/>
    <w:rsid w:val="00CF348B"/>
    <w:rsid w:val="00CF3851"/>
    <w:rsid w:val="00CF3E05"/>
    <w:rsid w:val="00CF7095"/>
    <w:rsid w:val="00CF77CF"/>
    <w:rsid w:val="00CF7889"/>
    <w:rsid w:val="00CF7BD6"/>
    <w:rsid w:val="00D01D22"/>
    <w:rsid w:val="00D02930"/>
    <w:rsid w:val="00D02D2F"/>
    <w:rsid w:val="00D11FBA"/>
    <w:rsid w:val="00D12C1B"/>
    <w:rsid w:val="00D136BA"/>
    <w:rsid w:val="00D1466C"/>
    <w:rsid w:val="00D147F5"/>
    <w:rsid w:val="00D152BD"/>
    <w:rsid w:val="00D173C0"/>
    <w:rsid w:val="00D17FD9"/>
    <w:rsid w:val="00D21691"/>
    <w:rsid w:val="00D2172F"/>
    <w:rsid w:val="00D24324"/>
    <w:rsid w:val="00D243C6"/>
    <w:rsid w:val="00D244FE"/>
    <w:rsid w:val="00D24A56"/>
    <w:rsid w:val="00D2789F"/>
    <w:rsid w:val="00D31D8B"/>
    <w:rsid w:val="00D356CA"/>
    <w:rsid w:val="00D35717"/>
    <w:rsid w:val="00D42258"/>
    <w:rsid w:val="00D42B56"/>
    <w:rsid w:val="00D43852"/>
    <w:rsid w:val="00D45B9B"/>
    <w:rsid w:val="00D45BE6"/>
    <w:rsid w:val="00D518B2"/>
    <w:rsid w:val="00D52104"/>
    <w:rsid w:val="00D5404B"/>
    <w:rsid w:val="00D548FB"/>
    <w:rsid w:val="00D55A66"/>
    <w:rsid w:val="00D57E1B"/>
    <w:rsid w:val="00D60C03"/>
    <w:rsid w:val="00D641F9"/>
    <w:rsid w:val="00D643EA"/>
    <w:rsid w:val="00D65E60"/>
    <w:rsid w:val="00D709DF"/>
    <w:rsid w:val="00D7283D"/>
    <w:rsid w:val="00D74216"/>
    <w:rsid w:val="00D77F5C"/>
    <w:rsid w:val="00D82BFF"/>
    <w:rsid w:val="00D82E16"/>
    <w:rsid w:val="00D830C1"/>
    <w:rsid w:val="00D832D1"/>
    <w:rsid w:val="00D86F5E"/>
    <w:rsid w:val="00D8768A"/>
    <w:rsid w:val="00D87C68"/>
    <w:rsid w:val="00D9152F"/>
    <w:rsid w:val="00D915D4"/>
    <w:rsid w:val="00D91EC1"/>
    <w:rsid w:val="00D9283C"/>
    <w:rsid w:val="00D92AE1"/>
    <w:rsid w:val="00D96561"/>
    <w:rsid w:val="00D96BEA"/>
    <w:rsid w:val="00D97726"/>
    <w:rsid w:val="00DA07EA"/>
    <w:rsid w:val="00DA08E5"/>
    <w:rsid w:val="00DA2F37"/>
    <w:rsid w:val="00DA5F70"/>
    <w:rsid w:val="00DA6205"/>
    <w:rsid w:val="00DB1840"/>
    <w:rsid w:val="00DB4319"/>
    <w:rsid w:val="00DC2459"/>
    <w:rsid w:val="00DC351A"/>
    <w:rsid w:val="00DC3A05"/>
    <w:rsid w:val="00DC3B1D"/>
    <w:rsid w:val="00DD3D67"/>
    <w:rsid w:val="00DD440E"/>
    <w:rsid w:val="00DD53E6"/>
    <w:rsid w:val="00DD552D"/>
    <w:rsid w:val="00DD5BF7"/>
    <w:rsid w:val="00DE0334"/>
    <w:rsid w:val="00DE055C"/>
    <w:rsid w:val="00DE2FA8"/>
    <w:rsid w:val="00DE4324"/>
    <w:rsid w:val="00DE4BB0"/>
    <w:rsid w:val="00DE5DA6"/>
    <w:rsid w:val="00DE6358"/>
    <w:rsid w:val="00DE64DB"/>
    <w:rsid w:val="00DE6D3F"/>
    <w:rsid w:val="00DF0640"/>
    <w:rsid w:val="00DF19FB"/>
    <w:rsid w:val="00DF20A4"/>
    <w:rsid w:val="00DF3B4F"/>
    <w:rsid w:val="00E00D86"/>
    <w:rsid w:val="00E02A64"/>
    <w:rsid w:val="00E04BA2"/>
    <w:rsid w:val="00E050B7"/>
    <w:rsid w:val="00E05583"/>
    <w:rsid w:val="00E07095"/>
    <w:rsid w:val="00E1050B"/>
    <w:rsid w:val="00E10A71"/>
    <w:rsid w:val="00E10B49"/>
    <w:rsid w:val="00E117EC"/>
    <w:rsid w:val="00E12EDF"/>
    <w:rsid w:val="00E13579"/>
    <w:rsid w:val="00E13B47"/>
    <w:rsid w:val="00E14B36"/>
    <w:rsid w:val="00E1592C"/>
    <w:rsid w:val="00E15B3F"/>
    <w:rsid w:val="00E15B5D"/>
    <w:rsid w:val="00E16405"/>
    <w:rsid w:val="00E168D9"/>
    <w:rsid w:val="00E16E19"/>
    <w:rsid w:val="00E21A9F"/>
    <w:rsid w:val="00E221A4"/>
    <w:rsid w:val="00E2375D"/>
    <w:rsid w:val="00E24E66"/>
    <w:rsid w:val="00E24E84"/>
    <w:rsid w:val="00E26A22"/>
    <w:rsid w:val="00E316D2"/>
    <w:rsid w:val="00E330BE"/>
    <w:rsid w:val="00E36E04"/>
    <w:rsid w:val="00E37526"/>
    <w:rsid w:val="00E37AF2"/>
    <w:rsid w:val="00E37ED8"/>
    <w:rsid w:val="00E42DE5"/>
    <w:rsid w:val="00E4656C"/>
    <w:rsid w:val="00E4699A"/>
    <w:rsid w:val="00E50716"/>
    <w:rsid w:val="00E50D8A"/>
    <w:rsid w:val="00E53331"/>
    <w:rsid w:val="00E534E2"/>
    <w:rsid w:val="00E54ABF"/>
    <w:rsid w:val="00E6025E"/>
    <w:rsid w:val="00E60DEC"/>
    <w:rsid w:val="00E63591"/>
    <w:rsid w:val="00E6430D"/>
    <w:rsid w:val="00E647B3"/>
    <w:rsid w:val="00E649E5"/>
    <w:rsid w:val="00E64B70"/>
    <w:rsid w:val="00E65DFB"/>
    <w:rsid w:val="00E67533"/>
    <w:rsid w:val="00E7051F"/>
    <w:rsid w:val="00E71E2D"/>
    <w:rsid w:val="00E72339"/>
    <w:rsid w:val="00E735D4"/>
    <w:rsid w:val="00E74563"/>
    <w:rsid w:val="00E7535A"/>
    <w:rsid w:val="00E75364"/>
    <w:rsid w:val="00E75C2D"/>
    <w:rsid w:val="00E75D3F"/>
    <w:rsid w:val="00E76FE2"/>
    <w:rsid w:val="00E80A52"/>
    <w:rsid w:val="00E81AFF"/>
    <w:rsid w:val="00E84748"/>
    <w:rsid w:val="00E858BD"/>
    <w:rsid w:val="00E860D6"/>
    <w:rsid w:val="00E87F53"/>
    <w:rsid w:val="00E94180"/>
    <w:rsid w:val="00E95096"/>
    <w:rsid w:val="00E956A4"/>
    <w:rsid w:val="00E95A24"/>
    <w:rsid w:val="00E975FA"/>
    <w:rsid w:val="00E97D40"/>
    <w:rsid w:val="00E97F41"/>
    <w:rsid w:val="00EA108C"/>
    <w:rsid w:val="00EA490F"/>
    <w:rsid w:val="00EA598E"/>
    <w:rsid w:val="00EA624B"/>
    <w:rsid w:val="00EA649B"/>
    <w:rsid w:val="00EA66CB"/>
    <w:rsid w:val="00EB19DC"/>
    <w:rsid w:val="00EB23BA"/>
    <w:rsid w:val="00EB242D"/>
    <w:rsid w:val="00EB3CBF"/>
    <w:rsid w:val="00EB3D69"/>
    <w:rsid w:val="00EB6FC0"/>
    <w:rsid w:val="00EC06D0"/>
    <w:rsid w:val="00EC072D"/>
    <w:rsid w:val="00EC27F5"/>
    <w:rsid w:val="00EC3724"/>
    <w:rsid w:val="00EC5DDB"/>
    <w:rsid w:val="00EC603E"/>
    <w:rsid w:val="00EC7A0C"/>
    <w:rsid w:val="00EC7FA5"/>
    <w:rsid w:val="00ED7AA4"/>
    <w:rsid w:val="00EE2033"/>
    <w:rsid w:val="00EE7629"/>
    <w:rsid w:val="00EF03B3"/>
    <w:rsid w:val="00EF190D"/>
    <w:rsid w:val="00EF20D4"/>
    <w:rsid w:val="00EF2CA6"/>
    <w:rsid w:val="00EF5502"/>
    <w:rsid w:val="00EF67AD"/>
    <w:rsid w:val="00F0174B"/>
    <w:rsid w:val="00F0281D"/>
    <w:rsid w:val="00F02B5D"/>
    <w:rsid w:val="00F02BAF"/>
    <w:rsid w:val="00F03BFB"/>
    <w:rsid w:val="00F05F6F"/>
    <w:rsid w:val="00F0627B"/>
    <w:rsid w:val="00F06800"/>
    <w:rsid w:val="00F06FEE"/>
    <w:rsid w:val="00F0780D"/>
    <w:rsid w:val="00F113E6"/>
    <w:rsid w:val="00F12AFB"/>
    <w:rsid w:val="00F12DC6"/>
    <w:rsid w:val="00F14D55"/>
    <w:rsid w:val="00F14E32"/>
    <w:rsid w:val="00F21D2B"/>
    <w:rsid w:val="00F224C4"/>
    <w:rsid w:val="00F23A95"/>
    <w:rsid w:val="00F24883"/>
    <w:rsid w:val="00F2599F"/>
    <w:rsid w:val="00F27823"/>
    <w:rsid w:val="00F308DB"/>
    <w:rsid w:val="00F30D66"/>
    <w:rsid w:val="00F3196C"/>
    <w:rsid w:val="00F326F5"/>
    <w:rsid w:val="00F346A6"/>
    <w:rsid w:val="00F352D5"/>
    <w:rsid w:val="00F36E02"/>
    <w:rsid w:val="00F36FFD"/>
    <w:rsid w:val="00F37613"/>
    <w:rsid w:val="00F401A7"/>
    <w:rsid w:val="00F405A9"/>
    <w:rsid w:val="00F425C1"/>
    <w:rsid w:val="00F44A50"/>
    <w:rsid w:val="00F44B97"/>
    <w:rsid w:val="00F47C0B"/>
    <w:rsid w:val="00F50E14"/>
    <w:rsid w:val="00F50FE2"/>
    <w:rsid w:val="00F51DA9"/>
    <w:rsid w:val="00F53F97"/>
    <w:rsid w:val="00F54D55"/>
    <w:rsid w:val="00F561B5"/>
    <w:rsid w:val="00F57327"/>
    <w:rsid w:val="00F617EF"/>
    <w:rsid w:val="00F61B96"/>
    <w:rsid w:val="00F6408C"/>
    <w:rsid w:val="00F64257"/>
    <w:rsid w:val="00F6444D"/>
    <w:rsid w:val="00F65985"/>
    <w:rsid w:val="00F67A09"/>
    <w:rsid w:val="00F707F4"/>
    <w:rsid w:val="00F70C78"/>
    <w:rsid w:val="00F717D0"/>
    <w:rsid w:val="00F71E4A"/>
    <w:rsid w:val="00F7241C"/>
    <w:rsid w:val="00F7279C"/>
    <w:rsid w:val="00F75D43"/>
    <w:rsid w:val="00F775D6"/>
    <w:rsid w:val="00F775EB"/>
    <w:rsid w:val="00F82737"/>
    <w:rsid w:val="00F829CA"/>
    <w:rsid w:val="00F84FDD"/>
    <w:rsid w:val="00F8552C"/>
    <w:rsid w:val="00F8557D"/>
    <w:rsid w:val="00F86C1B"/>
    <w:rsid w:val="00F93753"/>
    <w:rsid w:val="00F94704"/>
    <w:rsid w:val="00F95129"/>
    <w:rsid w:val="00F952F9"/>
    <w:rsid w:val="00F95BB6"/>
    <w:rsid w:val="00FA0A7B"/>
    <w:rsid w:val="00FA2D08"/>
    <w:rsid w:val="00FA301A"/>
    <w:rsid w:val="00FA451B"/>
    <w:rsid w:val="00FA60B1"/>
    <w:rsid w:val="00FA6D23"/>
    <w:rsid w:val="00FB0C11"/>
    <w:rsid w:val="00FB21A2"/>
    <w:rsid w:val="00FB38FB"/>
    <w:rsid w:val="00FB4399"/>
    <w:rsid w:val="00FB606B"/>
    <w:rsid w:val="00FC04EC"/>
    <w:rsid w:val="00FC164D"/>
    <w:rsid w:val="00FC2302"/>
    <w:rsid w:val="00FC2E1F"/>
    <w:rsid w:val="00FC307E"/>
    <w:rsid w:val="00FC331F"/>
    <w:rsid w:val="00FC3BB0"/>
    <w:rsid w:val="00FC7534"/>
    <w:rsid w:val="00FC7BAF"/>
    <w:rsid w:val="00FD08F6"/>
    <w:rsid w:val="00FD1DC4"/>
    <w:rsid w:val="00FD2EA4"/>
    <w:rsid w:val="00FD37D9"/>
    <w:rsid w:val="00FD3E48"/>
    <w:rsid w:val="00FD438D"/>
    <w:rsid w:val="00FD4611"/>
    <w:rsid w:val="00FD5037"/>
    <w:rsid w:val="00FE097E"/>
    <w:rsid w:val="00FE1D09"/>
    <w:rsid w:val="00FE2DA8"/>
    <w:rsid w:val="00FE3E96"/>
    <w:rsid w:val="00FE42E1"/>
    <w:rsid w:val="00FE4532"/>
    <w:rsid w:val="00FE67FF"/>
    <w:rsid w:val="00FE7161"/>
    <w:rsid w:val="00FE7371"/>
    <w:rsid w:val="00FE75BC"/>
    <w:rsid w:val="00FE7FC6"/>
    <w:rsid w:val="00FF3ECC"/>
    <w:rsid w:val="00FF7837"/>
    <w:rsid w:val="00FF7A82"/>
    <w:rsid w:val="01062568"/>
    <w:rsid w:val="0110086D"/>
    <w:rsid w:val="012E66F0"/>
    <w:rsid w:val="01D73F93"/>
    <w:rsid w:val="022A4E9F"/>
    <w:rsid w:val="02FE596D"/>
    <w:rsid w:val="04047629"/>
    <w:rsid w:val="04257291"/>
    <w:rsid w:val="04EB7665"/>
    <w:rsid w:val="0518255C"/>
    <w:rsid w:val="05F620E4"/>
    <w:rsid w:val="06914B61"/>
    <w:rsid w:val="06917555"/>
    <w:rsid w:val="06EE5787"/>
    <w:rsid w:val="07780571"/>
    <w:rsid w:val="07FF0254"/>
    <w:rsid w:val="08CD2FFA"/>
    <w:rsid w:val="09313959"/>
    <w:rsid w:val="095360E4"/>
    <w:rsid w:val="09541C09"/>
    <w:rsid w:val="0A312776"/>
    <w:rsid w:val="0A3C76D8"/>
    <w:rsid w:val="0ACB07E4"/>
    <w:rsid w:val="0D7D6BDD"/>
    <w:rsid w:val="0EE220D3"/>
    <w:rsid w:val="0FEE7A27"/>
    <w:rsid w:val="10BE6B5A"/>
    <w:rsid w:val="111435C3"/>
    <w:rsid w:val="11BC4CA9"/>
    <w:rsid w:val="12321153"/>
    <w:rsid w:val="132D1A40"/>
    <w:rsid w:val="14422ADE"/>
    <w:rsid w:val="14631532"/>
    <w:rsid w:val="15B64924"/>
    <w:rsid w:val="15ED19FB"/>
    <w:rsid w:val="16194940"/>
    <w:rsid w:val="163C474C"/>
    <w:rsid w:val="168672A9"/>
    <w:rsid w:val="17FA1325"/>
    <w:rsid w:val="18752D39"/>
    <w:rsid w:val="195B3942"/>
    <w:rsid w:val="1A2D47D5"/>
    <w:rsid w:val="1AF61645"/>
    <w:rsid w:val="1AFB0F33"/>
    <w:rsid w:val="1DCE6EB7"/>
    <w:rsid w:val="1EC06148"/>
    <w:rsid w:val="1ECC75B4"/>
    <w:rsid w:val="1F370D18"/>
    <w:rsid w:val="1F3F337B"/>
    <w:rsid w:val="22404224"/>
    <w:rsid w:val="22461C57"/>
    <w:rsid w:val="228E1C3D"/>
    <w:rsid w:val="2312389A"/>
    <w:rsid w:val="231C218F"/>
    <w:rsid w:val="23286ABE"/>
    <w:rsid w:val="23412A92"/>
    <w:rsid w:val="2361038F"/>
    <w:rsid w:val="23C40CCA"/>
    <w:rsid w:val="24734B74"/>
    <w:rsid w:val="251147F0"/>
    <w:rsid w:val="25C1463B"/>
    <w:rsid w:val="25E75AD8"/>
    <w:rsid w:val="26251FBA"/>
    <w:rsid w:val="26FC0D27"/>
    <w:rsid w:val="282511C6"/>
    <w:rsid w:val="288969EB"/>
    <w:rsid w:val="28E468EF"/>
    <w:rsid w:val="28EB48F4"/>
    <w:rsid w:val="29102096"/>
    <w:rsid w:val="2958457A"/>
    <w:rsid w:val="29EF7794"/>
    <w:rsid w:val="2A60602A"/>
    <w:rsid w:val="2AA40CA6"/>
    <w:rsid w:val="2AB951CD"/>
    <w:rsid w:val="2B2A12A1"/>
    <w:rsid w:val="2B6F4D64"/>
    <w:rsid w:val="2C570591"/>
    <w:rsid w:val="2CB93204"/>
    <w:rsid w:val="2CF1234D"/>
    <w:rsid w:val="2D0F5CA4"/>
    <w:rsid w:val="2D7C55CE"/>
    <w:rsid w:val="2D905FD8"/>
    <w:rsid w:val="2DAC2D0D"/>
    <w:rsid w:val="2DF55AC4"/>
    <w:rsid w:val="2E5B4B31"/>
    <w:rsid w:val="2EBF4B0B"/>
    <w:rsid w:val="304A56D7"/>
    <w:rsid w:val="30B5353B"/>
    <w:rsid w:val="30C95D95"/>
    <w:rsid w:val="30CD46CF"/>
    <w:rsid w:val="30EF04E5"/>
    <w:rsid w:val="320A6B06"/>
    <w:rsid w:val="325219B1"/>
    <w:rsid w:val="343F03CD"/>
    <w:rsid w:val="35EB299F"/>
    <w:rsid w:val="36332174"/>
    <w:rsid w:val="366B3836"/>
    <w:rsid w:val="37C808F3"/>
    <w:rsid w:val="37F41976"/>
    <w:rsid w:val="385336E3"/>
    <w:rsid w:val="38E11CE9"/>
    <w:rsid w:val="39587B19"/>
    <w:rsid w:val="395C1450"/>
    <w:rsid w:val="397043E1"/>
    <w:rsid w:val="398D5417"/>
    <w:rsid w:val="39C80EF1"/>
    <w:rsid w:val="3A1C38C9"/>
    <w:rsid w:val="3A886B73"/>
    <w:rsid w:val="3B6B76DE"/>
    <w:rsid w:val="3D960F5C"/>
    <w:rsid w:val="3DA33F10"/>
    <w:rsid w:val="3DB45DCE"/>
    <w:rsid w:val="3DF33E62"/>
    <w:rsid w:val="3DF93228"/>
    <w:rsid w:val="3E0631A8"/>
    <w:rsid w:val="3E334753"/>
    <w:rsid w:val="3E341F22"/>
    <w:rsid w:val="3EFE39BC"/>
    <w:rsid w:val="3F322DDC"/>
    <w:rsid w:val="3F9C0433"/>
    <w:rsid w:val="3FB22468"/>
    <w:rsid w:val="3FD03516"/>
    <w:rsid w:val="40704D9C"/>
    <w:rsid w:val="40F26E2B"/>
    <w:rsid w:val="419A0CB9"/>
    <w:rsid w:val="41D0247E"/>
    <w:rsid w:val="422A57B3"/>
    <w:rsid w:val="42582FF3"/>
    <w:rsid w:val="42C30C78"/>
    <w:rsid w:val="431A70CF"/>
    <w:rsid w:val="433F4D5B"/>
    <w:rsid w:val="43CB68D8"/>
    <w:rsid w:val="4404365C"/>
    <w:rsid w:val="44F46ED7"/>
    <w:rsid w:val="453610C7"/>
    <w:rsid w:val="45E56396"/>
    <w:rsid w:val="460F3535"/>
    <w:rsid w:val="464E0CFF"/>
    <w:rsid w:val="46733D3C"/>
    <w:rsid w:val="46C20D57"/>
    <w:rsid w:val="46F278F0"/>
    <w:rsid w:val="47DB7442"/>
    <w:rsid w:val="47F92F5A"/>
    <w:rsid w:val="4922289F"/>
    <w:rsid w:val="49490E9D"/>
    <w:rsid w:val="4A040084"/>
    <w:rsid w:val="4A3E7F7A"/>
    <w:rsid w:val="4AB24F23"/>
    <w:rsid w:val="4AB94531"/>
    <w:rsid w:val="4B7D22F1"/>
    <w:rsid w:val="4B7D3360"/>
    <w:rsid w:val="4C2E026C"/>
    <w:rsid w:val="4CB55129"/>
    <w:rsid w:val="4CE17719"/>
    <w:rsid w:val="4D3708B9"/>
    <w:rsid w:val="4D712175"/>
    <w:rsid w:val="4DA91B2F"/>
    <w:rsid w:val="4E4E19C6"/>
    <w:rsid w:val="4FC36AE9"/>
    <w:rsid w:val="4FD4785C"/>
    <w:rsid w:val="50102090"/>
    <w:rsid w:val="501C02F6"/>
    <w:rsid w:val="508B2E02"/>
    <w:rsid w:val="521A3932"/>
    <w:rsid w:val="522B3A32"/>
    <w:rsid w:val="526B0F2C"/>
    <w:rsid w:val="530E030A"/>
    <w:rsid w:val="53DD55C9"/>
    <w:rsid w:val="53DD779E"/>
    <w:rsid w:val="545D7042"/>
    <w:rsid w:val="54E9085C"/>
    <w:rsid w:val="551750AA"/>
    <w:rsid w:val="55751EE4"/>
    <w:rsid w:val="561B3F2C"/>
    <w:rsid w:val="568E7068"/>
    <w:rsid w:val="56C75F6E"/>
    <w:rsid w:val="577D2A23"/>
    <w:rsid w:val="579D2149"/>
    <w:rsid w:val="57CE6474"/>
    <w:rsid w:val="583823D9"/>
    <w:rsid w:val="58387855"/>
    <w:rsid w:val="58DD0F90"/>
    <w:rsid w:val="59096118"/>
    <w:rsid w:val="5A3B5E03"/>
    <w:rsid w:val="5A683EF2"/>
    <w:rsid w:val="5AF14998"/>
    <w:rsid w:val="5BEB3332"/>
    <w:rsid w:val="5BF14768"/>
    <w:rsid w:val="5CFB2C3B"/>
    <w:rsid w:val="5D575A70"/>
    <w:rsid w:val="5D82083A"/>
    <w:rsid w:val="5E977F24"/>
    <w:rsid w:val="5EC75902"/>
    <w:rsid w:val="5F1740C6"/>
    <w:rsid w:val="5F2F14FC"/>
    <w:rsid w:val="5FF0707F"/>
    <w:rsid w:val="60097941"/>
    <w:rsid w:val="60552507"/>
    <w:rsid w:val="618D6BC0"/>
    <w:rsid w:val="61C30F79"/>
    <w:rsid w:val="62195B8D"/>
    <w:rsid w:val="628141A5"/>
    <w:rsid w:val="62B01E99"/>
    <w:rsid w:val="62DF5BB7"/>
    <w:rsid w:val="63D94EF7"/>
    <w:rsid w:val="645A5A66"/>
    <w:rsid w:val="645F03F7"/>
    <w:rsid w:val="65BA1597"/>
    <w:rsid w:val="66172CA9"/>
    <w:rsid w:val="66AF3067"/>
    <w:rsid w:val="66BF0816"/>
    <w:rsid w:val="67003FBC"/>
    <w:rsid w:val="672C00CA"/>
    <w:rsid w:val="67356939"/>
    <w:rsid w:val="679E4621"/>
    <w:rsid w:val="68390514"/>
    <w:rsid w:val="685E62D6"/>
    <w:rsid w:val="68E8578E"/>
    <w:rsid w:val="6921080F"/>
    <w:rsid w:val="692B4124"/>
    <w:rsid w:val="694C590F"/>
    <w:rsid w:val="69CF5EAF"/>
    <w:rsid w:val="69FE2BCD"/>
    <w:rsid w:val="6A7A5030"/>
    <w:rsid w:val="6A90267B"/>
    <w:rsid w:val="6A931AE4"/>
    <w:rsid w:val="6C0F7E73"/>
    <w:rsid w:val="6DCC541A"/>
    <w:rsid w:val="6E0E6C31"/>
    <w:rsid w:val="700E7AE9"/>
    <w:rsid w:val="710E72EF"/>
    <w:rsid w:val="71944952"/>
    <w:rsid w:val="71F31C5C"/>
    <w:rsid w:val="73B245A0"/>
    <w:rsid w:val="73C158FC"/>
    <w:rsid w:val="745869C4"/>
    <w:rsid w:val="74862C8B"/>
    <w:rsid w:val="756F66AF"/>
    <w:rsid w:val="7599784B"/>
    <w:rsid w:val="76021DF9"/>
    <w:rsid w:val="760A701E"/>
    <w:rsid w:val="76855510"/>
    <w:rsid w:val="779759A0"/>
    <w:rsid w:val="77B16DC4"/>
    <w:rsid w:val="78C0369F"/>
    <w:rsid w:val="790E1869"/>
    <w:rsid w:val="794355DF"/>
    <w:rsid w:val="79993657"/>
    <w:rsid w:val="79E3479E"/>
    <w:rsid w:val="7A0172A3"/>
    <w:rsid w:val="7B360745"/>
    <w:rsid w:val="7B674066"/>
    <w:rsid w:val="7CC16C74"/>
    <w:rsid w:val="7CF20E9F"/>
    <w:rsid w:val="7DC01004"/>
    <w:rsid w:val="7E0F719A"/>
    <w:rsid w:val="7E2D6567"/>
    <w:rsid w:val="7E9A463E"/>
    <w:rsid w:val="7EF6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9"/>
    <w:qFormat/>
    <w:uiPriority w:val="0"/>
    <w:pPr>
      <w:keepNext/>
      <w:keepLines/>
      <w:spacing w:before="260" w:after="260" w:line="416" w:lineRule="auto"/>
      <w:outlineLvl w:val="2"/>
    </w:pPr>
    <w:rPr>
      <w:rFonts w:ascii="Calibri" w:hAnsi="Calibri" w:cs="Times New Roman"/>
      <w:b/>
      <w:bCs/>
      <w:sz w:val="32"/>
      <w:szCs w:val="32"/>
    </w:rPr>
  </w:style>
  <w:style w:type="paragraph" w:styleId="7">
    <w:name w:val="heading 4"/>
    <w:basedOn w:val="1"/>
    <w:next w:val="1"/>
    <w:qFormat/>
    <w:uiPriority w:val="1"/>
    <w:pPr>
      <w:ind w:left="714"/>
      <w:outlineLvl w:val="3"/>
    </w:pPr>
    <w:rPr>
      <w:rFonts w:ascii="宋体" w:hAnsi="宋体" w:eastAsia="宋体" w:cs="宋体"/>
      <w:b/>
      <w:bCs/>
      <w:sz w:val="24"/>
      <w:lang w:val="zh-CN" w:bidi="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27"/>
    <w:qFormat/>
    <w:uiPriority w:val="0"/>
    <w:pPr>
      <w:pBdr>
        <w:bottom w:val="single" w:color="auto" w:sz="6" w:space="1"/>
      </w:pBdr>
      <w:tabs>
        <w:tab w:val="center" w:pos="4153"/>
        <w:tab w:val="right" w:pos="8306"/>
      </w:tabs>
      <w:snapToGrid w:val="0"/>
      <w:jc w:val="center"/>
    </w:pPr>
    <w:rPr>
      <w:sz w:val="18"/>
      <w:szCs w:val="18"/>
    </w:rPr>
  </w:style>
  <w:style w:type="paragraph" w:styleId="3">
    <w:name w:val="macro"/>
    <w:link w:val="57"/>
    <w:qFormat/>
    <w:uiPriority w:val="0"/>
    <w:pPr>
      <w:tabs>
        <w:tab w:val="left" w:pos="480"/>
        <w:tab w:val="left" w:pos="960"/>
        <w:tab w:val="left" w:pos="1440"/>
        <w:tab w:val="left" w:pos="1920"/>
        <w:tab w:val="left" w:pos="2400"/>
        <w:tab w:val="left" w:pos="2880"/>
        <w:tab w:val="left" w:pos="3360"/>
        <w:tab w:val="left" w:pos="3840"/>
        <w:tab w:val="left" w:pos="4320"/>
      </w:tabs>
      <w:snapToGri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50"/>
    <w:qFormat/>
    <w:uiPriority w:val="0"/>
    <w:pPr>
      <w:ind w:firstLine="420" w:firstLineChars="200"/>
    </w:pPr>
    <w:rPr>
      <w:rFonts w:ascii="Times New Roman" w:hAnsi="Times New Roman" w:eastAsia="宋体" w:cs="Times New Roman"/>
      <w:szCs w:val="20"/>
    </w:rPr>
  </w:style>
  <w:style w:type="paragraph" w:styleId="9">
    <w:name w:val="annotation text"/>
    <w:basedOn w:val="1"/>
    <w:link w:val="41"/>
    <w:qFormat/>
    <w:uiPriority w:val="0"/>
    <w:pPr>
      <w:jc w:val="left"/>
    </w:pPr>
  </w:style>
  <w:style w:type="paragraph" w:styleId="10">
    <w:name w:val="Body Text"/>
    <w:basedOn w:val="1"/>
    <w:link w:val="51"/>
    <w:qFormat/>
    <w:uiPriority w:val="1"/>
    <w:pPr>
      <w:ind w:left="234"/>
    </w:pPr>
    <w:rPr>
      <w:rFonts w:ascii="宋体" w:hAnsi="宋体" w:eastAsia="宋体" w:cs="宋体"/>
      <w:sz w:val="24"/>
      <w:lang w:val="zh-CN" w:bidi="zh-CN"/>
    </w:rPr>
  </w:style>
  <w:style w:type="paragraph" w:styleId="11">
    <w:name w:val="Body Text Indent"/>
    <w:basedOn w:val="1"/>
    <w:link w:val="46"/>
    <w:qFormat/>
    <w:uiPriority w:val="0"/>
    <w:pPr>
      <w:spacing w:after="120"/>
      <w:ind w:left="420" w:leftChars="200"/>
    </w:pPr>
  </w:style>
  <w:style w:type="paragraph" w:styleId="12">
    <w:name w:val="Plain Text"/>
    <w:basedOn w:val="1"/>
    <w:link w:val="52"/>
    <w:qFormat/>
    <w:uiPriority w:val="0"/>
    <w:rPr>
      <w:rFonts w:ascii="宋体" w:hAnsi="Courier New" w:cs="Courier New"/>
      <w:szCs w:val="21"/>
    </w:rPr>
  </w:style>
  <w:style w:type="paragraph" w:styleId="13">
    <w:name w:val="Balloon Text"/>
    <w:basedOn w:val="1"/>
    <w:link w:val="29"/>
    <w:qFormat/>
    <w:uiPriority w:val="0"/>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Normal (Web)"/>
    <w:basedOn w:val="1"/>
    <w:link w:val="33"/>
    <w:qFormat/>
    <w:uiPriority w:val="99"/>
    <w:pPr>
      <w:widowControl/>
      <w:spacing w:beforeAutospacing="1" w:afterAutospacing="1"/>
      <w:jc w:val="left"/>
    </w:pPr>
    <w:rPr>
      <w:rFonts w:ascii="宋体" w:hAnsi="宋体" w:eastAsia="宋体" w:cs="Times New Roman"/>
      <w:kern w:val="0"/>
      <w:sz w:val="24"/>
      <w:szCs w:val="20"/>
    </w:rPr>
  </w:style>
  <w:style w:type="paragraph" w:styleId="17">
    <w:name w:val="annotation subject"/>
    <w:basedOn w:val="9"/>
    <w:next w:val="9"/>
    <w:link w:val="42"/>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qFormat/>
    <w:uiPriority w:val="0"/>
    <w:rPr>
      <w:color w:val="005C81"/>
      <w:u w:val="none"/>
    </w:rPr>
  </w:style>
  <w:style w:type="character" w:styleId="24">
    <w:name w:val="Emphasis"/>
    <w:basedOn w:val="20"/>
    <w:qFormat/>
    <w:uiPriority w:val="0"/>
  </w:style>
  <w:style w:type="character" w:styleId="25">
    <w:name w:val="Hyperlink"/>
    <w:basedOn w:val="20"/>
    <w:qFormat/>
    <w:uiPriority w:val="0"/>
    <w:rPr>
      <w:color w:val="0000FF"/>
      <w:u w:val="single"/>
    </w:rPr>
  </w:style>
  <w:style w:type="character" w:styleId="26">
    <w:name w:val="annotation reference"/>
    <w:basedOn w:val="20"/>
    <w:qFormat/>
    <w:uiPriority w:val="0"/>
    <w:rPr>
      <w:sz w:val="21"/>
      <w:szCs w:val="21"/>
    </w:rPr>
  </w:style>
  <w:style w:type="character" w:customStyle="1" w:styleId="27">
    <w:name w:val="页眉 字符"/>
    <w:basedOn w:val="20"/>
    <w:link w:val="2"/>
    <w:qFormat/>
    <w:uiPriority w:val="0"/>
    <w:rPr>
      <w:kern w:val="2"/>
      <w:sz w:val="18"/>
      <w:szCs w:val="18"/>
    </w:rPr>
  </w:style>
  <w:style w:type="character" w:customStyle="1" w:styleId="28">
    <w:name w:val="页脚 字符"/>
    <w:basedOn w:val="20"/>
    <w:link w:val="14"/>
    <w:qFormat/>
    <w:uiPriority w:val="99"/>
    <w:rPr>
      <w:kern w:val="2"/>
      <w:sz w:val="18"/>
      <w:szCs w:val="18"/>
    </w:rPr>
  </w:style>
  <w:style w:type="character" w:customStyle="1" w:styleId="29">
    <w:name w:val="批注框文本 字符"/>
    <w:basedOn w:val="20"/>
    <w:link w:val="13"/>
    <w:qFormat/>
    <w:uiPriority w:val="0"/>
    <w:rPr>
      <w:kern w:val="2"/>
      <w:sz w:val="18"/>
      <w:szCs w:val="18"/>
    </w:rPr>
  </w:style>
  <w:style w:type="paragraph" w:customStyle="1" w:styleId="30">
    <w:name w:val="文本正文"/>
    <w:basedOn w:val="1"/>
    <w:qFormat/>
    <w:uiPriority w:val="0"/>
    <w:pPr>
      <w:snapToGrid w:val="0"/>
      <w:spacing w:line="360" w:lineRule="auto"/>
      <w:ind w:firstLine="510"/>
      <w:jc w:val="left"/>
    </w:pPr>
    <w:rPr>
      <w:spacing w:val="4"/>
      <w:kern w:val="24"/>
      <w:lang w:val="zh-CN"/>
    </w:rPr>
  </w:style>
  <w:style w:type="character" w:customStyle="1" w:styleId="31">
    <w:name w:val="页脚 Char1"/>
    <w:basedOn w:val="20"/>
    <w:qFormat/>
    <w:uiPriority w:val="0"/>
    <w:rPr>
      <w:kern w:val="2"/>
      <w:sz w:val="18"/>
      <w:szCs w:val="18"/>
    </w:rPr>
  </w:style>
  <w:style w:type="paragraph" w:customStyle="1" w:styleId="32">
    <w:name w:val="表格"/>
    <w:basedOn w:val="1"/>
    <w:next w:val="1"/>
    <w:link w:val="34"/>
    <w:qFormat/>
    <w:uiPriority w:val="0"/>
    <w:pPr>
      <w:adjustRightInd w:val="0"/>
      <w:snapToGrid w:val="0"/>
      <w:spacing w:beforeLines="10" w:line="256" w:lineRule="auto"/>
      <w:jc w:val="center"/>
    </w:pPr>
    <w:rPr>
      <w:rFonts w:ascii="宋体" w:hAnsi="Times New Roman" w:eastAsia="宋体" w:cs="Times New Roman"/>
      <w:kern w:val="0"/>
      <w:szCs w:val="20"/>
    </w:rPr>
  </w:style>
  <w:style w:type="character" w:customStyle="1" w:styleId="33">
    <w:name w:val="普通(网站) 字符"/>
    <w:basedOn w:val="20"/>
    <w:link w:val="16"/>
    <w:qFormat/>
    <w:uiPriority w:val="0"/>
    <w:rPr>
      <w:rFonts w:ascii="宋体" w:hAnsi="宋体" w:eastAsia="宋体" w:cs="Times New Roman"/>
      <w:sz w:val="24"/>
    </w:rPr>
  </w:style>
  <w:style w:type="character" w:customStyle="1" w:styleId="34">
    <w:name w:val="表格 Char"/>
    <w:basedOn w:val="20"/>
    <w:link w:val="32"/>
    <w:qFormat/>
    <w:uiPriority w:val="0"/>
    <w:rPr>
      <w:rFonts w:ascii="宋体" w:hAnsi="Times New Roman" w:eastAsia="宋体" w:cs="Times New Roman"/>
      <w:sz w:val="21"/>
    </w:rPr>
  </w:style>
  <w:style w:type="paragraph" w:customStyle="1" w:styleId="35">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paragraph" w:customStyle="1" w:styleId="36">
    <w:name w:val="WPSOffice手动目录 1"/>
    <w:qFormat/>
    <w:uiPriority w:val="0"/>
    <w:rPr>
      <w:rFonts w:ascii="Calibri" w:hAnsi="Calibri" w:eastAsia="宋体" w:cs="Calibri"/>
      <w:lang w:val="en-US" w:eastAsia="zh-CN" w:bidi="ar-SA"/>
    </w:rPr>
  </w:style>
  <w:style w:type="paragraph" w:customStyle="1" w:styleId="37">
    <w:name w:val="Table Paragraph"/>
    <w:basedOn w:val="1"/>
    <w:qFormat/>
    <w:uiPriority w:val="1"/>
    <w:rPr>
      <w:rFonts w:ascii="宋体" w:hAnsi="宋体" w:eastAsia="宋体" w:cs="宋体"/>
      <w:lang w:val="zh-CN" w:bidi="zh-CN"/>
    </w:rPr>
  </w:style>
  <w:style w:type="character" w:customStyle="1" w:styleId="38">
    <w:name w:val="font01"/>
    <w:basedOn w:val="20"/>
    <w:qFormat/>
    <w:uiPriority w:val="0"/>
    <w:rPr>
      <w:rFonts w:hint="eastAsia" w:ascii="宋体" w:hAnsi="宋体" w:eastAsia="宋体" w:cs="宋体"/>
      <w:color w:val="000000"/>
      <w:sz w:val="21"/>
      <w:szCs w:val="21"/>
      <w:u w:val="none"/>
    </w:rPr>
  </w:style>
  <w:style w:type="character" w:customStyle="1" w:styleId="39">
    <w:name w:val="font21"/>
    <w:basedOn w:val="20"/>
    <w:qFormat/>
    <w:uiPriority w:val="0"/>
    <w:rPr>
      <w:rFonts w:hint="default" w:ascii="Times New Roman" w:hAnsi="Times New Roman" w:cs="Times New Roman"/>
      <w:color w:val="000000"/>
      <w:sz w:val="21"/>
      <w:szCs w:val="21"/>
      <w:u w:val="none"/>
    </w:rPr>
  </w:style>
  <w:style w:type="character" w:customStyle="1" w:styleId="40">
    <w:name w:val="font11"/>
    <w:basedOn w:val="20"/>
    <w:qFormat/>
    <w:uiPriority w:val="0"/>
    <w:rPr>
      <w:rFonts w:hint="eastAsia" w:ascii="宋体" w:hAnsi="宋体" w:eastAsia="宋体" w:cs="宋体"/>
      <w:color w:val="000000"/>
      <w:sz w:val="21"/>
      <w:szCs w:val="21"/>
      <w:u w:val="none"/>
    </w:rPr>
  </w:style>
  <w:style w:type="character" w:customStyle="1" w:styleId="41">
    <w:name w:val="批注文字 字符"/>
    <w:basedOn w:val="20"/>
    <w:link w:val="9"/>
    <w:qFormat/>
    <w:uiPriority w:val="0"/>
    <w:rPr>
      <w:rFonts w:asciiTheme="minorHAnsi" w:hAnsiTheme="minorHAnsi" w:eastAsiaTheme="minorEastAsia" w:cstheme="minorBidi"/>
      <w:kern w:val="2"/>
      <w:sz w:val="21"/>
      <w:szCs w:val="24"/>
    </w:rPr>
  </w:style>
  <w:style w:type="character" w:customStyle="1" w:styleId="42">
    <w:name w:val="批注主题 字符"/>
    <w:basedOn w:val="41"/>
    <w:link w:val="17"/>
    <w:qFormat/>
    <w:uiPriority w:val="0"/>
    <w:rPr>
      <w:rFonts w:asciiTheme="minorHAnsi" w:hAnsiTheme="minorHAnsi" w:eastAsiaTheme="minorEastAsia" w:cstheme="minorBidi"/>
      <w:b/>
      <w:bCs/>
      <w:kern w:val="2"/>
      <w:sz w:val="21"/>
      <w:szCs w:val="24"/>
    </w:rPr>
  </w:style>
  <w:style w:type="character" w:customStyle="1" w:styleId="43">
    <w:name w:val="15"/>
    <w:qFormat/>
    <w:uiPriority w:val="0"/>
    <w:rPr>
      <w:rFonts w:hint="default" w:ascii="Times New Roman" w:hAnsi="Times New Roman" w:eastAsia="宋体" w:cs="Times New Roman"/>
      <w:kern w:val="2"/>
      <w:sz w:val="21"/>
      <w:szCs w:val="21"/>
    </w:rPr>
  </w:style>
  <w:style w:type="paragraph" w:customStyle="1" w:styleId="44">
    <w:name w:val="样式 标题 1 + 四号 段前: 0 磅 段后: 0 磅 行距: 1.5 倍行距"/>
    <w:basedOn w:val="4"/>
    <w:next w:val="30"/>
    <w:qFormat/>
    <w:uiPriority w:val="0"/>
    <w:pPr>
      <w:adjustRightInd w:val="0"/>
      <w:snapToGrid w:val="0"/>
      <w:spacing w:line="360" w:lineRule="auto"/>
      <w:jc w:val="center"/>
    </w:pPr>
    <w:rPr>
      <w:rFonts w:ascii="Times New Roman" w:hAnsi="Times New Roman" w:cs="Times New Roman"/>
      <w:b w:val="0"/>
      <w:sz w:val="24"/>
      <w:szCs w:val="24"/>
    </w:rPr>
  </w:style>
  <w:style w:type="character" w:customStyle="1" w:styleId="45">
    <w:name w:val="标题 1 字符"/>
    <w:basedOn w:val="20"/>
    <w:link w:val="4"/>
    <w:qFormat/>
    <w:uiPriority w:val="0"/>
    <w:rPr>
      <w:rFonts w:asciiTheme="minorHAnsi" w:hAnsiTheme="minorHAnsi" w:eastAsiaTheme="minorEastAsia" w:cstheme="minorBidi"/>
      <w:b/>
      <w:bCs/>
      <w:kern w:val="44"/>
      <w:sz w:val="44"/>
      <w:szCs w:val="44"/>
    </w:rPr>
  </w:style>
  <w:style w:type="character" w:customStyle="1" w:styleId="46">
    <w:name w:val="正文文本缩进 字符"/>
    <w:basedOn w:val="20"/>
    <w:link w:val="11"/>
    <w:qFormat/>
    <w:uiPriority w:val="0"/>
    <w:rPr>
      <w:rFonts w:asciiTheme="minorHAnsi" w:hAnsiTheme="minorHAnsi" w:eastAsiaTheme="minorEastAsia" w:cstheme="minorBidi"/>
      <w:kern w:val="2"/>
      <w:sz w:val="21"/>
      <w:szCs w:val="24"/>
    </w:rPr>
  </w:style>
  <w:style w:type="character" w:customStyle="1" w:styleId="47">
    <w:name w:val="标题 2 字符"/>
    <w:basedOn w:val="20"/>
    <w:link w:val="5"/>
    <w:qFormat/>
    <w:uiPriority w:val="0"/>
    <w:rPr>
      <w:rFonts w:ascii="Arial" w:hAnsi="Arial" w:eastAsia="黑体"/>
      <w:b/>
      <w:bCs/>
      <w:kern w:val="2"/>
      <w:sz w:val="32"/>
      <w:szCs w:val="32"/>
    </w:rPr>
  </w:style>
  <w:style w:type="character" w:customStyle="1" w:styleId="48">
    <w:name w:val="页脚 字符1"/>
    <w:qFormat/>
    <w:locked/>
    <w:uiPriority w:val="99"/>
    <w:rPr>
      <w:sz w:val="18"/>
    </w:rPr>
  </w:style>
  <w:style w:type="character" w:customStyle="1" w:styleId="49">
    <w:name w:val="标题 3 字符"/>
    <w:basedOn w:val="20"/>
    <w:link w:val="6"/>
    <w:qFormat/>
    <w:uiPriority w:val="0"/>
    <w:rPr>
      <w:rFonts w:ascii="Calibri" w:hAnsi="Calibri" w:eastAsiaTheme="minorEastAsia"/>
      <w:b/>
      <w:bCs/>
      <w:kern w:val="2"/>
      <w:sz w:val="32"/>
      <w:szCs w:val="32"/>
    </w:rPr>
  </w:style>
  <w:style w:type="character" w:customStyle="1" w:styleId="50">
    <w:name w:val="正文缩进 字符"/>
    <w:link w:val="8"/>
    <w:qFormat/>
    <w:uiPriority w:val="0"/>
    <w:rPr>
      <w:kern w:val="2"/>
      <w:sz w:val="21"/>
    </w:rPr>
  </w:style>
  <w:style w:type="character" w:customStyle="1" w:styleId="51">
    <w:name w:val="正文文本 字符"/>
    <w:basedOn w:val="20"/>
    <w:link w:val="10"/>
    <w:qFormat/>
    <w:uiPriority w:val="1"/>
    <w:rPr>
      <w:rFonts w:ascii="宋体" w:hAnsi="宋体" w:cs="宋体"/>
      <w:kern w:val="2"/>
      <w:sz w:val="24"/>
      <w:szCs w:val="24"/>
      <w:lang w:val="zh-CN" w:bidi="zh-CN"/>
    </w:rPr>
  </w:style>
  <w:style w:type="character" w:customStyle="1" w:styleId="52">
    <w:name w:val="纯文本 字符"/>
    <w:basedOn w:val="20"/>
    <w:link w:val="12"/>
    <w:qFormat/>
    <w:uiPriority w:val="0"/>
    <w:rPr>
      <w:rFonts w:ascii="宋体" w:hAnsi="Courier New" w:cs="Courier New" w:eastAsiaTheme="minorEastAsia"/>
      <w:kern w:val="2"/>
      <w:sz w:val="21"/>
      <w:szCs w:val="21"/>
    </w:rPr>
  </w:style>
  <w:style w:type="paragraph" w:customStyle="1" w:styleId="53">
    <w:name w:val="样式 样式 样式 首行缩进:  1 字符 + 首行缩进:  2 字符1 + 首行缩进:  2 字符2"/>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54">
    <w:name w:val="正文缩进 Char"/>
    <w:qFormat/>
    <w:uiPriority w:val="0"/>
    <w:rPr>
      <w:kern w:val="2"/>
      <w:sz w:val="21"/>
    </w:rPr>
  </w:style>
  <w:style w:type="paragraph" w:customStyle="1" w:styleId="55">
    <w:name w:val="标准正文"/>
    <w:basedOn w:val="1"/>
    <w:qFormat/>
    <w:uiPriority w:val="0"/>
    <w:pPr>
      <w:spacing w:line="360" w:lineRule="auto"/>
      <w:ind w:firstLine="200" w:firstLineChars="200"/>
    </w:pPr>
    <w:rPr>
      <w:rFonts w:ascii="Times New Roman" w:hAnsi="宋体" w:eastAsia="宋体" w:cs="Times New Roman"/>
      <w:sz w:val="24"/>
    </w:rPr>
  </w:style>
  <w:style w:type="character" w:customStyle="1" w:styleId="56">
    <w:name w:val="NormalCharacter"/>
    <w:qFormat/>
    <w:uiPriority w:val="0"/>
  </w:style>
  <w:style w:type="character" w:customStyle="1" w:styleId="57">
    <w:name w:val="宏文本 字符"/>
    <w:basedOn w:val="20"/>
    <w:link w:val="3"/>
    <w:qFormat/>
    <w:uiPriority w:val="0"/>
    <w:rPr>
      <w:rFonts w:ascii="Courier New" w:hAnsi="Courier New"/>
      <w:kern w:val="2"/>
      <w:sz w:val="24"/>
      <w:szCs w:val="24"/>
    </w:rPr>
  </w:style>
  <w:style w:type="character" w:customStyle="1" w:styleId="58">
    <w:name w:val="HTML 预设格式 字符"/>
    <w:basedOn w:val="20"/>
    <w:link w:val="15"/>
    <w:qFormat/>
    <w:uiPriority w:val="99"/>
    <w:rPr>
      <w:rFonts w:ascii="宋体" w:hAnsi="宋体" w:cs="宋体"/>
      <w:sz w:val="24"/>
      <w:szCs w:val="24"/>
    </w:rPr>
  </w:style>
  <w:style w:type="character" w:customStyle="1" w:styleId="59">
    <w:name w:val="表头 Char"/>
    <w:link w:val="60"/>
    <w:qFormat/>
    <w:uiPriority w:val="0"/>
    <w:rPr>
      <w:rFonts w:hAnsi="宋体"/>
      <w:b/>
      <w:color w:val="000000"/>
      <w:kern w:val="2"/>
      <w:sz w:val="21"/>
      <w:szCs w:val="21"/>
    </w:rPr>
  </w:style>
  <w:style w:type="paragraph" w:customStyle="1" w:styleId="60">
    <w:name w:val="表头"/>
    <w:basedOn w:val="1"/>
    <w:link w:val="59"/>
    <w:qFormat/>
    <w:uiPriority w:val="0"/>
    <w:pPr>
      <w:spacing w:before="156" w:beforeLines="50" w:line="480" w:lineRule="exact"/>
      <w:jc w:val="center"/>
    </w:pPr>
    <w:rPr>
      <w:rFonts w:ascii="Times New Roman" w:hAnsi="宋体" w:eastAsia="宋体" w:cs="Times New Roman"/>
      <w:b/>
      <w:color w:val="000000"/>
      <w:szCs w:val="21"/>
    </w:rPr>
  </w:style>
  <w:style w:type="paragraph" w:customStyle="1" w:styleId="61">
    <w:name w:val="Char Char Char Char Char Char Char Char Char Char Char Char Char Char Char Char Char Char Char"/>
    <w:basedOn w:val="1"/>
    <w:semiHidden/>
    <w:qFormat/>
    <w:uiPriority w:val="0"/>
    <w:rPr>
      <w:rFonts w:ascii="Times New Roman" w:hAnsi="Times New Roman" w:eastAsia="宋体" w:cs="Times New Roman"/>
    </w:rPr>
  </w:style>
  <w:style w:type="paragraph" w:customStyle="1" w:styleId="62">
    <w:name w:val="F正文"/>
    <w:basedOn w:val="1"/>
    <w:qFormat/>
    <w:uiPriority w:val="0"/>
    <w:pPr>
      <w:ind w:firstLine="480"/>
      <w:jc w:val="left"/>
    </w:pPr>
    <w:rPr>
      <w:rFonts w:ascii="Times New Roman" w:hAnsi="Times New Roman" w:eastAsia="宋体" w:cs="Times New Roman"/>
      <w:kern w:val="0"/>
    </w:rPr>
  </w:style>
  <w:style w:type="paragraph" w:customStyle="1" w:styleId="63">
    <w:name w:val="加粗字体格式"/>
    <w:basedOn w:val="1"/>
    <w:qFormat/>
    <w:uiPriority w:val="0"/>
    <w:pPr>
      <w:spacing w:line="360" w:lineRule="auto"/>
      <w:ind w:firstLine="482" w:firstLineChars="200"/>
    </w:pPr>
    <w:rPr>
      <w:rFonts w:ascii="Calibri" w:hAnsi="Calibri" w:cs="宋体"/>
      <w:b/>
      <w:bCs/>
      <w:snapToGrid w:val="0"/>
      <w:szCs w:val="20"/>
    </w:rPr>
  </w:style>
  <w:style w:type="paragraph" w:customStyle="1" w:styleId="64">
    <w:name w:val="文章专用样式"/>
    <w:basedOn w:val="1"/>
    <w:qFormat/>
    <w:uiPriority w:val="0"/>
    <w:pPr>
      <w:spacing w:line="360" w:lineRule="auto"/>
      <w:ind w:firstLine="200" w:firstLineChars="200"/>
    </w:pPr>
    <w:rPr>
      <w:rFonts w:ascii="Calibri" w:hAnsi="Calibri" w:cs="宋体"/>
      <w:snapToGrid w:val="0"/>
    </w:rPr>
  </w:style>
  <w:style w:type="paragraph" w:customStyle="1" w:styleId="65">
    <w:name w:val="表格文字2"/>
    <w:basedOn w:val="1"/>
    <w:qFormat/>
    <w:uiPriority w:val="0"/>
    <w:pPr>
      <w:adjustRightInd w:val="0"/>
      <w:spacing w:before="60"/>
      <w:jc w:val="center"/>
      <w:textAlignment w:val="baseline"/>
    </w:pPr>
    <w:rPr>
      <w:rFonts w:ascii="宋体" w:hAnsi="Calibri" w:cs="Times New Roman"/>
      <w:kern w:val="0"/>
      <w:szCs w:val="21"/>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127</Pages>
  <Words>14900</Words>
  <Characters>15418</Characters>
  <Lines>694</Lines>
  <Paragraphs>195</Paragraphs>
  <TotalTime>11854</TotalTime>
  <ScaleCrop>false</ScaleCrop>
  <LinksUpToDate>false</LinksUpToDate>
  <CharactersWithSpaces>15581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2021-05-07T03:00:00Z</dcterms:created>
  <dc:creator>YANGNN_</dc:creator>
  <cp:lastModifiedBy>刘变香</cp:lastModifiedBy>
  <cp:lastPrinted>2022-07-10T07:15:00Z</cp:lastPrinted>
  <dcterms:modified xsi:type="dcterms:W3CDTF">2025-04-09T01:56:41Z</dcterms:modified>
  <cp:revision>1008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E1AC63BC9B014B50BD04AF2935645934</vt:lpwstr>
  </property>
</Properties>
</file>