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8F037">
      <w:pPr>
        <w:rPr>
          <w:rFonts w:hint="eastAsia"/>
          <w:lang w:eastAsia="zh-CN"/>
        </w:rPr>
      </w:pPr>
      <w:r>
        <w:rPr>
          <w:rFonts w:hint="eastAsia" w:ascii="宋体" w:hAnsi="宋体" w:eastAsia="宋体" w:cs="宋体"/>
          <w:b/>
          <w:bCs/>
          <w:sz w:val="72"/>
          <w:szCs w:val="72"/>
          <w:lang w:eastAsia="zh-CN"/>
        </w:rPr>
        <w:t>建设项目环境影响报告表</w:t>
      </w:r>
    </w:p>
    <w:p w14:paraId="4142A494">
      <w:pPr>
        <w:jc w:val="center"/>
        <w:rPr>
          <w:rFonts w:hint="eastAsia" w:ascii="宋体" w:hAnsi="宋体" w:eastAsia="宋体" w:cs="宋体"/>
          <w:b/>
          <w:bCs/>
          <w:sz w:val="28"/>
          <w:szCs w:val="28"/>
          <w:lang w:eastAsia="zh-CN"/>
        </w:rPr>
      </w:pPr>
    </w:p>
    <w:p w14:paraId="58E2A437">
      <w:pPr>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w:t>
      </w:r>
      <w:r>
        <w:rPr>
          <w:rFonts w:hint="eastAsia" w:ascii="宋体" w:hAnsi="宋体" w:cs="宋体"/>
          <w:b/>
          <w:bCs/>
          <w:sz w:val="32"/>
          <w:szCs w:val="32"/>
          <w:lang w:eastAsia="zh-CN"/>
        </w:rPr>
        <w:t>报批</w:t>
      </w:r>
      <w:r>
        <w:rPr>
          <w:rFonts w:hint="eastAsia" w:ascii="宋体" w:hAnsi="宋体" w:eastAsia="宋体" w:cs="宋体"/>
          <w:b/>
          <w:bCs/>
          <w:sz w:val="32"/>
          <w:szCs w:val="32"/>
          <w:lang w:eastAsia="zh-CN"/>
        </w:rPr>
        <w:t>稿）</w:t>
      </w:r>
    </w:p>
    <w:p w14:paraId="177F2B6E">
      <w:pPr>
        <w:jc w:val="center"/>
        <w:rPr>
          <w:rFonts w:hint="eastAsia" w:ascii="宋体" w:hAnsi="宋体" w:eastAsia="宋体" w:cs="宋体"/>
          <w:b/>
          <w:bCs/>
          <w:sz w:val="32"/>
          <w:szCs w:val="32"/>
          <w:lang w:eastAsia="zh-CN"/>
        </w:rPr>
      </w:pPr>
    </w:p>
    <w:p w14:paraId="7F859A39">
      <w:pPr>
        <w:jc w:val="center"/>
        <w:rPr>
          <w:rFonts w:hint="eastAsia" w:ascii="宋体" w:hAnsi="宋体" w:eastAsia="宋体" w:cs="宋体"/>
          <w:b/>
          <w:bCs/>
          <w:sz w:val="32"/>
          <w:szCs w:val="32"/>
          <w:lang w:eastAsia="zh-CN"/>
        </w:rPr>
      </w:pPr>
    </w:p>
    <w:p w14:paraId="1264B7AB">
      <w:pPr>
        <w:jc w:val="center"/>
        <w:rPr>
          <w:rFonts w:hint="eastAsia" w:ascii="宋体" w:hAnsi="宋体" w:eastAsia="宋体" w:cs="宋体"/>
          <w:b/>
          <w:bCs/>
          <w:sz w:val="32"/>
          <w:szCs w:val="32"/>
          <w:lang w:eastAsia="zh-CN"/>
        </w:rPr>
      </w:pPr>
    </w:p>
    <w:p w14:paraId="5531AD6A">
      <w:pPr>
        <w:spacing w:line="560" w:lineRule="exact"/>
        <w:rPr>
          <w:b/>
          <w:color w:val="auto"/>
          <w:sz w:val="28"/>
          <w:szCs w:val="28"/>
          <w:highlight w:val="none"/>
        </w:rPr>
      </w:pPr>
    </w:p>
    <w:p w14:paraId="429A3FF4">
      <w:pPr>
        <w:spacing w:line="560" w:lineRule="exact"/>
        <w:ind w:firstLine="562" w:firstLineChars="200"/>
        <w:rPr>
          <w:b/>
          <w:color w:val="auto"/>
          <w:sz w:val="28"/>
          <w:szCs w:val="28"/>
          <w:highlight w:val="none"/>
          <w:u w:val="single"/>
        </w:rPr>
      </w:pPr>
      <w:r>
        <w:rPr>
          <w:b/>
          <w:color w:val="auto"/>
          <w:sz w:val="28"/>
          <w:szCs w:val="28"/>
          <w:highlight w:val="none"/>
        </w:rPr>
        <w:t>项 目 名 称：</w:t>
      </w:r>
      <w:r>
        <w:rPr>
          <w:rFonts w:hint="eastAsia"/>
          <w:b/>
          <w:color w:val="auto"/>
          <w:sz w:val="28"/>
          <w:szCs w:val="28"/>
          <w:highlight w:val="none"/>
          <w:u w:val="single"/>
          <w:lang w:eastAsia="zh-CN"/>
        </w:rPr>
        <w:t>芒市火车站片区主要道路建设项目</w:t>
      </w:r>
      <w:r>
        <w:rPr>
          <w:b/>
          <w:color w:val="auto"/>
          <w:sz w:val="28"/>
          <w:szCs w:val="28"/>
          <w:highlight w:val="none"/>
          <w:u w:val="single"/>
        </w:rPr>
        <w:t xml:space="preserve">  </w:t>
      </w:r>
    </w:p>
    <w:p w14:paraId="2A3052B3">
      <w:pPr>
        <w:jc w:val="both"/>
        <w:rPr>
          <w:b/>
          <w:color w:val="auto"/>
          <w:sz w:val="28"/>
          <w:szCs w:val="28"/>
          <w:highlight w:val="none"/>
        </w:rPr>
      </w:pPr>
    </w:p>
    <w:p w14:paraId="55C0B500">
      <w:pPr>
        <w:ind w:firstLine="562" w:firstLineChars="200"/>
        <w:jc w:val="both"/>
        <w:rPr>
          <w:rFonts w:hint="eastAsia" w:ascii="宋体" w:hAnsi="宋体" w:eastAsia="宋体" w:cs="宋体"/>
          <w:b/>
          <w:bCs/>
          <w:sz w:val="32"/>
          <w:szCs w:val="32"/>
          <w:lang w:eastAsia="zh-CN"/>
        </w:rPr>
      </w:pPr>
      <w:r>
        <w:rPr>
          <w:b/>
          <w:color w:val="auto"/>
          <w:sz w:val="28"/>
          <w:szCs w:val="28"/>
          <w:highlight w:val="none"/>
        </w:rPr>
        <w:t>建设单位（盖章）：</w:t>
      </w:r>
      <w:r>
        <w:rPr>
          <w:b/>
          <w:color w:val="auto"/>
          <w:sz w:val="28"/>
          <w:szCs w:val="28"/>
          <w:highlight w:val="none"/>
          <w:u w:val="single"/>
        </w:rPr>
        <w:t xml:space="preserve"> </w:t>
      </w:r>
      <w:r>
        <w:rPr>
          <w:rFonts w:hint="eastAsia"/>
          <w:b/>
          <w:color w:val="auto"/>
          <w:sz w:val="28"/>
          <w:szCs w:val="28"/>
          <w:highlight w:val="none"/>
          <w:u w:val="single"/>
          <w:lang w:eastAsia="zh-CN"/>
        </w:rPr>
        <w:t>芒市城市建设投资开发有限公司</w:t>
      </w:r>
      <w:r>
        <w:rPr>
          <w:rFonts w:hint="eastAsia"/>
          <w:b/>
          <w:color w:val="auto"/>
          <w:sz w:val="28"/>
          <w:szCs w:val="28"/>
          <w:highlight w:val="none"/>
          <w:u w:val="single"/>
        </w:rPr>
        <w:t xml:space="preserve"> </w:t>
      </w:r>
    </w:p>
    <w:p w14:paraId="60C44A8D">
      <w:pPr>
        <w:snapToGrid w:val="0"/>
        <w:spacing w:line="360" w:lineRule="auto"/>
        <w:jc w:val="center"/>
        <w:rPr>
          <w:rFonts w:hint="eastAsia"/>
          <w:lang w:eastAsia="zh-CN"/>
        </w:rPr>
      </w:pPr>
    </w:p>
    <w:p w14:paraId="03AA3AE9">
      <w:pPr>
        <w:snapToGrid w:val="0"/>
        <w:spacing w:line="360" w:lineRule="auto"/>
        <w:jc w:val="center"/>
        <w:rPr>
          <w:rFonts w:hint="eastAsia"/>
          <w:lang w:eastAsia="zh-CN"/>
        </w:rPr>
      </w:pPr>
    </w:p>
    <w:p w14:paraId="199C5DDB">
      <w:pPr>
        <w:snapToGrid w:val="0"/>
        <w:spacing w:line="360" w:lineRule="auto"/>
        <w:jc w:val="center"/>
        <w:rPr>
          <w:rFonts w:hint="eastAsia"/>
          <w:lang w:eastAsia="zh-CN"/>
        </w:rPr>
      </w:pPr>
    </w:p>
    <w:p w14:paraId="2AB66E4D">
      <w:pPr>
        <w:snapToGrid w:val="0"/>
        <w:spacing w:line="360" w:lineRule="auto"/>
        <w:jc w:val="center"/>
        <w:rPr>
          <w:rFonts w:hint="eastAsia"/>
          <w:lang w:eastAsia="zh-CN"/>
        </w:rPr>
      </w:pPr>
    </w:p>
    <w:p w14:paraId="5F5F9731">
      <w:pPr>
        <w:snapToGrid w:val="0"/>
        <w:spacing w:line="360" w:lineRule="auto"/>
        <w:jc w:val="center"/>
        <w:rPr>
          <w:rFonts w:hint="eastAsia"/>
          <w:lang w:eastAsia="zh-CN"/>
        </w:rPr>
      </w:pPr>
    </w:p>
    <w:p w14:paraId="150A83B4">
      <w:pPr>
        <w:snapToGrid w:val="0"/>
        <w:spacing w:line="360" w:lineRule="auto"/>
        <w:jc w:val="center"/>
        <w:rPr>
          <w:rFonts w:hint="eastAsia"/>
          <w:lang w:eastAsia="zh-CN"/>
        </w:rPr>
      </w:pPr>
    </w:p>
    <w:p w14:paraId="0CF6AF34">
      <w:pPr>
        <w:snapToGrid w:val="0"/>
        <w:spacing w:line="360" w:lineRule="auto"/>
        <w:jc w:val="center"/>
        <w:rPr>
          <w:rFonts w:hint="eastAsia"/>
          <w:lang w:eastAsia="zh-CN"/>
        </w:rPr>
      </w:pPr>
    </w:p>
    <w:p w14:paraId="60282C83">
      <w:pPr>
        <w:snapToGrid w:val="0"/>
        <w:spacing w:line="360" w:lineRule="auto"/>
        <w:jc w:val="center"/>
        <w:rPr>
          <w:rFonts w:hint="eastAsia"/>
          <w:lang w:eastAsia="zh-CN"/>
        </w:rPr>
      </w:pPr>
    </w:p>
    <w:p w14:paraId="5E6FE7FD">
      <w:pPr>
        <w:snapToGrid w:val="0"/>
        <w:spacing w:line="360" w:lineRule="auto"/>
        <w:jc w:val="center"/>
        <w:rPr>
          <w:rFonts w:hint="eastAsia"/>
          <w:lang w:eastAsia="zh-CN"/>
        </w:rPr>
      </w:pPr>
    </w:p>
    <w:p w14:paraId="03DBBEF4">
      <w:pPr>
        <w:snapToGrid w:val="0"/>
        <w:spacing w:line="360" w:lineRule="auto"/>
        <w:jc w:val="center"/>
        <w:rPr>
          <w:rFonts w:hint="eastAsia"/>
          <w:lang w:eastAsia="zh-CN"/>
        </w:rPr>
      </w:pPr>
    </w:p>
    <w:p w14:paraId="0187CF1C">
      <w:pPr>
        <w:snapToGrid w:val="0"/>
        <w:spacing w:line="360" w:lineRule="auto"/>
        <w:jc w:val="center"/>
        <w:rPr>
          <w:rFonts w:hint="eastAsia"/>
          <w:lang w:eastAsia="zh-CN"/>
        </w:rPr>
      </w:pPr>
    </w:p>
    <w:p w14:paraId="7B045A53">
      <w:pPr>
        <w:snapToGrid w:val="0"/>
        <w:spacing w:line="360" w:lineRule="auto"/>
        <w:jc w:val="both"/>
        <w:rPr>
          <w:rFonts w:hint="eastAsia"/>
          <w:lang w:eastAsia="zh-CN"/>
        </w:rPr>
      </w:pPr>
    </w:p>
    <w:p w14:paraId="6CF8A780">
      <w:pPr>
        <w:snapToGrid w:val="0"/>
        <w:spacing w:line="360" w:lineRule="auto"/>
        <w:jc w:val="both"/>
        <w:rPr>
          <w:rFonts w:hint="eastAsia"/>
          <w:lang w:eastAsia="zh-CN"/>
        </w:rPr>
      </w:pPr>
    </w:p>
    <w:p w14:paraId="39616CC7">
      <w:pPr>
        <w:snapToGrid w:val="0"/>
        <w:spacing w:line="360" w:lineRule="auto"/>
        <w:jc w:val="both"/>
        <w:rPr>
          <w:rFonts w:hint="eastAsia"/>
          <w:lang w:eastAsia="zh-CN"/>
        </w:rPr>
      </w:pPr>
    </w:p>
    <w:p w14:paraId="08A5E5C5">
      <w:pPr>
        <w:snapToGrid w:val="0"/>
        <w:spacing w:line="360" w:lineRule="auto"/>
        <w:jc w:val="center"/>
        <w:rPr>
          <w:rFonts w:hint="eastAsia" w:eastAsiaTheme="minorEastAsia"/>
          <w:b/>
          <w:color w:val="auto"/>
          <w:sz w:val="30"/>
          <w:szCs w:val="30"/>
          <w:highlight w:val="none"/>
          <w:lang w:eastAsia="zh-CN"/>
        </w:rPr>
      </w:pPr>
      <w:r>
        <w:rPr>
          <w:b/>
          <w:color w:val="auto"/>
          <w:sz w:val="30"/>
          <w:szCs w:val="30"/>
          <w:highlight w:val="none"/>
        </w:rPr>
        <w:t>编制单位：</w:t>
      </w:r>
      <w:r>
        <w:rPr>
          <w:rFonts w:hint="eastAsia"/>
          <w:b/>
          <w:color w:val="auto"/>
          <w:sz w:val="30"/>
          <w:szCs w:val="30"/>
          <w:highlight w:val="none"/>
          <w:lang w:eastAsia="zh-CN"/>
        </w:rPr>
        <w:t>云南禹含环保科技有限公司</w:t>
      </w:r>
    </w:p>
    <w:p w14:paraId="7EEA2451">
      <w:pPr>
        <w:spacing w:line="360" w:lineRule="auto"/>
        <w:jc w:val="center"/>
        <w:rPr>
          <w:b/>
          <w:color w:val="auto"/>
          <w:sz w:val="30"/>
          <w:szCs w:val="30"/>
          <w:highlight w:val="none"/>
        </w:rPr>
      </w:pPr>
      <w:r>
        <w:rPr>
          <w:b/>
          <w:color w:val="auto"/>
          <w:sz w:val="30"/>
          <w:szCs w:val="30"/>
          <w:highlight w:val="none"/>
        </w:rPr>
        <w:t>编制日期：</w:t>
      </w:r>
      <w:r>
        <w:rPr>
          <w:rFonts w:hint="eastAsia"/>
          <w:b/>
          <w:color w:val="auto"/>
          <w:sz w:val="30"/>
          <w:szCs w:val="30"/>
          <w:highlight w:val="none"/>
          <w:lang w:val="en-US" w:eastAsia="zh-CN"/>
        </w:rPr>
        <w:t>2020</w:t>
      </w:r>
      <w:r>
        <w:rPr>
          <w:b/>
          <w:color w:val="auto"/>
          <w:sz w:val="30"/>
          <w:szCs w:val="30"/>
          <w:highlight w:val="none"/>
        </w:rPr>
        <w:t>年</w:t>
      </w:r>
      <w:r>
        <w:rPr>
          <w:rFonts w:hint="eastAsia"/>
          <w:b/>
          <w:color w:val="auto"/>
          <w:sz w:val="30"/>
          <w:szCs w:val="30"/>
          <w:highlight w:val="none"/>
          <w:lang w:val="en-US" w:eastAsia="zh-CN"/>
        </w:rPr>
        <w:t>4</w:t>
      </w:r>
      <w:r>
        <w:rPr>
          <w:b/>
          <w:color w:val="auto"/>
          <w:sz w:val="30"/>
          <w:szCs w:val="30"/>
          <w:highlight w:val="none"/>
        </w:rPr>
        <w:t>月</w:t>
      </w:r>
    </w:p>
    <w:p w14:paraId="71F5B069">
      <w:pPr>
        <w:rPr>
          <w:rFonts w:ascii="Times New Roman" w:hAnsi="Times New Roman"/>
          <w:b/>
          <w:sz w:val="30"/>
        </w:rPr>
      </w:pPr>
      <w:r>
        <w:rPr>
          <w:rFonts w:ascii="Times New Roman" w:hAnsi="Times New Roman"/>
          <w:b/>
          <w:sz w:val="30"/>
        </w:rPr>
        <w:br w:type="page"/>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1"/>
        <w:gridCol w:w="4381"/>
      </w:tblGrid>
      <w:tr w14:paraId="120B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trPr>
        <w:tc>
          <w:tcPr>
            <w:tcW w:w="4141" w:type="dxa"/>
            <w:vAlign w:val="center"/>
          </w:tcPr>
          <w:p w14:paraId="69963B77">
            <w:pPr>
              <w:bidi w:val="0"/>
              <w:jc w:val="center"/>
              <w:rPr>
                <w:rFonts w:hint="eastAsia" w:eastAsia="宋体"/>
                <w:vertAlign w:val="baseline"/>
                <w:lang w:eastAsia="zh-CN"/>
              </w:rPr>
            </w:pPr>
            <w:r>
              <w:rPr>
                <w:rFonts w:hint="eastAsia" w:eastAsia="宋体"/>
                <w:vertAlign w:val="baseline"/>
                <w:lang w:eastAsia="zh-CN"/>
              </w:rPr>
              <w:drawing>
                <wp:inline distT="0" distB="0" distL="114300" distR="114300">
                  <wp:extent cx="2466975" cy="2304415"/>
                  <wp:effectExtent l="0" t="0" r="9525" b="635"/>
                  <wp:docPr id="33" name="图片 33" descr="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现状图"/>
                          <pic:cNvPicPr>
                            <a:picLocks noChangeAspect="1"/>
                          </pic:cNvPicPr>
                        </pic:nvPicPr>
                        <pic:blipFill>
                          <a:blip r:embed="rId8"/>
                          <a:stretch>
                            <a:fillRect/>
                          </a:stretch>
                        </pic:blipFill>
                        <pic:spPr>
                          <a:xfrm>
                            <a:off x="0" y="0"/>
                            <a:ext cx="2466975" cy="2304415"/>
                          </a:xfrm>
                          <a:prstGeom prst="rect">
                            <a:avLst/>
                          </a:prstGeom>
                        </pic:spPr>
                      </pic:pic>
                    </a:graphicData>
                  </a:graphic>
                </wp:inline>
              </w:drawing>
            </w:r>
          </w:p>
        </w:tc>
        <w:tc>
          <w:tcPr>
            <w:tcW w:w="4381" w:type="dxa"/>
            <w:vAlign w:val="center"/>
          </w:tcPr>
          <w:p w14:paraId="07FB925D">
            <w:pPr>
              <w:bidi w:val="0"/>
              <w:jc w:val="center"/>
              <w:rPr>
                <w:rFonts w:hint="eastAsia" w:eastAsia="宋体"/>
                <w:vertAlign w:val="baseline"/>
                <w:lang w:eastAsia="zh-CN"/>
              </w:rPr>
            </w:pPr>
            <w:r>
              <w:rPr>
                <w:rFonts w:hint="eastAsia" w:eastAsia="宋体"/>
                <w:vertAlign w:val="baseline"/>
                <w:lang w:eastAsia="zh-CN"/>
              </w:rPr>
              <w:drawing>
                <wp:inline distT="0" distB="0" distL="114300" distR="114300">
                  <wp:extent cx="2468880" cy="2332355"/>
                  <wp:effectExtent l="0" t="0" r="7620" b="10795"/>
                  <wp:docPr id="56" name="图片 56" descr="现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现状图2"/>
                          <pic:cNvPicPr>
                            <a:picLocks noChangeAspect="1"/>
                          </pic:cNvPicPr>
                        </pic:nvPicPr>
                        <pic:blipFill>
                          <a:blip r:embed="rId9"/>
                          <a:stretch>
                            <a:fillRect/>
                          </a:stretch>
                        </pic:blipFill>
                        <pic:spPr>
                          <a:xfrm>
                            <a:off x="0" y="0"/>
                            <a:ext cx="2468880" cy="2332355"/>
                          </a:xfrm>
                          <a:prstGeom prst="rect">
                            <a:avLst/>
                          </a:prstGeom>
                        </pic:spPr>
                      </pic:pic>
                    </a:graphicData>
                  </a:graphic>
                </wp:inline>
              </w:drawing>
            </w:r>
          </w:p>
        </w:tc>
      </w:tr>
      <w:tr w14:paraId="10AD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141" w:type="dxa"/>
            <w:vAlign w:val="center"/>
          </w:tcPr>
          <w:p w14:paraId="38FFFB06">
            <w:pPr>
              <w:bidi w:val="0"/>
              <w:jc w:val="center"/>
              <w:rPr>
                <w:rFonts w:hint="eastAsia" w:eastAsia="宋体"/>
                <w:vertAlign w:val="baseline"/>
                <w:lang w:eastAsia="zh-CN"/>
              </w:rPr>
            </w:pPr>
            <w:r>
              <w:rPr>
                <w:rFonts w:hint="eastAsia"/>
                <w:vertAlign w:val="baseline"/>
                <w:lang w:eastAsia="zh-CN"/>
              </w:rPr>
              <w:t>项目用地现状</w:t>
            </w:r>
          </w:p>
        </w:tc>
        <w:tc>
          <w:tcPr>
            <w:tcW w:w="4381" w:type="dxa"/>
            <w:vAlign w:val="center"/>
          </w:tcPr>
          <w:p w14:paraId="39E88096">
            <w:pPr>
              <w:bidi w:val="0"/>
              <w:jc w:val="center"/>
              <w:rPr>
                <w:rFonts w:hint="eastAsia" w:eastAsia="宋体"/>
                <w:vertAlign w:val="baseline"/>
                <w:lang w:eastAsia="zh-CN"/>
              </w:rPr>
            </w:pPr>
            <w:r>
              <w:rPr>
                <w:rFonts w:hint="eastAsia"/>
                <w:vertAlign w:val="baseline"/>
                <w:lang w:eastAsia="zh-CN"/>
              </w:rPr>
              <w:t>项目用地现状</w:t>
            </w:r>
          </w:p>
        </w:tc>
      </w:tr>
      <w:tr w14:paraId="2AB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8" w:hRule="atLeast"/>
        </w:trPr>
        <w:tc>
          <w:tcPr>
            <w:tcW w:w="4141" w:type="dxa"/>
            <w:vAlign w:val="center"/>
          </w:tcPr>
          <w:p w14:paraId="293F937F">
            <w:pPr>
              <w:bidi w:val="0"/>
              <w:jc w:val="center"/>
              <w:rPr>
                <w:rFonts w:hint="eastAsia" w:eastAsia="宋体"/>
                <w:vertAlign w:val="baseline"/>
                <w:lang w:eastAsia="zh-CN"/>
              </w:rPr>
            </w:pPr>
            <w:r>
              <w:rPr>
                <w:rFonts w:hint="eastAsia" w:eastAsia="宋体"/>
                <w:vertAlign w:val="baseline"/>
                <w:lang w:eastAsia="zh-CN"/>
              </w:rPr>
              <w:drawing>
                <wp:inline distT="0" distB="0" distL="114300" distR="114300">
                  <wp:extent cx="2464435" cy="2370455"/>
                  <wp:effectExtent l="0" t="0" r="12065" b="10795"/>
                  <wp:docPr id="57" name="图片 57" descr="现状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现状图3"/>
                          <pic:cNvPicPr>
                            <a:picLocks noChangeAspect="1"/>
                          </pic:cNvPicPr>
                        </pic:nvPicPr>
                        <pic:blipFill>
                          <a:blip r:embed="rId10"/>
                          <a:stretch>
                            <a:fillRect/>
                          </a:stretch>
                        </pic:blipFill>
                        <pic:spPr>
                          <a:xfrm>
                            <a:off x="0" y="0"/>
                            <a:ext cx="2464435" cy="2370455"/>
                          </a:xfrm>
                          <a:prstGeom prst="rect">
                            <a:avLst/>
                          </a:prstGeom>
                        </pic:spPr>
                      </pic:pic>
                    </a:graphicData>
                  </a:graphic>
                </wp:inline>
              </w:drawing>
            </w:r>
          </w:p>
        </w:tc>
        <w:tc>
          <w:tcPr>
            <w:tcW w:w="4381" w:type="dxa"/>
            <w:vAlign w:val="center"/>
          </w:tcPr>
          <w:p w14:paraId="62B12409">
            <w:pPr>
              <w:bidi w:val="0"/>
              <w:jc w:val="center"/>
              <w:rPr>
                <w:rFonts w:hint="eastAsia" w:eastAsia="宋体"/>
                <w:vertAlign w:val="baseline"/>
                <w:lang w:eastAsia="zh-CN"/>
              </w:rPr>
            </w:pPr>
            <w:r>
              <w:rPr>
                <w:rFonts w:hint="eastAsia"/>
                <w:vertAlign w:val="baseline"/>
                <w:lang w:eastAsia="zh-CN"/>
              </w:rPr>
              <w:drawing>
                <wp:inline distT="0" distB="0" distL="114300" distR="114300">
                  <wp:extent cx="2575560" cy="2444750"/>
                  <wp:effectExtent l="0" t="0" r="15240" b="12700"/>
                  <wp:docPr id="4" name="图片 4" descr="现状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状道路"/>
                          <pic:cNvPicPr>
                            <a:picLocks noChangeAspect="1"/>
                          </pic:cNvPicPr>
                        </pic:nvPicPr>
                        <pic:blipFill>
                          <a:blip r:embed="rId11"/>
                          <a:stretch>
                            <a:fillRect/>
                          </a:stretch>
                        </pic:blipFill>
                        <pic:spPr>
                          <a:xfrm>
                            <a:off x="0" y="0"/>
                            <a:ext cx="2575560" cy="2444750"/>
                          </a:xfrm>
                          <a:prstGeom prst="rect">
                            <a:avLst/>
                          </a:prstGeom>
                        </pic:spPr>
                      </pic:pic>
                    </a:graphicData>
                  </a:graphic>
                </wp:inline>
              </w:drawing>
            </w:r>
          </w:p>
        </w:tc>
      </w:tr>
      <w:tr w14:paraId="2F09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141" w:type="dxa"/>
            <w:vAlign w:val="center"/>
          </w:tcPr>
          <w:p w14:paraId="0A826372">
            <w:pPr>
              <w:bidi w:val="0"/>
              <w:jc w:val="center"/>
              <w:rPr>
                <w:rFonts w:hint="eastAsia" w:eastAsia="宋体"/>
                <w:vertAlign w:val="baseline"/>
                <w:lang w:eastAsia="zh-CN"/>
              </w:rPr>
            </w:pPr>
            <w:r>
              <w:rPr>
                <w:rFonts w:hint="eastAsia"/>
                <w:vertAlign w:val="baseline"/>
                <w:lang w:eastAsia="zh-CN"/>
              </w:rPr>
              <w:t>项目用地现状</w:t>
            </w:r>
          </w:p>
        </w:tc>
        <w:tc>
          <w:tcPr>
            <w:tcW w:w="4381" w:type="dxa"/>
            <w:vAlign w:val="center"/>
          </w:tcPr>
          <w:p w14:paraId="581E4E5C">
            <w:pPr>
              <w:bidi w:val="0"/>
              <w:jc w:val="center"/>
              <w:rPr>
                <w:vertAlign w:val="baseline"/>
              </w:rPr>
            </w:pPr>
            <w:r>
              <w:rPr>
                <w:rFonts w:hint="eastAsia"/>
                <w:vertAlign w:val="baseline"/>
                <w:lang w:eastAsia="zh-CN"/>
              </w:rPr>
              <w:t>周边道路现状</w:t>
            </w:r>
          </w:p>
        </w:tc>
      </w:tr>
      <w:tr w14:paraId="1B51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trPr>
        <w:tc>
          <w:tcPr>
            <w:tcW w:w="4141" w:type="dxa"/>
            <w:vAlign w:val="center"/>
          </w:tcPr>
          <w:p w14:paraId="301BB2CE">
            <w:pPr>
              <w:bidi w:val="0"/>
              <w:jc w:val="center"/>
              <w:rPr>
                <w:rFonts w:hint="eastAsia"/>
                <w:vertAlign w:val="baseline"/>
                <w:lang w:eastAsia="zh-CN"/>
              </w:rPr>
            </w:pPr>
            <w:r>
              <w:rPr>
                <w:rFonts w:hint="eastAsia"/>
                <w:vertAlign w:val="baseline"/>
                <w:lang w:eastAsia="zh-CN"/>
              </w:rPr>
              <w:drawing>
                <wp:inline distT="0" distB="0" distL="114300" distR="114300">
                  <wp:extent cx="2431415" cy="2218690"/>
                  <wp:effectExtent l="0" t="0" r="6985" b="10160"/>
                  <wp:docPr id="60" name="图片 60" descr="敏感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敏感点2"/>
                          <pic:cNvPicPr>
                            <a:picLocks noChangeAspect="1"/>
                          </pic:cNvPicPr>
                        </pic:nvPicPr>
                        <pic:blipFill>
                          <a:blip r:embed="rId12"/>
                          <a:stretch>
                            <a:fillRect/>
                          </a:stretch>
                        </pic:blipFill>
                        <pic:spPr>
                          <a:xfrm>
                            <a:off x="0" y="0"/>
                            <a:ext cx="2431415" cy="2218690"/>
                          </a:xfrm>
                          <a:prstGeom prst="rect">
                            <a:avLst/>
                          </a:prstGeom>
                        </pic:spPr>
                      </pic:pic>
                    </a:graphicData>
                  </a:graphic>
                </wp:inline>
              </w:drawing>
            </w:r>
          </w:p>
        </w:tc>
        <w:tc>
          <w:tcPr>
            <w:tcW w:w="4381" w:type="dxa"/>
            <w:vAlign w:val="center"/>
          </w:tcPr>
          <w:p w14:paraId="6164199A">
            <w:pPr>
              <w:bidi w:val="0"/>
              <w:jc w:val="center"/>
              <w:rPr>
                <w:rFonts w:hint="eastAsia"/>
                <w:vertAlign w:val="baseline"/>
                <w:lang w:eastAsia="zh-CN"/>
              </w:rPr>
            </w:pPr>
            <w:r>
              <w:rPr>
                <w:rFonts w:hint="eastAsia"/>
                <w:vertAlign w:val="baseline"/>
                <w:lang w:eastAsia="zh-CN"/>
              </w:rPr>
              <w:drawing>
                <wp:inline distT="0" distB="0" distL="114300" distR="114300">
                  <wp:extent cx="2453005" cy="2283460"/>
                  <wp:effectExtent l="0" t="0" r="4445" b="2540"/>
                  <wp:docPr id="59" name="图片 59" descr="敏感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敏感点"/>
                          <pic:cNvPicPr>
                            <a:picLocks noChangeAspect="1"/>
                          </pic:cNvPicPr>
                        </pic:nvPicPr>
                        <pic:blipFill>
                          <a:blip r:embed="rId13"/>
                          <a:stretch>
                            <a:fillRect/>
                          </a:stretch>
                        </pic:blipFill>
                        <pic:spPr>
                          <a:xfrm>
                            <a:off x="0" y="0"/>
                            <a:ext cx="2453005" cy="2283460"/>
                          </a:xfrm>
                          <a:prstGeom prst="rect">
                            <a:avLst/>
                          </a:prstGeom>
                        </pic:spPr>
                      </pic:pic>
                    </a:graphicData>
                  </a:graphic>
                </wp:inline>
              </w:drawing>
            </w:r>
          </w:p>
        </w:tc>
      </w:tr>
      <w:tr w14:paraId="1B81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141" w:type="dxa"/>
            <w:vAlign w:val="center"/>
          </w:tcPr>
          <w:p w14:paraId="372D413D">
            <w:pPr>
              <w:bidi w:val="0"/>
              <w:jc w:val="center"/>
              <w:rPr>
                <w:rFonts w:hint="eastAsia"/>
                <w:vertAlign w:val="baseline"/>
                <w:lang w:eastAsia="zh-CN"/>
              </w:rPr>
            </w:pPr>
            <w:r>
              <w:rPr>
                <w:rFonts w:hint="eastAsia"/>
                <w:vertAlign w:val="baseline"/>
                <w:lang w:eastAsia="zh-CN"/>
              </w:rPr>
              <w:t>敏感点</w:t>
            </w:r>
          </w:p>
        </w:tc>
        <w:tc>
          <w:tcPr>
            <w:tcW w:w="4381" w:type="dxa"/>
            <w:vAlign w:val="center"/>
          </w:tcPr>
          <w:p w14:paraId="43C152EF">
            <w:pPr>
              <w:bidi w:val="0"/>
              <w:jc w:val="center"/>
              <w:rPr>
                <w:rFonts w:hint="eastAsia"/>
                <w:vertAlign w:val="baseline"/>
                <w:lang w:eastAsia="zh-CN"/>
              </w:rPr>
            </w:pPr>
            <w:r>
              <w:rPr>
                <w:rFonts w:hint="eastAsia"/>
                <w:vertAlign w:val="baseline"/>
                <w:lang w:eastAsia="zh-CN"/>
              </w:rPr>
              <w:t>敏感点</w:t>
            </w:r>
          </w:p>
        </w:tc>
      </w:tr>
    </w:tbl>
    <w:p w14:paraId="726AE9B2">
      <w:pPr>
        <w:bidi w:val="0"/>
        <w:sectPr>
          <w:pgSz w:w="11906" w:h="16838"/>
          <w:pgMar w:top="1440" w:right="1800" w:bottom="1440" w:left="1800" w:header="851" w:footer="992" w:gutter="0"/>
          <w:pgNumType w:fmt="upperRoman"/>
          <w:cols w:space="425" w:num="1"/>
          <w:docGrid w:type="lines" w:linePitch="312" w:charSpace="0"/>
        </w:sectPr>
      </w:pPr>
    </w:p>
    <w:p w14:paraId="48BB7489">
      <w:pPr>
        <w:pStyle w:val="8"/>
        <w:snapToGrid w:val="0"/>
        <w:spacing w:line="360" w:lineRule="auto"/>
        <w:jc w:val="center"/>
        <w:rPr>
          <w:rFonts w:ascii="Times New Roman" w:hAnsi="Times New Roman"/>
          <w:b/>
          <w:sz w:val="30"/>
        </w:rPr>
      </w:pPr>
      <w:r>
        <w:rPr>
          <w:rFonts w:ascii="Times New Roman" w:hAnsi="Times New Roman"/>
          <w:b/>
          <w:sz w:val="30"/>
        </w:rPr>
        <w:t>《建设项目环境影响报告表》编制说明</w:t>
      </w:r>
    </w:p>
    <w:p w14:paraId="17DB8199">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《建设项目环境影响报告表》由具有从事环境影响评价工作资质的单位编制。</w:t>
      </w:r>
    </w:p>
    <w:p w14:paraId="04953633">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1.项目名称——指项目立项批复时的名称，应不超过30个字(两个英文字段作一个汉字)。</w:t>
      </w:r>
    </w:p>
    <w:p w14:paraId="1AA6A6CB">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2.建设地点——指项目所在地详细地址，公路、铁路应填写起止地点。</w:t>
      </w:r>
    </w:p>
    <w:p w14:paraId="4C15D375">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3.行业类别——按国标填写。</w:t>
      </w:r>
    </w:p>
    <w:p w14:paraId="724D7CEC">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4.总投资——指项目投资总额。</w:t>
      </w:r>
    </w:p>
    <w:p w14:paraId="04961066">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5.主要环境保护目标——指项目区周围一定范围内集中居民住宅区、学校、医院、保护文物、风景名胜区、水源地和生态敏感点等，应尽可能给出保护目标、性质、规模和距厂界距离等。</w:t>
      </w:r>
    </w:p>
    <w:p w14:paraId="65649D06">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6.结论与建议——给出本项目清洁生产、达标排放总量控制的分析结论，确定污染防治措施的有效性，说明本项目对环境造成的影响，给出建设项目环境可行性的明确结论。同时提出减少环境影响的其他建议。</w:t>
      </w:r>
    </w:p>
    <w:p w14:paraId="2C7F8753">
      <w:pPr>
        <w:pStyle w:val="8"/>
        <w:snapToGrid w:val="0"/>
        <w:spacing w:line="360" w:lineRule="auto"/>
        <w:ind w:firstLine="560" w:firstLineChars="200"/>
        <w:rPr>
          <w:rFonts w:ascii="Times New Roman" w:hAnsi="Times New Roman"/>
          <w:sz w:val="28"/>
          <w:szCs w:val="28"/>
        </w:rPr>
      </w:pPr>
      <w:r>
        <w:rPr>
          <w:rFonts w:ascii="Times New Roman" w:hAnsi="Times New Roman"/>
          <w:sz w:val="28"/>
          <w:szCs w:val="28"/>
        </w:rPr>
        <w:t>7.预审意见——由行业主管部门填写答复意见，无主管部门项目，可不填。</w:t>
      </w:r>
    </w:p>
    <w:p w14:paraId="0C9252EE">
      <w:pPr>
        <w:ind w:firstLine="560" w:firstLineChars="200"/>
        <w:rPr>
          <w:rFonts w:ascii="Times New Roman" w:hAnsi="Times New Roman"/>
          <w:sz w:val="28"/>
          <w:szCs w:val="28"/>
        </w:rPr>
      </w:pPr>
      <w:r>
        <w:rPr>
          <w:rFonts w:ascii="Times New Roman" w:hAnsi="Times New Roman"/>
          <w:sz w:val="28"/>
          <w:szCs w:val="28"/>
        </w:rPr>
        <w:t>8.审批意见——由负责审批该项目的环境保护行政主管部门批复。</w:t>
      </w:r>
    </w:p>
    <w:p w14:paraId="1FACE03F">
      <w:r>
        <w:br w:type="page"/>
      </w:r>
    </w:p>
    <w:p w14:paraId="70E59235">
      <w:pPr>
        <w:spacing w:line="360" w:lineRule="auto"/>
        <w:jc w:val="center"/>
        <w:rPr>
          <w:rFonts w:ascii="Times New Roman" w:hAnsi="Times New Roman"/>
          <w:b/>
          <w:sz w:val="24"/>
          <w:szCs w:val="24"/>
        </w:rPr>
      </w:pPr>
      <w:r>
        <w:rPr>
          <w:rFonts w:ascii="Times New Roman" w:hAnsi="Times New Roman"/>
          <w:b/>
          <w:sz w:val="24"/>
          <w:szCs w:val="24"/>
        </w:rPr>
        <w:t>目录</w:t>
      </w:r>
    </w:p>
    <w:p w14:paraId="60867481">
      <w:pPr>
        <w:pStyle w:val="13"/>
        <w:tabs>
          <w:tab w:val="right" w:leader="dot" w:pos="8306"/>
        </w:tabs>
        <w:snapToGrid w:val="0"/>
        <w:spacing w:line="360" w:lineRule="auto"/>
        <w:rPr>
          <w:color w:val="auto"/>
          <w:sz w:val="24"/>
          <w:highlight w:val="none"/>
        </w:rPr>
      </w:pPr>
      <w:r>
        <w:rPr>
          <w:color w:val="auto"/>
          <w:sz w:val="24"/>
          <w:highlight w:val="none"/>
        </w:rPr>
        <w:fldChar w:fldCharType="begin"/>
      </w:r>
      <w:r>
        <w:rPr>
          <w:color w:val="auto"/>
          <w:sz w:val="24"/>
          <w:highlight w:val="none"/>
        </w:rPr>
        <w:instrText xml:space="preserve">TOC \o "1-3" \t "" \h \z \u </w:instrText>
      </w:r>
      <w:r>
        <w:rPr>
          <w:color w:val="auto"/>
          <w:sz w:val="24"/>
          <w:highlight w:val="none"/>
        </w:rPr>
        <w:fldChar w:fldCharType="separate"/>
      </w:r>
      <w:r>
        <w:rPr>
          <w:color w:val="auto"/>
          <w:sz w:val="24"/>
          <w:highlight w:val="none"/>
        </w:rPr>
        <w:fldChar w:fldCharType="begin"/>
      </w:r>
      <w:r>
        <w:rPr>
          <w:color w:val="auto"/>
          <w:sz w:val="24"/>
          <w:highlight w:val="none"/>
        </w:rPr>
        <w:instrText xml:space="preserve"> HYPERLINK \l _Toc7461 </w:instrText>
      </w:r>
      <w:r>
        <w:rPr>
          <w:color w:val="auto"/>
          <w:sz w:val="24"/>
          <w:highlight w:val="none"/>
        </w:rPr>
        <w:fldChar w:fldCharType="separate"/>
      </w:r>
      <w:r>
        <w:rPr>
          <w:bCs/>
          <w:color w:val="auto"/>
          <w:sz w:val="24"/>
          <w:highlight w:val="none"/>
        </w:rPr>
        <w:t>表一、建设项目基本情况</w:t>
      </w:r>
      <w:r>
        <w:rPr>
          <w:color w:val="auto"/>
          <w:sz w:val="24"/>
          <w:highlight w:val="none"/>
        </w:rPr>
        <w:tab/>
      </w:r>
      <w:r>
        <w:rPr>
          <w:rFonts w:hint="eastAsia"/>
          <w:color w:val="auto"/>
          <w:sz w:val="24"/>
          <w:highlight w:val="none"/>
          <w:lang w:val="en-US" w:eastAsia="zh-CN"/>
        </w:rPr>
        <w:t>1</w:t>
      </w:r>
      <w:r>
        <w:rPr>
          <w:color w:val="auto"/>
          <w:sz w:val="24"/>
          <w:highlight w:val="none"/>
        </w:rPr>
        <w:fldChar w:fldCharType="end"/>
      </w:r>
    </w:p>
    <w:p w14:paraId="25E1DF00">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_Toc27248 </w:instrText>
      </w:r>
      <w:r>
        <w:rPr>
          <w:color w:val="auto"/>
          <w:sz w:val="24"/>
          <w:highlight w:val="none"/>
        </w:rPr>
        <w:fldChar w:fldCharType="separate"/>
      </w:r>
      <w:r>
        <w:rPr>
          <w:bCs/>
          <w:color w:val="auto"/>
          <w:sz w:val="24"/>
          <w:highlight w:val="none"/>
        </w:rPr>
        <w:t>表二、建设项目所在地自然环境社会环境简况</w:t>
      </w:r>
      <w:r>
        <w:rPr>
          <w:color w:val="auto"/>
          <w:sz w:val="24"/>
          <w:highlight w:val="none"/>
        </w:rPr>
        <w:tab/>
      </w:r>
      <w:r>
        <w:rPr>
          <w:rFonts w:hint="eastAsia"/>
          <w:color w:val="auto"/>
          <w:sz w:val="24"/>
          <w:highlight w:val="none"/>
          <w:lang w:val="en-US" w:eastAsia="zh-CN"/>
        </w:rPr>
        <w:t>3</w:t>
      </w:r>
      <w:r>
        <w:rPr>
          <w:color w:val="auto"/>
          <w:sz w:val="24"/>
          <w:highlight w:val="none"/>
        </w:rPr>
        <w:fldChar w:fldCharType="end"/>
      </w:r>
      <w:r>
        <w:rPr>
          <w:rFonts w:hint="eastAsia"/>
          <w:color w:val="auto"/>
          <w:sz w:val="24"/>
          <w:highlight w:val="none"/>
          <w:lang w:val="en-US" w:eastAsia="zh-CN"/>
        </w:rPr>
        <w:t>5</w:t>
      </w:r>
    </w:p>
    <w:p w14:paraId="19560B10">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_Toc15943 </w:instrText>
      </w:r>
      <w:r>
        <w:rPr>
          <w:color w:val="auto"/>
          <w:sz w:val="24"/>
          <w:highlight w:val="none"/>
        </w:rPr>
        <w:fldChar w:fldCharType="separate"/>
      </w:r>
      <w:r>
        <w:rPr>
          <w:bCs/>
          <w:color w:val="auto"/>
          <w:sz w:val="24"/>
          <w:highlight w:val="none"/>
        </w:rPr>
        <w:t>表三、环境质量状况</w:t>
      </w:r>
      <w:r>
        <w:rPr>
          <w:color w:val="auto"/>
          <w:sz w:val="24"/>
          <w:highlight w:val="none"/>
        </w:rPr>
        <w:tab/>
      </w:r>
      <w:r>
        <w:rPr>
          <w:rFonts w:hint="eastAsia"/>
          <w:color w:val="auto"/>
          <w:sz w:val="24"/>
          <w:highlight w:val="none"/>
          <w:lang w:val="en-US" w:eastAsia="zh-CN"/>
        </w:rPr>
        <w:t>3</w:t>
      </w:r>
      <w:r>
        <w:rPr>
          <w:color w:val="auto"/>
          <w:sz w:val="24"/>
          <w:highlight w:val="none"/>
        </w:rPr>
        <w:fldChar w:fldCharType="end"/>
      </w:r>
      <w:r>
        <w:rPr>
          <w:rFonts w:hint="eastAsia"/>
          <w:color w:val="auto"/>
          <w:sz w:val="24"/>
          <w:highlight w:val="none"/>
          <w:lang w:val="en-US" w:eastAsia="zh-CN"/>
        </w:rPr>
        <w:t>9</w:t>
      </w:r>
    </w:p>
    <w:p w14:paraId="499A25B3">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_Toc10508 </w:instrText>
      </w:r>
      <w:r>
        <w:rPr>
          <w:color w:val="auto"/>
          <w:sz w:val="24"/>
          <w:highlight w:val="none"/>
        </w:rPr>
        <w:fldChar w:fldCharType="separate"/>
      </w:r>
      <w:r>
        <w:rPr>
          <w:color w:val="auto"/>
          <w:sz w:val="24"/>
          <w:highlight w:val="none"/>
        </w:rPr>
        <w:t>表四、评价适用标准</w:t>
      </w:r>
      <w:r>
        <w:rPr>
          <w:color w:val="auto"/>
          <w:sz w:val="24"/>
          <w:highlight w:val="none"/>
        </w:rPr>
        <w:tab/>
      </w:r>
      <w:r>
        <w:rPr>
          <w:rFonts w:hint="eastAsia"/>
          <w:color w:val="auto"/>
          <w:sz w:val="24"/>
          <w:highlight w:val="none"/>
          <w:lang w:val="en-US" w:eastAsia="zh-CN"/>
        </w:rPr>
        <w:t>4</w:t>
      </w:r>
      <w:r>
        <w:rPr>
          <w:color w:val="auto"/>
          <w:sz w:val="24"/>
          <w:highlight w:val="none"/>
        </w:rPr>
        <w:fldChar w:fldCharType="end"/>
      </w:r>
      <w:r>
        <w:rPr>
          <w:rFonts w:hint="eastAsia"/>
          <w:color w:val="auto"/>
          <w:sz w:val="24"/>
          <w:highlight w:val="none"/>
          <w:lang w:val="en-US" w:eastAsia="zh-CN"/>
        </w:rPr>
        <w:t>2</w:t>
      </w:r>
    </w:p>
    <w:p w14:paraId="620D4631">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_Toc10642 </w:instrText>
      </w:r>
      <w:r>
        <w:rPr>
          <w:color w:val="auto"/>
          <w:sz w:val="24"/>
          <w:highlight w:val="none"/>
        </w:rPr>
        <w:fldChar w:fldCharType="separate"/>
      </w:r>
      <w:r>
        <w:rPr>
          <w:bCs/>
          <w:color w:val="auto"/>
          <w:sz w:val="24"/>
          <w:highlight w:val="none"/>
        </w:rPr>
        <w:t>表五、建设项</w:t>
      </w:r>
      <w:r>
        <w:rPr>
          <w:color w:val="auto"/>
          <w:sz w:val="24"/>
          <w:highlight w:val="none"/>
        </w:rPr>
        <w:t>目工程分析</w:t>
      </w:r>
      <w:r>
        <w:rPr>
          <w:color w:val="auto"/>
          <w:sz w:val="24"/>
          <w:highlight w:val="none"/>
        </w:rPr>
        <w:tab/>
      </w:r>
      <w:r>
        <w:rPr>
          <w:rFonts w:hint="eastAsia"/>
          <w:color w:val="auto"/>
          <w:sz w:val="24"/>
          <w:highlight w:val="none"/>
          <w:lang w:val="en-US" w:eastAsia="zh-CN"/>
        </w:rPr>
        <w:t>4</w:t>
      </w:r>
      <w:r>
        <w:rPr>
          <w:color w:val="auto"/>
          <w:sz w:val="24"/>
          <w:highlight w:val="none"/>
        </w:rPr>
        <w:fldChar w:fldCharType="end"/>
      </w:r>
      <w:r>
        <w:rPr>
          <w:rFonts w:hint="eastAsia"/>
          <w:color w:val="auto"/>
          <w:sz w:val="24"/>
          <w:highlight w:val="none"/>
          <w:lang w:val="en-US" w:eastAsia="zh-CN"/>
        </w:rPr>
        <w:t>5</w:t>
      </w:r>
    </w:p>
    <w:p w14:paraId="1E8FF27E">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_Toc19058 </w:instrText>
      </w:r>
      <w:r>
        <w:rPr>
          <w:color w:val="auto"/>
          <w:sz w:val="24"/>
          <w:highlight w:val="none"/>
        </w:rPr>
        <w:fldChar w:fldCharType="separate"/>
      </w:r>
      <w:r>
        <w:rPr>
          <w:bCs/>
          <w:color w:val="auto"/>
          <w:sz w:val="24"/>
          <w:highlight w:val="none"/>
        </w:rPr>
        <w:t>表六、项目主要污染物产生及预计排放情况</w:t>
      </w:r>
      <w:r>
        <w:rPr>
          <w:color w:val="auto"/>
          <w:sz w:val="24"/>
          <w:highlight w:val="none"/>
        </w:rPr>
        <w:tab/>
      </w:r>
      <w:r>
        <w:rPr>
          <w:rFonts w:hint="eastAsia"/>
          <w:color w:val="auto"/>
          <w:sz w:val="24"/>
          <w:highlight w:val="none"/>
          <w:lang w:val="en-US" w:eastAsia="zh-CN"/>
        </w:rPr>
        <w:t>5</w:t>
      </w:r>
      <w:r>
        <w:rPr>
          <w:color w:val="auto"/>
          <w:sz w:val="24"/>
          <w:highlight w:val="none"/>
        </w:rPr>
        <w:fldChar w:fldCharType="end"/>
      </w:r>
      <w:r>
        <w:rPr>
          <w:rFonts w:hint="eastAsia"/>
          <w:color w:val="auto"/>
          <w:sz w:val="24"/>
          <w:highlight w:val="none"/>
          <w:lang w:val="en-US" w:eastAsia="zh-CN"/>
        </w:rPr>
        <w:t>9</w:t>
      </w:r>
    </w:p>
    <w:p w14:paraId="5D7DF3FE">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_Toc4521 </w:instrText>
      </w:r>
      <w:r>
        <w:rPr>
          <w:color w:val="auto"/>
          <w:sz w:val="24"/>
          <w:highlight w:val="none"/>
        </w:rPr>
        <w:fldChar w:fldCharType="separate"/>
      </w:r>
      <w:r>
        <w:rPr>
          <w:bCs/>
          <w:color w:val="auto"/>
          <w:sz w:val="24"/>
          <w:highlight w:val="none"/>
        </w:rPr>
        <w:t>表七、环</w:t>
      </w:r>
      <w:r>
        <w:rPr>
          <w:color w:val="auto"/>
          <w:sz w:val="24"/>
          <w:highlight w:val="none"/>
        </w:rPr>
        <w:t>境影响分析</w:t>
      </w:r>
      <w:r>
        <w:rPr>
          <w:color w:val="auto"/>
          <w:sz w:val="24"/>
          <w:highlight w:val="none"/>
        </w:rPr>
        <w:tab/>
      </w:r>
      <w:r>
        <w:rPr>
          <w:rFonts w:hint="eastAsia"/>
          <w:color w:val="auto"/>
          <w:sz w:val="24"/>
          <w:highlight w:val="none"/>
          <w:lang w:val="en-US" w:eastAsia="zh-CN"/>
        </w:rPr>
        <w:t>6</w:t>
      </w:r>
      <w:r>
        <w:rPr>
          <w:color w:val="auto"/>
          <w:sz w:val="24"/>
          <w:highlight w:val="none"/>
        </w:rPr>
        <w:fldChar w:fldCharType="end"/>
      </w:r>
      <w:r>
        <w:rPr>
          <w:rFonts w:hint="eastAsia"/>
          <w:color w:val="auto"/>
          <w:sz w:val="24"/>
          <w:highlight w:val="none"/>
          <w:lang w:val="en-US" w:eastAsia="zh-CN"/>
        </w:rPr>
        <w:t>1</w:t>
      </w:r>
    </w:p>
    <w:p w14:paraId="69921024">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_Toc19180 </w:instrText>
      </w:r>
      <w:r>
        <w:rPr>
          <w:color w:val="auto"/>
          <w:sz w:val="24"/>
          <w:highlight w:val="none"/>
        </w:rPr>
        <w:fldChar w:fldCharType="separate"/>
      </w:r>
      <w:r>
        <w:rPr>
          <w:color w:val="auto"/>
          <w:sz w:val="24"/>
          <w:highlight w:val="none"/>
        </w:rPr>
        <w:t>表八、建设项目拟采取的防治措施及预期治理效果</w:t>
      </w:r>
      <w:r>
        <w:rPr>
          <w:color w:val="auto"/>
          <w:sz w:val="24"/>
          <w:highlight w:val="none"/>
        </w:rPr>
        <w:tab/>
      </w:r>
      <w:r>
        <w:rPr>
          <w:rFonts w:hint="eastAsia"/>
          <w:color w:val="auto"/>
          <w:sz w:val="24"/>
          <w:highlight w:val="none"/>
          <w:lang w:val="en-US" w:eastAsia="zh-CN"/>
        </w:rPr>
        <w:t>8</w:t>
      </w:r>
      <w:r>
        <w:rPr>
          <w:color w:val="auto"/>
          <w:sz w:val="24"/>
          <w:highlight w:val="none"/>
        </w:rPr>
        <w:fldChar w:fldCharType="end"/>
      </w:r>
      <w:r>
        <w:rPr>
          <w:rFonts w:hint="eastAsia"/>
          <w:color w:val="auto"/>
          <w:sz w:val="24"/>
          <w:highlight w:val="none"/>
          <w:lang w:val="en-US" w:eastAsia="zh-CN"/>
        </w:rPr>
        <w:t>7</w:t>
      </w:r>
    </w:p>
    <w:p w14:paraId="4D81DFD7">
      <w:pPr>
        <w:pStyle w:val="13"/>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_Toc3360 </w:instrText>
      </w:r>
      <w:r>
        <w:rPr>
          <w:color w:val="auto"/>
          <w:sz w:val="24"/>
          <w:highlight w:val="none"/>
        </w:rPr>
        <w:fldChar w:fldCharType="separate"/>
      </w:r>
      <w:r>
        <w:rPr>
          <w:bCs/>
          <w:color w:val="auto"/>
          <w:sz w:val="24"/>
          <w:highlight w:val="none"/>
        </w:rPr>
        <w:t>表九、</w:t>
      </w:r>
      <w:r>
        <w:rPr>
          <w:color w:val="auto"/>
          <w:sz w:val="24"/>
          <w:highlight w:val="none"/>
        </w:rPr>
        <w:t>结论与建议</w:t>
      </w:r>
      <w:r>
        <w:rPr>
          <w:color w:val="auto"/>
          <w:sz w:val="24"/>
          <w:highlight w:val="none"/>
        </w:rPr>
        <w:tab/>
      </w:r>
      <w:r>
        <w:rPr>
          <w:rFonts w:hint="eastAsia"/>
          <w:color w:val="auto"/>
          <w:sz w:val="24"/>
          <w:highlight w:val="none"/>
          <w:lang w:val="en-US" w:eastAsia="zh-CN"/>
        </w:rPr>
        <w:t>8</w:t>
      </w:r>
      <w:r>
        <w:rPr>
          <w:color w:val="auto"/>
          <w:sz w:val="24"/>
          <w:highlight w:val="none"/>
        </w:rPr>
        <w:fldChar w:fldCharType="end"/>
      </w:r>
      <w:r>
        <w:rPr>
          <w:rFonts w:hint="eastAsia"/>
          <w:color w:val="auto"/>
          <w:sz w:val="24"/>
          <w:highlight w:val="none"/>
          <w:lang w:val="en-US" w:eastAsia="zh-CN"/>
        </w:rPr>
        <w:t>9</w:t>
      </w:r>
    </w:p>
    <w:p w14:paraId="30C7A513">
      <w:pPr>
        <w:rPr>
          <w:color w:val="auto"/>
          <w:sz w:val="24"/>
          <w:highlight w:val="none"/>
        </w:rPr>
      </w:pPr>
      <w:r>
        <w:rPr>
          <w:color w:val="auto"/>
          <w:sz w:val="24"/>
          <w:highlight w:val="none"/>
        </w:rPr>
        <w:fldChar w:fldCharType="end"/>
      </w:r>
    </w:p>
    <w:p w14:paraId="56A7C5CD">
      <w:pPr>
        <w:rPr>
          <w:color w:val="auto"/>
          <w:sz w:val="24"/>
          <w:highlight w:val="none"/>
        </w:rPr>
      </w:pPr>
      <w:r>
        <w:rPr>
          <w:color w:val="auto"/>
          <w:sz w:val="24"/>
          <w:highlight w:val="none"/>
        </w:rPr>
        <w:br w:type="page"/>
      </w:r>
    </w:p>
    <w:p w14:paraId="42F03EEE">
      <w:pPr>
        <w:spacing w:line="360" w:lineRule="auto"/>
        <w:ind w:firstLine="602" w:firstLineChars="25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p>
    <w:p w14:paraId="7292F8E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附件1  项目环境影响评价委托书；</w:t>
      </w:r>
    </w:p>
    <w:p w14:paraId="740A47AB">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附件2  </w:t>
      </w:r>
      <w:r>
        <w:rPr>
          <w:rFonts w:hint="eastAsia" w:ascii="宋体" w:hAnsi="宋体" w:eastAsia="宋体" w:cs="宋体"/>
          <w:color w:val="auto"/>
          <w:sz w:val="24"/>
          <w:highlight w:val="none"/>
          <w:lang w:eastAsia="zh-CN"/>
        </w:rPr>
        <w:t>项目备案登记证</w:t>
      </w:r>
    </w:p>
    <w:p w14:paraId="3582D7BA">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附件</w:t>
      </w:r>
      <w:r>
        <w:rPr>
          <w:rFonts w:hint="eastAsia" w:ascii="宋体" w:hAnsi="宋体" w:eastAsia="宋体" w:cs="宋体"/>
          <w:color w:val="auto"/>
          <w:sz w:val="24"/>
          <w:highlight w:val="none"/>
          <w:lang w:val="en-US" w:eastAsia="zh-CN"/>
        </w:rPr>
        <w:t>3  营业执照</w:t>
      </w:r>
    </w:p>
    <w:p w14:paraId="112FB06B">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附件4  项目建设用地证明</w:t>
      </w:r>
    </w:p>
    <w:p w14:paraId="6E2D9BF4">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附件5  项目合同</w:t>
      </w:r>
    </w:p>
    <w:p w14:paraId="1F5910BE">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附件6  工作管理表</w:t>
      </w:r>
    </w:p>
    <w:p w14:paraId="7D290F13">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附件7  技术审核单</w:t>
      </w:r>
    </w:p>
    <w:p w14:paraId="0DB0C14C">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附件8  芒市火车站片区主要道路建设环境影响报告表评审会会议纪要</w:t>
      </w:r>
    </w:p>
    <w:p w14:paraId="01F883F3">
      <w:pPr>
        <w:spacing w:line="360" w:lineRule="auto"/>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附件9  会议纪要修改清单</w:t>
      </w:r>
    </w:p>
    <w:p w14:paraId="66B38C48">
      <w:pPr>
        <w:spacing w:line="360" w:lineRule="auto"/>
        <w:ind w:firstLine="602" w:firstLineChars="25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附图：</w:t>
      </w:r>
    </w:p>
    <w:p w14:paraId="6A594BB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附图1  项目地理位置图</w:t>
      </w:r>
    </w:p>
    <w:p w14:paraId="5F854E27">
      <w:pPr>
        <w:tabs>
          <w:tab w:val="left" w:pos="204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附图2  项目周边环境关系示意图</w:t>
      </w:r>
    </w:p>
    <w:p w14:paraId="69F0C07E">
      <w:pPr>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附图3  </w:t>
      </w:r>
      <w:r>
        <w:rPr>
          <w:rFonts w:hint="eastAsia" w:ascii="宋体" w:hAnsi="宋体" w:eastAsia="宋体" w:cs="宋体"/>
          <w:color w:val="auto"/>
          <w:sz w:val="24"/>
          <w:highlight w:val="none"/>
          <w:lang w:eastAsia="zh-CN"/>
        </w:rPr>
        <w:t>项目水文水系</w:t>
      </w:r>
      <w:r>
        <w:rPr>
          <w:rFonts w:hint="eastAsia" w:ascii="宋体" w:hAnsi="宋体" w:eastAsia="宋体" w:cs="宋体"/>
          <w:color w:val="auto"/>
          <w:sz w:val="24"/>
          <w:highlight w:val="none"/>
        </w:rPr>
        <w:t>图</w:t>
      </w:r>
    </w:p>
    <w:p w14:paraId="467A8C5C">
      <w:pPr>
        <w:adjustRightIn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附图4  </w:t>
      </w:r>
      <w:r>
        <w:rPr>
          <w:rFonts w:hint="eastAsia" w:ascii="宋体" w:hAnsi="宋体" w:eastAsia="宋体" w:cs="宋体"/>
          <w:color w:val="auto"/>
          <w:sz w:val="24"/>
          <w:highlight w:val="none"/>
          <w:lang w:eastAsia="zh-CN"/>
        </w:rPr>
        <w:t>芒市城市总体规划图</w:t>
      </w:r>
    </w:p>
    <w:p w14:paraId="05A166DB">
      <w:pPr>
        <w:pStyle w:val="3"/>
        <w:bidi w:val="0"/>
        <w:rPr>
          <w:rFonts w:hint="eastAsia"/>
          <w:sz w:val="28"/>
          <w:szCs w:val="28"/>
        </w:rPr>
        <w:sectPr>
          <w:footerReference r:id="rId5" w:type="default"/>
          <w:pgSz w:w="11906" w:h="16838"/>
          <w:pgMar w:top="1440" w:right="1800" w:bottom="1440" w:left="1800" w:header="851" w:footer="992" w:gutter="0"/>
          <w:pgNumType w:fmt="upperRoman" w:start="1"/>
          <w:cols w:space="425" w:num="1"/>
          <w:docGrid w:type="lines" w:linePitch="312" w:charSpace="0"/>
        </w:sectPr>
      </w:pPr>
    </w:p>
    <w:p w14:paraId="17FDB4D4">
      <w:pPr>
        <w:pStyle w:val="3"/>
        <w:bidi w:val="0"/>
        <w:rPr>
          <w:rFonts w:hint="eastAsia"/>
          <w:sz w:val="28"/>
          <w:szCs w:val="28"/>
        </w:rPr>
      </w:pPr>
      <w:r>
        <w:rPr>
          <w:rFonts w:hint="eastAsia"/>
          <w:sz w:val="28"/>
          <w:szCs w:val="28"/>
        </w:rPr>
        <w:t>表一、建设项目基本情况</w:t>
      </w:r>
    </w:p>
    <w:tbl>
      <w:tblPr>
        <w:tblStyle w:val="16"/>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14:paraId="284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3" w:hRule="atLeast"/>
        </w:trPr>
        <w:tc>
          <w:tcPr>
            <w:tcW w:w="8540" w:type="dxa"/>
          </w:tcPr>
          <w:tbl>
            <w:tblPr>
              <w:tblStyle w:val="1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764"/>
              <w:gridCol w:w="658"/>
              <w:gridCol w:w="749"/>
              <w:gridCol w:w="1256"/>
              <w:gridCol w:w="1465"/>
              <w:gridCol w:w="1298"/>
            </w:tblGrid>
            <w:tr w14:paraId="416E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51E181E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项目名称</w:t>
                  </w:r>
                </w:p>
              </w:tc>
              <w:tc>
                <w:tcPr>
                  <w:tcW w:w="7190" w:type="dxa"/>
                  <w:gridSpan w:val="6"/>
                  <w:tcBorders>
                    <w:top w:val="single" w:color="auto" w:sz="4" w:space="0"/>
                    <w:left w:val="single" w:color="auto" w:sz="4" w:space="0"/>
                    <w:bottom w:val="single" w:color="auto" w:sz="4" w:space="0"/>
                    <w:right w:val="single" w:color="auto" w:sz="4" w:space="0"/>
                  </w:tcBorders>
                  <w:noWrap w:val="0"/>
                  <w:vAlign w:val="center"/>
                </w:tcPr>
                <w:p w14:paraId="4EF176DE">
                  <w:pPr>
                    <w:widowControl/>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芒市火车站片区主要道路建设项目</w:t>
                  </w:r>
                </w:p>
              </w:tc>
            </w:tr>
            <w:tr w14:paraId="50CB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7E0E446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建设单位</w:t>
                  </w:r>
                </w:p>
              </w:tc>
              <w:tc>
                <w:tcPr>
                  <w:tcW w:w="7190" w:type="dxa"/>
                  <w:gridSpan w:val="6"/>
                  <w:tcBorders>
                    <w:top w:val="single" w:color="auto" w:sz="4" w:space="0"/>
                    <w:left w:val="single" w:color="auto" w:sz="4" w:space="0"/>
                    <w:bottom w:val="single" w:color="auto" w:sz="4" w:space="0"/>
                    <w:right w:val="single" w:color="auto" w:sz="4" w:space="0"/>
                  </w:tcBorders>
                  <w:noWrap w:val="0"/>
                  <w:vAlign w:val="center"/>
                </w:tcPr>
                <w:p w14:paraId="0A302F88">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kern w:val="0"/>
                      <w:sz w:val="21"/>
                      <w:szCs w:val="21"/>
                      <w:lang w:val="en-US" w:eastAsia="zh-CN" w:bidi="ar"/>
                    </w:rPr>
                    <w:t>芒市城市建设投资开发有限公司</w:t>
                  </w:r>
                </w:p>
              </w:tc>
            </w:tr>
            <w:tr w14:paraId="7923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6258B26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法人代表</w:t>
                  </w:r>
                </w:p>
              </w:tc>
              <w:tc>
                <w:tcPr>
                  <w:tcW w:w="2422" w:type="dxa"/>
                  <w:gridSpan w:val="2"/>
                  <w:tcBorders>
                    <w:top w:val="single" w:color="auto" w:sz="4" w:space="0"/>
                    <w:left w:val="single" w:color="auto" w:sz="4" w:space="0"/>
                    <w:bottom w:val="single" w:color="auto" w:sz="4" w:space="0"/>
                    <w:right w:val="single" w:color="auto" w:sz="4" w:space="0"/>
                  </w:tcBorders>
                  <w:noWrap w:val="0"/>
                  <w:vAlign w:val="center"/>
                </w:tcPr>
                <w:p w14:paraId="61828535">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刘政</w:t>
                  </w:r>
                </w:p>
              </w:tc>
              <w:tc>
                <w:tcPr>
                  <w:tcW w:w="2005" w:type="dxa"/>
                  <w:gridSpan w:val="2"/>
                  <w:tcBorders>
                    <w:top w:val="single" w:color="auto" w:sz="4" w:space="0"/>
                    <w:left w:val="single" w:color="auto" w:sz="4" w:space="0"/>
                    <w:bottom w:val="single" w:color="auto" w:sz="4" w:space="0"/>
                    <w:right w:val="single" w:color="auto" w:sz="4" w:space="0"/>
                  </w:tcBorders>
                  <w:noWrap w:val="0"/>
                  <w:vAlign w:val="center"/>
                </w:tcPr>
                <w:p w14:paraId="3CC35F95">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联系人</w:t>
                  </w:r>
                </w:p>
              </w:tc>
              <w:tc>
                <w:tcPr>
                  <w:tcW w:w="2763" w:type="dxa"/>
                  <w:gridSpan w:val="2"/>
                  <w:tcBorders>
                    <w:top w:val="single" w:color="auto" w:sz="4" w:space="0"/>
                    <w:left w:val="single" w:color="auto" w:sz="4" w:space="0"/>
                    <w:bottom w:val="single" w:color="auto" w:sz="4" w:space="0"/>
                    <w:right w:val="single" w:color="auto" w:sz="4" w:space="0"/>
                  </w:tcBorders>
                  <w:noWrap w:val="0"/>
                  <w:vAlign w:val="center"/>
                </w:tcPr>
                <w:p w14:paraId="7DD569FA">
                  <w:pPr>
                    <w:widowControl/>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吴雨桐</w:t>
                  </w:r>
                </w:p>
              </w:tc>
            </w:tr>
            <w:tr w14:paraId="739F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2988B9C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通讯地址</w:t>
                  </w:r>
                </w:p>
              </w:tc>
              <w:tc>
                <w:tcPr>
                  <w:tcW w:w="7190" w:type="dxa"/>
                  <w:gridSpan w:val="6"/>
                  <w:tcBorders>
                    <w:top w:val="single" w:color="auto" w:sz="4" w:space="0"/>
                    <w:left w:val="single" w:color="auto" w:sz="4" w:space="0"/>
                    <w:bottom w:val="single" w:color="auto" w:sz="4" w:space="0"/>
                    <w:right w:val="single" w:color="auto" w:sz="4" w:space="0"/>
                  </w:tcBorders>
                  <w:noWrap w:val="0"/>
                  <w:vAlign w:val="center"/>
                </w:tcPr>
                <w:p w14:paraId="4A1ABC5D">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云南省德宏州芒市大街</w:t>
                  </w:r>
                  <w:r>
                    <w:rPr>
                      <w:rFonts w:hint="default" w:ascii="Times New Roman" w:hAnsi="Times New Roman" w:eastAsia="宋体" w:cs="Times New Roman"/>
                      <w:color w:val="auto"/>
                      <w:sz w:val="21"/>
                      <w:szCs w:val="21"/>
                      <w:highlight w:val="none"/>
                      <w:lang w:val="en-US" w:eastAsia="zh-CN"/>
                    </w:rPr>
                    <w:t>105号</w:t>
                  </w:r>
                </w:p>
              </w:tc>
            </w:tr>
            <w:tr w14:paraId="4445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3F392F5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联系电话</w:t>
                  </w:r>
                </w:p>
              </w:tc>
              <w:tc>
                <w:tcPr>
                  <w:tcW w:w="2422" w:type="dxa"/>
                  <w:gridSpan w:val="2"/>
                  <w:tcBorders>
                    <w:top w:val="single" w:color="auto" w:sz="4" w:space="0"/>
                    <w:left w:val="single" w:color="auto" w:sz="4" w:space="0"/>
                    <w:bottom w:val="single" w:color="auto" w:sz="4" w:space="0"/>
                    <w:right w:val="single" w:color="auto" w:sz="4" w:space="0"/>
                  </w:tcBorders>
                  <w:noWrap w:val="0"/>
                  <w:vAlign w:val="center"/>
                </w:tcPr>
                <w:p w14:paraId="79354063">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771</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26217E78">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传真</w:t>
                  </w:r>
                </w:p>
              </w:tc>
              <w:tc>
                <w:tcPr>
                  <w:tcW w:w="1256" w:type="dxa"/>
                  <w:tcBorders>
                    <w:top w:val="single" w:color="auto" w:sz="4" w:space="0"/>
                    <w:left w:val="single" w:color="auto" w:sz="4" w:space="0"/>
                    <w:bottom w:val="single" w:color="auto" w:sz="4" w:space="0"/>
                    <w:right w:val="single" w:color="auto" w:sz="4" w:space="0"/>
                  </w:tcBorders>
                  <w:noWrap w:val="0"/>
                  <w:vAlign w:val="center"/>
                </w:tcPr>
                <w:p w14:paraId="34E233FF">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0999A8BF">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邮政编码</w:t>
                  </w:r>
                </w:p>
              </w:tc>
              <w:tc>
                <w:tcPr>
                  <w:tcW w:w="1298" w:type="dxa"/>
                  <w:tcBorders>
                    <w:top w:val="single" w:color="auto" w:sz="4" w:space="0"/>
                    <w:left w:val="single" w:color="auto" w:sz="4" w:space="0"/>
                    <w:bottom w:val="single" w:color="auto" w:sz="4" w:space="0"/>
                    <w:right w:val="single" w:color="auto" w:sz="4" w:space="0"/>
                  </w:tcBorders>
                  <w:noWrap w:val="0"/>
                  <w:vAlign w:val="center"/>
                </w:tcPr>
                <w:p w14:paraId="6A60D298">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678400</w:t>
                  </w:r>
                </w:p>
              </w:tc>
            </w:tr>
            <w:tr w14:paraId="096A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70ADF09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7190" w:type="dxa"/>
                  <w:gridSpan w:val="6"/>
                  <w:tcBorders>
                    <w:top w:val="single" w:color="auto" w:sz="4" w:space="0"/>
                    <w:left w:val="single" w:color="auto" w:sz="4" w:space="0"/>
                    <w:bottom w:val="single" w:color="auto" w:sz="4" w:space="0"/>
                    <w:right w:val="single" w:color="auto" w:sz="4" w:space="0"/>
                  </w:tcBorders>
                  <w:noWrap w:val="0"/>
                  <w:vAlign w:val="center"/>
                </w:tcPr>
                <w:p w14:paraId="3BB54C0B">
                  <w:pPr>
                    <w:widowControl/>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德宏州芒市中心城区西北部方向</w:t>
                  </w:r>
                </w:p>
              </w:tc>
            </w:tr>
            <w:tr w14:paraId="2566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7D13782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立项审批部门</w:t>
                  </w:r>
                </w:p>
              </w:tc>
              <w:tc>
                <w:tcPr>
                  <w:tcW w:w="3171" w:type="dxa"/>
                  <w:gridSpan w:val="3"/>
                  <w:tcBorders>
                    <w:top w:val="single" w:color="auto" w:sz="4" w:space="0"/>
                    <w:left w:val="single" w:color="auto" w:sz="4" w:space="0"/>
                    <w:bottom w:val="single" w:color="auto" w:sz="4" w:space="0"/>
                    <w:right w:val="single" w:color="auto" w:sz="4" w:space="0"/>
                  </w:tcBorders>
                  <w:noWrap w:val="0"/>
                  <w:vAlign w:val="center"/>
                </w:tcPr>
                <w:p w14:paraId="4DA5B7D1">
                  <w:pPr>
                    <w:widowControl/>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芒市发展和改革局</w:t>
                  </w:r>
                </w:p>
              </w:tc>
              <w:tc>
                <w:tcPr>
                  <w:tcW w:w="1256" w:type="dxa"/>
                  <w:tcBorders>
                    <w:top w:val="single" w:color="auto" w:sz="4" w:space="0"/>
                    <w:left w:val="single" w:color="auto" w:sz="4" w:space="0"/>
                    <w:bottom w:val="single" w:color="auto" w:sz="4" w:space="0"/>
                    <w:right w:val="single" w:color="auto" w:sz="4" w:space="0"/>
                  </w:tcBorders>
                  <w:noWrap w:val="0"/>
                  <w:vAlign w:val="center"/>
                </w:tcPr>
                <w:p w14:paraId="7B9A56C9">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批准文号</w:t>
                  </w:r>
                </w:p>
              </w:tc>
              <w:tc>
                <w:tcPr>
                  <w:tcW w:w="2763" w:type="dxa"/>
                  <w:gridSpan w:val="2"/>
                  <w:tcBorders>
                    <w:top w:val="single" w:color="auto" w:sz="4" w:space="0"/>
                    <w:left w:val="single" w:color="auto" w:sz="4" w:space="0"/>
                    <w:bottom w:val="single" w:color="auto" w:sz="4" w:space="0"/>
                    <w:right w:val="single" w:color="auto" w:sz="4" w:space="0"/>
                  </w:tcBorders>
                  <w:noWrap w:val="0"/>
                  <w:vAlign w:val="center"/>
                </w:tcPr>
                <w:p w14:paraId="40167AF8">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芒发改备案</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020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号</w:t>
                  </w:r>
                </w:p>
              </w:tc>
            </w:tr>
            <w:tr w14:paraId="311A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174F16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建设性质</w:t>
                  </w:r>
                </w:p>
              </w:tc>
              <w:tc>
                <w:tcPr>
                  <w:tcW w:w="3171" w:type="dxa"/>
                  <w:gridSpan w:val="3"/>
                  <w:tcBorders>
                    <w:top w:val="single" w:color="auto" w:sz="4" w:space="0"/>
                    <w:left w:val="single" w:color="auto" w:sz="4" w:space="0"/>
                    <w:bottom w:val="single" w:color="auto" w:sz="4" w:space="0"/>
                    <w:right w:val="single" w:color="auto" w:sz="4" w:space="0"/>
                  </w:tcBorders>
                  <w:noWrap w:val="0"/>
                  <w:vAlign w:val="center"/>
                </w:tcPr>
                <w:p w14:paraId="1C4A5985">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新建</w:t>
                  </w:r>
                  <w:r>
                    <w:rPr>
                      <w:rFonts w:hint="default" w:ascii="Times New Roman" w:hAnsi="Times New Roman" w:eastAsia="宋体" w:cs="Times New Roman"/>
                      <w:color w:val="auto"/>
                      <w:sz w:val="21"/>
                      <w:szCs w:val="21"/>
                      <w:highlight w:val="none"/>
                    </w:rPr>
                    <w:sym w:font="Wingdings 2" w:char="F052"/>
                  </w:r>
                  <w:r>
                    <w:rPr>
                      <w:rFonts w:hint="default" w:ascii="Times New Roman" w:hAnsi="Times New Roman" w:eastAsia="宋体" w:cs="Times New Roman"/>
                      <w:color w:val="auto"/>
                      <w:kern w:val="0"/>
                      <w:sz w:val="21"/>
                      <w:szCs w:val="21"/>
                      <w:highlight w:val="none"/>
                    </w:rPr>
                    <w:t>改扩建□技改□</w:t>
                  </w:r>
                </w:p>
              </w:tc>
              <w:tc>
                <w:tcPr>
                  <w:tcW w:w="1256" w:type="dxa"/>
                  <w:tcBorders>
                    <w:top w:val="single" w:color="auto" w:sz="4" w:space="0"/>
                    <w:left w:val="single" w:color="auto" w:sz="4" w:space="0"/>
                    <w:bottom w:val="single" w:color="auto" w:sz="4" w:space="0"/>
                    <w:right w:val="single" w:color="auto" w:sz="4" w:space="0"/>
                  </w:tcBorders>
                  <w:noWrap w:val="0"/>
                  <w:vAlign w:val="center"/>
                </w:tcPr>
                <w:p w14:paraId="6670C742">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行业类别</w:t>
                  </w:r>
                </w:p>
                <w:p w14:paraId="5BBBE20B">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及代码</w:t>
                  </w:r>
                </w:p>
              </w:tc>
              <w:tc>
                <w:tcPr>
                  <w:tcW w:w="2763" w:type="dxa"/>
                  <w:gridSpan w:val="2"/>
                  <w:tcBorders>
                    <w:top w:val="single" w:color="auto" w:sz="4" w:space="0"/>
                    <w:left w:val="single" w:color="auto" w:sz="4" w:space="0"/>
                    <w:bottom w:val="single" w:color="auto" w:sz="4" w:space="0"/>
                    <w:right w:val="single" w:color="auto" w:sz="4" w:space="0"/>
                  </w:tcBorders>
                  <w:noWrap w:val="0"/>
                  <w:vAlign w:val="center"/>
                </w:tcPr>
                <w:p w14:paraId="6E69F8F4">
                  <w:pPr>
                    <w:pStyle w:val="14"/>
                    <w:widowControl/>
                    <w:spacing w:beforeAutospacing="1" w:afterAutospacing="1"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市政道路工程建筑（E4813）</w:t>
                  </w:r>
                </w:p>
              </w:tc>
            </w:tr>
            <w:tr w14:paraId="722F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632DB3C0">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占地面积</w:t>
                  </w:r>
                </w:p>
                <w:p w14:paraId="10F556A9">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(hm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3171" w:type="dxa"/>
                  <w:gridSpan w:val="3"/>
                  <w:tcBorders>
                    <w:top w:val="single" w:color="auto" w:sz="4" w:space="0"/>
                    <w:left w:val="single" w:color="auto" w:sz="4" w:space="0"/>
                    <w:bottom w:val="single" w:color="auto" w:sz="4" w:space="0"/>
                    <w:right w:val="single" w:color="auto" w:sz="4" w:space="0"/>
                  </w:tcBorders>
                  <w:noWrap w:val="0"/>
                  <w:vAlign w:val="center"/>
                </w:tcPr>
                <w:p w14:paraId="04627461">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41.53</w:t>
                  </w:r>
                </w:p>
              </w:tc>
              <w:tc>
                <w:tcPr>
                  <w:tcW w:w="1256" w:type="dxa"/>
                  <w:tcBorders>
                    <w:top w:val="single" w:color="auto" w:sz="4" w:space="0"/>
                    <w:left w:val="single" w:color="auto" w:sz="4" w:space="0"/>
                    <w:bottom w:val="single" w:color="auto" w:sz="4" w:space="0"/>
                    <w:right w:val="single" w:color="auto" w:sz="4" w:space="0"/>
                  </w:tcBorders>
                  <w:noWrap w:val="0"/>
                  <w:vAlign w:val="center"/>
                </w:tcPr>
                <w:p w14:paraId="6DB69BD8">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绿化面积</w:t>
                  </w:r>
                </w:p>
                <w:p w14:paraId="2A0D33D4">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(hm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2763" w:type="dxa"/>
                  <w:gridSpan w:val="2"/>
                  <w:tcBorders>
                    <w:top w:val="single" w:color="auto" w:sz="4" w:space="0"/>
                    <w:left w:val="single" w:color="auto" w:sz="4" w:space="0"/>
                    <w:bottom w:val="single" w:color="auto" w:sz="4" w:space="0"/>
                    <w:right w:val="single" w:color="auto" w:sz="4" w:space="0"/>
                  </w:tcBorders>
                  <w:noWrap w:val="0"/>
                  <w:vAlign w:val="center"/>
                </w:tcPr>
                <w:p w14:paraId="3DD6C2C0">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9.09</w:t>
                  </w:r>
                </w:p>
              </w:tc>
            </w:tr>
            <w:tr w14:paraId="0821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3DAA8D53">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总投资</w:t>
                  </w:r>
                </w:p>
                <w:p w14:paraId="31FB0C7F">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(万元)</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7A6BA3EA">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86594.77</w:t>
                  </w:r>
                </w:p>
              </w:tc>
              <w:tc>
                <w:tcPr>
                  <w:tcW w:w="1407" w:type="dxa"/>
                  <w:gridSpan w:val="2"/>
                  <w:tcBorders>
                    <w:top w:val="single" w:color="auto" w:sz="4" w:space="0"/>
                    <w:left w:val="single" w:color="auto" w:sz="4" w:space="0"/>
                    <w:bottom w:val="single" w:color="auto" w:sz="4" w:space="0"/>
                    <w:right w:val="single" w:color="auto" w:sz="4" w:space="0"/>
                  </w:tcBorders>
                  <w:noWrap w:val="0"/>
                  <w:vAlign w:val="center"/>
                </w:tcPr>
                <w:p w14:paraId="11186C0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其中：环保投资(万元)</w:t>
                  </w:r>
                </w:p>
              </w:tc>
              <w:tc>
                <w:tcPr>
                  <w:tcW w:w="1256" w:type="dxa"/>
                  <w:tcBorders>
                    <w:top w:val="single" w:color="auto" w:sz="4" w:space="0"/>
                    <w:left w:val="single" w:color="auto" w:sz="4" w:space="0"/>
                    <w:bottom w:val="single" w:color="auto" w:sz="4" w:space="0"/>
                    <w:right w:val="single" w:color="auto" w:sz="4" w:space="0"/>
                  </w:tcBorders>
                  <w:noWrap w:val="0"/>
                  <w:vAlign w:val="center"/>
                </w:tcPr>
                <w:p w14:paraId="1DBFE913">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5629.3</w:t>
                  </w:r>
                </w:p>
              </w:tc>
              <w:tc>
                <w:tcPr>
                  <w:tcW w:w="1465" w:type="dxa"/>
                  <w:tcBorders>
                    <w:top w:val="single" w:color="auto" w:sz="4" w:space="0"/>
                    <w:left w:val="single" w:color="auto" w:sz="4" w:space="0"/>
                    <w:bottom w:val="single" w:color="auto" w:sz="4" w:space="0"/>
                    <w:right w:val="single" w:color="auto" w:sz="4" w:space="0"/>
                  </w:tcBorders>
                  <w:noWrap w:val="0"/>
                  <w:vAlign w:val="center"/>
                </w:tcPr>
                <w:p w14:paraId="59961881">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环保投资占总投资比例</w:t>
                  </w:r>
                </w:p>
              </w:tc>
              <w:tc>
                <w:tcPr>
                  <w:tcW w:w="1298" w:type="dxa"/>
                  <w:tcBorders>
                    <w:top w:val="single" w:color="auto" w:sz="4" w:space="0"/>
                    <w:left w:val="single" w:color="auto" w:sz="4" w:space="0"/>
                    <w:bottom w:val="single" w:color="auto" w:sz="4" w:space="0"/>
                    <w:right w:val="single" w:color="auto" w:sz="4" w:space="0"/>
                  </w:tcBorders>
                  <w:noWrap w:val="0"/>
                  <w:vAlign w:val="center"/>
                </w:tcPr>
                <w:p w14:paraId="62DA9A23">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r>
            <w:tr w14:paraId="7872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2B2CF5B4">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评价经费</w:t>
                  </w:r>
                </w:p>
                <w:p w14:paraId="309D5748">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(万元)</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0F3D7BC1">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07" w:type="dxa"/>
                  <w:gridSpan w:val="2"/>
                  <w:tcBorders>
                    <w:top w:val="single" w:color="auto" w:sz="4" w:space="0"/>
                    <w:left w:val="single" w:color="auto" w:sz="4" w:space="0"/>
                    <w:bottom w:val="single" w:color="auto" w:sz="4" w:space="0"/>
                    <w:right w:val="single" w:color="auto" w:sz="4" w:space="0"/>
                  </w:tcBorders>
                  <w:noWrap w:val="0"/>
                  <w:vAlign w:val="center"/>
                </w:tcPr>
                <w:p w14:paraId="5952B16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预期投产</w:t>
                  </w:r>
                </w:p>
                <w:p w14:paraId="73697FF1">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日期</w:t>
                  </w:r>
                </w:p>
              </w:tc>
              <w:tc>
                <w:tcPr>
                  <w:tcW w:w="4019" w:type="dxa"/>
                  <w:gridSpan w:val="3"/>
                  <w:tcBorders>
                    <w:top w:val="single" w:color="auto" w:sz="4" w:space="0"/>
                    <w:left w:val="single" w:color="auto" w:sz="4" w:space="0"/>
                    <w:bottom w:val="single" w:color="auto" w:sz="4" w:space="0"/>
                    <w:right w:val="single" w:color="auto" w:sz="4" w:space="0"/>
                  </w:tcBorders>
                  <w:noWrap w:val="0"/>
                  <w:vAlign w:val="center"/>
                </w:tcPr>
                <w:p w14:paraId="07D5593D">
                  <w:pPr>
                    <w:widowControl/>
                    <w:spacing w:line="240" w:lineRule="auto"/>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auto"/>
                      <w:kern w:val="0"/>
                      <w:sz w:val="21"/>
                      <w:szCs w:val="21"/>
                      <w:highlight w:val="none"/>
                      <w:lang w:val="en-US" w:eastAsia="zh-CN"/>
                    </w:rPr>
                    <w:t>2025年</w:t>
                  </w:r>
                </w:p>
              </w:tc>
            </w:tr>
          </w:tbl>
          <w:p w14:paraId="2E8EA767">
            <w:pPr>
              <w:bidi w:val="0"/>
              <w:spacing w:line="360" w:lineRule="auto"/>
              <w:jc w:val="both"/>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工程内容及规模</w:t>
            </w:r>
          </w:p>
          <w:p w14:paraId="637C360E">
            <w:pPr>
              <w:numPr>
                <w:ilvl w:val="0"/>
                <w:numId w:val="3"/>
              </w:numPr>
              <w:spacing w:line="360" w:lineRule="auto"/>
              <w:jc w:val="both"/>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项目由来</w:t>
            </w:r>
          </w:p>
          <w:p w14:paraId="3268C550">
            <w:pPr>
              <w:keepNext w:val="0"/>
              <w:keepLines w:val="0"/>
              <w:widowControl/>
              <w:suppressLineNumbers w:val="0"/>
              <w:spacing w:line="360" w:lineRule="auto"/>
              <w:ind w:firstLine="480" w:firstLineChars="20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芒市作为州府所在地，是政治、经济、文化的中心，是孟中印缅经济走廊上的核心节点城市，正逐步成为国家</w:t>
            </w:r>
            <w:r>
              <w:rPr>
                <w:rFonts w:hint="eastAsia" w:ascii="宋体" w:hAnsi="宋体" w:cs="宋体"/>
                <w:color w:val="000000"/>
                <w:kern w:val="0"/>
                <w:sz w:val="24"/>
                <w:szCs w:val="24"/>
                <w:lang w:val="en-US" w:eastAsia="zh-CN" w:bidi="ar"/>
              </w:rPr>
              <w:t>“一带一路”倡议</w:t>
            </w:r>
            <w:r>
              <w:rPr>
                <w:rFonts w:hint="eastAsia" w:ascii="宋体" w:hAnsi="宋体" w:eastAsia="宋体" w:cs="宋体"/>
                <w:color w:val="000000"/>
                <w:kern w:val="0"/>
                <w:sz w:val="24"/>
                <w:szCs w:val="24"/>
                <w:lang w:val="en-US" w:eastAsia="zh-CN" w:bidi="ar"/>
              </w:rPr>
              <w:t>的西南节点。近年来，为加快城市发展，芒市坚持规划先行、加大投入、建管并重和建章立制，城市发展规模不断扩大，城市基础设施不断完善，城市管理水平不断提升，城市管理机制不断健全，芒市这座边境小城的美誉度和知名度不断彰显。芒市火车站片区紧邻大瑞铁路芒市客运站，位于芒市主城西部，北到龙瑞高速公路，西到总规确定范围、东到勐焕路及其延长线，南到田园大道，总面积</w:t>
            </w:r>
            <w:r>
              <w:rPr>
                <w:rFonts w:hint="eastAsia" w:ascii="宋体" w:hAnsi="宋体" w:cs="宋体"/>
                <w:color w:val="000000"/>
                <w:kern w:val="0"/>
                <w:sz w:val="24"/>
                <w:szCs w:val="24"/>
                <w:lang w:val="en-US" w:eastAsia="zh-CN" w:bidi="ar"/>
              </w:rPr>
              <w:t>约</w:t>
            </w:r>
            <w:r>
              <w:rPr>
                <w:rFonts w:hint="default" w:ascii="Times New Roman" w:hAnsi="Times New Roman" w:eastAsia="宋体" w:cs="Times New Roman"/>
                <w:color w:val="000000"/>
                <w:kern w:val="0"/>
                <w:sz w:val="24"/>
                <w:szCs w:val="24"/>
                <w:lang w:val="en-US" w:eastAsia="zh-CN" w:bidi="ar"/>
              </w:rPr>
              <w:t xml:space="preserve">5.42 </w:t>
            </w:r>
            <w:r>
              <w:rPr>
                <w:rFonts w:hint="eastAsia" w:ascii="宋体" w:hAnsi="宋体" w:eastAsia="宋体" w:cs="宋体"/>
                <w:color w:val="000000"/>
                <w:kern w:val="0"/>
                <w:sz w:val="24"/>
                <w:szCs w:val="24"/>
                <w:lang w:val="en-US" w:eastAsia="zh-CN" w:bidi="ar"/>
              </w:rPr>
              <w:t>平方公里为支撑泛亚铁路西线的建成及运营，芒市火车站片区的建设已迫在眉睫。</w:t>
            </w:r>
          </w:p>
          <w:p w14:paraId="63D4311C">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现已结合州、市要求修改完成了项目区控制性详细规划和搬迁地修建性详细规划，确定了铁路正线征迁范围、站前 7 条主要道路（一横六纵）位置和建设用地指标。需尽快推进站前 7 条主要道路（一横六纵）建设工程，确保雨季过后即可开工建设。</w:t>
            </w:r>
            <w:r>
              <w:rPr>
                <w:rFonts w:hint="default" w:ascii="Times New Roman" w:hAnsi="Times New Roman" w:eastAsia="宋体" w:cs="Times New Roman"/>
                <w:color w:val="000000"/>
                <w:kern w:val="0"/>
                <w:sz w:val="24"/>
                <w:szCs w:val="24"/>
                <w:lang w:val="en-US" w:eastAsia="zh-CN" w:bidi="ar"/>
              </w:rPr>
              <w:t>本次拟建 7 条道路，包括 1 号路（长 807.824m、红线宽 40m）、2 号路（长 807.129m、红线宽 32m）、3 号路（长 1228.227m、红线宽 32m）、4号路（合并段长 145m，宽 42m；二分段，北侧长 672.268m、南侧长 672.138m、红线宽均为 25m）、5 号路（长 2286.292m，其中 32m 段长 1503.75m；25m段长 782.542m）、6 号路（长 807.129m、红线宽 32m）、7 号路（长 4616.468m、红线宽 40m）。道路总长约 12km，占地面积约 415330.2 ㎡。拟建道路均为城市次干道</w:t>
            </w:r>
            <w:r>
              <w:rPr>
                <w:rFonts w:hint="eastAsia" w:ascii="Times New Roman" w:hAnsi="Times New Roman" w:cs="Times New Roman"/>
                <w:color w:val="000000"/>
                <w:kern w:val="0"/>
                <w:sz w:val="24"/>
                <w:szCs w:val="24"/>
                <w:lang w:val="en-US" w:eastAsia="zh-CN" w:bidi="ar"/>
              </w:rPr>
              <w:t>。</w:t>
            </w:r>
            <w:r>
              <w:rPr>
                <w:rFonts w:hint="eastAsia" w:ascii="Times New Roman" w:hAnsi="Times New Roman"/>
                <w:sz w:val="24"/>
              </w:rPr>
              <w:t>本项目工程内容主要包括道路、排水、管线综合、照明、交通设施、绿化、附属工程等，</w:t>
            </w:r>
            <w:r>
              <w:rPr>
                <w:rFonts w:ascii="宋体" w:hAnsi="宋体" w:eastAsia="宋体" w:cs="宋体"/>
                <w:color w:val="000000"/>
                <w:kern w:val="0"/>
                <w:sz w:val="24"/>
                <w:szCs w:val="24"/>
                <w:lang w:val="en-US" w:eastAsia="zh-CN" w:bidi="ar"/>
              </w:rPr>
              <w:t>打通了主城各方向通往未来芒市火车站的重要通道</w:t>
            </w:r>
            <w:r>
              <w:rPr>
                <w:rFonts w:hint="eastAsia" w:ascii="宋体" w:hAnsi="宋体" w:eastAsia="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为片区建设拆迁安置地提供重要的出行通道，是片区建设的基础，是泛亚铁路西线建成运营的根本保障，为芒市建设区域综合交通枢纽提供强有力的支撑，对今后芒市城市发展有着战略性的意义和深远的影响</w:t>
            </w:r>
            <w:r>
              <w:rPr>
                <w:rFonts w:hint="eastAsia" w:ascii="宋体" w:hAnsi="宋体" w:eastAsia="宋体" w:cs="宋体"/>
                <w:color w:val="000000"/>
                <w:kern w:val="0"/>
                <w:sz w:val="24"/>
                <w:szCs w:val="24"/>
                <w:lang w:val="en-US" w:eastAsia="zh-CN" w:bidi="ar"/>
              </w:rPr>
              <w:t>。</w:t>
            </w:r>
          </w:p>
          <w:p w14:paraId="53DD56DE">
            <w:pPr>
              <w:autoSpaceDE w:val="0"/>
              <w:autoSpaceDN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rPr>
              <w:t>根据《中华人民共和国环境保护法》、《中华人民共和国环境影响评价法》和国务院令第682号文的要求，</w:t>
            </w:r>
            <w:r>
              <w:rPr>
                <w:rFonts w:ascii="Times New Roman" w:hAnsi="Times New Roman" w:cs="Times New Roman"/>
                <w:color w:val="auto"/>
                <w:sz w:val="24"/>
                <w:highlight w:val="none"/>
              </w:rPr>
              <w:t>一切可能对环境造成影响的新建、扩建或改建项目必须实行环境影响评价制度，以便能有效的控制新的污染和生态破坏，保护环境、利国利民。本项目属于市政道路工程</w:t>
            </w:r>
            <w:r>
              <w:rPr>
                <w:rFonts w:hint="eastAsia" w:ascii="Times New Roman" w:hAnsi="Times New Roman" w:cs="Times New Roman"/>
                <w:color w:val="auto"/>
                <w:sz w:val="24"/>
                <w:highlight w:val="none"/>
                <w:lang w:eastAsia="zh-CN"/>
              </w:rPr>
              <w:t>建设项目</w:t>
            </w:r>
            <w:r>
              <w:rPr>
                <w:rFonts w:ascii="Times New Roman" w:hAnsi="Times New Roman" w:cs="Times New Roman"/>
                <w:color w:val="auto"/>
                <w:sz w:val="24"/>
                <w:highlight w:val="none"/>
              </w:rPr>
              <w:t>，</w:t>
            </w:r>
            <w:r>
              <w:rPr>
                <w:rFonts w:hint="eastAsia" w:ascii="宋体" w:hAnsi="宋体" w:eastAsia="宋体" w:cs="宋体"/>
                <w:bCs/>
                <w:sz w:val="24"/>
                <w:szCs w:val="24"/>
              </w:rPr>
              <w:t>根据《建设项目环境影响评价分类管理名录》（</w:t>
            </w:r>
            <w:r>
              <w:rPr>
                <w:rFonts w:hint="default" w:ascii="Times New Roman" w:hAnsi="Times New Roman" w:eastAsia="宋体" w:cs="Times New Roman"/>
                <w:bCs/>
                <w:sz w:val="24"/>
                <w:szCs w:val="24"/>
              </w:rPr>
              <w:t>2017年9月1日</w:t>
            </w:r>
            <w:r>
              <w:rPr>
                <w:rFonts w:hint="eastAsia" w:ascii="宋体" w:hAnsi="宋体" w:eastAsia="宋体" w:cs="宋体"/>
                <w:bCs/>
                <w:sz w:val="24"/>
                <w:szCs w:val="24"/>
              </w:rPr>
              <w:t>）及《关于修改&lt;建设项目环境影响评价分类管理名录&gt;部分内容的决定》（</w:t>
            </w:r>
            <w:r>
              <w:rPr>
                <w:rFonts w:hint="default" w:ascii="Times New Roman" w:hAnsi="Times New Roman" w:eastAsia="宋体" w:cs="Times New Roman"/>
                <w:bCs/>
                <w:sz w:val="24"/>
                <w:szCs w:val="24"/>
              </w:rPr>
              <w:t>2018年4月28日</w:t>
            </w:r>
            <w:r>
              <w:rPr>
                <w:rFonts w:hint="eastAsia" w:ascii="宋体" w:hAnsi="宋体" w:eastAsia="宋体" w:cs="宋体"/>
                <w:bCs/>
                <w:sz w:val="24"/>
                <w:szCs w:val="24"/>
              </w:rPr>
              <w:t>），本项目属于第四十九类</w:t>
            </w:r>
            <w:r>
              <w:rPr>
                <w:rFonts w:hint="eastAsia" w:ascii="宋体" w:hAnsi="宋体" w:eastAsia="宋体" w:cs="宋体"/>
                <w:sz w:val="24"/>
                <w:szCs w:val="24"/>
              </w:rPr>
              <w:t>交通运输业、管道运输业和仓储业，第</w:t>
            </w:r>
            <w:r>
              <w:rPr>
                <w:rFonts w:hint="default" w:ascii="Times New Roman" w:hAnsi="Times New Roman" w:eastAsia="宋体" w:cs="Times New Roman"/>
                <w:sz w:val="24"/>
                <w:szCs w:val="24"/>
              </w:rPr>
              <w:t>172</w:t>
            </w:r>
            <w:r>
              <w:rPr>
                <w:rFonts w:hint="eastAsia" w:ascii="宋体" w:hAnsi="宋体" w:eastAsia="宋体" w:cs="宋体"/>
                <w:sz w:val="24"/>
                <w:szCs w:val="24"/>
              </w:rPr>
              <w:t>项城市道路（不含维护，不含支路）中的新建干道的项目</w:t>
            </w:r>
            <w:r>
              <w:rPr>
                <w:rFonts w:hint="eastAsia" w:ascii="宋体" w:hAnsi="宋体" w:eastAsia="宋体" w:cs="宋体"/>
                <w:bCs/>
                <w:sz w:val="24"/>
                <w:szCs w:val="24"/>
              </w:rPr>
              <w:t>，应编制环境影响评价报告表</w:t>
            </w:r>
            <w:r>
              <w:rPr>
                <w:rFonts w:hint="eastAsia" w:ascii="宋体" w:hAnsi="宋体" w:eastAsia="宋体" w:cs="宋体"/>
                <w:bCs/>
                <w:sz w:val="24"/>
                <w:szCs w:val="24"/>
                <w:lang w:eastAsia="zh-CN"/>
              </w:rPr>
              <w:t>。</w:t>
            </w:r>
          </w:p>
          <w:p w14:paraId="15704025">
            <w:pPr>
              <w:numPr>
                <w:ilvl w:val="0"/>
                <w:numId w:val="0"/>
              </w:numPr>
              <w:autoSpaceDE w:val="0"/>
              <w:autoSpaceDN w:val="0"/>
              <w:spacing w:line="360" w:lineRule="auto"/>
              <w:ind w:leftChars="0" w:firstLine="480" w:firstLineChars="200"/>
              <w:jc w:val="left"/>
              <w:rPr>
                <w:rFonts w:hint="eastAsia" w:ascii="宋体" w:hAnsi="宋体" w:eastAsia="宋体" w:cs="宋体"/>
                <w:b/>
                <w:bCs/>
                <w:color w:val="auto"/>
                <w:sz w:val="28"/>
                <w:szCs w:val="28"/>
                <w:highlight w:val="none"/>
                <w:lang w:eastAsia="zh-CN"/>
              </w:rPr>
            </w:pPr>
            <w:r>
              <w:rPr>
                <w:rFonts w:ascii="Times New Roman" w:hAnsi="Times New Roman" w:cs="Times New Roman"/>
                <w:color w:val="auto"/>
                <w:sz w:val="24"/>
                <w:highlight w:val="none"/>
              </w:rPr>
              <w:t>因此，建设单位委托</w:t>
            </w:r>
            <w:r>
              <w:rPr>
                <w:rFonts w:hint="eastAsia" w:ascii="Times New Roman" w:hAnsi="Times New Roman" w:cs="Times New Roman"/>
                <w:color w:val="auto"/>
                <w:sz w:val="24"/>
                <w:highlight w:val="none"/>
                <w:lang w:eastAsia="zh-CN"/>
              </w:rPr>
              <w:t>云南禹含环保科技有限公司进行环境影响评价报告表编制。</w:t>
            </w:r>
            <w:r>
              <w:rPr>
                <w:rFonts w:ascii="Times New Roman" w:hAnsi="Times New Roman" w:cs="Times New Roman"/>
                <w:color w:val="auto"/>
                <w:sz w:val="24"/>
                <w:highlight w:val="none"/>
              </w:rPr>
              <w:t>我</w:t>
            </w:r>
            <w:r>
              <w:rPr>
                <w:rFonts w:hint="eastAsia" w:ascii="Times New Roman" w:hAnsi="Times New Roman" w:cs="Times New Roman"/>
                <w:color w:val="auto"/>
                <w:sz w:val="24"/>
                <w:highlight w:val="none"/>
                <w:lang w:eastAsia="zh-CN"/>
              </w:rPr>
              <w:t>公司</w:t>
            </w:r>
            <w:r>
              <w:rPr>
                <w:rFonts w:ascii="Times New Roman" w:hAnsi="Times New Roman" w:cs="Times New Roman"/>
                <w:color w:val="auto"/>
                <w:sz w:val="24"/>
                <w:highlight w:val="none"/>
              </w:rPr>
              <w:t>通过现场踏勘、资料收集，在工程分析的基础上，对本项目可能造成的环境影响进行分析评价后，按照环境影响评价技术导则的要求，</w:t>
            </w:r>
            <w:r>
              <w:rPr>
                <w:rFonts w:hint="eastAsia" w:ascii="Times New Roman" w:hAnsi="Times New Roman" w:cs="Times New Roman"/>
                <w:color w:val="auto"/>
                <w:sz w:val="24"/>
                <w:highlight w:val="none"/>
                <w:lang w:eastAsia="zh-CN"/>
              </w:rPr>
              <w:t>编制了该项目环境影响报告表，供建设单位上报审批。</w:t>
            </w:r>
          </w:p>
          <w:p w14:paraId="2E66B982">
            <w:pPr>
              <w:numPr>
                <w:ilvl w:val="0"/>
                <w:numId w:val="3"/>
              </w:numPr>
              <w:autoSpaceDE w:val="0"/>
              <w:autoSpaceDN w:val="0"/>
              <w:spacing w:line="360" w:lineRule="auto"/>
              <w:ind w:left="0" w:leftChars="0" w:firstLine="0" w:firstLineChars="0"/>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项目概况</w:t>
            </w:r>
          </w:p>
          <w:p w14:paraId="171BD64B">
            <w:pPr>
              <w:snapToGrid w:val="0"/>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w:t>
            </w:r>
            <w:r>
              <w:rPr>
                <w:rFonts w:hint="eastAsia" w:ascii="Times New Roman" w:hAnsi="Times New Roman" w:cs="Times New Roman"/>
                <w:b/>
                <w:bCs/>
                <w:color w:val="auto"/>
                <w:sz w:val="24"/>
                <w:highlight w:val="none"/>
                <w:lang w:eastAsia="zh-CN"/>
              </w:rPr>
              <w:t>.</w:t>
            </w:r>
            <w:r>
              <w:rPr>
                <w:rFonts w:ascii="Times New Roman" w:hAnsi="Times New Roman" w:cs="Times New Roman"/>
                <w:b/>
                <w:bCs/>
                <w:color w:val="auto"/>
                <w:sz w:val="24"/>
                <w:highlight w:val="none"/>
              </w:rPr>
              <w:t>项目名称、建设地点、建设性质</w:t>
            </w:r>
          </w:p>
          <w:p w14:paraId="3F0B14C3">
            <w:pPr>
              <w:spacing w:line="360" w:lineRule="auto"/>
              <w:ind w:firstLine="482" w:firstLineChars="200"/>
              <w:rPr>
                <w:rFonts w:hint="eastAsia" w:ascii="Times New Roman" w:hAnsi="Times New Roman" w:cs="Times New Roman" w:eastAsiaTheme="minorEastAsia"/>
                <w:bCs/>
                <w:color w:val="auto"/>
                <w:sz w:val="24"/>
                <w:highlight w:val="none"/>
                <w:lang w:eastAsia="zh-CN"/>
              </w:rPr>
            </w:pPr>
            <w:r>
              <w:rPr>
                <w:rFonts w:ascii="Times New Roman" w:hAnsi="Times New Roman" w:cs="Times New Roman"/>
                <w:b/>
                <w:color w:val="auto"/>
                <w:sz w:val="24"/>
                <w:highlight w:val="none"/>
              </w:rPr>
              <w:t>项目名称：</w:t>
            </w:r>
            <w:r>
              <w:rPr>
                <w:rFonts w:hint="eastAsia" w:ascii="Times New Roman" w:cs="Times New Roman"/>
                <w:color w:val="auto"/>
                <w:sz w:val="24"/>
                <w:highlight w:val="none"/>
                <w:lang w:eastAsia="zh-CN"/>
              </w:rPr>
              <w:t>芒市火车站片区主要道路建设项目</w:t>
            </w:r>
          </w:p>
          <w:p w14:paraId="068D3BD4">
            <w:pPr>
              <w:spacing w:line="360" w:lineRule="auto"/>
              <w:ind w:firstLine="482" w:firstLineChars="200"/>
              <w:rPr>
                <w:rFonts w:hint="eastAsia" w:ascii="Times New Roman" w:hAnsi="Times New Roman" w:cs="Times New Roman" w:eastAsiaTheme="minorEastAsia"/>
                <w:bCs/>
                <w:color w:val="auto"/>
                <w:sz w:val="24"/>
                <w:highlight w:val="none"/>
                <w:lang w:eastAsia="zh-CN"/>
              </w:rPr>
            </w:pPr>
            <w:r>
              <w:rPr>
                <w:rFonts w:ascii="Times New Roman" w:hAnsi="Times New Roman" w:cs="Times New Roman"/>
                <w:b/>
                <w:color w:val="auto"/>
                <w:sz w:val="24"/>
                <w:highlight w:val="none"/>
              </w:rPr>
              <w:t>建设地点：</w:t>
            </w:r>
            <w:r>
              <w:rPr>
                <w:rFonts w:hint="eastAsia" w:ascii="Times New Roman" w:hAnsi="Times New Roman" w:cs="Times New Roman"/>
                <w:b w:val="0"/>
                <w:bCs/>
                <w:color w:val="auto"/>
                <w:sz w:val="24"/>
                <w:highlight w:val="none"/>
                <w:lang w:eastAsia="zh-CN"/>
              </w:rPr>
              <w:t>德宏州芒市中心城区的西北部方向</w:t>
            </w:r>
          </w:p>
          <w:p w14:paraId="0525D623">
            <w:pPr>
              <w:spacing w:line="360" w:lineRule="auto"/>
              <w:ind w:firstLine="482" w:firstLineChars="200"/>
              <w:rPr>
                <w:rFonts w:hint="eastAsia" w:ascii="Times New Roman" w:hAnsi="Times New Roman" w:cs="Times New Roman" w:eastAsiaTheme="minorEastAsia"/>
                <w:b/>
                <w:color w:val="auto"/>
                <w:sz w:val="24"/>
                <w:highlight w:val="none"/>
                <w:lang w:eastAsia="zh-CN"/>
              </w:rPr>
            </w:pPr>
            <w:r>
              <w:rPr>
                <w:rFonts w:ascii="Times New Roman" w:hAnsi="Times New Roman" w:cs="Times New Roman"/>
                <w:b/>
                <w:color w:val="auto"/>
                <w:sz w:val="24"/>
                <w:highlight w:val="none"/>
              </w:rPr>
              <w:t>建设单位：</w:t>
            </w:r>
            <w:r>
              <w:rPr>
                <w:rFonts w:hint="eastAsia" w:ascii="Times New Roman" w:hAnsi="Times New Roman" w:cs="Times New Roman"/>
                <w:b w:val="0"/>
                <w:bCs/>
                <w:color w:val="auto"/>
                <w:sz w:val="24"/>
                <w:highlight w:val="none"/>
                <w:lang w:eastAsia="zh-CN"/>
              </w:rPr>
              <w:t>芒市城市建设投资开发有限公司</w:t>
            </w:r>
          </w:p>
          <w:p w14:paraId="54EE4C4D">
            <w:pPr>
              <w:spacing w:line="360" w:lineRule="auto"/>
              <w:ind w:firstLine="482" w:firstLineChars="200"/>
              <w:rPr>
                <w:rFonts w:ascii="Times New Roman" w:hAnsi="Times New Roman" w:cs="Times New Roman"/>
                <w:bCs/>
                <w:color w:val="auto"/>
                <w:sz w:val="24"/>
                <w:highlight w:val="none"/>
              </w:rPr>
            </w:pPr>
            <w:r>
              <w:rPr>
                <w:rFonts w:ascii="Times New Roman" w:hAnsi="Times New Roman" w:cs="Times New Roman"/>
                <w:b/>
                <w:color w:val="auto"/>
                <w:sz w:val="24"/>
                <w:highlight w:val="none"/>
              </w:rPr>
              <w:t>建设性质：</w:t>
            </w:r>
            <w:r>
              <w:rPr>
                <w:rFonts w:ascii="Times New Roman" w:hAnsi="Times New Roman" w:cs="Times New Roman"/>
                <w:bCs/>
                <w:color w:val="auto"/>
                <w:sz w:val="24"/>
                <w:highlight w:val="none"/>
              </w:rPr>
              <w:t>新建</w:t>
            </w:r>
          </w:p>
          <w:p w14:paraId="622347CC">
            <w:pPr>
              <w:keepNext w:val="0"/>
              <w:keepLines w:val="0"/>
              <w:widowControl/>
              <w:suppressLineNumbers w:val="0"/>
              <w:ind w:firstLine="482" w:firstLineChars="200"/>
              <w:jc w:val="left"/>
              <w:rPr>
                <w:rFonts w:hint="eastAsia" w:cs="Times New Roman"/>
                <w:sz w:val="24"/>
                <w:szCs w:val="24"/>
                <w:lang w:val="en-US" w:eastAsia="zh-CN"/>
              </w:rPr>
            </w:pPr>
            <w:r>
              <w:rPr>
                <w:rFonts w:ascii="Times New Roman" w:hAnsi="Times New Roman" w:cs="Times New Roman"/>
                <w:b/>
                <w:color w:val="auto"/>
                <w:sz w:val="24"/>
                <w:highlight w:val="none"/>
              </w:rPr>
              <w:t>建设等级及规模：</w:t>
            </w:r>
            <w:r>
              <w:rPr>
                <w:rFonts w:hint="default" w:ascii="Times New Roman" w:hAnsi="Times New Roman" w:eastAsia="宋体" w:cs="Times New Roman"/>
                <w:color w:val="000000"/>
                <w:kern w:val="0"/>
                <w:sz w:val="24"/>
                <w:szCs w:val="24"/>
                <w:lang w:val="en-US" w:eastAsia="zh-CN" w:bidi="ar"/>
              </w:rPr>
              <w:t>火车站片区新建 7 条道路，包括 1 号路（长 807.824m、红线宽 40m）、2 号路（长 807.129m、红线宽 32m）、3 号路（长 1228.227m、红线宽 32m）、4 号路（合并段长 145m，宽 42m；二分段，北侧长 672.268m、南侧长 672.138m、红线宽均为 25m）、5 号路（长 2286.292m，其中 32m 段长 1503.75m；25m 段长 782.542m）、6 号路（长 807.129m、红线宽 32m）、7 号路（长 4616.468m、红线宽 40m）。道路总长约 12km，占地面积约 415330.2</w:t>
            </w:r>
            <w:r>
              <w:rPr>
                <w:rFonts w:hint="eastAsia" w:cs="Times New Roman"/>
                <w:color w:val="000000"/>
                <w:kern w:val="0"/>
                <w:sz w:val="24"/>
                <w:szCs w:val="24"/>
                <w:lang w:val="en-US" w:eastAsia="zh-CN" w:bidi="ar"/>
              </w:rPr>
              <w:t>m</w:t>
            </w:r>
            <w:r>
              <w:rPr>
                <w:rFonts w:hint="eastAsia"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设计车速为40km/h，</w:t>
            </w:r>
            <w:r>
              <w:rPr>
                <w:rFonts w:hint="eastAsia" w:cs="Times New Roman"/>
                <w:color w:val="000000"/>
                <w:kern w:val="0"/>
                <w:sz w:val="24"/>
                <w:szCs w:val="24"/>
                <w:lang w:val="en-US" w:eastAsia="zh-CN" w:bidi="ar"/>
              </w:rPr>
              <w:t>设计使用年限为10年。</w:t>
            </w:r>
            <w:r>
              <w:rPr>
                <w:rFonts w:hint="eastAsia" w:ascii="Times New Roman" w:hAnsi="Times New Roman" w:cs="Times New Roman"/>
                <w:color w:val="000000"/>
                <w:kern w:val="0"/>
                <w:sz w:val="24"/>
                <w:szCs w:val="24"/>
                <w:lang w:val="en-US" w:eastAsia="zh-CN" w:bidi="ar"/>
              </w:rPr>
              <w:t>1号路、4号路、7号路设计为双向6车道，2号路、3号路</w:t>
            </w:r>
            <w:r>
              <w:rPr>
                <w:rFonts w:hint="eastAsia"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5号路、6号路设计为双向4车道。</w:t>
            </w:r>
            <w:r>
              <w:rPr>
                <w:rFonts w:hint="default" w:ascii="Times New Roman" w:hAnsi="Times New Roman" w:eastAsia="宋体" w:cs="Times New Roman"/>
                <w:sz w:val="24"/>
                <w:szCs w:val="24"/>
                <w:lang w:val="en-US" w:eastAsia="zh-CN"/>
              </w:rPr>
              <w:t>路面结构为沥青混凝土</w:t>
            </w:r>
            <w:r>
              <w:rPr>
                <w:rFonts w:hint="eastAsia" w:cs="Times New Roman"/>
                <w:sz w:val="24"/>
                <w:szCs w:val="24"/>
                <w:lang w:val="en-US" w:eastAsia="zh-CN"/>
              </w:rPr>
              <w:t>路面。2号路、3号路、4号路、5号路、6号路、7号路均涉及桥梁工程。</w:t>
            </w:r>
          </w:p>
          <w:p w14:paraId="521F3A07">
            <w:pPr>
              <w:keepNext w:val="0"/>
              <w:keepLines w:val="0"/>
              <w:widowControl/>
              <w:suppressLineNumbers w:val="0"/>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1 号路，起于田园大道，止于 7 号路；2 号路，起于田园大道，止于 7 号路；3 号路，起于田园大道，止于 5 号路；4 号路，起于田园大道，止于 7 号路；5 号路，起于田园大道，止于 3 号</w:t>
            </w:r>
            <w:r>
              <w:rPr>
                <w:rFonts w:hint="eastAsia" w:ascii="Times New Roman" w:hAnsi="Times New Roman" w:eastAsia="宋体" w:cs="Times New Roman"/>
                <w:color w:val="000000"/>
                <w:kern w:val="0"/>
                <w:sz w:val="24"/>
                <w:szCs w:val="24"/>
                <w:lang w:val="en-US" w:eastAsia="zh-CN" w:bidi="ar"/>
              </w:rPr>
              <w:t>路；</w:t>
            </w:r>
            <w:r>
              <w:rPr>
                <w:rFonts w:hint="default" w:ascii="Times New Roman" w:hAnsi="Times New Roman" w:eastAsia="宋体" w:cs="Times New Roman"/>
                <w:color w:val="000000"/>
                <w:kern w:val="0"/>
                <w:sz w:val="24"/>
                <w:szCs w:val="24"/>
                <w:lang w:val="en-US" w:eastAsia="zh-CN" w:bidi="ar"/>
              </w:rPr>
              <w:t>6号路，起于田园大道，止于 7 号路；7 号路，起于田园大道，止于 7 号路</w:t>
            </w:r>
            <w:r>
              <w:rPr>
                <w:rFonts w:hint="eastAsia" w:ascii="Times New Roman" w:hAnsi="Times New Roman" w:eastAsia="宋体" w:cs="Times New Roman"/>
                <w:color w:val="000000"/>
                <w:kern w:val="0"/>
                <w:sz w:val="24"/>
                <w:szCs w:val="24"/>
                <w:lang w:val="en-US" w:eastAsia="zh-CN" w:bidi="ar"/>
              </w:rPr>
              <w:t>。</w:t>
            </w:r>
          </w:p>
          <w:p w14:paraId="2A840085">
            <w:pPr>
              <w:keepNext w:val="0"/>
              <w:keepLines w:val="0"/>
              <w:widowControl/>
              <w:suppressLineNumbers w:val="0"/>
              <w:spacing w:line="360" w:lineRule="auto"/>
              <w:ind w:firstLine="480" w:firstLineChars="200"/>
              <w:jc w:val="left"/>
              <w:rPr>
                <w:rFonts w:hint="default" w:cs="Times New Roman"/>
                <w:sz w:val="24"/>
                <w:szCs w:val="24"/>
                <w:lang w:val="en-US" w:eastAsia="zh-CN"/>
              </w:rPr>
            </w:pPr>
            <w:r>
              <w:rPr>
                <w:rFonts w:hint="eastAsia" w:cs="Times New Roman"/>
                <w:sz w:val="24"/>
                <w:szCs w:val="24"/>
                <w:lang w:val="en-US" w:eastAsia="zh-CN"/>
              </w:rPr>
              <w:t>建设工期：计划开工时间2020年7月上旬～2021年6中旬，总工期12个月。目前尚未动工建设。</w:t>
            </w:r>
          </w:p>
          <w:p w14:paraId="335DC121">
            <w:pPr>
              <w:snapToGrid w:val="0"/>
              <w:spacing w:line="360" w:lineRule="auto"/>
              <w:ind w:firstLine="482"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sz w:val="24"/>
                <w:szCs w:val="24"/>
                <w:lang w:val="en-US" w:eastAsia="zh-CN"/>
              </w:rPr>
              <w:t>项目总投资：</w:t>
            </w:r>
            <w:r>
              <w:rPr>
                <w:rFonts w:hint="default" w:ascii="Times New Roman" w:hAnsi="Times New Roman" w:cs="Times New Roman"/>
                <w:color w:val="auto"/>
                <w:sz w:val="24"/>
                <w:highlight w:val="none"/>
                <w:lang w:eastAsia="zh-CN"/>
              </w:rPr>
              <w:t>项目总</w:t>
            </w:r>
            <w:r>
              <w:rPr>
                <w:rFonts w:hint="default" w:ascii="Times New Roman" w:hAnsi="Times New Roman" w:cs="Times New Roman"/>
                <w:color w:val="auto"/>
                <w:sz w:val="24"/>
                <w:highlight w:val="none"/>
              </w:rPr>
              <w:t>投资</w:t>
            </w:r>
            <w:r>
              <w:rPr>
                <w:rFonts w:hint="eastAsia" w:cs="Times New Roman"/>
                <w:color w:val="auto"/>
                <w:sz w:val="24"/>
                <w:highlight w:val="none"/>
                <w:lang w:val="en-US" w:eastAsia="zh-CN"/>
              </w:rPr>
              <w:t>86594.77</w:t>
            </w:r>
            <w:r>
              <w:rPr>
                <w:rFonts w:hint="default" w:ascii="Times New Roman" w:hAnsi="Times New Roman" w:cs="Times New Roman"/>
                <w:color w:val="auto"/>
                <w:sz w:val="24"/>
                <w:highlight w:val="none"/>
              </w:rPr>
              <w:t>万元，</w:t>
            </w:r>
            <w:r>
              <w:rPr>
                <w:rFonts w:hint="default" w:ascii="Times New Roman" w:hAnsi="Times New Roman" w:cs="Times New Roman"/>
                <w:color w:val="000000" w:themeColor="text1"/>
                <w:sz w:val="24"/>
                <w:highlight w:val="none"/>
                <w14:textFill>
                  <w14:solidFill>
                    <w14:schemeClr w14:val="tx1"/>
                  </w14:solidFill>
                </w14:textFill>
              </w:rPr>
              <w:t>环保投资</w:t>
            </w:r>
            <w:r>
              <w:rPr>
                <w:rFonts w:hint="eastAsia" w:cs="Times New Roman"/>
                <w:color w:val="000000" w:themeColor="text1"/>
                <w:sz w:val="24"/>
                <w:highlight w:val="none"/>
                <w:lang w:val="en-US" w:eastAsia="zh-CN"/>
                <w14:textFill>
                  <w14:solidFill>
                    <w14:schemeClr w14:val="tx1"/>
                  </w14:solidFill>
                </w14:textFill>
              </w:rPr>
              <w:t>5629.3</w:t>
            </w:r>
            <w:r>
              <w:rPr>
                <w:rFonts w:hint="default" w:ascii="Times New Roman" w:hAnsi="Times New Roman" w:cs="Times New Roman"/>
                <w:color w:val="000000" w:themeColor="text1"/>
                <w:sz w:val="24"/>
                <w:highlight w:val="none"/>
                <w14:textFill>
                  <w14:solidFill>
                    <w14:schemeClr w14:val="tx1"/>
                  </w14:solidFill>
                </w14:textFill>
              </w:rPr>
              <w:t>万元，环保投资占总投资</w:t>
            </w:r>
            <w:r>
              <w:rPr>
                <w:rFonts w:hint="eastAsia" w:cs="Times New Roman"/>
                <w:color w:val="000000" w:themeColor="text1"/>
                <w:sz w:val="24"/>
                <w:highlight w:val="none"/>
                <w:lang w:val="en-US" w:eastAsia="zh-CN"/>
                <w14:textFill>
                  <w14:solidFill>
                    <w14:schemeClr w14:val="tx1"/>
                  </w14:solidFill>
                </w14:textFill>
              </w:rPr>
              <w:t>6.5%</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14:paraId="62418F5C">
            <w:pPr>
              <w:keepNext w:val="0"/>
              <w:keepLines w:val="0"/>
              <w:widowControl/>
              <w:numPr>
                <w:ilvl w:val="0"/>
                <w:numId w:val="4"/>
              </w:numPr>
              <w:suppressLineNumbers w:val="0"/>
              <w:spacing w:line="36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项目建设内容</w:t>
            </w:r>
          </w:p>
          <w:p w14:paraId="677D8265">
            <w:pPr>
              <w:keepNext w:val="0"/>
              <w:keepLines w:val="0"/>
              <w:widowControl/>
              <w:suppressLineNumbers w:val="0"/>
              <w:spacing w:line="360" w:lineRule="auto"/>
              <w:ind w:firstLine="480" w:firstLineChars="200"/>
              <w:jc w:val="both"/>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项目位于芒市中心城区西</w:t>
            </w:r>
            <w:r>
              <w:rPr>
                <w:rFonts w:hint="eastAsia" w:cs="Times New Roman"/>
                <w:color w:val="000000"/>
                <w:kern w:val="0"/>
                <w:sz w:val="24"/>
                <w:szCs w:val="24"/>
                <w:lang w:val="en-US" w:eastAsia="zh-CN" w:bidi="ar"/>
              </w:rPr>
              <w:t>北</w:t>
            </w:r>
            <w:r>
              <w:rPr>
                <w:rFonts w:hint="default" w:ascii="Times New Roman" w:hAnsi="Times New Roman" w:eastAsia="宋体" w:cs="Times New Roman"/>
                <w:color w:val="000000"/>
                <w:kern w:val="0"/>
                <w:sz w:val="24"/>
                <w:szCs w:val="24"/>
                <w:lang w:val="en-US" w:eastAsia="zh-CN" w:bidi="ar"/>
              </w:rPr>
              <w:t>部，</w:t>
            </w:r>
            <w:r>
              <w:rPr>
                <w:rFonts w:hint="eastAsia" w:cs="Times New Roman"/>
                <w:color w:val="000000"/>
                <w:kern w:val="0"/>
                <w:sz w:val="24"/>
                <w:szCs w:val="24"/>
                <w:lang w:val="en-US" w:eastAsia="zh-CN" w:bidi="ar"/>
              </w:rPr>
              <w:t>7条道路</w:t>
            </w:r>
            <w:r>
              <w:rPr>
                <w:rFonts w:hint="default" w:ascii="Times New Roman" w:hAnsi="Times New Roman" w:eastAsia="宋体" w:cs="Times New Roman"/>
                <w:color w:val="000000"/>
                <w:kern w:val="0"/>
                <w:sz w:val="24"/>
                <w:szCs w:val="24"/>
                <w:lang w:val="en-US" w:eastAsia="zh-CN" w:bidi="ar"/>
              </w:rPr>
              <w:t>等级为城市次干道，</w:t>
            </w:r>
            <w:r>
              <w:rPr>
                <w:rFonts w:hint="eastAsia" w:cs="Times New Roman"/>
                <w:color w:val="000000"/>
                <w:kern w:val="0"/>
                <w:sz w:val="24"/>
                <w:szCs w:val="24"/>
                <w:lang w:val="en-US" w:eastAsia="zh-CN" w:bidi="ar"/>
              </w:rPr>
              <w:t>全长约12km，路面采用沥青混凝土路面，</w:t>
            </w:r>
            <w:r>
              <w:rPr>
                <w:rFonts w:hint="default" w:ascii="Times New Roman" w:hAnsi="Times New Roman" w:eastAsia="宋体" w:cs="Times New Roman"/>
                <w:color w:val="000000"/>
                <w:kern w:val="0"/>
                <w:sz w:val="24"/>
                <w:szCs w:val="24"/>
                <w:lang w:val="en-US" w:eastAsia="zh-CN" w:bidi="ar"/>
              </w:rPr>
              <w:t>道路设计使用年限10年，</w:t>
            </w:r>
            <w:r>
              <w:rPr>
                <w:rFonts w:hint="eastAsia" w:cs="Times New Roman"/>
                <w:color w:val="000000"/>
                <w:kern w:val="0"/>
                <w:sz w:val="24"/>
                <w:szCs w:val="24"/>
                <w:lang w:val="en-US" w:eastAsia="zh-CN" w:bidi="ar"/>
              </w:rPr>
              <w:t>设计车速为40km/h。</w:t>
            </w:r>
            <w:r>
              <w:rPr>
                <w:rFonts w:hint="default" w:ascii="Times New Roman" w:hAnsi="Times New Roman" w:eastAsia="宋体" w:cs="Times New Roman"/>
                <w:color w:val="000000"/>
                <w:kern w:val="0"/>
                <w:sz w:val="24"/>
                <w:szCs w:val="24"/>
                <w:lang w:val="en-US" w:eastAsia="zh-CN" w:bidi="ar"/>
              </w:rPr>
              <w:t>主要建设内容包括：道路工程、桥涵工程、交通工程、给水工程、排水工程、电力工程（土建部分）、通信工程（土建部分）、照明工程、燃气工程、绿化工程</w:t>
            </w:r>
            <w:r>
              <w:rPr>
                <w:rFonts w:hint="eastAsia" w:cs="Times New Roman"/>
                <w:color w:val="000000"/>
                <w:kern w:val="0"/>
                <w:sz w:val="24"/>
                <w:szCs w:val="24"/>
                <w:lang w:val="en-US" w:eastAsia="zh-CN" w:bidi="ar"/>
              </w:rPr>
              <w:t>等</w:t>
            </w:r>
            <w:r>
              <w:rPr>
                <w:rFonts w:hint="default" w:ascii="Times New Roman" w:hAnsi="Times New Roman" w:eastAsia="宋体" w:cs="Times New Roman"/>
                <w:color w:val="000000"/>
                <w:kern w:val="0"/>
                <w:sz w:val="24"/>
                <w:szCs w:val="24"/>
                <w:lang w:val="en-US" w:eastAsia="zh-CN" w:bidi="ar"/>
              </w:rPr>
              <w:t>。 项目组成详情见表1-</w:t>
            </w:r>
            <w:r>
              <w:rPr>
                <w:rFonts w:hint="eastAsia" w:cs="Times New Roman"/>
                <w:color w:val="000000"/>
                <w:kern w:val="0"/>
                <w:sz w:val="24"/>
                <w:szCs w:val="24"/>
                <w:lang w:val="en-US" w:eastAsia="zh-CN" w:bidi="ar"/>
              </w:rPr>
              <w:t>1。</w:t>
            </w:r>
          </w:p>
          <w:p w14:paraId="2EF7A477">
            <w:pPr>
              <w:keepNext w:val="0"/>
              <w:keepLines w:val="0"/>
              <w:widowControl/>
              <w:suppressLineNumbers w:val="0"/>
              <w:spacing w:line="360" w:lineRule="auto"/>
              <w:ind w:firstLine="482" w:firstLineChars="200"/>
              <w:jc w:val="center"/>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表1-1 项目主要建设内容一览表</w:t>
            </w:r>
          </w:p>
          <w:tbl>
            <w:tblPr>
              <w:tblStyle w:val="15"/>
              <w:tblpPr w:leftFromText="180" w:rightFromText="180" w:vertAnchor="text" w:horzAnchor="page" w:tblpX="97" w:tblpY="640"/>
              <w:tblOverlap w:val="never"/>
              <w:tblW w:w="497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5"/>
              <w:gridCol w:w="1328"/>
              <w:gridCol w:w="5863"/>
            </w:tblGrid>
            <w:tr w14:paraId="4C975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trPr>
              <w:tc>
                <w:tcPr>
                  <w:tcW w:w="655" w:type="pct"/>
                  <w:vAlign w:val="center"/>
                </w:tcPr>
                <w:p w14:paraId="6BE4A7F1">
                  <w:pPr>
                    <w:autoSpaceDE w:val="0"/>
                    <w:autoSpaceDN w:val="0"/>
                    <w:spacing w:line="360" w:lineRule="auto"/>
                    <w:ind w:left="0" w:leftChars="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工程分类</w:t>
                  </w:r>
                </w:p>
              </w:tc>
              <w:tc>
                <w:tcPr>
                  <w:tcW w:w="802" w:type="pct"/>
                  <w:vAlign w:val="center"/>
                </w:tcPr>
                <w:p w14:paraId="2A57AAFA">
                  <w:pPr>
                    <w:autoSpaceDE w:val="0"/>
                    <w:autoSpaceDN w:val="0"/>
                    <w:spacing w:line="360" w:lineRule="auto"/>
                    <w:ind w:left="0" w:leftChars="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3542" w:type="pct"/>
                  <w:vAlign w:val="center"/>
                </w:tcPr>
                <w:p w14:paraId="6CF9459E">
                  <w:pPr>
                    <w:autoSpaceDE w:val="0"/>
                    <w:autoSpaceDN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建设内容</w:t>
                  </w:r>
                </w:p>
              </w:tc>
            </w:tr>
            <w:tr w14:paraId="75867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655" w:type="pct"/>
                  <w:vMerge w:val="restart"/>
                  <w:vAlign w:val="center"/>
                </w:tcPr>
                <w:p w14:paraId="773E205B">
                  <w:pPr>
                    <w:autoSpaceDE w:val="0"/>
                    <w:autoSpaceDN w:val="0"/>
                    <w:spacing w:line="240" w:lineRule="auto"/>
                    <w:ind w:left="0" w:leftChars="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802" w:type="pct"/>
                  <w:vAlign w:val="center"/>
                </w:tcPr>
                <w:p w14:paraId="262D2AAF">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道路工程</w:t>
                  </w:r>
                </w:p>
              </w:tc>
              <w:tc>
                <w:tcPr>
                  <w:tcW w:w="3542" w:type="pct"/>
                  <w:vAlign w:val="center"/>
                </w:tcPr>
                <w:p w14:paraId="49A8B43D">
                  <w:pPr>
                    <w:keepNext w:val="0"/>
                    <w:keepLines w:val="0"/>
                    <w:widowControl/>
                    <w:suppressLineNumbers w:val="0"/>
                    <w:spacing w:line="240" w:lineRule="auto"/>
                    <w:ind w:firstLine="420" w:firstLineChars="20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路面采用</w:t>
                  </w:r>
                  <w:r>
                    <w:rPr>
                      <w:rFonts w:ascii="Times New Roman" w:hAnsi="Times New Roman" w:cs="Times New Roman"/>
                      <w:color w:val="auto"/>
                      <w:sz w:val="21"/>
                      <w:szCs w:val="21"/>
                      <w:highlight w:val="none"/>
                    </w:rPr>
                    <w:t>沥青混凝土路面，全长</w:t>
                  </w:r>
                  <w:r>
                    <w:rPr>
                      <w:rFonts w:hint="eastAsia" w:cs="Times New Roman"/>
                      <w:color w:val="auto"/>
                      <w:sz w:val="21"/>
                      <w:szCs w:val="21"/>
                      <w:highlight w:val="none"/>
                      <w:lang w:val="en-US" w:eastAsia="zh-CN"/>
                    </w:rPr>
                    <w:t>12km</w:t>
                  </w: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为城市次干道，设计车速为40km/h，1号路、7号路道路红线宽40m，2号路、3号路、6号路道路红线宽32m，5号路道路红线宽32m和25m，4号路合并段道路红线宽42m，南北两侧道路红线宽25m。</w:t>
                  </w:r>
                </w:p>
                <w:p w14:paraId="1FE50163">
                  <w:pPr>
                    <w:keepNext w:val="0"/>
                    <w:keepLines w:val="0"/>
                    <w:widowControl/>
                    <w:suppressLineNumbers w:val="0"/>
                    <w:spacing w:line="240" w:lineRule="auto"/>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kern w:val="0"/>
                      <w:sz w:val="21"/>
                      <w:szCs w:val="21"/>
                      <w:lang w:val="en-US" w:eastAsia="zh-CN" w:bidi="ar"/>
                    </w:rPr>
                    <w:t>1号路、4号路、7号路设计为双向6车道，2号路</w:t>
                  </w:r>
                  <w:r>
                    <w:rPr>
                      <w:rFonts w:hint="eastAsia"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3号路</w:t>
                  </w:r>
                  <w:r>
                    <w:rPr>
                      <w:rFonts w:hint="eastAsia"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5号路、6号路设计为双向4车道。</w:t>
                  </w:r>
                </w:p>
              </w:tc>
            </w:tr>
            <w:tr w14:paraId="0599A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655" w:type="pct"/>
                  <w:vMerge w:val="continue"/>
                  <w:vAlign w:val="center"/>
                </w:tcPr>
                <w:p w14:paraId="74242F20">
                  <w:pPr>
                    <w:autoSpaceDE w:val="0"/>
                    <w:autoSpaceDN w:val="0"/>
                    <w:spacing w:line="240" w:lineRule="auto"/>
                    <w:jc w:val="center"/>
                    <w:rPr>
                      <w:rFonts w:hint="default" w:ascii="Times New Roman" w:hAnsi="Times New Roman" w:eastAsia="宋体" w:cs="Times New Roman"/>
                      <w:sz w:val="21"/>
                      <w:szCs w:val="21"/>
                    </w:rPr>
                  </w:pPr>
                </w:p>
              </w:tc>
              <w:tc>
                <w:tcPr>
                  <w:tcW w:w="802" w:type="pct"/>
                  <w:vAlign w:val="center"/>
                </w:tcPr>
                <w:p w14:paraId="5D134E82">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平面交叉</w:t>
                  </w:r>
                </w:p>
              </w:tc>
              <w:tc>
                <w:tcPr>
                  <w:tcW w:w="3542" w:type="pct"/>
                  <w:vAlign w:val="center"/>
                </w:tcPr>
                <w:p w14:paraId="75249869">
                  <w:pPr>
                    <w:keepNext w:val="0"/>
                    <w:keepLines w:val="0"/>
                    <w:widowControl/>
                    <w:suppressLineNumbers w:val="0"/>
                    <w:spacing w:line="240" w:lineRule="auto"/>
                    <w:ind w:firstLine="420" w:firstLineChars="200"/>
                    <w:jc w:val="left"/>
                    <w:rPr>
                      <w:rFonts w:hint="default" w:ascii="Times New Roman" w:hAnsi="Times New Roman" w:eastAsia="宋体" w:cs="Times New Roman"/>
                      <w:sz w:val="21"/>
                      <w:szCs w:val="21"/>
                      <w:lang w:val="en-US"/>
                    </w:rPr>
                  </w:pPr>
                  <w:r>
                    <w:rPr>
                      <w:rFonts w:hint="eastAsia" w:cs="Times New Roman"/>
                      <w:color w:val="000000"/>
                      <w:kern w:val="0"/>
                      <w:sz w:val="21"/>
                      <w:szCs w:val="21"/>
                      <w:lang w:val="en-US" w:eastAsia="zh-CN" w:bidi="ar"/>
                    </w:rPr>
                    <w:t>1号路有5个交叉口，2号路有6个交叉口，3号路有7个交叉口，4号路合并段交叉口2个；北侧段6个交叉口；南侧段6个交叉口，5号路交叉口9个，6号路交叉口5个，7号路交叉口15个。</w:t>
                  </w:r>
                </w:p>
              </w:tc>
            </w:tr>
            <w:tr w14:paraId="16B63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655" w:type="pct"/>
                  <w:vMerge w:val="continue"/>
                  <w:vAlign w:val="center"/>
                </w:tcPr>
                <w:p w14:paraId="0E00AE38">
                  <w:pPr>
                    <w:autoSpaceDE w:val="0"/>
                    <w:autoSpaceDN w:val="0"/>
                    <w:spacing w:line="240" w:lineRule="auto"/>
                    <w:jc w:val="center"/>
                    <w:rPr>
                      <w:rFonts w:hint="default" w:ascii="Times New Roman" w:hAnsi="Times New Roman" w:eastAsia="宋体" w:cs="Times New Roman"/>
                      <w:sz w:val="21"/>
                      <w:szCs w:val="21"/>
                      <w:lang w:val="en-US" w:eastAsia="zh-CN"/>
                    </w:rPr>
                  </w:pPr>
                </w:p>
              </w:tc>
              <w:tc>
                <w:tcPr>
                  <w:tcW w:w="802" w:type="pct"/>
                  <w:vAlign w:val="center"/>
                </w:tcPr>
                <w:p w14:paraId="29471B80">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桥涵工程</w:t>
                  </w:r>
                </w:p>
              </w:tc>
              <w:tc>
                <w:tcPr>
                  <w:tcW w:w="3542" w:type="pct"/>
                  <w:vAlign w:val="center"/>
                </w:tcPr>
                <w:p w14:paraId="2D3A3828">
                  <w:pPr>
                    <w:autoSpaceDE w:val="0"/>
                    <w:autoSpaceDN w:val="0"/>
                    <w:spacing w:line="240" w:lineRule="auto"/>
                    <w:ind w:firstLine="420" w:firstLineChars="200"/>
                    <w:jc w:val="center"/>
                    <w:rPr>
                      <w:rFonts w:hint="eastAsia" w:cs="Times New Roman"/>
                      <w:color w:val="000000"/>
                      <w:kern w:val="0"/>
                      <w:sz w:val="21"/>
                      <w:szCs w:val="21"/>
                      <w:vertAlign w:val="baseline"/>
                      <w:lang w:val="en-US" w:eastAsia="zh-CN" w:bidi="ar"/>
                    </w:rPr>
                  </w:pPr>
                  <w:r>
                    <w:rPr>
                      <w:rFonts w:hint="eastAsia" w:ascii="Times New Roman" w:hAnsi="Times New Roman"/>
                      <w:sz w:val="21"/>
                      <w:szCs w:val="21"/>
                      <w:lang w:val="en-US" w:eastAsia="zh-CN"/>
                    </w:rPr>
                    <w:t>本项目共设置7座桥梁，</w:t>
                  </w:r>
                  <w:r>
                    <w:rPr>
                      <w:rFonts w:hint="eastAsia" w:ascii="Times New Roman" w:hAnsi="Times New Roman"/>
                      <w:sz w:val="21"/>
                      <w:szCs w:val="21"/>
                    </w:rPr>
                    <w:t>桥梁基础采用钻孔灌注桩</w:t>
                  </w:r>
                  <w:r>
                    <w:rPr>
                      <w:rFonts w:hint="eastAsia" w:ascii="Times New Roman" w:hAnsi="Times New Roman"/>
                      <w:sz w:val="21"/>
                      <w:szCs w:val="21"/>
                      <w:lang w:eastAsia="zh-CN"/>
                    </w:rPr>
                    <w:t>，</w:t>
                  </w:r>
                  <w:r>
                    <w:rPr>
                      <w:rFonts w:hint="eastAsia" w:ascii="宋体" w:hAnsi="宋体" w:eastAsia="宋体" w:cs="宋体"/>
                      <w:color w:val="000000"/>
                      <w:kern w:val="0"/>
                      <w:sz w:val="21"/>
                      <w:szCs w:val="21"/>
                      <w:lang w:val="en-US" w:eastAsia="zh-CN" w:bidi="ar"/>
                    </w:rPr>
                    <w:t>上部结构采用装配式部分预应力混凝土箱梁</w:t>
                  </w:r>
                  <w:r>
                    <w:rPr>
                      <w:rFonts w:hint="eastAsia" w:ascii="宋体" w:hAnsi="宋体" w:cs="宋体"/>
                      <w:color w:val="000000"/>
                      <w:kern w:val="0"/>
                      <w:sz w:val="21"/>
                      <w:szCs w:val="21"/>
                      <w:lang w:val="en-US" w:eastAsia="zh-CN" w:bidi="ar"/>
                    </w:rPr>
                    <w:t>，</w:t>
                  </w:r>
                  <w:r>
                    <w:rPr>
                      <w:rFonts w:hint="eastAsia" w:ascii="Times New Roman" w:hAnsi="Times New Roman"/>
                      <w:sz w:val="21"/>
                      <w:szCs w:val="21"/>
                    </w:rPr>
                    <w:t>桥台采用钢筋混凝土多柱埋</w:t>
                  </w:r>
                  <w:r>
                    <w:rPr>
                      <w:rFonts w:hint="eastAsia" w:ascii="Times New Roman" w:hAnsi="Times New Roman"/>
                      <w:spacing w:val="-4"/>
                      <w:sz w:val="21"/>
                      <w:szCs w:val="21"/>
                    </w:rPr>
                    <w:t>置式桥台</w:t>
                  </w:r>
                  <w:r>
                    <w:rPr>
                      <w:rFonts w:hint="eastAsia" w:ascii="Times New Roman" w:hAnsi="Times New Roman"/>
                      <w:sz w:val="21"/>
                      <w:szCs w:val="21"/>
                    </w:rPr>
                    <w:t>和钢筋混凝土肋板埋置式桥台；</w:t>
                  </w:r>
                </w:p>
                <w:p w14:paraId="1DDED8CC">
                  <w:pPr>
                    <w:keepNext w:val="0"/>
                    <w:keepLines w:val="0"/>
                    <w:widowControl/>
                    <w:suppressLineNumbers w:val="0"/>
                    <w:spacing w:line="240" w:lineRule="auto"/>
                    <w:jc w:val="left"/>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本项目共设置3道涵洞，</w:t>
                  </w:r>
                  <w:r>
                    <w:rPr>
                      <w:rFonts w:hint="eastAsia" w:ascii="宋体" w:hAnsi="宋体" w:eastAsia="宋体" w:cs="宋体"/>
                      <w:color w:val="000000"/>
                      <w:kern w:val="0"/>
                      <w:sz w:val="21"/>
                      <w:szCs w:val="21"/>
                      <w:lang w:val="en-US" w:eastAsia="zh-CN" w:bidi="ar"/>
                    </w:rPr>
                    <w:t>其中 2-6.0×2.0m 钢筋混凝土箱涵 1 道，2-5.0×2.0m 钢筋混凝土箱涵 2 道。</w:t>
                  </w:r>
                </w:p>
              </w:tc>
            </w:tr>
            <w:tr w14:paraId="31E9A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2" w:hRule="atLeast"/>
              </w:trPr>
              <w:tc>
                <w:tcPr>
                  <w:tcW w:w="655" w:type="pct"/>
                  <w:vMerge w:val="restart"/>
                  <w:vAlign w:val="center"/>
                </w:tcPr>
                <w:p w14:paraId="35C4A2B9">
                  <w:pPr>
                    <w:autoSpaceDE w:val="0"/>
                    <w:autoSpaceDN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附属工程</w:t>
                  </w:r>
                </w:p>
              </w:tc>
              <w:tc>
                <w:tcPr>
                  <w:tcW w:w="802" w:type="pct"/>
                  <w:vAlign w:val="center"/>
                </w:tcPr>
                <w:p w14:paraId="7E8782B8">
                  <w:pPr>
                    <w:autoSpaceDE w:val="0"/>
                    <w:autoSpaceDN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排水工程</w:t>
                  </w:r>
                </w:p>
              </w:tc>
              <w:tc>
                <w:tcPr>
                  <w:tcW w:w="3542" w:type="pct"/>
                  <w:vAlign w:val="center"/>
                </w:tcPr>
                <w:p w14:paraId="2E4F8866">
                  <w:pPr>
                    <w:keepNext w:val="0"/>
                    <w:keepLines w:val="0"/>
                    <w:widowControl/>
                    <w:suppressLineNumbers w:val="0"/>
                    <w:spacing w:line="240" w:lineRule="auto"/>
                    <w:ind w:firstLine="420" w:firstLineChars="200"/>
                    <w:jc w:val="left"/>
                    <w:rPr>
                      <w:rFonts w:hint="eastAsia" w:cs="Times New Roman"/>
                      <w:sz w:val="21"/>
                      <w:szCs w:val="21"/>
                      <w:lang w:eastAsia="zh-CN"/>
                    </w:rPr>
                  </w:pPr>
                  <w:r>
                    <w:rPr>
                      <w:rFonts w:hint="default" w:ascii="Times New Roman" w:hAnsi="Times New Roman" w:eastAsia="宋体" w:cs="Times New Roman"/>
                      <w:sz w:val="21"/>
                      <w:szCs w:val="21"/>
                    </w:rPr>
                    <w:t>排水体制采用雨污分流制</w:t>
                  </w:r>
                  <w:r>
                    <w:rPr>
                      <w:rFonts w:hint="eastAsia" w:cs="Times New Roman"/>
                      <w:sz w:val="21"/>
                      <w:szCs w:val="21"/>
                      <w:lang w:eastAsia="zh-CN"/>
                    </w:rPr>
                    <w:t>，</w:t>
                  </w:r>
                  <w:r>
                    <w:rPr>
                      <w:rFonts w:hint="eastAsia" w:ascii="宋体" w:hAnsi="宋体" w:eastAsia="宋体" w:cs="宋体"/>
                      <w:color w:val="000000"/>
                      <w:kern w:val="0"/>
                      <w:sz w:val="21"/>
                      <w:szCs w:val="21"/>
                      <w:lang w:val="en-US" w:eastAsia="zh-CN" w:bidi="ar"/>
                    </w:rPr>
                    <w:t>即污水管道负责收集分区内</w:t>
                  </w:r>
                  <w:r>
                    <w:rPr>
                      <w:rFonts w:hint="eastAsia" w:ascii="宋体" w:hAnsi="宋体" w:cs="宋体"/>
                      <w:color w:val="000000"/>
                      <w:kern w:val="0"/>
                      <w:sz w:val="21"/>
                      <w:szCs w:val="21"/>
                      <w:lang w:val="en-US" w:eastAsia="zh-CN" w:bidi="ar"/>
                    </w:rPr>
                    <w:t>的污</w:t>
                  </w:r>
                  <w:r>
                    <w:rPr>
                      <w:rFonts w:hint="eastAsia" w:ascii="宋体" w:hAnsi="宋体" w:eastAsia="宋体" w:cs="宋体"/>
                      <w:color w:val="000000"/>
                      <w:kern w:val="0"/>
                      <w:sz w:val="21"/>
                      <w:szCs w:val="21"/>
                      <w:lang w:val="en-US" w:eastAsia="zh-CN" w:bidi="ar"/>
                    </w:rPr>
                    <w:t>水，初期雨水不进入污水处理厂</w:t>
                  </w:r>
                  <w:r>
                    <w:rPr>
                      <w:rFonts w:hint="eastAsia" w:ascii="宋体" w:hAnsi="宋体" w:cs="宋体"/>
                      <w:color w:val="000000"/>
                      <w:kern w:val="0"/>
                      <w:sz w:val="21"/>
                      <w:szCs w:val="21"/>
                      <w:lang w:val="en-US" w:eastAsia="zh-CN" w:bidi="ar"/>
                    </w:rPr>
                    <w:t>。</w:t>
                  </w:r>
                </w:p>
                <w:p w14:paraId="460FF6E5">
                  <w:pPr>
                    <w:keepNext w:val="0"/>
                    <w:keepLines w:val="0"/>
                    <w:widowControl/>
                    <w:suppressLineNumbers w:val="0"/>
                    <w:spacing w:line="240" w:lineRule="auto"/>
                    <w:ind w:firstLine="420" w:firstLineChars="200"/>
                    <w:jc w:val="left"/>
                    <w:rPr>
                      <w:rFonts w:hint="default" w:ascii="Times New Roman" w:hAnsi="Times New Roman" w:eastAsia="宋体" w:cs="Times New Roman"/>
                      <w:color w:val="000000"/>
                      <w:kern w:val="0"/>
                      <w:sz w:val="21"/>
                      <w:szCs w:val="21"/>
                      <w:lang w:val="en-US" w:eastAsia="zh-CN" w:bidi="ar"/>
                    </w:rPr>
                  </w:pPr>
                  <w:r>
                    <w:rPr>
                      <w:rFonts w:hint="eastAsia" w:cs="Times New Roman"/>
                      <w:sz w:val="21"/>
                      <w:szCs w:val="21"/>
                      <w:lang w:val="en-US" w:eastAsia="zh-CN"/>
                    </w:rPr>
                    <w:t>雨水：按就近入河的原则布设雨水道，雨水管采用双侧布置，布置于道路机动车道下方。</w:t>
                  </w:r>
                  <w:r>
                    <w:rPr>
                      <w:rFonts w:hint="default" w:ascii="Times New Roman" w:hAnsi="Times New Roman" w:eastAsia="宋体" w:cs="Times New Roman"/>
                      <w:color w:val="000000"/>
                      <w:kern w:val="0"/>
                      <w:sz w:val="21"/>
                      <w:szCs w:val="21"/>
                      <w:lang w:val="en-US" w:eastAsia="zh-CN" w:bidi="ar"/>
                    </w:rPr>
                    <w:t>雨水管的管径最小管径不小</w:t>
                  </w:r>
                  <w:r>
                    <w:rPr>
                      <w:rFonts w:hint="eastAsia" w:ascii="Times New Roman" w:hAnsi="Times New Roman" w:cs="Times New Roman"/>
                      <w:color w:val="000000"/>
                      <w:kern w:val="0"/>
                      <w:sz w:val="21"/>
                      <w:szCs w:val="21"/>
                      <w:lang w:val="en-US" w:eastAsia="zh-CN" w:bidi="ar"/>
                    </w:rPr>
                    <w:t>于</w:t>
                  </w:r>
                  <w:r>
                    <w:rPr>
                      <w:rFonts w:hint="default" w:ascii="Times New Roman" w:hAnsi="Times New Roman" w:eastAsia="宋体" w:cs="Times New Roman"/>
                      <w:color w:val="000000"/>
                      <w:kern w:val="0"/>
                      <w:sz w:val="21"/>
                      <w:szCs w:val="21"/>
                      <w:lang w:val="en-US" w:eastAsia="zh-CN" w:bidi="ar"/>
                    </w:rPr>
                    <w:t>dn600。</w:t>
                  </w:r>
                </w:p>
                <w:p w14:paraId="13EC8130">
                  <w:pPr>
                    <w:keepNext w:val="0"/>
                    <w:keepLines w:val="0"/>
                    <w:widowControl/>
                    <w:suppressLineNumbers w:val="0"/>
                    <w:spacing w:line="240" w:lineRule="auto"/>
                    <w:ind w:firstLine="420" w:firstLineChars="20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污水：污水管就近排入附近在建污水管中，污水管采用双侧布置，布置于道路非机动车下方。</w:t>
                  </w:r>
                </w:p>
              </w:tc>
            </w:tr>
            <w:tr w14:paraId="00F1B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655" w:type="pct"/>
                  <w:vMerge w:val="continue"/>
                  <w:vAlign w:val="center"/>
                </w:tcPr>
                <w:p w14:paraId="0EB64CFF">
                  <w:pPr>
                    <w:autoSpaceDE w:val="0"/>
                    <w:autoSpaceDN w:val="0"/>
                    <w:spacing w:line="240" w:lineRule="auto"/>
                    <w:jc w:val="center"/>
                    <w:rPr>
                      <w:rFonts w:hint="default" w:ascii="Times New Roman" w:hAnsi="Times New Roman" w:eastAsia="宋体" w:cs="Times New Roman"/>
                      <w:sz w:val="21"/>
                      <w:szCs w:val="21"/>
                    </w:rPr>
                  </w:pPr>
                </w:p>
              </w:tc>
              <w:tc>
                <w:tcPr>
                  <w:tcW w:w="802" w:type="pct"/>
                  <w:vAlign w:val="center"/>
                </w:tcPr>
                <w:p w14:paraId="387C339F">
                  <w:pPr>
                    <w:autoSpaceDE w:val="0"/>
                    <w:autoSpaceDN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给水工程</w:t>
                  </w:r>
                </w:p>
              </w:tc>
              <w:tc>
                <w:tcPr>
                  <w:tcW w:w="3542" w:type="pct"/>
                  <w:vAlign w:val="center"/>
                </w:tcPr>
                <w:p w14:paraId="1DCB5A02">
                  <w:pPr>
                    <w:keepNext w:val="0"/>
                    <w:keepLines w:val="0"/>
                    <w:widowControl/>
                    <w:suppressLineNumbers w:val="0"/>
                    <w:spacing w:line="240" w:lineRule="auto"/>
                    <w:ind w:firstLine="420" w:firstLineChars="200"/>
                    <w:jc w:val="center"/>
                    <w:rPr>
                      <w:rFonts w:hint="default"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本项目道路给水管均双侧布置，布置于道路人行道下</w:t>
                  </w:r>
                  <w:r>
                    <w:rPr>
                      <w:rFonts w:hint="eastAsia" w:ascii="宋体" w:hAnsi="宋体" w:cs="宋体"/>
                      <w:color w:val="000000"/>
                      <w:kern w:val="0"/>
                      <w:sz w:val="21"/>
                      <w:szCs w:val="21"/>
                      <w:lang w:val="en-US" w:eastAsia="zh-CN" w:bidi="ar"/>
                    </w:rPr>
                    <w:t>方。</w:t>
                  </w:r>
                </w:p>
              </w:tc>
            </w:tr>
            <w:tr w14:paraId="7C7F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655" w:type="pct"/>
                  <w:vMerge w:val="continue"/>
                  <w:vAlign w:val="center"/>
                </w:tcPr>
                <w:p w14:paraId="1602CCC5">
                  <w:pPr>
                    <w:autoSpaceDE w:val="0"/>
                    <w:autoSpaceDN w:val="0"/>
                    <w:spacing w:line="240" w:lineRule="auto"/>
                    <w:jc w:val="center"/>
                    <w:rPr>
                      <w:rFonts w:hint="default" w:ascii="Times New Roman" w:hAnsi="Times New Roman" w:eastAsia="宋体" w:cs="Times New Roman"/>
                      <w:sz w:val="21"/>
                      <w:szCs w:val="21"/>
                    </w:rPr>
                  </w:pPr>
                </w:p>
              </w:tc>
              <w:tc>
                <w:tcPr>
                  <w:tcW w:w="802" w:type="pct"/>
                  <w:vAlign w:val="center"/>
                </w:tcPr>
                <w:p w14:paraId="0F299314">
                  <w:pPr>
                    <w:autoSpaceDE w:val="0"/>
                    <w:autoSpaceDN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电力工程</w:t>
                  </w:r>
                </w:p>
              </w:tc>
              <w:tc>
                <w:tcPr>
                  <w:tcW w:w="3542" w:type="pct"/>
                  <w:vAlign w:val="center"/>
                </w:tcPr>
                <w:p w14:paraId="57FD7B41">
                  <w:pPr>
                    <w:keepNext w:val="0"/>
                    <w:keepLines w:val="0"/>
                    <w:widowControl/>
                    <w:suppressLineNumbers w:val="0"/>
                    <w:spacing w:line="240" w:lineRule="auto"/>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电力线缆采用电力排管敷设于道路西侧或北侧，道路交叉口处可采用电缆套管直埋式，竖向标高根据排水管控制标高及综合考虑各管线竖向要求而定，覆土按0.7-1.0m控制。</w:t>
                  </w:r>
                </w:p>
              </w:tc>
            </w:tr>
            <w:tr w14:paraId="60471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trPr>
              <w:tc>
                <w:tcPr>
                  <w:tcW w:w="655" w:type="pct"/>
                  <w:vMerge w:val="continue"/>
                  <w:vAlign w:val="center"/>
                </w:tcPr>
                <w:p w14:paraId="2F9583E3">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77361E14">
                  <w:pPr>
                    <w:autoSpaceDE w:val="0"/>
                    <w:autoSpaceDN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照明工程</w:t>
                  </w:r>
                </w:p>
              </w:tc>
              <w:tc>
                <w:tcPr>
                  <w:tcW w:w="3542" w:type="pct"/>
                  <w:vAlign w:val="center"/>
                </w:tcPr>
                <w:p w14:paraId="42D08891">
                  <w:pPr>
                    <w:keepNext w:val="0"/>
                    <w:keepLines w:val="0"/>
                    <w:widowControl/>
                    <w:suppressLineNumbers w:val="0"/>
                    <w:spacing w:line="240" w:lineRule="auto"/>
                    <w:ind w:firstLine="420" w:firstLineChars="200"/>
                    <w:jc w:val="left"/>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本项目共设11套箱变，</w:t>
                  </w:r>
                  <w:r>
                    <w:rPr>
                      <w:rFonts w:hint="default" w:ascii="Times New Roman" w:hAnsi="Times New Roman" w:eastAsia="宋体" w:cs="Times New Roman"/>
                      <w:color w:val="000000"/>
                      <w:kern w:val="0"/>
                      <w:sz w:val="21"/>
                      <w:szCs w:val="21"/>
                      <w:lang w:val="en-US" w:eastAsia="zh-CN" w:bidi="ar"/>
                    </w:rPr>
                    <w:t>道路照明采用双侧对称布灯方式</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灯杆设置于两侧人行道上距立缘石0.5m 处，双臂灯杆</w:t>
                  </w:r>
                  <w:r>
                    <w:rPr>
                      <w:rFonts w:hint="eastAsia" w:ascii="Times New Roman" w:hAnsi="Times New Roman" w:cs="Times New Roman"/>
                      <w:color w:val="000000"/>
                      <w:kern w:val="0"/>
                      <w:sz w:val="21"/>
                      <w:szCs w:val="21"/>
                      <w:lang w:val="en-US" w:eastAsia="zh-CN" w:bidi="ar"/>
                    </w:rPr>
                    <w:t>。</w:t>
                  </w:r>
                </w:p>
                <w:p w14:paraId="0F8AADDE">
                  <w:pPr>
                    <w:keepNext w:val="0"/>
                    <w:keepLines w:val="0"/>
                    <w:widowControl/>
                    <w:suppressLineNumbers w:val="0"/>
                    <w:spacing w:line="24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本段照明线路穿φ75 PE 管埋地敷设，埋深不小于 0.7 米，横穿路口处及车行道下采用DN100 热镀锌钢套管，埋深不小于 1.0 米</w:t>
                  </w:r>
                </w:p>
              </w:tc>
            </w:tr>
            <w:tr w14:paraId="22241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655" w:type="pct"/>
                  <w:vMerge w:val="continue"/>
                  <w:vAlign w:val="center"/>
                </w:tcPr>
                <w:p w14:paraId="435D8A01">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3E00D881">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通信工程</w:t>
                  </w:r>
                </w:p>
              </w:tc>
              <w:tc>
                <w:tcPr>
                  <w:tcW w:w="3542" w:type="pct"/>
                  <w:vAlign w:val="center"/>
                </w:tcPr>
                <w:p w14:paraId="67AA100E">
                  <w:pPr>
                    <w:keepNext w:val="0"/>
                    <w:keepLines w:val="0"/>
                    <w:widowControl/>
                    <w:suppressLineNumbers w:val="0"/>
                    <w:spacing w:line="240" w:lineRule="auto"/>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highlight w:val="none"/>
                    </w:rPr>
                    <w:t>通信线路主要采用通信管道</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000000"/>
                      <w:kern w:val="0"/>
                      <w:sz w:val="21"/>
                      <w:szCs w:val="21"/>
                      <w:lang w:val="en-US" w:eastAsia="zh-CN" w:bidi="ar"/>
                    </w:rPr>
                    <w:t>电信线缆采用通信排管敷设于道路南侧或东侧。道路交叉口处可采用电信电缆套管直埋式，竖向标高根据排水管控制标高及综合考虑各管线竖向要求而定，覆土按 0.7-1.0m 控制</w:t>
                  </w:r>
                  <w:r>
                    <w:rPr>
                      <w:rFonts w:hint="eastAsia" w:ascii="Times New Roman" w:hAnsi="Times New Roman" w:cs="Times New Roman"/>
                      <w:color w:val="000000"/>
                      <w:kern w:val="0"/>
                      <w:sz w:val="21"/>
                      <w:szCs w:val="21"/>
                      <w:lang w:val="en-US" w:eastAsia="zh-CN" w:bidi="ar"/>
                    </w:rPr>
                    <w:t>。</w:t>
                  </w:r>
                </w:p>
              </w:tc>
            </w:tr>
            <w:tr w14:paraId="00F23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655" w:type="pct"/>
                  <w:vMerge w:val="continue"/>
                  <w:vAlign w:val="center"/>
                </w:tcPr>
                <w:p w14:paraId="110BB88A">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29B4DD9D">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燃气工程</w:t>
                  </w:r>
                </w:p>
              </w:tc>
              <w:tc>
                <w:tcPr>
                  <w:tcW w:w="3542" w:type="pct"/>
                  <w:vAlign w:val="center"/>
                </w:tcPr>
                <w:p w14:paraId="1F3A8492">
                  <w:pPr>
                    <w:keepNext w:val="0"/>
                    <w:keepLines w:val="0"/>
                    <w:widowControl/>
                    <w:suppressLineNumbers w:val="0"/>
                    <w:spacing w:line="240" w:lineRule="auto"/>
                    <w:ind w:firstLine="420" w:firstLineChars="200"/>
                    <w:jc w:val="left"/>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kern w:val="0"/>
                      <w:sz w:val="21"/>
                      <w:szCs w:val="21"/>
                      <w:lang w:val="en-US" w:eastAsia="zh-CN" w:bidi="ar"/>
                    </w:rPr>
                    <w:t>燃气管双侧敷设于道路非机动车道下，覆土按 0.7-1.0m 控制，燃气管竖向标高根据排水管控制标高及综合考虑各管线竖向要求而定。</w:t>
                  </w:r>
                </w:p>
              </w:tc>
            </w:tr>
            <w:tr w14:paraId="08BEF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655" w:type="pct"/>
                  <w:vMerge w:val="continue"/>
                  <w:vAlign w:val="center"/>
                </w:tcPr>
                <w:p w14:paraId="75187CAD">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4DFAE3BF">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公交设施及无障碍设计</w:t>
                  </w:r>
                </w:p>
              </w:tc>
              <w:tc>
                <w:tcPr>
                  <w:tcW w:w="3542" w:type="pct"/>
                  <w:vAlign w:val="center"/>
                </w:tcPr>
                <w:p w14:paraId="4B5841F0">
                  <w:pPr>
                    <w:autoSpaceDE w:val="0"/>
                    <w:autoSpaceDN w:val="0"/>
                    <w:spacing w:line="240" w:lineRule="auto"/>
                    <w:ind w:firstLine="420" w:firstLineChars="200"/>
                    <w:jc w:val="center"/>
                    <w:rPr>
                      <w:rFonts w:hint="default"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本项目共设置43个公交站台，</w:t>
                  </w:r>
                  <w:r>
                    <w:rPr>
                      <w:rFonts w:hint="default" w:ascii="Times New Roman" w:hAnsi="Times New Roman" w:eastAsia="宋体" w:cs="Times New Roman"/>
                      <w:bCs/>
                      <w:color w:val="auto"/>
                      <w:sz w:val="21"/>
                      <w:szCs w:val="21"/>
                      <w:highlight w:val="none"/>
                    </w:rPr>
                    <w:t>公交站台形式均为港湾式</w:t>
                  </w:r>
                  <w:r>
                    <w:rPr>
                      <w:rFonts w:hint="default" w:ascii="Times New Roman" w:hAnsi="Times New Roman" w:eastAsia="宋体" w:cs="Times New Roman"/>
                      <w:bCs/>
                      <w:color w:val="auto"/>
                      <w:sz w:val="21"/>
                      <w:szCs w:val="21"/>
                      <w:highlight w:val="none"/>
                      <w:lang w:eastAsia="zh-CN"/>
                    </w:rPr>
                    <w:t>。</w:t>
                  </w:r>
                </w:p>
                <w:p w14:paraId="5F129A34">
                  <w:pPr>
                    <w:keepNext w:val="0"/>
                    <w:keepLines w:val="0"/>
                    <w:widowControl/>
                    <w:suppressLineNumbers w:val="0"/>
                    <w:spacing w:line="240" w:lineRule="auto"/>
                    <w:ind w:firstLine="420" w:firstLineChars="200"/>
                    <w:jc w:val="left"/>
                    <w:rPr>
                      <w:rFonts w:hint="default" w:ascii="Times New Roman" w:hAnsi="Times New Roman" w:eastAsia="宋体" w:cs="Times New Roman"/>
                      <w:bCs/>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在道路路段上铺设视力残疾者行进盲道，以引导视力残疾者利用脚底的触感行走</w:t>
                  </w:r>
                  <w:r>
                    <w:rPr>
                      <w:rFonts w:hint="eastAsia" w:ascii="宋体" w:hAnsi="宋体" w:cs="宋体"/>
                      <w:color w:val="000000"/>
                      <w:kern w:val="0"/>
                      <w:sz w:val="21"/>
                      <w:szCs w:val="21"/>
                      <w:lang w:val="en-US" w:eastAsia="zh-CN" w:bidi="ar"/>
                    </w:rPr>
                    <w:t>。</w:t>
                  </w:r>
                </w:p>
              </w:tc>
            </w:tr>
            <w:tr w14:paraId="15F72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655" w:type="pct"/>
                  <w:vMerge w:val="continue"/>
                  <w:vAlign w:val="center"/>
                </w:tcPr>
                <w:p w14:paraId="55F3FC3A">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34B41962">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再生水工程</w:t>
                  </w:r>
                </w:p>
              </w:tc>
              <w:tc>
                <w:tcPr>
                  <w:tcW w:w="3542" w:type="pct"/>
                  <w:vAlign w:val="center"/>
                </w:tcPr>
                <w:p w14:paraId="15B2BAB1">
                  <w:pPr>
                    <w:keepNext w:val="0"/>
                    <w:keepLines w:val="0"/>
                    <w:widowControl/>
                    <w:suppressLineNumbers w:val="0"/>
                    <w:spacing w:line="24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再生水统一由市政再生水管网供给，再生水管敷设于绿化带下，再生水管竖向标高根据排水管控制标高及综合考虑各管线竖向要求而定，覆土按 0.7-1.0m 控制</w:t>
                  </w:r>
                  <w:r>
                    <w:rPr>
                      <w:rFonts w:hint="eastAsia" w:cs="Times New Roman"/>
                      <w:color w:val="000000"/>
                      <w:kern w:val="0"/>
                      <w:sz w:val="21"/>
                      <w:szCs w:val="21"/>
                      <w:lang w:val="en-US" w:eastAsia="zh-CN" w:bidi="ar"/>
                    </w:rPr>
                    <w:t>。</w:t>
                  </w:r>
                </w:p>
              </w:tc>
            </w:tr>
            <w:tr w14:paraId="47E2F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655" w:type="pct"/>
                  <w:vMerge w:val="continue"/>
                  <w:vAlign w:val="center"/>
                </w:tcPr>
                <w:p w14:paraId="2A3FD260">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6CB00896">
                  <w:pPr>
                    <w:autoSpaceDE w:val="0"/>
                    <w:autoSpaceDN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景观雕塑</w:t>
                  </w:r>
                </w:p>
              </w:tc>
              <w:tc>
                <w:tcPr>
                  <w:tcW w:w="3542" w:type="pct"/>
                  <w:vAlign w:val="center"/>
                </w:tcPr>
                <w:p w14:paraId="592365DB">
                  <w:pPr>
                    <w:keepNext w:val="0"/>
                    <w:keepLines w:val="0"/>
                    <w:widowControl/>
                    <w:suppressLineNumbers w:val="0"/>
                    <w:spacing w:line="240" w:lineRule="auto"/>
                    <w:ind w:firstLine="420" w:firstLineChars="200"/>
                    <w:jc w:val="left"/>
                    <w:rPr>
                      <w:rFonts w:hint="eastAsia" w:ascii="宋体" w:hAnsi="宋体" w:cs="宋体"/>
                      <w:color w:val="000000"/>
                      <w:kern w:val="0"/>
                      <w:sz w:val="21"/>
                      <w:szCs w:val="21"/>
                      <w:lang w:val="en-US" w:eastAsia="zh-CN" w:bidi="ar"/>
                    </w:rPr>
                  </w:pPr>
                  <w:r>
                    <w:rPr>
                      <w:rFonts w:hint="eastAsia" w:cs="Times New Roman"/>
                      <w:color w:val="000000"/>
                      <w:kern w:val="0"/>
                      <w:sz w:val="21"/>
                      <w:szCs w:val="21"/>
                      <w:lang w:val="en-US" w:eastAsia="zh-CN" w:bidi="ar"/>
                    </w:rPr>
                    <w:t>景观迎宾门主要设置在4号路，3号路、4号路、5号路、7号路主要以不同元素的雕塑小品来布置，集中体现城市景观特色。</w:t>
                  </w:r>
                </w:p>
              </w:tc>
            </w:tr>
            <w:tr w14:paraId="5F307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7" w:hRule="atLeast"/>
              </w:trPr>
              <w:tc>
                <w:tcPr>
                  <w:tcW w:w="655" w:type="pct"/>
                  <w:vMerge w:val="restart"/>
                  <w:vAlign w:val="center"/>
                </w:tcPr>
                <w:p w14:paraId="051FC332">
                  <w:pPr>
                    <w:autoSpaceDE w:val="0"/>
                    <w:autoSpaceDN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环保工程</w:t>
                  </w:r>
                </w:p>
              </w:tc>
              <w:tc>
                <w:tcPr>
                  <w:tcW w:w="802" w:type="pct"/>
                  <w:vAlign w:val="center"/>
                </w:tcPr>
                <w:p w14:paraId="7EAEEC6E">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绿化工程</w:t>
                  </w:r>
                </w:p>
              </w:tc>
              <w:tc>
                <w:tcPr>
                  <w:tcW w:w="3542" w:type="pct"/>
                  <w:vAlign w:val="center"/>
                </w:tcPr>
                <w:p w14:paraId="57F481E5">
                  <w:pPr>
                    <w:keepNext w:val="0"/>
                    <w:keepLines w:val="0"/>
                    <w:widowControl/>
                    <w:suppressLineNumbers w:val="0"/>
                    <w:spacing w:line="240" w:lineRule="auto"/>
                    <w:ind w:firstLine="420" w:firstLineChars="200"/>
                    <w:jc w:val="left"/>
                    <w:rPr>
                      <w:rFonts w:hint="default" w:ascii="Times New Roman" w:hAnsi="Times New Roman" w:eastAsia="宋体" w:cs="Times New Roman"/>
                      <w:color w:val="000000"/>
                      <w:kern w:val="0"/>
                      <w:sz w:val="21"/>
                      <w:szCs w:val="21"/>
                      <w:lang w:val="en-US" w:eastAsia="zh-CN" w:bidi="ar"/>
                    </w:rPr>
                  </w:pPr>
                  <w:r>
                    <w:rPr>
                      <w:rFonts w:hint="eastAsia" w:ascii="宋体" w:hAnsi="宋体" w:cs="宋体"/>
                      <w:color w:val="000000"/>
                      <w:kern w:val="0"/>
                      <w:sz w:val="21"/>
                      <w:szCs w:val="21"/>
                      <w:lang w:val="en-US" w:eastAsia="zh-CN" w:bidi="ar"/>
                    </w:rPr>
                    <w:t>7条</w:t>
                  </w:r>
                  <w:r>
                    <w:rPr>
                      <w:rFonts w:hint="eastAsia" w:ascii="宋体" w:hAnsi="宋体" w:eastAsia="宋体" w:cs="宋体"/>
                      <w:color w:val="000000"/>
                      <w:kern w:val="0"/>
                      <w:sz w:val="21"/>
                      <w:szCs w:val="21"/>
                      <w:lang w:val="en-US" w:eastAsia="zh-CN" w:bidi="ar"/>
                    </w:rPr>
                    <w:t>道路的乔木主要选择当地特色的树种</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每一条道路分别考虑不同的树种进行道路特色的集中体</w:t>
                  </w:r>
                  <w:r>
                    <w:rPr>
                      <w:rFonts w:hint="eastAsia" w:ascii="宋体" w:hAnsi="宋体" w:cs="宋体"/>
                      <w:color w:val="000000"/>
                      <w:kern w:val="0"/>
                      <w:sz w:val="21"/>
                      <w:szCs w:val="21"/>
                      <w:lang w:val="en-US" w:eastAsia="zh-CN" w:bidi="ar"/>
                    </w:rPr>
                    <w:t>现。</w:t>
                  </w:r>
                  <w:r>
                    <w:rPr>
                      <w:rFonts w:ascii="Times New Roman" w:hAnsi="Times New Roman" w:cs="Times New Roman"/>
                      <w:color w:val="auto"/>
                      <w:sz w:val="21"/>
                      <w:szCs w:val="21"/>
                      <w:highlight w:val="none"/>
                    </w:rPr>
                    <w:t>行道树：</w:t>
                  </w:r>
                  <w:r>
                    <w:rPr>
                      <w:rFonts w:hint="eastAsia" w:ascii="Times New Roman" w:hAnsi="Times New Roman" w:cs="Times New Roman"/>
                      <w:color w:val="auto"/>
                      <w:sz w:val="21"/>
                      <w:szCs w:val="21"/>
                      <w:highlight w:val="none"/>
                      <w:lang w:eastAsia="zh-CN"/>
                    </w:rPr>
                    <w:t>加拿利海枣、铁力木、</w:t>
                  </w:r>
                  <w:r>
                    <w:rPr>
                      <w:rFonts w:hint="eastAsia"/>
                      <w:color w:val="auto"/>
                      <w:sz w:val="21"/>
                      <w:szCs w:val="21"/>
                      <w:highlight w:val="none"/>
                      <w:lang w:eastAsia="zh-CN"/>
                    </w:rPr>
                    <w:t>大青树、假槟榔；</w:t>
                  </w:r>
                  <w:r>
                    <w:rPr>
                      <w:rFonts w:hint="eastAsia" w:ascii="Times New Roman" w:hAnsi="Times New Roman" w:cs="Times New Roman"/>
                      <w:color w:val="auto"/>
                      <w:sz w:val="21"/>
                      <w:szCs w:val="21"/>
                      <w:highlight w:val="none"/>
                    </w:rPr>
                    <w:t>主要乔木：</w:t>
                  </w:r>
                  <w:r>
                    <w:rPr>
                      <w:rFonts w:hint="eastAsia" w:cs="Times New Roman"/>
                      <w:color w:val="auto"/>
                      <w:sz w:val="21"/>
                      <w:szCs w:val="21"/>
                      <w:highlight w:val="none"/>
                      <w:lang w:eastAsia="zh-CN"/>
                    </w:rPr>
                    <w:t>假槟榔、中东海枣、小叶榄仁、</w:t>
                  </w:r>
                  <w:r>
                    <w:rPr>
                      <w:rFonts w:hint="eastAsia" w:ascii="Times New Roman" w:hAnsi="Times New Roman" w:cs="Times New Roman"/>
                      <w:color w:val="auto"/>
                      <w:sz w:val="21"/>
                      <w:szCs w:val="21"/>
                      <w:highlight w:val="none"/>
                      <w:lang w:eastAsia="zh-CN"/>
                    </w:rPr>
                    <w:t>黄花风铃木、凤凰木</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主要灌木：</w:t>
                  </w:r>
                  <w:r>
                    <w:rPr>
                      <w:rFonts w:hint="eastAsia" w:ascii="Times New Roman" w:hAnsi="Times New Roman" w:cs="Times New Roman"/>
                      <w:color w:val="auto"/>
                      <w:sz w:val="21"/>
                      <w:szCs w:val="21"/>
                      <w:highlight w:val="none"/>
                      <w:lang w:eastAsia="zh-CN"/>
                    </w:rPr>
                    <w:t>叶子花球</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主要地被</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红花继木、</w:t>
                  </w:r>
                  <w:r>
                    <w:rPr>
                      <w:rFonts w:hint="eastAsia" w:ascii="Times New Roman" w:hAnsi="Times New Roman" w:cs="Times New Roman"/>
                      <w:color w:val="auto"/>
                      <w:sz w:val="21"/>
                      <w:szCs w:val="21"/>
                      <w:highlight w:val="none"/>
                      <w:lang w:eastAsia="zh-CN"/>
                    </w:rPr>
                    <w:t>黄金菊、九里香、龙船花、金叶假连翘</w:t>
                  </w:r>
                  <w:r>
                    <w:rPr>
                      <w:rFonts w:hint="eastAsia" w:cs="Times New Roman"/>
                      <w:color w:val="auto"/>
                      <w:sz w:val="21"/>
                      <w:szCs w:val="21"/>
                      <w:highlight w:val="none"/>
                      <w:lang w:eastAsia="zh-CN"/>
                    </w:rPr>
                    <w:t>、福建茶、变叶木。所选植被均能适应项目所在区域的自然环境和气候条件。地被植物与乔木植物搭配，营造出色彩层次分明、视线通透的景观效果。</w:t>
                  </w:r>
                </w:p>
              </w:tc>
            </w:tr>
            <w:tr w14:paraId="03922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655" w:type="pct"/>
                  <w:vMerge w:val="continue"/>
                  <w:vAlign w:val="center"/>
                </w:tcPr>
                <w:p w14:paraId="3423E9C6">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21A34C2D">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固废</w:t>
                  </w:r>
                </w:p>
              </w:tc>
              <w:tc>
                <w:tcPr>
                  <w:tcW w:w="3542" w:type="pct"/>
                  <w:vAlign w:val="center"/>
                </w:tcPr>
                <w:p w14:paraId="149DD0C6">
                  <w:pPr>
                    <w:keepNext w:val="0"/>
                    <w:keepLines w:val="0"/>
                    <w:widowControl/>
                    <w:suppressLineNumbers w:val="0"/>
                    <w:spacing w:line="240" w:lineRule="auto"/>
                    <w:ind w:firstLine="420" w:firstLineChars="200"/>
                    <w:jc w:val="left"/>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道路沿线设置垃圾桶</w:t>
                  </w:r>
                </w:p>
              </w:tc>
            </w:tr>
            <w:tr w14:paraId="3B98B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55" w:type="pct"/>
                  <w:vMerge w:val="continue"/>
                  <w:vAlign w:val="center"/>
                </w:tcPr>
                <w:p w14:paraId="1D08B692">
                  <w:pPr>
                    <w:autoSpaceDE w:val="0"/>
                    <w:autoSpaceDN w:val="0"/>
                    <w:spacing w:line="240" w:lineRule="auto"/>
                    <w:jc w:val="center"/>
                    <w:rPr>
                      <w:rFonts w:hint="default" w:ascii="Times New Roman" w:hAnsi="Times New Roman" w:eastAsia="宋体" w:cs="Times New Roman"/>
                      <w:sz w:val="21"/>
                      <w:szCs w:val="21"/>
                      <w:lang w:eastAsia="zh-CN"/>
                    </w:rPr>
                  </w:pPr>
                </w:p>
              </w:tc>
              <w:tc>
                <w:tcPr>
                  <w:tcW w:w="802" w:type="pct"/>
                  <w:vAlign w:val="center"/>
                </w:tcPr>
                <w:p w14:paraId="11DBEC84">
                  <w:pPr>
                    <w:autoSpaceDE w:val="0"/>
                    <w:autoSpaceDN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噪声</w:t>
                  </w:r>
                </w:p>
              </w:tc>
              <w:tc>
                <w:tcPr>
                  <w:tcW w:w="3542" w:type="pct"/>
                  <w:vAlign w:val="center"/>
                </w:tcPr>
                <w:p w14:paraId="6F7C45C3">
                  <w:pPr>
                    <w:keepNext w:val="0"/>
                    <w:keepLines w:val="0"/>
                    <w:widowControl/>
                    <w:suppressLineNumbers w:val="0"/>
                    <w:spacing w:line="240" w:lineRule="auto"/>
                    <w:ind w:firstLine="420" w:firstLineChars="200"/>
                    <w:jc w:val="left"/>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设置减速、禁鸣标识牌</w:t>
                  </w:r>
                </w:p>
              </w:tc>
            </w:tr>
          </w:tbl>
          <w:p w14:paraId="29F4DE84">
            <w:pPr>
              <w:keepNext w:val="0"/>
              <w:keepLines w:val="0"/>
              <w:widowControl/>
              <w:suppressLineNumbers w:val="0"/>
              <w:spacing w:line="360" w:lineRule="auto"/>
              <w:ind w:firstLine="482" w:firstLineChars="200"/>
              <w:jc w:val="both"/>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3.项目主要经济技术指标</w:t>
            </w:r>
          </w:p>
          <w:p w14:paraId="6FFB03CD">
            <w:pPr>
              <w:pStyle w:val="18"/>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本项目主要技术经济指标见表1-2。</w:t>
            </w:r>
          </w:p>
          <w:p w14:paraId="5C24085F">
            <w:pPr>
              <w:pStyle w:val="18"/>
              <w:spacing w:line="360" w:lineRule="auto"/>
              <w:ind w:firstLine="0" w:firstLineChars="0"/>
              <w:jc w:val="center"/>
              <w:rPr>
                <w:rFonts w:ascii="Times New Roman" w:hAnsi="Times New Roman" w:cs="Times New Roman"/>
                <w:b/>
                <w:bCs/>
                <w:color w:val="auto"/>
                <w:highlight w:val="none"/>
                <w:lang w:val="zh-CN"/>
              </w:rPr>
            </w:pPr>
            <w:r>
              <w:rPr>
                <w:rFonts w:ascii="Times New Roman" w:hAnsi="Times New Roman" w:cs="Times New Roman"/>
                <w:b/>
                <w:bCs/>
                <w:color w:val="auto"/>
                <w:highlight w:val="none"/>
                <w:lang w:val="zh-CN"/>
              </w:rPr>
              <w:t>表</w:t>
            </w:r>
            <w:r>
              <w:rPr>
                <w:rFonts w:ascii="Times New Roman" w:hAnsi="Times New Roman" w:cs="Times New Roman"/>
                <w:b/>
                <w:bCs/>
                <w:color w:val="auto"/>
                <w:highlight w:val="none"/>
              </w:rPr>
              <w:t xml:space="preserve">1-2  </w:t>
            </w:r>
            <w:r>
              <w:rPr>
                <w:rFonts w:ascii="Times New Roman" w:hAnsi="Times New Roman" w:cs="Times New Roman"/>
                <w:b/>
                <w:bCs/>
                <w:color w:val="auto"/>
                <w:highlight w:val="none"/>
                <w:lang w:val="zh-CN"/>
              </w:rPr>
              <w:t>主要技术经济指标表</w:t>
            </w:r>
          </w:p>
          <w:tbl>
            <w:tblPr>
              <w:tblStyle w:val="15"/>
              <w:tblW w:w="8306"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47"/>
              <w:gridCol w:w="2694"/>
              <w:gridCol w:w="1135"/>
              <w:gridCol w:w="1231"/>
              <w:gridCol w:w="2399"/>
            </w:tblGrid>
            <w:tr w14:paraId="7D9BF5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634018AD">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序号</w:t>
                  </w:r>
                </w:p>
              </w:tc>
              <w:tc>
                <w:tcPr>
                  <w:tcW w:w="2694" w:type="dxa"/>
                  <w:noWrap w:val="0"/>
                  <w:vAlign w:val="center"/>
                </w:tcPr>
                <w:p w14:paraId="4493F770">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指标名称</w:t>
                  </w:r>
                </w:p>
              </w:tc>
              <w:tc>
                <w:tcPr>
                  <w:tcW w:w="1135" w:type="dxa"/>
                  <w:noWrap w:val="0"/>
                  <w:vAlign w:val="center"/>
                </w:tcPr>
                <w:p w14:paraId="53543342">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单位</w:t>
                  </w:r>
                </w:p>
              </w:tc>
              <w:tc>
                <w:tcPr>
                  <w:tcW w:w="1231" w:type="dxa"/>
                  <w:noWrap w:val="0"/>
                  <w:vAlign w:val="center"/>
                </w:tcPr>
                <w:p w14:paraId="62352E73">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数量</w:t>
                  </w:r>
                </w:p>
              </w:tc>
              <w:tc>
                <w:tcPr>
                  <w:tcW w:w="2399" w:type="dxa"/>
                  <w:noWrap w:val="0"/>
                  <w:vAlign w:val="center"/>
                </w:tcPr>
                <w:p w14:paraId="6C25B9A0">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备注</w:t>
                  </w:r>
                </w:p>
              </w:tc>
            </w:tr>
            <w:tr w14:paraId="53E903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2BF39890">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26605E08">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一、基 本 指 标</w:t>
                  </w:r>
                </w:p>
              </w:tc>
              <w:tc>
                <w:tcPr>
                  <w:tcW w:w="1135" w:type="dxa"/>
                  <w:noWrap w:val="0"/>
                  <w:vAlign w:val="center"/>
                </w:tcPr>
                <w:p w14:paraId="161DD2EF">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01B93D8B">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26B16306">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09E9F1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0F44592D">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w:t>
                  </w:r>
                </w:p>
              </w:tc>
              <w:tc>
                <w:tcPr>
                  <w:tcW w:w="2694" w:type="dxa"/>
                  <w:noWrap w:val="0"/>
                  <w:vAlign w:val="center"/>
                </w:tcPr>
                <w:p w14:paraId="08C3A707">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道路等级</w:t>
                  </w:r>
                </w:p>
              </w:tc>
              <w:tc>
                <w:tcPr>
                  <w:tcW w:w="4765" w:type="dxa"/>
                  <w:gridSpan w:val="3"/>
                  <w:noWrap w:val="0"/>
                  <w:vAlign w:val="center"/>
                </w:tcPr>
                <w:p w14:paraId="18BDC72D">
                  <w:pPr>
                    <w:widowControl/>
                    <w:spacing w:line="240" w:lineRule="auto"/>
                    <w:jc w:val="center"/>
                    <w:rPr>
                      <w:rFonts w:hint="eastAsia"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rPr>
                    <w:t>城市次干</w:t>
                  </w:r>
                  <w:r>
                    <w:rPr>
                      <w:rFonts w:hint="eastAsia" w:ascii="Times New Roman" w:hAnsi="Times New Roman" w:cs="Times New Roman" w:eastAsiaTheme="minorEastAsia"/>
                      <w:color w:val="auto"/>
                      <w:kern w:val="0"/>
                      <w:sz w:val="21"/>
                      <w:szCs w:val="21"/>
                      <w:highlight w:val="none"/>
                      <w:lang w:eastAsia="zh-CN"/>
                    </w:rPr>
                    <w:t>道</w:t>
                  </w:r>
                </w:p>
              </w:tc>
            </w:tr>
            <w:tr w14:paraId="3C45FE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2B59A3FE">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2</w:t>
                  </w:r>
                </w:p>
              </w:tc>
              <w:tc>
                <w:tcPr>
                  <w:tcW w:w="2694" w:type="dxa"/>
                  <w:noWrap w:val="0"/>
                  <w:vAlign w:val="center"/>
                </w:tcPr>
                <w:p w14:paraId="2B47178B">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设计速度</w:t>
                  </w:r>
                </w:p>
              </w:tc>
              <w:tc>
                <w:tcPr>
                  <w:tcW w:w="1135" w:type="dxa"/>
                  <w:noWrap w:val="0"/>
                  <w:vAlign w:val="center"/>
                </w:tcPr>
                <w:p w14:paraId="42F2D905">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km/h</w:t>
                  </w:r>
                </w:p>
              </w:tc>
              <w:tc>
                <w:tcPr>
                  <w:tcW w:w="3630" w:type="dxa"/>
                  <w:gridSpan w:val="2"/>
                  <w:noWrap w:val="0"/>
                  <w:vAlign w:val="center"/>
                </w:tcPr>
                <w:p w14:paraId="5105624E">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40km/h</w:t>
                  </w:r>
                </w:p>
              </w:tc>
            </w:tr>
            <w:tr w14:paraId="34CD23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4DD0827F">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3</w:t>
                  </w:r>
                </w:p>
              </w:tc>
              <w:tc>
                <w:tcPr>
                  <w:tcW w:w="2694" w:type="dxa"/>
                  <w:noWrap w:val="0"/>
                  <w:vAlign w:val="center"/>
                </w:tcPr>
                <w:p w14:paraId="71BB6D56">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占用土地</w:t>
                  </w:r>
                </w:p>
              </w:tc>
              <w:tc>
                <w:tcPr>
                  <w:tcW w:w="1135" w:type="dxa"/>
                  <w:noWrap w:val="0"/>
                  <w:vAlign w:val="center"/>
                </w:tcPr>
                <w:p w14:paraId="640A7B71">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公顷</w:t>
                  </w:r>
                </w:p>
              </w:tc>
              <w:tc>
                <w:tcPr>
                  <w:tcW w:w="1231" w:type="dxa"/>
                  <w:noWrap w:val="0"/>
                  <w:vAlign w:val="center"/>
                </w:tcPr>
                <w:p w14:paraId="1EEB9DB0">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41.53</w:t>
                  </w:r>
                </w:p>
              </w:tc>
              <w:tc>
                <w:tcPr>
                  <w:tcW w:w="2399" w:type="dxa"/>
                  <w:noWrap w:val="0"/>
                  <w:vAlign w:val="center"/>
                </w:tcPr>
                <w:p w14:paraId="6387E8BC">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48378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5215DC37">
                  <w:pPr>
                    <w:widowControl/>
                    <w:spacing w:line="240" w:lineRule="auto"/>
                    <w:jc w:val="center"/>
                    <w:rPr>
                      <w:rFonts w:hint="eastAsia"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4</w:t>
                  </w:r>
                </w:p>
              </w:tc>
              <w:tc>
                <w:tcPr>
                  <w:tcW w:w="2694" w:type="dxa"/>
                  <w:noWrap w:val="0"/>
                  <w:vAlign w:val="center"/>
                </w:tcPr>
                <w:p w14:paraId="72B1CF3A">
                  <w:pPr>
                    <w:widowControl/>
                    <w:spacing w:line="240" w:lineRule="auto"/>
                    <w:jc w:val="center"/>
                    <w:rPr>
                      <w:rFonts w:hint="eastAsia" w:ascii="Times New Roman" w:hAnsi="Times New Roman" w:cs="Times New Roman" w:eastAsiaTheme="minorEastAsia"/>
                      <w:b/>
                      <w:bCs/>
                      <w:color w:val="auto"/>
                      <w:kern w:val="0"/>
                      <w:sz w:val="21"/>
                      <w:szCs w:val="21"/>
                      <w:highlight w:val="none"/>
                      <w:lang w:val="en-US" w:eastAsia="zh-CN"/>
                    </w:rPr>
                  </w:pPr>
                  <w:r>
                    <w:rPr>
                      <w:rFonts w:hint="eastAsia" w:cs="Times New Roman" w:eastAsiaTheme="minorEastAsia"/>
                      <w:b w:val="0"/>
                      <w:bCs w:val="0"/>
                      <w:color w:val="auto"/>
                      <w:kern w:val="0"/>
                      <w:sz w:val="21"/>
                      <w:szCs w:val="21"/>
                      <w:highlight w:val="none"/>
                      <w:lang w:val="en-US" w:eastAsia="zh-CN"/>
                    </w:rPr>
                    <w:t>建安费</w:t>
                  </w:r>
                </w:p>
              </w:tc>
              <w:tc>
                <w:tcPr>
                  <w:tcW w:w="1135" w:type="dxa"/>
                  <w:noWrap w:val="0"/>
                  <w:vAlign w:val="center"/>
                </w:tcPr>
                <w:p w14:paraId="52313EF3">
                  <w:pPr>
                    <w:widowControl/>
                    <w:spacing w:line="240" w:lineRule="auto"/>
                    <w:jc w:val="center"/>
                    <w:rPr>
                      <w:rFonts w:hint="eastAsia" w:ascii="Times New Roman" w:hAnsi="Times New Roman"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万元</w:t>
                  </w:r>
                </w:p>
              </w:tc>
              <w:tc>
                <w:tcPr>
                  <w:tcW w:w="1231" w:type="dxa"/>
                  <w:noWrap w:val="0"/>
                  <w:vAlign w:val="center"/>
                </w:tcPr>
                <w:p w14:paraId="0B31619B">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58527</w:t>
                  </w:r>
                </w:p>
              </w:tc>
              <w:tc>
                <w:tcPr>
                  <w:tcW w:w="2399" w:type="dxa"/>
                  <w:noWrap w:val="0"/>
                  <w:vAlign w:val="center"/>
                </w:tcPr>
                <w:p w14:paraId="2A19C0A8">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5F464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5D2A3405">
                  <w:pPr>
                    <w:widowControl/>
                    <w:spacing w:line="240" w:lineRule="auto"/>
                    <w:jc w:val="center"/>
                    <w:rPr>
                      <w:rFonts w:hint="eastAsia"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5</w:t>
                  </w:r>
                </w:p>
              </w:tc>
              <w:tc>
                <w:tcPr>
                  <w:tcW w:w="2694" w:type="dxa"/>
                  <w:noWrap w:val="0"/>
                  <w:vAlign w:val="center"/>
                </w:tcPr>
                <w:p w14:paraId="72C16248">
                  <w:pPr>
                    <w:widowControl/>
                    <w:spacing w:line="240" w:lineRule="auto"/>
                    <w:jc w:val="center"/>
                    <w:rPr>
                      <w:rFonts w:hint="eastAsia" w:ascii="Times New Roman" w:hAnsi="Times New Roman" w:cs="Times New Roman" w:eastAsiaTheme="minorEastAsia"/>
                      <w:b/>
                      <w:bCs/>
                      <w:color w:val="auto"/>
                      <w:kern w:val="0"/>
                      <w:sz w:val="21"/>
                      <w:szCs w:val="21"/>
                      <w:highlight w:val="none"/>
                      <w:lang w:eastAsia="zh-CN"/>
                    </w:rPr>
                  </w:pPr>
                  <w:r>
                    <w:rPr>
                      <w:rFonts w:hint="eastAsia" w:cs="Times New Roman" w:eastAsiaTheme="minorEastAsia"/>
                      <w:b w:val="0"/>
                      <w:bCs w:val="0"/>
                      <w:color w:val="auto"/>
                      <w:kern w:val="0"/>
                      <w:sz w:val="21"/>
                      <w:szCs w:val="21"/>
                      <w:highlight w:val="none"/>
                      <w:lang w:eastAsia="zh-CN"/>
                    </w:rPr>
                    <w:t>征地改迁费</w:t>
                  </w:r>
                </w:p>
              </w:tc>
              <w:tc>
                <w:tcPr>
                  <w:tcW w:w="1135" w:type="dxa"/>
                  <w:noWrap w:val="0"/>
                  <w:vAlign w:val="center"/>
                </w:tcPr>
                <w:p w14:paraId="04BB9F28">
                  <w:pPr>
                    <w:widowControl/>
                    <w:spacing w:line="240" w:lineRule="auto"/>
                    <w:jc w:val="center"/>
                    <w:rPr>
                      <w:rFonts w:hint="eastAsia" w:ascii="Times New Roman" w:hAnsi="Times New Roman"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万元</w:t>
                  </w:r>
                </w:p>
              </w:tc>
              <w:tc>
                <w:tcPr>
                  <w:tcW w:w="1231" w:type="dxa"/>
                  <w:noWrap w:val="0"/>
                  <w:vAlign w:val="center"/>
                </w:tcPr>
                <w:p w14:paraId="1012403C">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14278.21</w:t>
                  </w:r>
                </w:p>
              </w:tc>
              <w:tc>
                <w:tcPr>
                  <w:tcW w:w="2399" w:type="dxa"/>
                  <w:noWrap w:val="0"/>
                  <w:vAlign w:val="center"/>
                </w:tcPr>
                <w:p w14:paraId="040F52B8">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4386EF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3326B8D7">
                  <w:pPr>
                    <w:widowControl/>
                    <w:spacing w:line="240" w:lineRule="auto"/>
                    <w:jc w:val="center"/>
                    <w:rPr>
                      <w:rFonts w:hint="default"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6</w:t>
                  </w:r>
                </w:p>
              </w:tc>
              <w:tc>
                <w:tcPr>
                  <w:tcW w:w="2694" w:type="dxa"/>
                  <w:noWrap w:val="0"/>
                  <w:vAlign w:val="center"/>
                </w:tcPr>
                <w:p w14:paraId="4CB28A93">
                  <w:pPr>
                    <w:widowControl/>
                    <w:spacing w:line="240" w:lineRule="auto"/>
                    <w:jc w:val="center"/>
                    <w:rPr>
                      <w:rFonts w:hint="eastAsia" w:cs="Times New Roman" w:eastAsiaTheme="minorEastAsia"/>
                      <w:b w:val="0"/>
                      <w:bCs w:val="0"/>
                      <w:color w:val="auto"/>
                      <w:kern w:val="0"/>
                      <w:sz w:val="21"/>
                      <w:szCs w:val="21"/>
                      <w:highlight w:val="none"/>
                      <w:lang w:eastAsia="zh-CN"/>
                    </w:rPr>
                  </w:pPr>
                  <w:r>
                    <w:rPr>
                      <w:rFonts w:hint="eastAsia" w:cs="Times New Roman" w:eastAsiaTheme="minorEastAsia"/>
                      <w:b w:val="0"/>
                      <w:bCs w:val="0"/>
                      <w:color w:val="auto"/>
                      <w:kern w:val="0"/>
                      <w:sz w:val="21"/>
                      <w:szCs w:val="21"/>
                      <w:highlight w:val="none"/>
                      <w:lang w:eastAsia="zh-CN"/>
                    </w:rPr>
                    <w:t>估算总额</w:t>
                  </w:r>
                </w:p>
              </w:tc>
              <w:tc>
                <w:tcPr>
                  <w:tcW w:w="1135" w:type="dxa"/>
                  <w:noWrap w:val="0"/>
                  <w:vAlign w:val="center"/>
                </w:tcPr>
                <w:p w14:paraId="4D1C3DAA">
                  <w:pPr>
                    <w:widowControl/>
                    <w:spacing w:line="240" w:lineRule="auto"/>
                    <w:jc w:val="center"/>
                    <w:rPr>
                      <w:rFonts w:hint="eastAsia"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万元</w:t>
                  </w:r>
                </w:p>
              </w:tc>
              <w:tc>
                <w:tcPr>
                  <w:tcW w:w="1231" w:type="dxa"/>
                  <w:noWrap w:val="0"/>
                  <w:vAlign w:val="center"/>
                </w:tcPr>
                <w:p w14:paraId="78E168D1">
                  <w:pPr>
                    <w:widowControl/>
                    <w:spacing w:line="240" w:lineRule="auto"/>
                    <w:jc w:val="center"/>
                    <w:rPr>
                      <w:rFonts w:hint="default"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86594.77</w:t>
                  </w:r>
                </w:p>
              </w:tc>
              <w:tc>
                <w:tcPr>
                  <w:tcW w:w="2399" w:type="dxa"/>
                  <w:noWrap w:val="0"/>
                  <w:vAlign w:val="center"/>
                </w:tcPr>
                <w:p w14:paraId="0273B607">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13EDAE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064132F5">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052FA684">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二、路  线</w:t>
                  </w:r>
                </w:p>
              </w:tc>
              <w:tc>
                <w:tcPr>
                  <w:tcW w:w="1135" w:type="dxa"/>
                  <w:noWrap w:val="0"/>
                  <w:vAlign w:val="center"/>
                </w:tcPr>
                <w:p w14:paraId="612882B5">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6A6383A6">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4E83A84B">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35C4F1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400EA773">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7</w:t>
                  </w:r>
                </w:p>
              </w:tc>
              <w:tc>
                <w:tcPr>
                  <w:tcW w:w="2694" w:type="dxa"/>
                  <w:noWrap w:val="0"/>
                  <w:vAlign w:val="center"/>
                </w:tcPr>
                <w:p w14:paraId="2B0D4DA4">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长</w:t>
                  </w:r>
                </w:p>
              </w:tc>
              <w:tc>
                <w:tcPr>
                  <w:tcW w:w="1135" w:type="dxa"/>
                  <w:noWrap w:val="0"/>
                  <w:vAlign w:val="center"/>
                </w:tcPr>
                <w:p w14:paraId="05227BC7">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eastAsia" w:cs="Times New Roman" w:eastAsiaTheme="minorEastAsia"/>
                      <w:color w:val="auto"/>
                      <w:kern w:val="0"/>
                      <w:sz w:val="21"/>
                      <w:szCs w:val="21"/>
                      <w:highlight w:val="none"/>
                      <w:lang w:val="en-US" w:eastAsia="zh-CN"/>
                    </w:rPr>
                    <w:t>k</w:t>
                  </w: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57EA8A28">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12</w:t>
                  </w:r>
                </w:p>
              </w:tc>
              <w:tc>
                <w:tcPr>
                  <w:tcW w:w="2399" w:type="dxa"/>
                  <w:noWrap w:val="0"/>
                  <w:vAlign w:val="center"/>
                </w:tcPr>
                <w:p w14:paraId="1492AC6C">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624C7C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08A43A6B">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8</w:t>
                  </w:r>
                </w:p>
              </w:tc>
              <w:tc>
                <w:tcPr>
                  <w:tcW w:w="2694" w:type="dxa"/>
                  <w:noWrap w:val="0"/>
                  <w:vAlign w:val="center"/>
                </w:tcPr>
                <w:p w14:paraId="23A97855">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最小净空</w:t>
                  </w:r>
                </w:p>
              </w:tc>
              <w:tc>
                <w:tcPr>
                  <w:tcW w:w="1135" w:type="dxa"/>
                  <w:noWrap w:val="0"/>
                  <w:vAlign w:val="center"/>
                </w:tcPr>
                <w:p w14:paraId="62FAF9A4">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034C309E">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34A23072">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68F2F6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2EE06EDC">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35E12552">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机动车道</w:t>
                  </w:r>
                </w:p>
              </w:tc>
              <w:tc>
                <w:tcPr>
                  <w:tcW w:w="1135" w:type="dxa"/>
                  <w:noWrap w:val="0"/>
                  <w:vAlign w:val="center"/>
                </w:tcPr>
                <w:p w14:paraId="61D1348A">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3E581D78">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4.5</w:t>
                  </w:r>
                </w:p>
              </w:tc>
              <w:tc>
                <w:tcPr>
                  <w:tcW w:w="2399" w:type="dxa"/>
                  <w:noWrap w:val="0"/>
                  <w:vAlign w:val="center"/>
                </w:tcPr>
                <w:p w14:paraId="68EF9390">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00C907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7D34E011">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4233C8EC">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非机动车道</w:t>
                  </w:r>
                </w:p>
              </w:tc>
              <w:tc>
                <w:tcPr>
                  <w:tcW w:w="1135" w:type="dxa"/>
                  <w:noWrap w:val="0"/>
                  <w:vAlign w:val="center"/>
                </w:tcPr>
                <w:p w14:paraId="4F6A7E2C">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5F64A16D">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2.5</w:t>
                  </w:r>
                </w:p>
              </w:tc>
              <w:tc>
                <w:tcPr>
                  <w:tcW w:w="2399" w:type="dxa"/>
                  <w:noWrap w:val="0"/>
                  <w:vAlign w:val="center"/>
                </w:tcPr>
                <w:p w14:paraId="550236CF">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16A8F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5F74661F">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76300947">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人行道</w:t>
                  </w:r>
                </w:p>
              </w:tc>
              <w:tc>
                <w:tcPr>
                  <w:tcW w:w="1135" w:type="dxa"/>
                  <w:noWrap w:val="0"/>
                  <w:vAlign w:val="center"/>
                </w:tcPr>
                <w:p w14:paraId="2D7423F2">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214EB1A2">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2.5</w:t>
                  </w:r>
                </w:p>
              </w:tc>
              <w:tc>
                <w:tcPr>
                  <w:tcW w:w="2399" w:type="dxa"/>
                  <w:noWrap w:val="0"/>
                  <w:vAlign w:val="center"/>
                </w:tcPr>
                <w:p w14:paraId="52D78F08">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06695B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64C338D7">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1785BF4C">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三、路基、路面</w:t>
                  </w:r>
                </w:p>
              </w:tc>
              <w:tc>
                <w:tcPr>
                  <w:tcW w:w="1135" w:type="dxa"/>
                  <w:noWrap w:val="0"/>
                  <w:vAlign w:val="center"/>
                </w:tcPr>
                <w:p w14:paraId="26C3F5CE">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68AF371C">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5F2FD034">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50EE86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7CEAC177">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9</w:t>
                  </w:r>
                </w:p>
              </w:tc>
              <w:tc>
                <w:tcPr>
                  <w:tcW w:w="2694" w:type="dxa"/>
                  <w:noWrap w:val="0"/>
                  <w:vAlign w:val="center"/>
                </w:tcPr>
                <w:p w14:paraId="2B8254AE">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路基宽度</w:t>
                  </w:r>
                </w:p>
              </w:tc>
              <w:tc>
                <w:tcPr>
                  <w:tcW w:w="1135" w:type="dxa"/>
                  <w:noWrap w:val="0"/>
                  <w:vAlign w:val="center"/>
                </w:tcPr>
                <w:p w14:paraId="3F97B806">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684820B1">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42/40/32/25</w:t>
                  </w:r>
                </w:p>
              </w:tc>
              <w:tc>
                <w:tcPr>
                  <w:tcW w:w="2399" w:type="dxa"/>
                  <w:noWrap w:val="0"/>
                  <w:vAlign w:val="center"/>
                </w:tcPr>
                <w:p w14:paraId="75F4255D">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30CC1F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5AB6D449">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10</w:t>
                  </w:r>
                </w:p>
              </w:tc>
              <w:tc>
                <w:tcPr>
                  <w:tcW w:w="2694" w:type="dxa"/>
                  <w:noWrap w:val="0"/>
                  <w:vAlign w:val="center"/>
                </w:tcPr>
                <w:p w14:paraId="69A74FB3">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土石方数量</w:t>
                  </w:r>
                </w:p>
              </w:tc>
              <w:tc>
                <w:tcPr>
                  <w:tcW w:w="1135" w:type="dxa"/>
                  <w:noWrap w:val="0"/>
                  <w:vAlign w:val="center"/>
                </w:tcPr>
                <w:p w14:paraId="5FE99E9B">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3F8807A1">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6EC08A98">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25714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1D6B2967">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21CC7BA3">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填方</w:t>
                  </w:r>
                </w:p>
              </w:tc>
              <w:tc>
                <w:tcPr>
                  <w:tcW w:w="1135" w:type="dxa"/>
                  <w:noWrap w:val="0"/>
                  <w:vAlign w:val="center"/>
                </w:tcPr>
                <w:p w14:paraId="7BE68E6F">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r>
                    <w:rPr>
                      <w:rFonts w:hint="default" w:ascii="Times New Roman" w:hAnsi="Times New Roman" w:cs="Times New Roman" w:eastAsiaTheme="minorEastAsia"/>
                      <w:color w:val="auto"/>
                      <w:kern w:val="0"/>
                      <w:sz w:val="21"/>
                      <w:szCs w:val="21"/>
                      <w:highlight w:val="none"/>
                      <w:vertAlign w:val="superscript"/>
                    </w:rPr>
                    <w:t>3</w:t>
                  </w:r>
                </w:p>
              </w:tc>
              <w:tc>
                <w:tcPr>
                  <w:tcW w:w="1231" w:type="dxa"/>
                  <w:noWrap w:val="0"/>
                  <w:vAlign w:val="center"/>
                </w:tcPr>
                <w:p w14:paraId="74D3E9CF">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1718458</w:t>
                  </w:r>
                </w:p>
              </w:tc>
              <w:tc>
                <w:tcPr>
                  <w:tcW w:w="2399" w:type="dxa"/>
                  <w:noWrap w:val="0"/>
                  <w:vAlign w:val="center"/>
                </w:tcPr>
                <w:p w14:paraId="5057DD87">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6C6854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14558C58">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08CA391D">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挖方</w:t>
                  </w:r>
                </w:p>
              </w:tc>
              <w:tc>
                <w:tcPr>
                  <w:tcW w:w="1135" w:type="dxa"/>
                  <w:noWrap w:val="0"/>
                  <w:vAlign w:val="center"/>
                </w:tcPr>
                <w:p w14:paraId="1A34FE87">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r>
                    <w:rPr>
                      <w:rFonts w:hint="default" w:ascii="Times New Roman" w:hAnsi="Times New Roman" w:cs="Times New Roman" w:eastAsiaTheme="minorEastAsia"/>
                      <w:color w:val="auto"/>
                      <w:kern w:val="0"/>
                      <w:sz w:val="21"/>
                      <w:szCs w:val="21"/>
                      <w:highlight w:val="none"/>
                      <w:vertAlign w:val="superscript"/>
                    </w:rPr>
                    <w:t>3</w:t>
                  </w:r>
                </w:p>
              </w:tc>
              <w:tc>
                <w:tcPr>
                  <w:tcW w:w="1231" w:type="dxa"/>
                  <w:noWrap w:val="0"/>
                  <w:vAlign w:val="center"/>
                </w:tcPr>
                <w:p w14:paraId="6BB16E83">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810120</w:t>
                  </w:r>
                </w:p>
              </w:tc>
              <w:tc>
                <w:tcPr>
                  <w:tcW w:w="2399" w:type="dxa"/>
                  <w:noWrap w:val="0"/>
                  <w:vAlign w:val="center"/>
                </w:tcPr>
                <w:p w14:paraId="1BE9E0D8">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343EF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847" w:type="dxa"/>
                  <w:noWrap w:val="0"/>
                  <w:vAlign w:val="center"/>
                </w:tcPr>
                <w:p w14:paraId="3117A83F">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1A980C15">
                  <w:pPr>
                    <w:widowControl/>
                    <w:spacing w:line="240" w:lineRule="auto"/>
                    <w:jc w:val="center"/>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lang w:eastAsia="zh-CN"/>
                    </w:rPr>
                    <w:t>弃渣</w:t>
                  </w:r>
                </w:p>
              </w:tc>
              <w:tc>
                <w:tcPr>
                  <w:tcW w:w="1135" w:type="dxa"/>
                  <w:noWrap w:val="0"/>
                  <w:vAlign w:val="center"/>
                </w:tcPr>
                <w:p w14:paraId="027C2578">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r>
                    <w:rPr>
                      <w:rFonts w:hint="default" w:ascii="Times New Roman" w:hAnsi="Times New Roman" w:cs="Times New Roman" w:eastAsiaTheme="minorEastAsia"/>
                      <w:color w:val="auto"/>
                      <w:kern w:val="0"/>
                      <w:sz w:val="21"/>
                      <w:szCs w:val="21"/>
                      <w:highlight w:val="none"/>
                      <w:vertAlign w:val="superscript"/>
                    </w:rPr>
                    <w:t>3</w:t>
                  </w:r>
                </w:p>
              </w:tc>
              <w:tc>
                <w:tcPr>
                  <w:tcW w:w="1231" w:type="dxa"/>
                  <w:noWrap w:val="0"/>
                  <w:vAlign w:val="center"/>
                </w:tcPr>
                <w:p w14:paraId="0955A0D4">
                  <w:pPr>
                    <w:widowControl/>
                    <w:spacing w:line="240" w:lineRule="auto"/>
                    <w:jc w:val="center"/>
                    <w:rPr>
                      <w:rFonts w:hint="default" w:ascii="Times New Roman" w:hAnsi="Times New Roman" w:cs="Times New Roman" w:eastAsiaTheme="minorEastAsia"/>
                      <w:color w:val="0000FF"/>
                      <w:sz w:val="21"/>
                      <w:szCs w:val="21"/>
                      <w:highlight w:val="none"/>
                      <w:lang w:val="en-US" w:eastAsia="zh-CN"/>
                    </w:rPr>
                  </w:pPr>
                  <w:r>
                    <w:rPr>
                      <w:rFonts w:hint="eastAsia" w:cs="Times New Roman" w:eastAsiaTheme="minorEastAsia"/>
                      <w:color w:val="auto"/>
                      <w:sz w:val="21"/>
                      <w:szCs w:val="21"/>
                      <w:highlight w:val="none"/>
                      <w:lang w:val="en-US" w:eastAsia="zh-CN"/>
                    </w:rPr>
                    <w:t>301132</w:t>
                  </w:r>
                </w:p>
              </w:tc>
              <w:tc>
                <w:tcPr>
                  <w:tcW w:w="2399" w:type="dxa"/>
                  <w:noWrap w:val="0"/>
                  <w:vAlign w:val="center"/>
                </w:tcPr>
                <w:p w14:paraId="7F64E89C">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0A071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847" w:type="dxa"/>
                  <w:noWrap w:val="0"/>
                  <w:vAlign w:val="center"/>
                </w:tcPr>
                <w:p w14:paraId="389CD3FA">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11</w:t>
                  </w:r>
                </w:p>
              </w:tc>
              <w:tc>
                <w:tcPr>
                  <w:tcW w:w="2694" w:type="dxa"/>
                  <w:noWrap w:val="0"/>
                  <w:vAlign w:val="center"/>
                </w:tcPr>
                <w:p w14:paraId="7E539956">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给、排水工程</w:t>
                  </w:r>
                </w:p>
              </w:tc>
              <w:tc>
                <w:tcPr>
                  <w:tcW w:w="1135" w:type="dxa"/>
                  <w:noWrap w:val="0"/>
                  <w:vAlign w:val="center"/>
                </w:tcPr>
                <w:p w14:paraId="2EB469ED">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3AB9F8FB">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40BFCB89">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6DB83B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54A6BAF2">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12C4D7C9">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雨水管</w:t>
                  </w:r>
                </w:p>
              </w:tc>
              <w:tc>
                <w:tcPr>
                  <w:tcW w:w="1135" w:type="dxa"/>
                  <w:noWrap w:val="0"/>
                  <w:vAlign w:val="center"/>
                </w:tcPr>
                <w:p w14:paraId="139EB64F">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312B4EA5">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24426</w:t>
                  </w:r>
                </w:p>
              </w:tc>
              <w:tc>
                <w:tcPr>
                  <w:tcW w:w="2399" w:type="dxa"/>
                  <w:noWrap w:val="0"/>
                  <w:vAlign w:val="center"/>
                </w:tcPr>
                <w:p w14:paraId="25113291">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4E317F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3D86D099">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21F3EA0A">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污水管</w:t>
                  </w:r>
                </w:p>
              </w:tc>
              <w:tc>
                <w:tcPr>
                  <w:tcW w:w="1135" w:type="dxa"/>
                  <w:noWrap w:val="0"/>
                  <w:vAlign w:val="center"/>
                </w:tcPr>
                <w:p w14:paraId="0F426DC7">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6D22FCC8">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25832</w:t>
                  </w:r>
                </w:p>
              </w:tc>
              <w:tc>
                <w:tcPr>
                  <w:tcW w:w="2399" w:type="dxa"/>
                  <w:noWrap w:val="0"/>
                  <w:vAlign w:val="center"/>
                </w:tcPr>
                <w:p w14:paraId="302D7E24">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6E689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11F20B0E">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1FE37F42">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给水管</w:t>
                  </w:r>
                </w:p>
              </w:tc>
              <w:tc>
                <w:tcPr>
                  <w:tcW w:w="1135" w:type="dxa"/>
                  <w:noWrap w:val="0"/>
                  <w:vAlign w:val="center"/>
                </w:tcPr>
                <w:p w14:paraId="7F31F8C3">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3C325D31">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22618</w:t>
                  </w:r>
                </w:p>
              </w:tc>
              <w:tc>
                <w:tcPr>
                  <w:tcW w:w="2399" w:type="dxa"/>
                  <w:noWrap w:val="0"/>
                  <w:vAlign w:val="center"/>
                </w:tcPr>
                <w:p w14:paraId="1BE4C6EA">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366E58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24D8609B">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12</w:t>
                  </w:r>
                </w:p>
              </w:tc>
              <w:tc>
                <w:tcPr>
                  <w:tcW w:w="2694" w:type="dxa"/>
                  <w:noWrap w:val="0"/>
                  <w:vAlign w:val="center"/>
                </w:tcPr>
                <w:p w14:paraId="79C631F1">
                  <w:pPr>
                    <w:widowControl/>
                    <w:spacing w:line="240" w:lineRule="auto"/>
                    <w:jc w:val="center"/>
                    <w:rPr>
                      <w:rFonts w:hint="eastAsia" w:ascii="Times New Roman" w:hAnsi="Times New Roman"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桥涵工程</w:t>
                  </w:r>
                </w:p>
              </w:tc>
              <w:tc>
                <w:tcPr>
                  <w:tcW w:w="1135" w:type="dxa"/>
                  <w:noWrap w:val="0"/>
                  <w:vAlign w:val="center"/>
                </w:tcPr>
                <w:p w14:paraId="0009F8C8">
                  <w:pPr>
                    <w:widowControl/>
                    <w:spacing w:line="240" w:lineRule="auto"/>
                    <w:jc w:val="center"/>
                    <w:rPr>
                      <w:rFonts w:hint="eastAsia" w:ascii="Times New Roman" w:hAnsi="Times New Roman" w:cs="Times New Roman" w:eastAsiaTheme="minorEastAsia"/>
                      <w:color w:val="auto"/>
                      <w:kern w:val="0"/>
                      <w:sz w:val="21"/>
                      <w:szCs w:val="21"/>
                      <w:highlight w:val="none"/>
                      <w:lang w:eastAsia="zh-CN"/>
                    </w:rPr>
                  </w:pPr>
                </w:p>
              </w:tc>
              <w:tc>
                <w:tcPr>
                  <w:tcW w:w="1231" w:type="dxa"/>
                  <w:noWrap w:val="0"/>
                  <w:vAlign w:val="center"/>
                </w:tcPr>
                <w:p w14:paraId="6794A53F">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p>
              </w:tc>
              <w:tc>
                <w:tcPr>
                  <w:tcW w:w="2399" w:type="dxa"/>
                  <w:noWrap w:val="0"/>
                  <w:vAlign w:val="center"/>
                </w:tcPr>
                <w:p w14:paraId="4A95FD94">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301F9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167A4485">
                  <w:pPr>
                    <w:widowControl/>
                    <w:spacing w:line="240" w:lineRule="auto"/>
                    <w:jc w:val="center"/>
                    <w:rPr>
                      <w:rFonts w:hint="eastAsia" w:cs="Times New Roman" w:eastAsiaTheme="minorEastAsia"/>
                      <w:color w:val="auto"/>
                      <w:kern w:val="0"/>
                      <w:sz w:val="21"/>
                      <w:szCs w:val="21"/>
                      <w:highlight w:val="none"/>
                      <w:lang w:val="en-US" w:eastAsia="zh-CN"/>
                    </w:rPr>
                  </w:pPr>
                </w:p>
              </w:tc>
              <w:tc>
                <w:tcPr>
                  <w:tcW w:w="2694" w:type="dxa"/>
                  <w:noWrap w:val="0"/>
                  <w:vAlign w:val="center"/>
                </w:tcPr>
                <w:p w14:paraId="22B2E4CC">
                  <w:pPr>
                    <w:widowControl/>
                    <w:spacing w:line="240" w:lineRule="auto"/>
                    <w:jc w:val="center"/>
                    <w:rPr>
                      <w:rFonts w:hint="eastAsia"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桥梁</w:t>
                  </w:r>
                </w:p>
              </w:tc>
              <w:tc>
                <w:tcPr>
                  <w:tcW w:w="1135" w:type="dxa"/>
                  <w:noWrap w:val="0"/>
                  <w:vAlign w:val="center"/>
                </w:tcPr>
                <w:p w14:paraId="7F04857A">
                  <w:pPr>
                    <w:widowControl/>
                    <w:spacing w:line="240" w:lineRule="auto"/>
                    <w:jc w:val="center"/>
                    <w:rPr>
                      <w:rFonts w:hint="eastAsia"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座</w:t>
                  </w:r>
                </w:p>
              </w:tc>
              <w:tc>
                <w:tcPr>
                  <w:tcW w:w="1231" w:type="dxa"/>
                  <w:noWrap w:val="0"/>
                  <w:vAlign w:val="center"/>
                </w:tcPr>
                <w:p w14:paraId="02DB768A">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7</w:t>
                  </w:r>
                </w:p>
              </w:tc>
              <w:tc>
                <w:tcPr>
                  <w:tcW w:w="2399" w:type="dxa"/>
                  <w:noWrap w:val="0"/>
                  <w:vAlign w:val="center"/>
                </w:tcPr>
                <w:p w14:paraId="65A64E04">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61F89A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7E92F42E">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694" w:type="dxa"/>
                  <w:noWrap w:val="0"/>
                  <w:vAlign w:val="center"/>
                </w:tcPr>
                <w:p w14:paraId="522E0E49">
                  <w:pPr>
                    <w:widowControl/>
                    <w:spacing w:line="240" w:lineRule="auto"/>
                    <w:jc w:val="center"/>
                    <w:rPr>
                      <w:rFonts w:hint="eastAsia" w:ascii="Times New Roman" w:hAnsi="Times New Roman"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涵洞</w:t>
                  </w:r>
                </w:p>
              </w:tc>
              <w:tc>
                <w:tcPr>
                  <w:tcW w:w="1135" w:type="dxa"/>
                  <w:noWrap w:val="0"/>
                  <w:vAlign w:val="center"/>
                </w:tcPr>
                <w:p w14:paraId="46C2D0A4">
                  <w:pPr>
                    <w:widowControl/>
                    <w:spacing w:line="240" w:lineRule="auto"/>
                    <w:jc w:val="center"/>
                    <w:rPr>
                      <w:rFonts w:hint="eastAsia" w:ascii="Times New Roman" w:hAnsi="Times New Roman"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个</w:t>
                  </w:r>
                </w:p>
              </w:tc>
              <w:tc>
                <w:tcPr>
                  <w:tcW w:w="1231" w:type="dxa"/>
                  <w:noWrap w:val="0"/>
                  <w:vAlign w:val="center"/>
                </w:tcPr>
                <w:p w14:paraId="3F7739AA">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3</w:t>
                  </w:r>
                </w:p>
              </w:tc>
              <w:tc>
                <w:tcPr>
                  <w:tcW w:w="2399" w:type="dxa"/>
                  <w:noWrap w:val="0"/>
                  <w:vAlign w:val="center"/>
                </w:tcPr>
                <w:p w14:paraId="79DD03ED">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4350C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046B4E2C">
                  <w:pPr>
                    <w:widowControl/>
                    <w:spacing w:line="240" w:lineRule="auto"/>
                    <w:jc w:val="center"/>
                    <w:rPr>
                      <w:rFonts w:hint="default" w:ascii="Times New Roman" w:hAnsi="Times New Roman" w:cs="Times New Roman" w:eastAsiaTheme="minorEastAsia"/>
                      <w:b/>
                      <w:bCs/>
                      <w:color w:val="auto"/>
                      <w:kern w:val="0"/>
                      <w:sz w:val="21"/>
                      <w:szCs w:val="21"/>
                      <w:highlight w:val="none"/>
                    </w:rPr>
                  </w:pPr>
                </w:p>
              </w:tc>
              <w:tc>
                <w:tcPr>
                  <w:tcW w:w="2694" w:type="dxa"/>
                  <w:noWrap w:val="0"/>
                  <w:vAlign w:val="center"/>
                </w:tcPr>
                <w:p w14:paraId="78D881F1">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四、路线交叉</w:t>
                  </w:r>
                </w:p>
              </w:tc>
              <w:tc>
                <w:tcPr>
                  <w:tcW w:w="1135" w:type="dxa"/>
                  <w:noWrap w:val="0"/>
                  <w:vAlign w:val="center"/>
                </w:tcPr>
                <w:p w14:paraId="799821ED">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3D08200E">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46DD03C0">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76D954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0" w:hRule="atLeast"/>
              </w:trPr>
              <w:tc>
                <w:tcPr>
                  <w:tcW w:w="847" w:type="dxa"/>
                  <w:noWrap w:val="0"/>
                  <w:vAlign w:val="center"/>
                </w:tcPr>
                <w:p w14:paraId="652BFDA4">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12</w:t>
                  </w:r>
                </w:p>
              </w:tc>
              <w:tc>
                <w:tcPr>
                  <w:tcW w:w="2694" w:type="dxa"/>
                  <w:noWrap w:val="0"/>
                  <w:vAlign w:val="center"/>
                </w:tcPr>
                <w:p w14:paraId="7A07FE51">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平面交叉</w:t>
                  </w:r>
                </w:p>
              </w:tc>
              <w:tc>
                <w:tcPr>
                  <w:tcW w:w="1135" w:type="dxa"/>
                  <w:noWrap w:val="0"/>
                  <w:vAlign w:val="center"/>
                </w:tcPr>
                <w:p w14:paraId="09041C9F">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处</w:t>
                  </w:r>
                </w:p>
              </w:tc>
              <w:tc>
                <w:tcPr>
                  <w:tcW w:w="1231" w:type="dxa"/>
                  <w:noWrap w:val="0"/>
                  <w:vAlign w:val="center"/>
                </w:tcPr>
                <w:p w14:paraId="04A82723">
                  <w:pPr>
                    <w:widowControl/>
                    <w:spacing w:line="240" w:lineRule="auto"/>
                    <w:jc w:val="cente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60</w:t>
                  </w:r>
                </w:p>
              </w:tc>
              <w:tc>
                <w:tcPr>
                  <w:tcW w:w="2399" w:type="dxa"/>
                  <w:noWrap w:val="0"/>
                  <w:vAlign w:val="center"/>
                </w:tcPr>
                <w:p w14:paraId="2421BA81">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7E80E5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717D39CF">
                  <w:pPr>
                    <w:widowControl/>
                    <w:spacing w:line="240" w:lineRule="auto"/>
                    <w:jc w:val="center"/>
                    <w:rPr>
                      <w:rFonts w:hint="default" w:ascii="Times New Roman" w:hAnsi="Times New Roman" w:cs="Times New Roman" w:eastAsiaTheme="minorEastAsia"/>
                      <w:b/>
                      <w:bCs/>
                      <w:color w:val="auto"/>
                      <w:kern w:val="0"/>
                      <w:sz w:val="21"/>
                      <w:szCs w:val="21"/>
                      <w:highlight w:val="none"/>
                    </w:rPr>
                  </w:pPr>
                </w:p>
              </w:tc>
              <w:tc>
                <w:tcPr>
                  <w:tcW w:w="2694" w:type="dxa"/>
                  <w:noWrap w:val="0"/>
                  <w:vAlign w:val="center"/>
                </w:tcPr>
                <w:p w14:paraId="084C9E40">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五、交通工程</w:t>
                  </w:r>
                </w:p>
              </w:tc>
              <w:tc>
                <w:tcPr>
                  <w:tcW w:w="1135" w:type="dxa"/>
                  <w:noWrap w:val="0"/>
                  <w:vAlign w:val="center"/>
                </w:tcPr>
                <w:p w14:paraId="748CA1E8">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7DD89539">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03A6A73A">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2D754C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29B4E82F">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13</w:t>
                  </w:r>
                </w:p>
              </w:tc>
              <w:tc>
                <w:tcPr>
                  <w:tcW w:w="2694" w:type="dxa"/>
                  <w:noWrap w:val="0"/>
                  <w:vAlign w:val="center"/>
                </w:tcPr>
                <w:p w14:paraId="73DBE484">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沿线设置公里数</w:t>
                  </w:r>
                </w:p>
              </w:tc>
              <w:tc>
                <w:tcPr>
                  <w:tcW w:w="1135" w:type="dxa"/>
                  <w:noWrap w:val="0"/>
                  <w:vAlign w:val="center"/>
                </w:tcPr>
                <w:p w14:paraId="46D100F1">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697445A5">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12000</w:t>
                  </w:r>
                </w:p>
              </w:tc>
              <w:tc>
                <w:tcPr>
                  <w:tcW w:w="2399" w:type="dxa"/>
                  <w:noWrap w:val="0"/>
                  <w:vAlign w:val="center"/>
                </w:tcPr>
                <w:p w14:paraId="5299BBFA">
                  <w:pPr>
                    <w:widowControl/>
                    <w:spacing w:line="240" w:lineRule="auto"/>
                    <w:jc w:val="left"/>
                    <w:rPr>
                      <w:rFonts w:hint="default" w:ascii="Times New Roman" w:hAnsi="Times New Roman" w:cs="Times New Roman" w:eastAsiaTheme="minorEastAsia"/>
                      <w:color w:val="000000"/>
                      <w:kern w:val="0"/>
                      <w:sz w:val="21"/>
                      <w:szCs w:val="21"/>
                      <w:lang w:val="en-US" w:eastAsia="zh-CN" w:bidi="ar"/>
                    </w:rPr>
                  </w:pPr>
                </w:p>
              </w:tc>
            </w:tr>
            <w:tr w14:paraId="52953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6D1776DA">
                  <w:pPr>
                    <w:widowControl/>
                    <w:spacing w:line="240" w:lineRule="auto"/>
                    <w:jc w:val="center"/>
                    <w:rPr>
                      <w:rFonts w:hint="default" w:ascii="Times New Roman" w:hAnsi="Times New Roman" w:cs="Times New Roman" w:eastAsiaTheme="minorEastAsia"/>
                      <w:b/>
                      <w:bCs/>
                      <w:color w:val="auto"/>
                      <w:kern w:val="0"/>
                      <w:sz w:val="21"/>
                      <w:szCs w:val="21"/>
                      <w:highlight w:val="none"/>
                    </w:rPr>
                  </w:pPr>
                </w:p>
              </w:tc>
              <w:tc>
                <w:tcPr>
                  <w:tcW w:w="2694" w:type="dxa"/>
                  <w:noWrap w:val="0"/>
                  <w:vAlign w:val="center"/>
                </w:tcPr>
                <w:p w14:paraId="2358DF8B">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六、照明工程</w:t>
                  </w:r>
                </w:p>
              </w:tc>
              <w:tc>
                <w:tcPr>
                  <w:tcW w:w="1135" w:type="dxa"/>
                  <w:noWrap w:val="0"/>
                  <w:vAlign w:val="center"/>
                </w:tcPr>
                <w:p w14:paraId="51476722">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746547FD">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7E39F154">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1C98EC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301A1E9C">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14</w:t>
                  </w:r>
                </w:p>
              </w:tc>
              <w:tc>
                <w:tcPr>
                  <w:tcW w:w="2694" w:type="dxa"/>
                  <w:noWrap w:val="0"/>
                  <w:vAlign w:val="center"/>
                </w:tcPr>
                <w:p w14:paraId="5A59768E">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沿线设置公里数</w:t>
                  </w:r>
                </w:p>
              </w:tc>
              <w:tc>
                <w:tcPr>
                  <w:tcW w:w="1135" w:type="dxa"/>
                  <w:noWrap w:val="0"/>
                  <w:vAlign w:val="center"/>
                </w:tcPr>
                <w:p w14:paraId="457348A2">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7C67F86A">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12000</w:t>
                  </w:r>
                </w:p>
              </w:tc>
              <w:tc>
                <w:tcPr>
                  <w:tcW w:w="2399" w:type="dxa"/>
                  <w:noWrap w:val="0"/>
                  <w:vAlign w:val="center"/>
                </w:tcPr>
                <w:p w14:paraId="50BD4EF5">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2EE57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34BF3577">
                  <w:pPr>
                    <w:widowControl/>
                    <w:spacing w:line="240" w:lineRule="auto"/>
                    <w:jc w:val="center"/>
                    <w:rPr>
                      <w:rFonts w:hint="default" w:ascii="Times New Roman" w:hAnsi="Times New Roman" w:cs="Times New Roman" w:eastAsiaTheme="minorEastAsia"/>
                      <w:b/>
                      <w:bCs/>
                      <w:color w:val="auto"/>
                      <w:kern w:val="0"/>
                      <w:sz w:val="21"/>
                      <w:szCs w:val="21"/>
                      <w:highlight w:val="none"/>
                    </w:rPr>
                  </w:pPr>
                </w:p>
              </w:tc>
              <w:tc>
                <w:tcPr>
                  <w:tcW w:w="2694" w:type="dxa"/>
                  <w:noWrap w:val="0"/>
                  <w:vAlign w:val="center"/>
                </w:tcPr>
                <w:p w14:paraId="0C5D79D1">
                  <w:pPr>
                    <w:widowControl/>
                    <w:spacing w:line="240" w:lineRule="auto"/>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七、环保与景观</w:t>
                  </w:r>
                </w:p>
              </w:tc>
              <w:tc>
                <w:tcPr>
                  <w:tcW w:w="1135" w:type="dxa"/>
                  <w:noWrap w:val="0"/>
                  <w:vAlign w:val="center"/>
                </w:tcPr>
                <w:p w14:paraId="535F6B52">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1231" w:type="dxa"/>
                  <w:noWrap w:val="0"/>
                  <w:vAlign w:val="center"/>
                </w:tcPr>
                <w:p w14:paraId="11BF231E">
                  <w:pPr>
                    <w:widowControl/>
                    <w:spacing w:line="240" w:lineRule="auto"/>
                    <w:jc w:val="center"/>
                    <w:rPr>
                      <w:rFonts w:hint="default" w:ascii="Times New Roman" w:hAnsi="Times New Roman" w:cs="Times New Roman" w:eastAsiaTheme="minorEastAsia"/>
                      <w:color w:val="auto"/>
                      <w:kern w:val="0"/>
                      <w:sz w:val="21"/>
                      <w:szCs w:val="21"/>
                      <w:highlight w:val="none"/>
                    </w:rPr>
                  </w:pPr>
                </w:p>
              </w:tc>
              <w:tc>
                <w:tcPr>
                  <w:tcW w:w="2399" w:type="dxa"/>
                  <w:noWrap w:val="0"/>
                  <w:vAlign w:val="center"/>
                </w:tcPr>
                <w:p w14:paraId="79BE1A9C">
                  <w:pPr>
                    <w:widowControl/>
                    <w:spacing w:line="240" w:lineRule="auto"/>
                    <w:jc w:val="center"/>
                    <w:rPr>
                      <w:rFonts w:hint="default" w:ascii="Times New Roman" w:hAnsi="Times New Roman" w:cs="Times New Roman" w:eastAsiaTheme="minorEastAsia"/>
                      <w:color w:val="auto"/>
                      <w:kern w:val="0"/>
                      <w:sz w:val="21"/>
                      <w:szCs w:val="21"/>
                      <w:highlight w:val="none"/>
                    </w:rPr>
                  </w:pPr>
                </w:p>
              </w:tc>
            </w:tr>
            <w:tr w14:paraId="3A303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847" w:type="dxa"/>
                  <w:noWrap w:val="0"/>
                  <w:vAlign w:val="center"/>
                </w:tcPr>
                <w:p w14:paraId="449BF688">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15</w:t>
                  </w:r>
                </w:p>
              </w:tc>
              <w:tc>
                <w:tcPr>
                  <w:tcW w:w="2694" w:type="dxa"/>
                  <w:noWrap w:val="0"/>
                  <w:vAlign w:val="center"/>
                </w:tcPr>
                <w:p w14:paraId="7E7F4F26">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沿线设置公里数</w:t>
                  </w:r>
                </w:p>
              </w:tc>
              <w:tc>
                <w:tcPr>
                  <w:tcW w:w="1135" w:type="dxa"/>
                  <w:noWrap w:val="0"/>
                  <w:vAlign w:val="center"/>
                </w:tcPr>
                <w:p w14:paraId="2A5DA393">
                  <w:pPr>
                    <w:widowControl/>
                    <w:spacing w:line="240" w:lineRule="auto"/>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m</w:t>
                  </w:r>
                </w:p>
              </w:tc>
              <w:tc>
                <w:tcPr>
                  <w:tcW w:w="1231" w:type="dxa"/>
                  <w:noWrap w:val="0"/>
                  <w:vAlign w:val="center"/>
                </w:tcPr>
                <w:p w14:paraId="4F5F4ADC">
                  <w:pPr>
                    <w:widowControl/>
                    <w:spacing w:line="24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12000</w:t>
                  </w:r>
                </w:p>
              </w:tc>
              <w:tc>
                <w:tcPr>
                  <w:tcW w:w="2399" w:type="dxa"/>
                  <w:noWrap w:val="0"/>
                  <w:vAlign w:val="center"/>
                </w:tcPr>
                <w:p w14:paraId="42E7C96E">
                  <w:pPr>
                    <w:widowControl/>
                    <w:spacing w:line="240" w:lineRule="auto"/>
                    <w:jc w:val="center"/>
                    <w:rPr>
                      <w:rFonts w:hint="default" w:ascii="Times New Roman" w:hAnsi="Times New Roman" w:cs="Times New Roman" w:eastAsiaTheme="minorEastAsia"/>
                      <w:color w:val="auto"/>
                      <w:kern w:val="0"/>
                      <w:sz w:val="21"/>
                      <w:szCs w:val="21"/>
                      <w:highlight w:val="none"/>
                    </w:rPr>
                  </w:pPr>
                </w:p>
              </w:tc>
            </w:tr>
          </w:tbl>
          <w:p w14:paraId="0FCD87E8">
            <w:pPr>
              <w:numPr>
                <w:ilvl w:val="0"/>
                <w:numId w:val="0"/>
              </w:num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4.主体工程</w:t>
            </w:r>
          </w:p>
          <w:p w14:paraId="1954A165">
            <w:pPr>
              <w:numPr>
                <w:ilvl w:val="0"/>
                <w:numId w:val="0"/>
              </w:num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4.1道路平面设计</w:t>
            </w:r>
          </w:p>
          <w:p w14:paraId="7967E081">
            <w:pPr>
              <w:keepNext w:val="0"/>
              <w:keepLines w:val="0"/>
              <w:widowControl/>
              <w:suppressLineNumbers w:val="0"/>
              <w:spacing w:line="360" w:lineRule="auto"/>
              <w:ind w:firstLine="480" w:firstLineChars="200"/>
              <w:jc w:val="left"/>
              <w:rPr>
                <w:rFonts w:hint="eastAsia" w:ascii="Times New Roman" w:hAnsi="Times New Roman" w:cs="Times New Roman"/>
                <w:color w:val="FF0000"/>
                <w:sz w:val="24"/>
                <w:highlight w:val="none"/>
                <w:lang w:val="en-US" w:eastAsia="zh-CN"/>
              </w:rPr>
            </w:pPr>
            <w:r>
              <w:rPr>
                <w:rFonts w:hint="default" w:ascii="Times New Roman" w:hAnsi="Times New Roman" w:eastAsia="宋体" w:cs="Times New Roman"/>
                <w:b w:val="0"/>
                <w:bCs w:val="0"/>
                <w:sz w:val="24"/>
                <w:szCs w:val="24"/>
                <w:lang w:val="en-US" w:eastAsia="zh-CN"/>
              </w:rPr>
              <w:t>项目位于芒市中心城区西北部，等级为城市次干路，共</w:t>
            </w:r>
            <w:r>
              <w:rPr>
                <w:rFonts w:hint="eastAsia" w:cs="Times New Roman"/>
                <w:b w:val="0"/>
                <w:bCs w:val="0"/>
                <w:sz w:val="24"/>
                <w:szCs w:val="24"/>
                <w:lang w:val="en-US" w:eastAsia="zh-CN"/>
              </w:rPr>
              <w:t>7</w:t>
            </w:r>
            <w:r>
              <w:rPr>
                <w:rFonts w:hint="default" w:ascii="Times New Roman" w:hAnsi="Times New Roman" w:eastAsia="宋体" w:cs="Times New Roman"/>
                <w:b w:val="0"/>
                <w:bCs w:val="0"/>
                <w:sz w:val="24"/>
                <w:szCs w:val="24"/>
                <w:lang w:val="en-US" w:eastAsia="zh-CN"/>
              </w:rPr>
              <w:t>条道路，</w:t>
            </w:r>
            <w:r>
              <w:rPr>
                <w:rFonts w:hint="eastAsia" w:cs="Times New Roman"/>
                <w:b w:val="0"/>
                <w:bCs w:val="0"/>
                <w:sz w:val="24"/>
                <w:szCs w:val="24"/>
                <w:lang w:val="en-US" w:eastAsia="zh-CN"/>
              </w:rPr>
              <w:t>道路总</w:t>
            </w:r>
            <w:r>
              <w:rPr>
                <w:rFonts w:hint="default" w:ascii="Times New Roman" w:hAnsi="Times New Roman" w:eastAsia="宋体" w:cs="Times New Roman"/>
                <w:b w:val="0"/>
                <w:bCs w:val="0"/>
                <w:sz w:val="24"/>
                <w:szCs w:val="24"/>
                <w:lang w:val="en-US" w:eastAsia="zh-CN"/>
              </w:rPr>
              <w:t>长</w:t>
            </w:r>
            <w:r>
              <w:rPr>
                <w:rFonts w:hint="eastAsia" w:cs="Times New Roman"/>
                <w:b w:val="0"/>
                <w:bCs w:val="0"/>
                <w:sz w:val="24"/>
                <w:szCs w:val="24"/>
                <w:lang w:val="en-US" w:eastAsia="zh-CN"/>
              </w:rPr>
              <w:t>约12k</w:t>
            </w:r>
            <w:r>
              <w:rPr>
                <w:rFonts w:hint="default" w:ascii="Times New Roman" w:hAnsi="Times New Roman" w:eastAsia="宋体" w:cs="Times New Roman"/>
                <w:b w:val="0"/>
                <w:bCs w:val="0"/>
                <w:sz w:val="24"/>
                <w:szCs w:val="24"/>
                <w:lang w:val="en-US" w:eastAsia="zh-CN"/>
              </w:rPr>
              <w:t>m</w:t>
            </w:r>
            <w:r>
              <w:rPr>
                <w:rFonts w:hint="eastAsia" w:cs="Times New Roman"/>
                <w:b w:val="0"/>
                <w:bCs w:val="0"/>
                <w:sz w:val="24"/>
                <w:szCs w:val="24"/>
                <w:lang w:val="en-US" w:eastAsia="zh-CN"/>
              </w:rPr>
              <w:t>。</w:t>
            </w:r>
            <w:r>
              <w:rPr>
                <w:rFonts w:hint="default" w:ascii="Times New Roman" w:hAnsi="Times New Roman" w:eastAsia="宋体" w:cs="Times New Roman"/>
                <w:color w:val="000000"/>
                <w:kern w:val="0"/>
                <w:sz w:val="24"/>
                <w:szCs w:val="24"/>
                <w:lang w:val="en-US" w:eastAsia="zh-CN" w:bidi="ar"/>
              </w:rPr>
              <w:t>1 号路，起于田园大道，止于 7 号路，全长 807.824m，红线宽 40m；2 号路，起于田园大道，止于 7 号路，全长 807.129m，红线宽 32m；3 号路，起于田园大道，止于 5 号路，全长 1228.227m、红线宽 32m；4 号路，起于田园大道，止于 7 号路，其中合并段长 145m，宽 42m，二分段，北侧长 672.268m，南侧长 672.138m，两段红线宽均为 25m；5 号路，起于田园大道，止于 3 号路，全长 2286.292m，其中宽 32m 段长 1503.75m，宽 25m 段长 782.542m；6号路，起于田园大道，止于 7 号路，长 807.129m、红线宽 32m；7 号路，起于</w:t>
            </w:r>
            <w:r>
              <w:rPr>
                <w:rFonts w:hint="eastAsia" w:cs="Times New Roman"/>
                <w:color w:val="000000"/>
                <w:kern w:val="0"/>
                <w:sz w:val="24"/>
                <w:szCs w:val="24"/>
                <w:lang w:val="en-US" w:eastAsia="zh-CN" w:bidi="ar"/>
              </w:rPr>
              <w:t>高速公路南连接线</w:t>
            </w:r>
            <w:r>
              <w:rPr>
                <w:rFonts w:hint="default" w:ascii="Times New Roman" w:hAnsi="Times New Roman" w:eastAsia="宋体" w:cs="Times New Roman"/>
                <w:color w:val="000000"/>
                <w:kern w:val="0"/>
                <w:sz w:val="24"/>
                <w:szCs w:val="24"/>
                <w:lang w:val="en-US" w:eastAsia="zh-CN" w:bidi="ar"/>
              </w:rPr>
              <w:t xml:space="preserve">，止于 </w:t>
            </w: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号路，全长 4616.468m，红线宽 40m。</w:t>
            </w:r>
            <w:r>
              <w:rPr>
                <w:rFonts w:hint="default" w:ascii="Times New Roman" w:hAnsi="Times New Roman" w:eastAsia="宋体" w:cs="Times New Roman"/>
                <w:b w:val="0"/>
                <w:bCs w:val="0"/>
                <w:sz w:val="24"/>
                <w:szCs w:val="24"/>
                <w:lang w:val="en-US" w:eastAsia="zh-CN"/>
              </w:rPr>
              <w:t>设计车速为40km/h，</w:t>
            </w:r>
            <w:r>
              <w:rPr>
                <w:rFonts w:hint="default" w:ascii="Times New Roman" w:hAnsi="Times New Roman" w:cs="Times New Roman"/>
                <w:color w:val="auto"/>
                <w:sz w:val="24"/>
                <w:highlight w:val="none"/>
              </w:rPr>
              <w:t>路面采用沥青混凝土路面，道路设计使用年限为1</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eastAsia="zh-CN"/>
              </w:rPr>
              <w:t>。道路区位图见图</w:t>
            </w:r>
            <w:r>
              <w:rPr>
                <w:rFonts w:hint="default" w:ascii="Times New Roman" w:hAnsi="Times New Roman" w:cs="Times New Roman"/>
                <w:color w:val="auto"/>
                <w:sz w:val="24"/>
                <w:highlight w:val="none"/>
                <w:lang w:val="en-US" w:eastAsia="zh-CN"/>
              </w:rPr>
              <w:t>1-1。</w:t>
            </w:r>
          </w:p>
          <w:p w14:paraId="57DE2D27">
            <w:pPr>
              <w:numPr>
                <w:ilvl w:val="0"/>
                <w:numId w:val="0"/>
              </w:numPr>
              <w:spacing w:line="360" w:lineRule="auto"/>
              <w:ind w:leftChars="200" w:firstLine="480" w:firstLineChars="200"/>
              <w:jc w:val="both"/>
            </w:pPr>
            <w:r>
              <w:drawing>
                <wp:inline distT="0" distB="0" distL="114300" distR="114300">
                  <wp:extent cx="4417060" cy="3165475"/>
                  <wp:effectExtent l="0" t="0" r="2540" b="15875"/>
                  <wp:docPr id="5" name="图片 24" descr="D:\羊媛\芒市火车站片区主要道路建设项目\图片资料\道路.jpg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D:\羊媛\芒市火车站片区主要道路建设项目\图片资料\道路.jpg道路"/>
                          <pic:cNvPicPr>
                            <a:picLocks noChangeAspect="1"/>
                          </pic:cNvPicPr>
                        </pic:nvPicPr>
                        <pic:blipFill>
                          <a:blip r:embed="rId14"/>
                          <a:srcRect/>
                          <a:stretch>
                            <a:fillRect/>
                          </a:stretch>
                        </pic:blipFill>
                        <pic:spPr>
                          <a:xfrm>
                            <a:off x="0" y="0"/>
                            <a:ext cx="4417060" cy="3165475"/>
                          </a:xfrm>
                          <a:prstGeom prst="rect">
                            <a:avLst/>
                          </a:prstGeom>
                          <a:noFill/>
                          <a:ln>
                            <a:noFill/>
                          </a:ln>
                        </pic:spPr>
                      </pic:pic>
                    </a:graphicData>
                  </a:graphic>
                </wp:inline>
              </w:drawing>
            </w:r>
          </w:p>
          <w:p w14:paraId="3A113B20">
            <w:pPr>
              <w:numPr>
                <w:ilvl w:val="0"/>
                <w:numId w:val="0"/>
              </w:numPr>
              <w:spacing w:line="360" w:lineRule="auto"/>
              <w:ind w:leftChars="200" w:firstLine="482" w:firstLineChars="20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图1-1 </w:t>
            </w:r>
            <w:r>
              <w:rPr>
                <w:rFonts w:hint="default" w:ascii="Times New Roman" w:hAnsi="Times New Roman" w:eastAsia="宋体" w:cs="Times New Roman"/>
                <w:b/>
                <w:bCs/>
                <w:color w:val="auto"/>
                <w:sz w:val="24"/>
                <w:szCs w:val="24"/>
                <w:highlight w:val="none"/>
                <w:lang w:eastAsia="zh-CN"/>
              </w:rPr>
              <w:t>道路区位图</w:t>
            </w:r>
          </w:p>
          <w:p w14:paraId="24B61A59">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4.2</w:t>
            </w:r>
            <w:r>
              <w:rPr>
                <w:rFonts w:hint="default" w:ascii="Times New Roman" w:hAnsi="Times New Roman" w:cs="Times New Roman"/>
                <w:b/>
                <w:bCs/>
                <w:color w:val="auto"/>
                <w:sz w:val="24"/>
                <w:highlight w:val="none"/>
              </w:rPr>
              <w:t xml:space="preserve"> 道路横断面设计</w:t>
            </w:r>
          </w:p>
          <w:p w14:paraId="591C7AD2">
            <w:pPr>
              <w:numPr>
                <w:ilvl w:val="0"/>
                <w:numId w:val="0"/>
              </w:num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根据《芒市火车站片区主要道路建设工程可行性研究报告》可知，</w:t>
            </w:r>
            <w:r>
              <w:rPr>
                <w:rFonts w:hint="default" w:ascii="Times New Roman" w:hAnsi="Times New Roman" w:cs="Times New Roman"/>
                <w:color w:val="auto"/>
                <w:sz w:val="24"/>
                <w:highlight w:val="none"/>
              </w:rPr>
              <w:t>本次道路标准横断面设计结合道路沿线建筑、交通状况以及长远发展的交通状况，按城市次干路进行布</w:t>
            </w:r>
            <w:r>
              <w:rPr>
                <w:rFonts w:hint="eastAsia" w:cs="Times New Roman"/>
                <w:color w:val="auto"/>
                <w:sz w:val="24"/>
                <w:highlight w:val="none"/>
                <w:lang w:eastAsia="zh-CN"/>
              </w:rPr>
              <w:t>。</w:t>
            </w:r>
            <w:r>
              <w:rPr>
                <w:rFonts w:hint="eastAsia" w:cs="Times New Roman"/>
                <w:color w:val="auto"/>
                <w:sz w:val="24"/>
                <w:highlight w:val="none"/>
                <w:lang w:val="en-US" w:eastAsia="zh-CN"/>
              </w:rPr>
              <w:t>1号路、7号路道路红线宽40m；2号路、3号路、6号路道路红线宽32m；4号路合并段道路红线宽42m，南北两侧道路红线宽25m；5号路道路红线宽32m和25m。</w:t>
            </w:r>
            <w:r>
              <w:rPr>
                <w:rFonts w:hint="default" w:ascii="Times New Roman" w:hAnsi="Times New Roman" w:cs="Times New Roman"/>
                <w:color w:val="auto"/>
                <w:sz w:val="24"/>
                <w:highlight w:val="none"/>
              </w:rPr>
              <w:t>本</w:t>
            </w:r>
            <w:r>
              <w:rPr>
                <w:rFonts w:hint="default" w:ascii="Times New Roman" w:hAnsi="Times New Roman" w:cs="Times New Roman"/>
                <w:color w:val="auto"/>
                <w:sz w:val="24"/>
                <w:highlight w:val="none"/>
                <w:lang w:eastAsia="zh-CN"/>
              </w:rPr>
              <w:t>项目</w:t>
            </w:r>
            <w:r>
              <w:rPr>
                <w:rFonts w:hint="default" w:ascii="Times New Roman" w:hAnsi="Times New Roman" w:cs="Times New Roman"/>
                <w:color w:val="auto"/>
                <w:sz w:val="24"/>
                <w:highlight w:val="none"/>
              </w:rPr>
              <w:t>道路断面形式采取如下分配方式：</w:t>
            </w:r>
          </w:p>
          <w:p w14:paraId="6C7E876D">
            <w:pPr>
              <w:snapToGrid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道路横断面设计：</w:t>
            </w:r>
          </w:p>
          <w:p w14:paraId="0FF9E457">
            <w:pPr>
              <w:snapToGrid w:val="0"/>
              <w:spacing w:line="360" w:lineRule="auto"/>
              <w:ind w:firstLine="482" w:firstLineChars="200"/>
              <w:jc w:val="left"/>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1.1号路和7号路道路红线宽40m</w:t>
            </w:r>
          </w:p>
          <w:p w14:paraId="0867C71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断面组成：B=3m（人行道）+3m（非机动车道）+3m（绿化带）+11（车行道）+ 11（车行道）+3m（绿化带）+3m（非机动车道）+3m（人行道）=40m</w:t>
            </w:r>
          </w:p>
          <w:p w14:paraId="7341E990">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人行道与非机动车道共面，机动车道与非机动车道之间设置绿化带。 </w:t>
            </w:r>
          </w:p>
          <w:p w14:paraId="361254D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路面横坡：行车道、非机动车道 2.0%，人行道 2.0%。 </w:t>
            </w:r>
          </w:p>
          <w:p w14:paraId="1B69FF0D">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4856480" cy="2572385"/>
                  <wp:effectExtent l="0" t="0" r="1270" b="18415"/>
                  <wp:docPr id="12" name="图片 12" descr="7号路横截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号路横截面图"/>
                          <pic:cNvPicPr>
                            <a:picLocks noChangeAspect="1"/>
                          </pic:cNvPicPr>
                        </pic:nvPicPr>
                        <pic:blipFill>
                          <a:blip r:embed="rId15"/>
                          <a:stretch>
                            <a:fillRect/>
                          </a:stretch>
                        </pic:blipFill>
                        <pic:spPr>
                          <a:xfrm>
                            <a:off x="0" y="0"/>
                            <a:ext cx="4856480" cy="2572385"/>
                          </a:xfrm>
                          <a:prstGeom prst="rect">
                            <a:avLst/>
                          </a:prstGeom>
                        </pic:spPr>
                      </pic:pic>
                    </a:graphicData>
                  </a:graphic>
                </wp:inline>
              </w:drawing>
            </w:r>
          </w:p>
          <w:p w14:paraId="6CD93E4F">
            <w:pPr>
              <w:keepNext w:val="0"/>
              <w:keepLines w:val="0"/>
              <w:widowControl/>
              <w:suppressLineNumbers w:val="0"/>
              <w:spacing w:line="360" w:lineRule="auto"/>
              <w:ind w:firstLine="482" w:firstLineChars="200"/>
              <w:jc w:val="center"/>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图1-2 1号路和7号路横断面布置图</w:t>
            </w:r>
          </w:p>
          <w:p w14:paraId="09F48622">
            <w:pPr>
              <w:keepNext w:val="0"/>
              <w:keepLines w:val="0"/>
              <w:widowControl/>
              <w:suppressLineNumbers w:val="0"/>
              <w:spacing w:line="360" w:lineRule="auto"/>
              <w:ind w:firstLine="482" w:firstLineChars="200"/>
              <w:jc w:val="left"/>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2.2号路、3号路、6号路道路红线宽32m</w:t>
            </w:r>
          </w:p>
          <w:p w14:paraId="5D3011BC">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断面组成：B=3m（人行道）+3m（非机动车道）+2.5m（绿化带）+7.5m </w:t>
            </w:r>
          </w:p>
          <w:p w14:paraId="0D7B01B3">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（车行道）+ 7.5m（车行道）+2.5m（绿化带）+3m（非机动车道）+3m（人行道）=32m</w:t>
            </w:r>
          </w:p>
          <w:p w14:paraId="6B8EE9DF">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人行道与非机动车道共面，机动车道与非机动车道之间设置绿化带。 </w:t>
            </w:r>
          </w:p>
          <w:p w14:paraId="22DBE1B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路面横坡：行车道、非机动车道 2.0%，人行道 2.0%。</w:t>
            </w:r>
          </w:p>
          <w:p w14:paraId="1FF5819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4859020" cy="2884170"/>
                  <wp:effectExtent l="0" t="0" r="17780" b="11430"/>
                  <wp:docPr id="13" name="图片 13" descr="2号路3、6号路横截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号路3、6号路横截面图"/>
                          <pic:cNvPicPr>
                            <a:picLocks noChangeAspect="1"/>
                          </pic:cNvPicPr>
                        </pic:nvPicPr>
                        <pic:blipFill>
                          <a:blip r:embed="rId16"/>
                          <a:stretch>
                            <a:fillRect/>
                          </a:stretch>
                        </pic:blipFill>
                        <pic:spPr>
                          <a:xfrm>
                            <a:off x="0" y="0"/>
                            <a:ext cx="4859020" cy="2884170"/>
                          </a:xfrm>
                          <a:prstGeom prst="rect">
                            <a:avLst/>
                          </a:prstGeom>
                        </pic:spPr>
                      </pic:pic>
                    </a:graphicData>
                  </a:graphic>
                </wp:inline>
              </w:drawing>
            </w:r>
          </w:p>
          <w:p w14:paraId="7A8069DA">
            <w:pPr>
              <w:keepNext w:val="0"/>
              <w:keepLines w:val="0"/>
              <w:widowControl/>
              <w:suppressLineNumbers w:val="0"/>
              <w:spacing w:line="360" w:lineRule="auto"/>
              <w:ind w:firstLine="482" w:firstLineChars="20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图1-3 2号路、3号路、6号路横断面布置图</w:t>
            </w:r>
          </w:p>
          <w:p w14:paraId="08EE5FA5">
            <w:pPr>
              <w:keepNext w:val="0"/>
              <w:keepLines w:val="0"/>
              <w:widowControl/>
              <w:suppressLineNumbers w:val="0"/>
              <w:spacing w:line="360" w:lineRule="auto"/>
              <w:ind w:firstLine="482" w:firstLineChars="200"/>
              <w:jc w:val="left"/>
              <w:rPr>
                <w:rFonts w:hint="default" w:ascii="Times New Roman" w:hAnsi="Times New Roman" w:eastAsia="宋体" w:cs="Times New Roman"/>
                <w:b/>
                <w:color w:val="000000"/>
                <w:kern w:val="0"/>
                <w:sz w:val="24"/>
                <w:szCs w:val="24"/>
                <w:lang w:val="en-US" w:eastAsia="zh-CN" w:bidi="ar"/>
              </w:rPr>
            </w:pPr>
            <w:r>
              <w:rPr>
                <w:rFonts w:hint="eastAsia" w:cs="Times New Roman"/>
                <w:b/>
                <w:bCs/>
                <w:color w:val="000000"/>
                <w:kern w:val="0"/>
                <w:sz w:val="24"/>
                <w:szCs w:val="24"/>
                <w:lang w:val="en-US" w:eastAsia="zh-CN" w:bidi="ar"/>
              </w:rPr>
              <w:t>3.</w:t>
            </w:r>
            <w:r>
              <w:rPr>
                <w:rFonts w:hint="default" w:ascii="Times New Roman" w:hAnsi="Times New Roman" w:eastAsia="宋体" w:cs="Times New Roman"/>
                <w:b/>
                <w:color w:val="000000"/>
                <w:kern w:val="0"/>
                <w:sz w:val="24"/>
                <w:szCs w:val="24"/>
                <w:lang w:val="en-US" w:eastAsia="zh-CN" w:bidi="ar"/>
              </w:rPr>
              <w:t xml:space="preserve">4 号路合并段路红线宽度 42m，二分段红线宽度 25m，其中 25 米宽路段均为单向同行。 </w:t>
            </w:r>
          </w:p>
          <w:p w14:paraId="77680521">
            <w:pPr>
              <w:keepNext w:val="0"/>
              <w:keepLines w:val="0"/>
              <w:widowControl/>
              <w:suppressLineNumbers w:val="0"/>
              <w:spacing w:line="360" w:lineRule="auto"/>
              <w:ind w:firstLine="480" w:firstLineChars="200"/>
              <w:jc w:val="left"/>
              <w:rPr>
                <w:rFonts w:hint="eastAsia" w:cs="Times New Roman"/>
                <w:b w:val="0"/>
                <w:bCs/>
                <w:color w:val="000000"/>
                <w:kern w:val="0"/>
                <w:sz w:val="24"/>
                <w:szCs w:val="24"/>
                <w:lang w:val="en-US" w:eastAsia="zh-CN" w:bidi="ar"/>
              </w:rPr>
            </w:pPr>
            <w:r>
              <w:rPr>
                <w:rFonts w:hint="eastAsia" w:cs="Times New Roman"/>
                <w:b w:val="0"/>
                <w:bCs/>
                <w:color w:val="000000"/>
                <w:kern w:val="0"/>
                <w:sz w:val="24"/>
                <w:szCs w:val="24"/>
                <w:lang w:val="en-US" w:eastAsia="zh-CN" w:bidi="ar"/>
              </w:rPr>
              <w:t>（1）合并段道路红线宽42m</w:t>
            </w:r>
          </w:p>
          <w:p w14:paraId="4DC024C6">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42m </w:t>
            </w:r>
            <w:r>
              <w:rPr>
                <w:rFonts w:ascii="宋体" w:hAnsi="宋体" w:eastAsia="宋体" w:cs="宋体"/>
                <w:color w:val="000000"/>
                <w:kern w:val="0"/>
                <w:sz w:val="24"/>
                <w:szCs w:val="24"/>
                <w:lang w:val="en-US" w:eastAsia="zh-CN" w:bidi="ar"/>
              </w:rPr>
              <w:t>断面组成：</w:t>
            </w:r>
            <w:r>
              <w:rPr>
                <w:rFonts w:hint="default" w:ascii="Times New Roman" w:hAnsi="Times New Roman" w:eastAsia="宋体" w:cs="Times New Roman"/>
                <w:color w:val="000000"/>
                <w:kern w:val="0"/>
                <w:sz w:val="24"/>
                <w:szCs w:val="24"/>
                <w:lang w:val="en-US" w:eastAsia="zh-CN" w:bidi="ar"/>
              </w:rPr>
              <w:t>B=4m</w:t>
            </w:r>
            <w:r>
              <w:rPr>
                <w:rFonts w:ascii="宋体" w:hAnsi="宋体" w:eastAsia="宋体" w:cs="宋体"/>
                <w:color w:val="000000"/>
                <w:kern w:val="0"/>
                <w:sz w:val="24"/>
                <w:szCs w:val="24"/>
                <w:lang w:val="en-US" w:eastAsia="zh-CN" w:bidi="ar"/>
              </w:rPr>
              <w:t>（人行道）</w:t>
            </w:r>
            <w:r>
              <w:rPr>
                <w:rFonts w:hint="default" w:ascii="Times New Roman" w:hAnsi="Times New Roman" w:eastAsia="宋体" w:cs="Times New Roman"/>
                <w:color w:val="000000"/>
                <w:kern w:val="0"/>
                <w:sz w:val="24"/>
                <w:szCs w:val="24"/>
                <w:lang w:val="en-US" w:eastAsia="zh-CN" w:bidi="ar"/>
              </w:rPr>
              <w:t>+3m</w:t>
            </w:r>
            <w:r>
              <w:rPr>
                <w:rFonts w:ascii="宋体" w:hAnsi="宋体" w:eastAsia="宋体" w:cs="宋体"/>
                <w:color w:val="000000"/>
                <w:kern w:val="0"/>
                <w:sz w:val="24"/>
                <w:szCs w:val="24"/>
                <w:lang w:val="en-US" w:eastAsia="zh-CN" w:bidi="ar"/>
              </w:rPr>
              <w:t>（非机动车道）</w:t>
            </w:r>
            <w:r>
              <w:rPr>
                <w:rFonts w:hint="default" w:ascii="Times New Roman" w:hAnsi="Times New Roman" w:eastAsia="宋体" w:cs="Times New Roman"/>
                <w:color w:val="000000"/>
                <w:kern w:val="0"/>
                <w:sz w:val="24"/>
                <w:szCs w:val="24"/>
                <w:lang w:val="en-US" w:eastAsia="zh-CN" w:bidi="ar"/>
              </w:rPr>
              <w:t>+3m</w:t>
            </w:r>
            <w:r>
              <w:rPr>
                <w:rFonts w:ascii="宋体" w:hAnsi="宋体" w:eastAsia="宋体" w:cs="宋体"/>
                <w:color w:val="000000"/>
                <w:kern w:val="0"/>
                <w:sz w:val="24"/>
                <w:szCs w:val="24"/>
                <w:lang w:val="en-US" w:eastAsia="zh-CN" w:bidi="ar"/>
              </w:rPr>
              <w:t>（绿化带）</w:t>
            </w:r>
            <w:r>
              <w:rPr>
                <w:rFonts w:hint="default" w:ascii="Times New Roman" w:hAnsi="Times New Roman" w:eastAsia="宋体" w:cs="Times New Roman"/>
                <w:color w:val="000000"/>
                <w:kern w:val="0"/>
                <w:sz w:val="24"/>
                <w:szCs w:val="24"/>
                <w:lang w:val="en-US" w:eastAsia="zh-CN" w:bidi="ar"/>
              </w:rPr>
              <w:t>+11</w:t>
            </w:r>
            <w:r>
              <w:rPr>
                <w:rFonts w:ascii="宋体" w:hAnsi="宋体" w:eastAsia="宋体" w:cs="宋体"/>
                <w:color w:val="000000"/>
                <w:kern w:val="0"/>
                <w:sz w:val="24"/>
                <w:szCs w:val="24"/>
                <w:lang w:val="en-US" w:eastAsia="zh-CN" w:bidi="ar"/>
              </w:rPr>
              <w:t>（车行道）</w:t>
            </w:r>
            <w:r>
              <w:rPr>
                <w:rFonts w:hint="default" w:ascii="Times New Roman" w:hAnsi="Times New Roman" w:eastAsia="宋体" w:cs="Times New Roman"/>
                <w:color w:val="000000"/>
                <w:kern w:val="0"/>
                <w:sz w:val="24"/>
                <w:szCs w:val="24"/>
                <w:lang w:val="en-US" w:eastAsia="zh-CN" w:bidi="ar"/>
              </w:rPr>
              <w:t>+ 11</w:t>
            </w:r>
            <w:r>
              <w:rPr>
                <w:rFonts w:ascii="宋体" w:hAnsi="宋体" w:eastAsia="宋体" w:cs="宋体"/>
                <w:color w:val="000000"/>
                <w:kern w:val="0"/>
                <w:sz w:val="24"/>
                <w:szCs w:val="24"/>
                <w:lang w:val="en-US" w:eastAsia="zh-CN" w:bidi="ar"/>
              </w:rPr>
              <w:t>（车行道）</w:t>
            </w:r>
            <w:r>
              <w:rPr>
                <w:rFonts w:hint="default" w:ascii="Times New Roman" w:hAnsi="Times New Roman" w:eastAsia="宋体" w:cs="Times New Roman"/>
                <w:color w:val="000000"/>
                <w:kern w:val="0"/>
                <w:sz w:val="24"/>
                <w:szCs w:val="24"/>
                <w:lang w:val="en-US" w:eastAsia="zh-CN" w:bidi="ar"/>
              </w:rPr>
              <w:t>+3m</w:t>
            </w:r>
            <w:r>
              <w:rPr>
                <w:rFonts w:ascii="宋体" w:hAnsi="宋体" w:eastAsia="宋体" w:cs="宋体"/>
                <w:color w:val="000000"/>
                <w:kern w:val="0"/>
                <w:sz w:val="24"/>
                <w:szCs w:val="24"/>
                <w:lang w:val="en-US" w:eastAsia="zh-CN" w:bidi="ar"/>
              </w:rPr>
              <w:t>（绿化带）</w:t>
            </w:r>
            <w:r>
              <w:rPr>
                <w:rFonts w:hint="default" w:ascii="Times New Roman" w:hAnsi="Times New Roman" w:eastAsia="宋体" w:cs="Times New Roman"/>
                <w:color w:val="000000"/>
                <w:kern w:val="0"/>
                <w:sz w:val="24"/>
                <w:szCs w:val="24"/>
                <w:lang w:val="en-US" w:eastAsia="zh-CN" w:bidi="ar"/>
              </w:rPr>
              <w:t>+3m</w:t>
            </w:r>
            <w:r>
              <w:rPr>
                <w:rFonts w:ascii="宋体" w:hAnsi="宋体" w:eastAsia="宋体" w:cs="宋体"/>
                <w:color w:val="000000"/>
                <w:kern w:val="0"/>
                <w:sz w:val="24"/>
                <w:szCs w:val="24"/>
                <w:lang w:val="en-US" w:eastAsia="zh-CN" w:bidi="ar"/>
              </w:rPr>
              <w:t>（非机动车道）</w:t>
            </w:r>
            <w:r>
              <w:rPr>
                <w:rFonts w:hint="default" w:ascii="Times New Roman" w:hAnsi="Times New Roman" w:eastAsia="宋体" w:cs="Times New Roman"/>
                <w:color w:val="000000"/>
                <w:kern w:val="0"/>
                <w:sz w:val="24"/>
                <w:szCs w:val="24"/>
                <w:lang w:val="en-US" w:eastAsia="zh-CN" w:bidi="ar"/>
              </w:rPr>
              <w:t>+4m</w:t>
            </w:r>
            <w:r>
              <w:rPr>
                <w:rFonts w:ascii="宋体" w:hAnsi="宋体" w:eastAsia="宋体" w:cs="宋体"/>
                <w:color w:val="000000"/>
                <w:kern w:val="0"/>
                <w:sz w:val="24"/>
                <w:szCs w:val="24"/>
                <w:lang w:val="en-US" w:eastAsia="zh-CN" w:bidi="ar"/>
              </w:rPr>
              <w:t>（人行道）</w:t>
            </w:r>
            <w:r>
              <w:rPr>
                <w:rFonts w:hint="default" w:ascii="Times New Roman" w:hAnsi="Times New Roman" w:eastAsia="宋体" w:cs="Times New Roman"/>
                <w:color w:val="000000"/>
                <w:kern w:val="0"/>
                <w:sz w:val="24"/>
                <w:szCs w:val="24"/>
                <w:lang w:val="en-US" w:eastAsia="zh-CN" w:bidi="ar"/>
              </w:rPr>
              <w:t>=42m</w:t>
            </w:r>
          </w:p>
          <w:p w14:paraId="4284094C">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 xml:space="preserve">人行道与非机动车道共面，机动车道与非机动车道之间设置绿化带。 </w:t>
            </w:r>
          </w:p>
          <w:p w14:paraId="4F38E007">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 xml:space="preserve">路面横坡：行车道、非机动车道 </w:t>
            </w:r>
            <w:r>
              <w:rPr>
                <w:rFonts w:hint="default" w:ascii="Times New Roman" w:hAnsi="Times New Roman" w:eastAsia="宋体" w:cs="Times New Roman"/>
                <w:color w:val="000000"/>
                <w:kern w:val="0"/>
                <w:sz w:val="24"/>
                <w:szCs w:val="24"/>
                <w:lang w:val="en-US" w:eastAsia="zh-CN" w:bidi="ar"/>
              </w:rPr>
              <w:t>2.0%</w:t>
            </w:r>
            <w:r>
              <w:rPr>
                <w:rFonts w:ascii="宋体" w:hAnsi="宋体" w:eastAsia="宋体" w:cs="宋体"/>
                <w:color w:val="000000"/>
                <w:kern w:val="0"/>
                <w:sz w:val="24"/>
                <w:szCs w:val="24"/>
                <w:lang w:val="en-US" w:eastAsia="zh-CN" w:bidi="ar"/>
              </w:rPr>
              <w:t xml:space="preserve">，人行道 </w:t>
            </w:r>
            <w:r>
              <w:rPr>
                <w:rFonts w:hint="default" w:ascii="Times New Roman" w:hAnsi="Times New Roman" w:eastAsia="宋体" w:cs="Times New Roman"/>
                <w:color w:val="000000"/>
                <w:kern w:val="0"/>
                <w:sz w:val="24"/>
                <w:szCs w:val="24"/>
                <w:lang w:val="en-US" w:eastAsia="zh-CN" w:bidi="ar"/>
              </w:rPr>
              <w:t>2.0%</w:t>
            </w:r>
          </w:p>
          <w:p w14:paraId="3900C41C">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4714875" cy="2125345"/>
                  <wp:effectExtent l="0" t="0" r="9525" b="8255"/>
                  <wp:docPr id="14" name="图片 14" descr="4号路42m横截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号路42m横截面图"/>
                          <pic:cNvPicPr>
                            <a:picLocks noChangeAspect="1"/>
                          </pic:cNvPicPr>
                        </pic:nvPicPr>
                        <pic:blipFill>
                          <a:blip r:embed="rId17"/>
                          <a:stretch>
                            <a:fillRect/>
                          </a:stretch>
                        </pic:blipFill>
                        <pic:spPr>
                          <a:xfrm>
                            <a:off x="0" y="0"/>
                            <a:ext cx="4714875" cy="2125345"/>
                          </a:xfrm>
                          <a:prstGeom prst="rect">
                            <a:avLst/>
                          </a:prstGeom>
                        </pic:spPr>
                      </pic:pic>
                    </a:graphicData>
                  </a:graphic>
                </wp:inline>
              </w:drawing>
            </w:r>
          </w:p>
          <w:p w14:paraId="6419FBBE">
            <w:pPr>
              <w:keepNext w:val="0"/>
              <w:keepLines w:val="0"/>
              <w:widowControl/>
              <w:suppressLineNumbers w:val="0"/>
              <w:ind w:firstLine="482" w:firstLineChars="20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图1-4 4号路42m横断面布置图</w:t>
            </w:r>
          </w:p>
          <w:p w14:paraId="569B03EE">
            <w:pPr>
              <w:keepNext w:val="0"/>
              <w:keepLines w:val="0"/>
              <w:widowControl/>
              <w:numPr>
                <w:ilvl w:val="0"/>
                <w:numId w:val="5"/>
              </w:numPr>
              <w:suppressLineNumbers w:val="0"/>
              <w:ind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二分段道路红线宽25m</w:t>
            </w:r>
          </w:p>
          <w:p w14:paraId="74AED53D">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25m </w:t>
            </w:r>
            <w:r>
              <w:rPr>
                <w:rFonts w:ascii="宋体" w:hAnsi="宋体" w:eastAsia="宋体" w:cs="宋体"/>
                <w:color w:val="000000"/>
                <w:kern w:val="0"/>
                <w:sz w:val="24"/>
                <w:szCs w:val="24"/>
                <w:lang w:val="en-US" w:eastAsia="zh-CN" w:bidi="ar"/>
              </w:rPr>
              <w:t>断面组成：</w:t>
            </w:r>
            <w:r>
              <w:rPr>
                <w:rFonts w:hint="default" w:ascii="Times New Roman" w:hAnsi="Times New Roman" w:eastAsia="宋体" w:cs="Times New Roman"/>
                <w:color w:val="000000"/>
                <w:kern w:val="0"/>
                <w:sz w:val="24"/>
                <w:szCs w:val="24"/>
                <w:lang w:val="en-US" w:eastAsia="zh-CN" w:bidi="ar"/>
              </w:rPr>
              <w:t>B=4m</w:t>
            </w:r>
            <w:r>
              <w:rPr>
                <w:rFonts w:ascii="宋体" w:hAnsi="宋体" w:eastAsia="宋体" w:cs="宋体"/>
                <w:color w:val="000000"/>
                <w:kern w:val="0"/>
                <w:sz w:val="24"/>
                <w:szCs w:val="24"/>
                <w:lang w:val="en-US" w:eastAsia="zh-CN" w:bidi="ar"/>
              </w:rPr>
              <w:t>（人行道）</w:t>
            </w:r>
            <w:r>
              <w:rPr>
                <w:rFonts w:hint="default" w:ascii="Times New Roman" w:hAnsi="Times New Roman" w:eastAsia="宋体" w:cs="Times New Roman"/>
                <w:color w:val="000000"/>
                <w:kern w:val="0"/>
                <w:sz w:val="24"/>
                <w:szCs w:val="24"/>
                <w:lang w:val="en-US" w:eastAsia="zh-CN" w:bidi="ar"/>
              </w:rPr>
              <w:t>+3.25m</w:t>
            </w:r>
            <w:r>
              <w:rPr>
                <w:rFonts w:ascii="宋体" w:hAnsi="宋体" w:eastAsia="宋体" w:cs="宋体"/>
                <w:color w:val="000000"/>
                <w:kern w:val="0"/>
                <w:sz w:val="24"/>
                <w:szCs w:val="24"/>
                <w:lang w:val="en-US" w:eastAsia="zh-CN" w:bidi="ar"/>
              </w:rPr>
              <w:t>（非机动车道）</w:t>
            </w:r>
            <w:r>
              <w:rPr>
                <w:rFonts w:hint="default" w:ascii="Times New Roman" w:hAnsi="Times New Roman" w:eastAsia="宋体" w:cs="Times New Roman"/>
                <w:color w:val="000000"/>
                <w:kern w:val="0"/>
                <w:sz w:val="24"/>
                <w:szCs w:val="24"/>
                <w:lang w:val="en-US" w:eastAsia="zh-CN" w:bidi="ar"/>
              </w:rPr>
              <w:t>+10.5</w:t>
            </w:r>
            <w:r>
              <w:rPr>
                <w:rFonts w:ascii="宋体" w:hAnsi="宋体" w:eastAsia="宋体" w:cs="宋体"/>
                <w:color w:val="000000"/>
                <w:kern w:val="0"/>
                <w:sz w:val="24"/>
                <w:szCs w:val="24"/>
                <w:lang w:val="en-US" w:eastAsia="zh-CN" w:bidi="ar"/>
              </w:rPr>
              <w:t>（车行道）</w:t>
            </w:r>
            <w:r>
              <w:rPr>
                <w:rFonts w:hint="default" w:ascii="Times New Roman" w:hAnsi="Times New Roman" w:eastAsia="宋体" w:cs="Times New Roman"/>
                <w:color w:val="000000"/>
                <w:kern w:val="0"/>
                <w:sz w:val="24"/>
                <w:szCs w:val="24"/>
                <w:lang w:val="en-US" w:eastAsia="zh-CN" w:bidi="ar"/>
              </w:rPr>
              <w:t>+3.25m</w:t>
            </w:r>
            <w:r>
              <w:rPr>
                <w:rFonts w:ascii="宋体" w:hAnsi="宋体" w:eastAsia="宋体" w:cs="宋体"/>
                <w:color w:val="000000"/>
                <w:kern w:val="0"/>
                <w:sz w:val="24"/>
                <w:szCs w:val="24"/>
                <w:lang w:val="en-US" w:eastAsia="zh-CN" w:bidi="ar"/>
              </w:rPr>
              <w:t>（非机动车道）</w:t>
            </w:r>
            <w:r>
              <w:rPr>
                <w:rFonts w:hint="default" w:ascii="Times New Roman" w:hAnsi="Times New Roman" w:eastAsia="宋体" w:cs="Times New Roman"/>
                <w:color w:val="000000"/>
                <w:kern w:val="0"/>
                <w:sz w:val="24"/>
                <w:szCs w:val="24"/>
                <w:lang w:val="en-US" w:eastAsia="zh-CN" w:bidi="ar"/>
              </w:rPr>
              <w:t>+4m</w:t>
            </w:r>
            <w:r>
              <w:rPr>
                <w:rFonts w:ascii="宋体" w:hAnsi="宋体" w:eastAsia="宋体" w:cs="宋体"/>
                <w:color w:val="000000"/>
                <w:kern w:val="0"/>
                <w:sz w:val="24"/>
                <w:szCs w:val="24"/>
                <w:lang w:val="en-US" w:eastAsia="zh-CN" w:bidi="ar"/>
              </w:rPr>
              <w:t>（人行道）</w:t>
            </w:r>
            <w:r>
              <w:rPr>
                <w:rFonts w:hint="default" w:ascii="Times New Roman" w:hAnsi="Times New Roman" w:eastAsia="宋体" w:cs="Times New Roman"/>
                <w:color w:val="000000"/>
                <w:kern w:val="0"/>
                <w:sz w:val="24"/>
                <w:szCs w:val="24"/>
                <w:lang w:val="en-US" w:eastAsia="zh-CN" w:bidi="ar"/>
              </w:rPr>
              <w:t xml:space="preserve">=25m </w:t>
            </w:r>
          </w:p>
          <w:p w14:paraId="38B97E96">
            <w:pPr>
              <w:keepNext w:val="0"/>
              <w:keepLines w:val="0"/>
              <w:widowControl/>
              <w:suppressLineNumbers w:val="0"/>
              <w:ind w:firstLine="480" w:firstLineChars="200"/>
              <w:jc w:val="left"/>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 xml:space="preserve">路面横坡：行车道、非机动车道 </w:t>
            </w:r>
            <w:r>
              <w:rPr>
                <w:rFonts w:hint="default" w:ascii="Times New Roman" w:hAnsi="Times New Roman" w:eastAsia="宋体" w:cs="Times New Roman"/>
                <w:color w:val="000000"/>
                <w:kern w:val="0"/>
                <w:sz w:val="24"/>
                <w:szCs w:val="24"/>
                <w:lang w:val="en-US" w:eastAsia="zh-CN" w:bidi="ar"/>
              </w:rPr>
              <w:t>2.0%</w:t>
            </w:r>
            <w:r>
              <w:rPr>
                <w:rFonts w:ascii="宋体" w:hAnsi="宋体" w:eastAsia="宋体" w:cs="宋体"/>
                <w:color w:val="000000"/>
                <w:kern w:val="0"/>
                <w:sz w:val="24"/>
                <w:szCs w:val="24"/>
                <w:lang w:val="en-US" w:eastAsia="zh-CN" w:bidi="ar"/>
              </w:rPr>
              <w:t xml:space="preserve">，人行道 </w:t>
            </w:r>
            <w:r>
              <w:rPr>
                <w:rFonts w:hint="default" w:ascii="Times New Roman" w:hAnsi="Times New Roman" w:eastAsia="宋体" w:cs="Times New Roman"/>
                <w:color w:val="000000"/>
                <w:kern w:val="0"/>
                <w:sz w:val="24"/>
                <w:szCs w:val="24"/>
                <w:lang w:val="en-US" w:eastAsia="zh-CN" w:bidi="ar"/>
              </w:rPr>
              <w:t>2.0%</w:t>
            </w:r>
            <w:r>
              <w:rPr>
                <w:rFonts w:ascii="宋体" w:hAnsi="宋体" w:eastAsia="宋体" w:cs="宋体"/>
                <w:color w:val="000000"/>
                <w:kern w:val="0"/>
                <w:sz w:val="24"/>
                <w:szCs w:val="24"/>
                <w:lang w:val="en-US" w:eastAsia="zh-CN" w:bidi="ar"/>
              </w:rPr>
              <w:t>。</w:t>
            </w:r>
          </w:p>
          <w:p w14:paraId="688A3DD8">
            <w:pPr>
              <w:keepNext w:val="0"/>
              <w:keepLines w:val="0"/>
              <w:widowControl/>
              <w:suppressLineNumbers w:val="0"/>
              <w:ind w:firstLine="480" w:firstLineChars="20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drawing>
                <wp:inline distT="0" distB="0" distL="114300" distR="114300">
                  <wp:extent cx="4630420" cy="2303780"/>
                  <wp:effectExtent l="0" t="0" r="17780" b="1270"/>
                  <wp:docPr id="15" name="图片 15" descr="4号路25m横截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号路25m横截面图"/>
                          <pic:cNvPicPr>
                            <a:picLocks noChangeAspect="1"/>
                          </pic:cNvPicPr>
                        </pic:nvPicPr>
                        <pic:blipFill>
                          <a:blip r:embed="rId18"/>
                          <a:stretch>
                            <a:fillRect/>
                          </a:stretch>
                        </pic:blipFill>
                        <pic:spPr>
                          <a:xfrm>
                            <a:off x="0" y="0"/>
                            <a:ext cx="4630420" cy="2303780"/>
                          </a:xfrm>
                          <a:prstGeom prst="rect">
                            <a:avLst/>
                          </a:prstGeom>
                        </pic:spPr>
                      </pic:pic>
                    </a:graphicData>
                  </a:graphic>
                </wp:inline>
              </w:drawing>
            </w:r>
          </w:p>
          <w:p w14:paraId="321EF1FB">
            <w:pPr>
              <w:keepNext w:val="0"/>
              <w:keepLines w:val="0"/>
              <w:widowControl/>
              <w:suppressLineNumbers w:val="0"/>
              <w:spacing w:line="360" w:lineRule="auto"/>
              <w:ind w:firstLine="482" w:firstLineChars="200"/>
              <w:jc w:val="center"/>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图1-5 4号路25m横断面布置图</w:t>
            </w:r>
          </w:p>
          <w:p w14:paraId="439C783A">
            <w:pPr>
              <w:keepNext w:val="0"/>
              <w:keepLines w:val="0"/>
              <w:widowControl/>
              <w:suppressLineNumbers w:val="0"/>
              <w:spacing w:line="360" w:lineRule="auto"/>
              <w:ind w:firstLine="482" w:firstLineChars="200"/>
              <w:jc w:val="left"/>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lang w:val="en-US" w:eastAsia="zh-CN"/>
              </w:rPr>
              <w:t>.5号路</w:t>
            </w:r>
            <w:r>
              <w:rPr>
                <w:rFonts w:hint="eastAsia" w:ascii="Times New Roman" w:hAnsi="Times New Roman" w:cs="Times New Roman"/>
                <w:b/>
                <w:bCs/>
                <w:color w:val="auto"/>
                <w:sz w:val="24"/>
                <w:highlight w:val="none"/>
                <w:lang w:val="en-US" w:eastAsia="zh-CN"/>
              </w:rPr>
              <w:t>道路红线宽32m和25m</w:t>
            </w:r>
          </w:p>
          <w:p w14:paraId="60AD8EE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）道路红线宽</w:t>
            </w:r>
            <w:r>
              <w:rPr>
                <w:rFonts w:hint="eastAsia" w:ascii="Times New Roman" w:hAnsi="Times New Roman" w:cs="Times New Roman"/>
                <w:color w:val="auto"/>
                <w:sz w:val="24"/>
                <w:highlight w:val="none"/>
                <w:lang w:val="en-US" w:eastAsia="zh-CN"/>
              </w:rPr>
              <w:t>32m</w:t>
            </w:r>
          </w:p>
          <w:p w14:paraId="5B39543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auto"/>
                <w:sz w:val="24"/>
                <w:highlight w:val="none"/>
                <w:lang w:val="en-US" w:eastAsia="zh-CN"/>
              </w:rPr>
              <w:t>32m</w:t>
            </w:r>
            <w:r>
              <w:rPr>
                <w:rFonts w:hint="default" w:ascii="Times New Roman" w:hAnsi="Times New Roman" w:cs="Times New Roman"/>
                <w:color w:val="auto"/>
                <w:sz w:val="24"/>
                <w:highlight w:val="none"/>
              </w:rPr>
              <w:t>断面</w:t>
            </w:r>
            <w:r>
              <w:rPr>
                <w:rFonts w:hint="eastAsia" w:ascii="Times New Roman" w:hAnsi="Times New Roman" w:cs="Times New Roman"/>
                <w:color w:val="auto"/>
                <w:sz w:val="24"/>
                <w:highlight w:val="none"/>
                <w:lang w:eastAsia="zh-CN"/>
              </w:rPr>
              <w:t>组成：</w:t>
            </w:r>
            <w:r>
              <w:rPr>
                <w:rFonts w:hint="default" w:ascii="Times New Roman" w:hAnsi="Times New Roman" w:eastAsia="宋体" w:cs="Times New Roman"/>
                <w:color w:val="000000"/>
                <w:kern w:val="0"/>
                <w:sz w:val="24"/>
                <w:szCs w:val="24"/>
                <w:lang w:val="en-US" w:eastAsia="zh-CN" w:bidi="ar"/>
              </w:rPr>
              <w:t>3m（人行道）+3m（非机动车道）+2.5m（绿化带）+7.5m（车行道）+ 7.5m（车行道）+2.5m（绿化带）+3m（非机动车道）+3m（人行道）=32m</w:t>
            </w:r>
          </w:p>
          <w:p w14:paraId="6B1C438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人行道与非机动车道共面，机动车道与非机动车道之间设置绿化带</w:t>
            </w:r>
            <w:r>
              <w:rPr>
                <w:rFonts w:hint="eastAsia" w:ascii="宋体" w:hAnsi="宋体" w:cs="宋体"/>
                <w:color w:val="000000"/>
                <w:kern w:val="0"/>
                <w:sz w:val="24"/>
                <w:szCs w:val="24"/>
                <w:lang w:val="en-US" w:eastAsia="zh-CN" w:bidi="ar"/>
              </w:rPr>
              <w:t>。</w:t>
            </w:r>
          </w:p>
          <w:p w14:paraId="2306D9F3">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路面横坡：行车道、非机动车道 2.0%，人行道 2.0%。</w:t>
            </w:r>
            <w:r>
              <w:rPr>
                <w:rFonts w:hint="eastAsia" w:ascii="宋体" w:hAnsi="宋体" w:eastAsia="宋体" w:cs="宋体"/>
                <w:color w:val="000000"/>
                <w:kern w:val="0"/>
                <w:sz w:val="24"/>
                <w:szCs w:val="24"/>
                <w:lang w:val="en-US" w:eastAsia="zh-CN" w:bidi="ar"/>
              </w:rPr>
              <w:drawing>
                <wp:inline distT="0" distB="0" distL="114300" distR="114300">
                  <wp:extent cx="4676775" cy="2200275"/>
                  <wp:effectExtent l="0" t="0" r="9525" b="9525"/>
                  <wp:docPr id="6" name="图片 6" descr="5号路横截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号路横截面图"/>
                          <pic:cNvPicPr>
                            <a:picLocks noChangeAspect="1"/>
                          </pic:cNvPicPr>
                        </pic:nvPicPr>
                        <pic:blipFill>
                          <a:blip r:embed="rId19"/>
                          <a:stretch>
                            <a:fillRect/>
                          </a:stretch>
                        </pic:blipFill>
                        <pic:spPr>
                          <a:xfrm>
                            <a:off x="0" y="0"/>
                            <a:ext cx="4676775" cy="2200275"/>
                          </a:xfrm>
                          <a:prstGeom prst="rect">
                            <a:avLst/>
                          </a:prstGeom>
                        </pic:spPr>
                      </pic:pic>
                    </a:graphicData>
                  </a:graphic>
                </wp:inline>
              </w:drawing>
            </w:r>
          </w:p>
          <w:p w14:paraId="3549EABD">
            <w:pPr>
              <w:keepNext w:val="0"/>
              <w:keepLines w:val="0"/>
              <w:widowControl/>
              <w:suppressLineNumbers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CN"/>
              </w:rPr>
              <w:t>图</w:t>
            </w:r>
            <w:r>
              <w:rPr>
                <w:rFonts w:hint="default" w:ascii="Times New Roman" w:hAnsi="Times New Roman" w:eastAsia="宋体" w:cs="Times New Roman"/>
                <w:b/>
                <w:bCs/>
                <w:sz w:val="24"/>
                <w:szCs w:val="24"/>
                <w:lang w:val="en-US" w:eastAsia="zh-CN"/>
              </w:rPr>
              <w:t>1-</w:t>
            </w:r>
            <w:r>
              <w:rPr>
                <w:rFonts w:hint="default"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 xml:space="preserve"> 5号路</w:t>
            </w:r>
            <w:r>
              <w:rPr>
                <w:rFonts w:hint="default" w:ascii="Times New Roman" w:hAnsi="Times New Roman" w:cs="Times New Roman"/>
                <w:b/>
                <w:bCs/>
                <w:sz w:val="24"/>
                <w:szCs w:val="24"/>
                <w:lang w:val="en-US" w:eastAsia="zh-CN"/>
              </w:rPr>
              <w:t>32m</w:t>
            </w:r>
            <w:r>
              <w:rPr>
                <w:rFonts w:hint="default" w:ascii="Times New Roman" w:hAnsi="Times New Roman" w:eastAsia="宋体" w:cs="Times New Roman"/>
                <w:b/>
                <w:bCs/>
                <w:sz w:val="24"/>
                <w:szCs w:val="24"/>
                <w:lang w:val="en-US" w:eastAsia="zh-CN"/>
              </w:rPr>
              <w:t>横断面</w:t>
            </w:r>
            <w:r>
              <w:rPr>
                <w:rFonts w:hint="default" w:ascii="Times New Roman" w:hAnsi="Times New Roman" w:cs="Times New Roman"/>
                <w:b/>
                <w:bCs/>
                <w:sz w:val="24"/>
                <w:szCs w:val="24"/>
                <w:lang w:val="en-US" w:eastAsia="zh-CN"/>
              </w:rPr>
              <w:t>布置</w:t>
            </w:r>
            <w:r>
              <w:rPr>
                <w:rFonts w:hint="default" w:ascii="Times New Roman" w:hAnsi="Times New Roman" w:eastAsia="宋体" w:cs="Times New Roman"/>
                <w:b/>
                <w:bCs/>
                <w:sz w:val="24"/>
                <w:szCs w:val="24"/>
                <w:lang w:val="en-US" w:eastAsia="zh-CN"/>
              </w:rPr>
              <w:t>图</w:t>
            </w:r>
          </w:p>
          <w:p w14:paraId="3A23D9B3">
            <w:pPr>
              <w:keepNext w:val="0"/>
              <w:keepLines w:val="0"/>
              <w:widowControl/>
              <w:numPr>
                <w:ilvl w:val="0"/>
                <w:numId w:val="0"/>
              </w:numPr>
              <w:suppressLineNumbers w:val="0"/>
              <w:spacing w:line="360" w:lineRule="auto"/>
              <w:ind w:leftChars="200"/>
              <w:jc w:val="both"/>
              <w:rPr>
                <w:rFonts w:hint="eastAsia" w:ascii="Times New Roman" w:hAnsi="Times New Roman" w:cs="Times New Roman"/>
                <w:b w:val="0"/>
                <w:bCs w:val="0"/>
                <w:color w:val="auto"/>
                <w:kern w:val="0"/>
                <w:sz w:val="24"/>
                <w:szCs w:val="24"/>
                <w:lang w:val="en-US" w:eastAsia="zh-CN" w:bidi="ar"/>
              </w:rPr>
            </w:pPr>
            <w:r>
              <w:rPr>
                <w:rFonts w:hint="eastAsia" w:ascii="Times New Roman" w:hAnsi="Times New Roman" w:cs="Times New Roman"/>
                <w:b w:val="0"/>
                <w:bCs w:val="0"/>
                <w:color w:val="auto"/>
                <w:kern w:val="0"/>
                <w:sz w:val="24"/>
                <w:szCs w:val="24"/>
                <w:lang w:val="en-US" w:eastAsia="zh-CN" w:bidi="ar"/>
              </w:rPr>
              <w:t>（2）道路红线宽25m</w:t>
            </w:r>
          </w:p>
          <w:p w14:paraId="12F419B2">
            <w:pPr>
              <w:keepNext w:val="0"/>
              <w:keepLines w:val="0"/>
              <w:widowControl/>
              <w:suppressLineNumbers w:val="0"/>
              <w:ind w:firstLine="480" w:firstLineChars="200"/>
              <w:jc w:val="left"/>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25m </w:t>
            </w:r>
            <w:r>
              <w:rPr>
                <w:rFonts w:ascii="宋体" w:hAnsi="宋体" w:eastAsia="宋体" w:cs="宋体"/>
                <w:color w:val="000000"/>
                <w:kern w:val="0"/>
                <w:sz w:val="24"/>
                <w:szCs w:val="24"/>
                <w:lang w:val="en-US" w:eastAsia="zh-CN" w:bidi="ar"/>
              </w:rPr>
              <w:t>断面组成：</w:t>
            </w:r>
            <w:r>
              <w:rPr>
                <w:rFonts w:hint="default" w:ascii="Times New Roman" w:hAnsi="Times New Roman" w:eastAsia="宋体" w:cs="Times New Roman"/>
                <w:color w:val="000000"/>
                <w:kern w:val="0"/>
                <w:sz w:val="24"/>
                <w:szCs w:val="24"/>
                <w:lang w:val="en-US" w:eastAsia="zh-CN" w:bidi="ar"/>
              </w:rPr>
              <w:t>B=2.5m</w:t>
            </w:r>
            <w:r>
              <w:rPr>
                <w:rFonts w:ascii="宋体" w:hAnsi="宋体" w:eastAsia="宋体" w:cs="宋体"/>
                <w:color w:val="000000"/>
                <w:kern w:val="0"/>
                <w:sz w:val="24"/>
                <w:szCs w:val="24"/>
                <w:lang w:val="en-US" w:eastAsia="zh-CN" w:bidi="ar"/>
              </w:rPr>
              <w:t>（人行道）</w:t>
            </w:r>
            <w:r>
              <w:rPr>
                <w:rFonts w:hint="default" w:ascii="Times New Roman" w:hAnsi="Times New Roman" w:eastAsia="宋体" w:cs="Times New Roman"/>
                <w:color w:val="000000"/>
                <w:kern w:val="0"/>
                <w:sz w:val="24"/>
                <w:szCs w:val="24"/>
                <w:lang w:val="en-US" w:eastAsia="zh-CN" w:bidi="ar"/>
              </w:rPr>
              <w:t>+2.75m</w:t>
            </w:r>
            <w:r>
              <w:rPr>
                <w:rFonts w:ascii="宋体" w:hAnsi="宋体" w:eastAsia="宋体" w:cs="宋体"/>
                <w:color w:val="000000"/>
                <w:kern w:val="0"/>
                <w:sz w:val="24"/>
                <w:szCs w:val="24"/>
                <w:lang w:val="en-US" w:eastAsia="zh-CN" w:bidi="ar"/>
              </w:rPr>
              <w:t>（非机动车道）</w:t>
            </w:r>
            <w:r>
              <w:rPr>
                <w:rFonts w:hint="default" w:ascii="Times New Roman" w:hAnsi="Times New Roman" w:eastAsia="宋体" w:cs="Times New Roman"/>
                <w:color w:val="000000"/>
                <w:kern w:val="0"/>
                <w:sz w:val="24"/>
                <w:szCs w:val="24"/>
                <w:lang w:val="en-US" w:eastAsia="zh-CN" w:bidi="ar"/>
              </w:rPr>
              <w:t>+7.25m</w:t>
            </w:r>
            <w:r>
              <w:rPr>
                <w:rFonts w:ascii="宋体" w:hAnsi="宋体" w:eastAsia="宋体" w:cs="宋体"/>
                <w:color w:val="000000"/>
                <w:kern w:val="0"/>
                <w:sz w:val="24"/>
                <w:szCs w:val="24"/>
                <w:lang w:val="en-US" w:eastAsia="zh-CN" w:bidi="ar"/>
              </w:rPr>
              <w:t>（车行道）</w:t>
            </w:r>
            <w:r>
              <w:rPr>
                <w:rFonts w:hint="default" w:ascii="Times New Roman" w:hAnsi="Times New Roman" w:eastAsia="宋体" w:cs="Times New Roman"/>
                <w:color w:val="000000"/>
                <w:kern w:val="0"/>
                <w:sz w:val="24"/>
                <w:szCs w:val="24"/>
                <w:lang w:val="en-US" w:eastAsia="zh-CN" w:bidi="ar"/>
              </w:rPr>
              <w:t>+ 7.25m</w:t>
            </w:r>
            <w:r>
              <w:rPr>
                <w:rFonts w:ascii="宋体" w:hAnsi="宋体" w:eastAsia="宋体" w:cs="宋体"/>
                <w:color w:val="000000"/>
                <w:kern w:val="0"/>
                <w:sz w:val="24"/>
                <w:szCs w:val="24"/>
                <w:lang w:val="en-US" w:eastAsia="zh-CN" w:bidi="ar"/>
              </w:rPr>
              <w:t>（车行道）</w:t>
            </w:r>
            <w:r>
              <w:rPr>
                <w:rFonts w:hint="default" w:ascii="Times New Roman" w:hAnsi="Times New Roman" w:eastAsia="宋体" w:cs="Times New Roman"/>
                <w:color w:val="000000"/>
                <w:kern w:val="0"/>
                <w:sz w:val="24"/>
                <w:szCs w:val="24"/>
                <w:lang w:val="en-US" w:eastAsia="zh-CN" w:bidi="ar"/>
              </w:rPr>
              <w:t>+2.75m</w:t>
            </w:r>
            <w:r>
              <w:rPr>
                <w:rFonts w:ascii="宋体" w:hAnsi="宋体" w:eastAsia="宋体" w:cs="宋体"/>
                <w:color w:val="000000"/>
                <w:kern w:val="0"/>
                <w:sz w:val="24"/>
                <w:szCs w:val="24"/>
                <w:lang w:val="en-US" w:eastAsia="zh-CN" w:bidi="ar"/>
              </w:rPr>
              <w:t>（非机动车道）</w:t>
            </w:r>
            <w:r>
              <w:rPr>
                <w:rFonts w:hint="default" w:ascii="Times New Roman" w:hAnsi="Times New Roman" w:eastAsia="宋体" w:cs="Times New Roman"/>
                <w:color w:val="000000"/>
                <w:kern w:val="0"/>
                <w:sz w:val="24"/>
                <w:szCs w:val="24"/>
                <w:lang w:val="en-US" w:eastAsia="zh-CN" w:bidi="ar"/>
              </w:rPr>
              <w:t>+2.5m</w:t>
            </w:r>
            <w:r>
              <w:rPr>
                <w:rFonts w:ascii="宋体" w:hAnsi="宋体" w:eastAsia="宋体" w:cs="宋体"/>
                <w:color w:val="000000"/>
                <w:kern w:val="0"/>
                <w:sz w:val="24"/>
                <w:szCs w:val="24"/>
                <w:lang w:val="en-US" w:eastAsia="zh-CN" w:bidi="ar"/>
              </w:rPr>
              <w:t>（人行道）</w:t>
            </w:r>
            <w:r>
              <w:rPr>
                <w:rFonts w:hint="default" w:ascii="Times New Roman" w:hAnsi="Times New Roman" w:eastAsia="宋体" w:cs="Times New Roman"/>
                <w:color w:val="000000"/>
                <w:kern w:val="0"/>
                <w:sz w:val="24"/>
                <w:szCs w:val="24"/>
                <w:lang w:val="en-US" w:eastAsia="zh-CN" w:bidi="ar"/>
              </w:rPr>
              <w:t>=32</w:t>
            </w:r>
            <w:r>
              <w:rPr>
                <w:rFonts w:hint="eastAsia" w:cs="Times New Roman"/>
                <w:color w:val="000000"/>
                <w:kern w:val="0"/>
                <w:sz w:val="24"/>
                <w:szCs w:val="24"/>
                <w:lang w:val="en-US" w:eastAsia="zh-CN" w:bidi="ar"/>
              </w:rPr>
              <w:t>m</w:t>
            </w:r>
          </w:p>
          <w:p w14:paraId="078EA1A7">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 xml:space="preserve">路面横坡：行车道、非机动车道 </w:t>
            </w:r>
            <w:r>
              <w:rPr>
                <w:rFonts w:hint="default" w:ascii="Times New Roman" w:hAnsi="Times New Roman" w:eastAsia="宋体" w:cs="Times New Roman"/>
                <w:color w:val="000000"/>
                <w:kern w:val="0"/>
                <w:sz w:val="24"/>
                <w:szCs w:val="24"/>
                <w:lang w:val="en-US" w:eastAsia="zh-CN" w:bidi="ar"/>
              </w:rPr>
              <w:t>2.0%</w:t>
            </w:r>
            <w:r>
              <w:rPr>
                <w:rFonts w:ascii="宋体" w:hAnsi="宋体" w:eastAsia="宋体" w:cs="宋体"/>
                <w:color w:val="000000"/>
                <w:kern w:val="0"/>
                <w:sz w:val="24"/>
                <w:szCs w:val="24"/>
                <w:lang w:val="en-US" w:eastAsia="zh-CN" w:bidi="ar"/>
              </w:rPr>
              <w:t xml:space="preserve">，人行道 </w:t>
            </w:r>
            <w:r>
              <w:rPr>
                <w:rFonts w:hint="default" w:ascii="Times New Roman" w:hAnsi="Times New Roman" w:eastAsia="宋体" w:cs="Times New Roman"/>
                <w:color w:val="000000"/>
                <w:kern w:val="0"/>
                <w:sz w:val="24"/>
                <w:szCs w:val="24"/>
                <w:lang w:val="en-US" w:eastAsia="zh-CN" w:bidi="ar"/>
              </w:rPr>
              <w:t>2.0%</w:t>
            </w:r>
            <w:r>
              <w:rPr>
                <w:rFonts w:hint="eastAsia" w:cs="Times New Roman"/>
                <w:color w:val="000000"/>
                <w:kern w:val="0"/>
                <w:sz w:val="24"/>
                <w:szCs w:val="24"/>
                <w:lang w:val="en-US" w:eastAsia="zh-CN" w:bidi="ar"/>
              </w:rPr>
              <w:t>。</w:t>
            </w:r>
          </w:p>
          <w:p w14:paraId="145045A2">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4563110" cy="2668905"/>
                  <wp:effectExtent l="0" t="0" r="8890" b="17145"/>
                  <wp:docPr id="16" name="图片 16" descr="5号路25m横截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号路25m横截面图"/>
                          <pic:cNvPicPr>
                            <a:picLocks noChangeAspect="1"/>
                          </pic:cNvPicPr>
                        </pic:nvPicPr>
                        <pic:blipFill>
                          <a:blip r:embed="rId20"/>
                          <a:stretch>
                            <a:fillRect/>
                          </a:stretch>
                        </pic:blipFill>
                        <pic:spPr>
                          <a:xfrm>
                            <a:off x="0" y="0"/>
                            <a:ext cx="4563110" cy="2668905"/>
                          </a:xfrm>
                          <a:prstGeom prst="rect">
                            <a:avLst/>
                          </a:prstGeom>
                        </pic:spPr>
                      </pic:pic>
                    </a:graphicData>
                  </a:graphic>
                </wp:inline>
              </w:drawing>
            </w:r>
          </w:p>
          <w:p w14:paraId="3C88C340">
            <w:pPr>
              <w:keepNext w:val="0"/>
              <w:keepLines w:val="0"/>
              <w:widowControl/>
              <w:suppressLineNumbers w:val="0"/>
              <w:ind w:firstLine="482" w:firstLineChars="200"/>
              <w:jc w:val="center"/>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图1-7 5号路25m横断面布置图</w:t>
            </w:r>
          </w:p>
          <w:p w14:paraId="54218590">
            <w:pPr>
              <w:keepNext w:val="0"/>
              <w:keepLines w:val="0"/>
              <w:widowControl/>
              <w:numPr>
                <w:ilvl w:val="0"/>
                <w:numId w:val="0"/>
              </w:numPr>
              <w:suppressLineNumbers w:val="0"/>
              <w:spacing w:line="360" w:lineRule="auto"/>
              <w:ind w:left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4.3道路纵断面设计</w:t>
            </w:r>
          </w:p>
          <w:p w14:paraId="1E7FA3CE">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次道路纵断面设计本着在满足城市排水要求，确保城市道路交通，满足控制点高程要求，满足最大、最小纵坡相关规范，道路纵断线型力求平坦、流畅的前提下，尽可能利用原有地形地貌，减少土石方，节约投资。</w:t>
            </w:r>
          </w:p>
          <w:p w14:paraId="397C84C8">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条道路主要控制标高为： </w:t>
            </w:r>
          </w:p>
          <w:p w14:paraId="6B5F3FB4">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号路与田园大道交叉口标高：</w:t>
            </w:r>
            <w:r>
              <w:rPr>
                <w:rFonts w:hint="default" w:ascii="Times New Roman" w:hAnsi="Times New Roman" w:eastAsia="宋体" w:cs="Times New Roman"/>
                <w:color w:val="000000"/>
                <w:kern w:val="0"/>
                <w:sz w:val="24"/>
                <w:szCs w:val="24"/>
                <w:lang w:val="en-US" w:eastAsia="zh-CN" w:bidi="ar"/>
              </w:rPr>
              <w:t>877.00m</w:t>
            </w:r>
            <w:r>
              <w:rPr>
                <w:rFonts w:ascii="宋体" w:hAnsi="宋体" w:eastAsia="宋体" w:cs="宋体"/>
                <w:color w:val="000000"/>
                <w:kern w:val="0"/>
                <w:sz w:val="24"/>
                <w:szCs w:val="24"/>
                <w:lang w:val="en-US" w:eastAsia="zh-CN" w:bidi="ar"/>
              </w:rPr>
              <w:t xml:space="preserve">； </w:t>
            </w:r>
          </w:p>
          <w:p w14:paraId="118D153D">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号路与田园大道交叉口标高：</w:t>
            </w:r>
            <w:r>
              <w:rPr>
                <w:rFonts w:hint="default" w:ascii="Times New Roman" w:hAnsi="Times New Roman" w:eastAsia="宋体" w:cs="Times New Roman"/>
                <w:color w:val="000000"/>
                <w:kern w:val="0"/>
                <w:sz w:val="24"/>
                <w:szCs w:val="24"/>
                <w:lang w:val="en-US" w:eastAsia="zh-CN" w:bidi="ar"/>
              </w:rPr>
              <w:t>882.40m</w:t>
            </w:r>
            <w:r>
              <w:rPr>
                <w:rFonts w:ascii="宋体" w:hAnsi="宋体" w:eastAsia="宋体" w:cs="宋体"/>
                <w:color w:val="000000"/>
                <w:kern w:val="0"/>
                <w:sz w:val="24"/>
                <w:szCs w:val="24"/>
                <w:lang w:val="en-US" w:eastAsia="zh-CN" w:bidi="ar"/>
              </w:rPr>
              <w:t xml:space="preserve">； </w:t>
            </w:r>
          </w:p>
          <w:p w14:paraId="11F23160">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号路与高速公路南连接线交叉口标高：</w:t>
            </w:r>
            <w:r>
              <w:rPr>
                <w:rFonts w:hint="default" w:ascii="Times New Roman" w:hAnsi="Times New Roman" w:eastAsia="宋体" w:cs="Times New Roman"/>
                <w:color w:val="000000"/>
                <w:kern w:val="0"/>
                <w:sz w:val="24"/>
                <w:szCs w:val="24"/>
                <w:lang w:val="en-US" w:eastAsia="zh-CN" w:bidi="ar"/>
              </w:rPr>
              <w:t>869.34m</w:t>
            </w:r>
            <w:r>
              <w:rPr>
                <w:rFonts w:ascii="宋体" w:hAnsi="宋体" w:eastAsia="宋体" w:cs="宋体"/>
                <w:color w:val="000000"/>
                <w:kern w:val="0"/>
                <w:sz w:val="24"/>
                <w:szCs w:val="24"/>
                <w:lang w:val="en-US" w:eastAsia="zh-CN" w:bidi="ar"/>
              </w:rPr>
              <w:t xml:space="preserve">； </w:t>
            </w:r>
          </w:p>
          <w:p w14:paraId="28101590">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号路与田园大道交叉口标高：</w:t>
            </w:r>
            <w:r>
              <w:rPr>
                <w:rFonts w:hint="default" w:ascii="Times New Roman" w:hAnsi="Times New Roman" w:eastAsia="宋体" w:cs="Times New Roman"/>
                <w:color w:val="000000"/>
                <w:kern w:val="0"/>
                <w:sz w:val="24"/>
                <w:szCs w:val="24"/>
                <w:lang w:val="en-US" w:eastAsia="zh-CN" w:bidi="ar"/>
              </w:rPr>
              <w:t>879.34m</w:t>
            </w:r>
            <w:r>
              <w:rPr>
                <w:rFonts w:ascii="宋体" w:hAnsi="宋体" w:eastAsia="宋体" w:cs="宋体"/>
                <w:color w:val="000000"/>
                <w:kern w:val="0"/>
                <w:sz w:val="24"/>
                <w:szCs w:val="24"/>
                <w:lang w:val="en-US" w:eastAsia="zh-CN" w:bidi="ar"/>
              </w:rPr>
              <w:t xml:space="preserve">； </w:t>
            </w:r>
          </w:p>
          <w:p w14:paraId="1C65880B">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号路与田园大道交叉口标高：</w:t>
            </w:r>
            <w:r>
              <w:rPr>
                <w:rFonts w:hint="default" w:ascii="Times New Roman" w:hAnsi="Times New Roman" w:eastAsia="宋体" w:cs="Times New Roman"/>
                <w:color w:val="000000"/>
                <w:kern w:val="0"/>
                <w:sz w:val="24"/>
                <w:szCs w:val="24"/>
                <w:lang w:val="en-US" w:eastAsia="zh-CN" w:bidi="ar"/>
              </w:rPr>
              <w:t>878.21m</w:t>
            </w:r>
            <w:r>
              <w:rPr>
                <w:rFonts w:ascii="宋体" w:hAnsi="宋体" w:eastAsia="宋体" w:cs="宋体"/>
                <w:color w:val="000000"/>
                <w:kern w:val="0"/>
                <w:sz w:val="24"/>
                <w:szCs w:val="24"/>
                <w:lang w:val="en-US" w:eastAsia="zh-CN" w:bidi="ar"/>
              </w:rPr>
              <w:t xml:space="preserve">； </w:t>
            </w:r>
          </w:p>
          <w:p w14:paraId="35E1D92D">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 </w:t>
            </w:r>
            <w:r>
              <w:rPr>
                <w:rFonts w:ascii="宋体" w:hAnsi="宋体" w:eastAsia="宋体" w:cs="宋体"/>
                <w:color w:val="000000"/>
                <w:kern w:val="0"/>
                <w:sz w:val="24"/>
                <w:szCs w:val="24"/>
                <w:lang w:val="en-US" w:eastAsia="zh-CN" w:bidi="ar"/>
              </w:rPr>
              <w:t>号路与田园大道交叉口标高：</w:t>
            </w:r>
            <w:r>
              <w:rPr>
                <w:rFonts w:hint="default" w:ascii="Times New Roman" w:hAnsi="Times New Roman" w:eastAsia="宋体" w:cs="Times New Roman"/>
                <w:color w:val="000000"/>
                <w:kern w:val="0"/>
                <w:sz w:val="24"/>
                <w:szCs w:val="24"/>
                <w:lang w:val="en-US" w:eastAsia="zh-CN" w:bidi="ar"/>
              </w:rPr>
              <w:t>875.88m</w:t>
            </w:r>
            <w:r>
              <w:rPr>
                <w:rFonts w:ascii="宋体" w:hAnsi="宋体" w:eastAsia="宋体" w:cs="宋体"/>
                <w:color w:val="000000"/>
                <w:kern w:val="0"/>
                <w:sz w:val="24"/>
                <w:szCs w:val="24"/>
                <w:lang w:val="en-US" w:eastAsia="zh-CN" w:bidi="ar"/>
              </w:rPr>
              <w:t xml:space="preserve">； </w:t>
            </w:r>
          </w:p>
          <w:p w14:paraId="3021E8D6">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号路与田园大道交叉口标高：</w:t>
            </w:r>
            <w:r>
              <w:rPr>
                <w:rFonts w:hint="default" w:ascii="Times New Roman" w:hAnsi="Times New Roman" w:eastAsia="宋体" w:cs="Times New Roman"/>
                <w:color w:val="000000"/>
                <w:kern w:val="0"/>
                <w:sz w:val="24"/>
                <w:szCs w:val="24"/>
                <w:lang w:val="en-US" w:eastAsia="zh-CN" w:bidi="ar"/>
              </w:rPr>
              <w:t>874.69m</w:t>
            </w:r>
            <w:r>
              <w:rPr>
                <w:rFonts w:ascii="宋体" w:hAnsi="宋体" w:eastAsia="宋体" w:cs="宋体"/>
                <w:color w:val="000000"/>
                <w:kern w:val="0"/>
                <w:sz w:val="24"/>
                <w:szCs w:val="24"/>
                <w:lang w:val="en-US" w:eastAsia="zh-CN" w:bidi="ar"/>
              </w:rPr>
              <w:t xml:space="preserve">； </w:t>
            </w:r>
          </w:p>
          <w:p w14:paraId="399D3E4B">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ascii="宋体" w:hAnsi="宋体" w:eastAsia="宋体" w:cs="宋体"/>
                <w:color w:val="000000"/>
                <w:kern w:val="0"/>
                <w:sz w:val="24"/>
                <w:szCs w:val="24"/>
                <w:lang w:val="en-US" w:eastAsia="zh-CN" w:bidi="ar"/>
              </w:rPr>
              <w:t xml:space="preserve">）芒市火车站站房设计地坪 </w:t>
            </w:r>
            <w:r>
              <w:rPr>
                <w:rFonts w:hint="default" w:ascii="Times New Roman" w:hAnsi="Times New Roman" w:eastAsia="宋体" w:cs="Times New Roman"/>
                <w:color w:val="000000"/>
                <w:kern w:val="0"/>
                <w:sz w:val="24"/>
                <w:szCs w:val="24"/>
                <w:lang w:val="en-US" w:eastAsia="zh-CN" w:bidi="ar"/>
              </w:rPr>
              <w:t>895.30m</w:t>
            </w:r>
            <w:r>
              <w:rPr>
                <w:rFonts w:ascii="宋体" w:hAnsi="宋体" w:eastAsia="宋体" w:cs="宋体"/>
                <w:color w:val="000000"/>
                <w:kern w:val="0"/>
                <w:sz w:val="24"/>
                <w:szCs w:val="24"/>
                <w:lang w:val="en-US" w:eastAsia="zh-CN" w:bidi="ar"/>
              </w:rPr>
              <w:t xml:space="preserve">； </w:t>
            </w:r>
          </w:p>
          <w:p w14:paraId="533CB4B0">
            <w:pPr>
              <w:keepNext w:val="0"/>
              <w:keepLines w:val="0"/>
              <w:widowControl/>
              <w:suppressLineNumbers w:val="0"/>
              <w:ind w:firstLine="480" w:firstLineChars="200"/>
              <w:jc w:val="left"/>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ascii="宋体" w:hAnsi="宋体" w:eastAsia="宋体" w:cs="宋体"/>
                <w:color w:val="000000"/>
                <w:kern w:val="0"/>
                <w:sz w:val="24"/>
                <w:szCs w:val="24"/>
                <w:lang w:val="en-US" w:eastAsia="zh-CN" w:bidi="ar"/>
              </w:rPr>
              <w:t xml:space="preserve">）控制道路高于水系设计水位不小于 </w:t>
            </w:r>
            <w:r>
              <w:rPr>
                <w:rFonts w:hint="default" w:ascii="Times New Roman" w:hAnsi="Times New Roman" w:eastAsia="宋体" w:cs="Times New Roman"/>
                <w:color w:val="000000"/>
                <w:kern w:val="0"/>
                <w:sz w:val="24"/>
                <w:szCs w:val="24"/>
                <w:lang w:val="en-US" w:eastAsia="zh-CN" w:bidi="ar"/>
              </w:rPr>
              <w:t>1.5m</w:t>
            </w:r>
            <w:r>
              <w:rPr>
                <w:rFonts w:ascii="宋体" w:hAnsi="宋体" w:eastAsia="宋体" w:cs="宋体"/>
                <w:color w:val="000000"/>
                <w:kern w:val="0"/>
                <w:sz w:val="24"/>
                <w:szCs w:val="24"/>
                <w:lang w:val="en-US" w:eastAsia="zh-CN" w:bidi="ar"/>
              </w:rPr>
              <w:t>；</w:t>
            </w:r>
            <w:r>
              <w:rPr>
                <w:rFonts w:ascii="宋体" w:hAnsi="宋体" w:eastAsia="宋体" w:cs="宋体"/>
                <w:color w:val="000000"/>
                <w:kern w:val="0"/>
                <w:sz w:val="28"/>
                <w:szCs w:val="28"/>
                <w:lang w:val="en-US" w:eastAsia="zh-CN" w:bidi="ar"/>
              </w:rPr>
              <w:t xml:space="preserve"> </w:t>
            </w:r>
          </w:p>
          <w:p w14:paraId="2F3F7F56">
            <w:pPr>
              <w:keepNext w:val="0"/>
              <w:keepLines w:val="0"/>
              <w:widowControl/>
              <w:suppressLineNumbers w:val="0"/>
              <w:ind w:firstLine="480" w:firstLineChars="200"/>
              <w:jc w:val="left"/>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ascii="宋体" w:hAnsi="宋体" w:eastAsia="宋体" w:cs="宋体"/>
                <w:color w:val="000000"/>
                <w:kern w:val="0"/>
                <w:sz w:val="24"/>
                <w:szCs w:val="24"/>
                <w:lang w:val="en-US" w:eastAsia="zh-CN" w:bidi="ar"/>
              </w:rPr>
              <w:t xml:space="preserve">）控制与现状村道的衔接标高不大于 </w:t>
            </w:r>
            <w:r>
              <w:rPr>
                <w:rFonts w:hint="default" w:ascii="Times New Roman" w:hAnsi="Times New Roman" w:eastAsia="宋体" w:cs="Times New Roman"/>
                <w:color w:val="000000"/>
                <w:kern w:val="0"/>
                <w:sz w:val="24"/>
                <w:szCs w:val="24"/>
                <w:lang w:val="en-US" w:eastAsia="zh-CN" w:bidi="ar"/>
              </w:rPr>
              <w:t>1m</w:t>
            </w:r>
            <w:r>
              <w:rPr>
                <w:rFonts w:ascii="宋体" w:hAnsi="宋体" w:eastAsia="宋体" w:cs="宋体"/>
                <w:color w:val="000000"/>
                <w:kern w:val="0"/>
                <w:sz w:val="24"/>
                <w:szCs w:val="24"/>
                <w:lang w:val="en-US" w:eastAsia="zh-CN" w:bidi="ar"/>
              </w:rPr>
              <w:t xml:space="preserve">。 </w:t>
            </w:r>
          </w:p>
          <w:p w14:paraId="4A2BDE5C">
            <w:pPr>
              <w:keepNext w:val="0"/>
              <w:keepLines w:val="0"/>
              <w:widowControl/>
              <w:suppressLineNumbers w:val="0"/>
              <w:ind w:firstLine="480" w:firstLineChars="200"/>
              <w:jc w:val="left"/>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7条道路设计纵坡为：</w:t>
            </w:r>
          </w:p>
          <w:p w14:paraId="6BCCEED0">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号路共设置 </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处竖曲线，最小竖曲线半径 </w:t>
            </w:r>
            <w:r>
              <w:rPr>
                <w:rFonts w:hint="default" w:ascii="Times New Roman" w:hAnsi="Times New Roman" w:eastAsia="宋体" w:cs="Times New Roman"/>
                <w:color w:val="000000"/>
                <w:kern w:val="0"/>
                <w:sz w:val="24"/>
                <w:szCs w:val="24"/>
                <w:lang w:val="en-US" w:eastAsia="zh-CN" w:bidi="ar"/>
              </w:rPr>
              <w:t>R=5000m</w:t>
            </w:r>
            <w:r>
              <w:rPr>
                <w:rFonts w:ascii="宋体" w:hAnsi="宋体" w:eastAsia="宋体" w:cs="宋体"/>
                <w:color w:val="000000"/>
                <w:kern w:val="0"/>
                <w:sz w:val="24"/>
                <w:szCs w:val="24"/>
                <w:lang w:val="en-US" w:eastAsia="zh-CN" w:bidi="ar"/>
              </w:rPr>
              <w:t xml:space="preserve">，最小纵坡 </w:t>
            </w:r>
            <w:r>
              <w:rPr>
                <w:rFonts w:hint="default" w:ascii="Times New Roman" w:hAnsi="Times New Roman" w:eastAsia="宋体" w:cs="Times New Roman"/>
                <w:color w:val="000000"/>
                <w:kern w:val="0"/>
                <w:sz w:val="24"/>
                <w:szCs w:val="24"/>
                <w:lang w:val="en-US" w:eastAsia="zh-CN" w:bidi="ar"/>
              </w:rPr>
              <w:t>i=0.3%</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i=1.88%</w:t>
            </w:r>
            <w:r>
              <w:rPr>
                <w:rFonts w:ascii="宋体" w:hAnsi="宋体" w:eastAsia="宋体" w:cs="宋体"/>
                <w:color w:val="000000"/>
                <w:kern w:val="0"/>
                <w:sz w:val="24"/>
                <w:szCs w:val="24"/>
                <w:lang w:val="en-US" w:eastAsia="zh-CN" w:bidi="ar"/>
              </w:rPr>
              <w:t xml:space="preserve">。 </w:t>
            </w:r>
          </w:p>
          <w:p w14:paraId="31992C96">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 xml:space="preserve">号路共设置 </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 xml:space="preserve">处竖曲线，最小竖曲线半径 </w:t>
            </w:r>
            <w:r>
              <w:rPr>
                <w:rFonts w:hint="default" w:ascii="Times New Roman" w:hAnsi="Times New Roman" w:eastAsia="宋体" w:cs="Times New Roman"/>
                <w:color w:val="000000"/>
                <w:kern w:val="0"/>
                <w:sz w:val="24"/>
                <w:szCs w:val="24"/>
                <w:lang w:val="en-US" w:eastAsia="zh-CN" w:bidi="ar"/>
              </w:rPr>
              <w:t>R=25000m</w:t>
            </w:r>
            <w:r>
              <w:rPr>
                <w:rFonts w:ascii="宋体" w:hAnsi="宋体" w:eastAsia="宋体" w:cs="宋体"/>
                <w:color w:val="000000"/>
                <w:kern w:val="0"/>
                <w:sz w:val="24"/>
                <w:szCs w:val="24"/>
                <w:lang w:val="en-US" w:eastAsia="zh-CN" w:bidi="ar"/>
              </w:rPr>
              <w:t xml:space="preserve">，最小纵坡 </w:t>
            </w:r>
            <w:r>
              <w:rPr>
                <w:rFonts w:hint="default" w:ascii="Times New Roman" w:hAnsi="Times New Roman" w:eastAsia="宋体" w:cs="Times New Roman"/>
                <w:color w:val="000000"/>
                <w:kern w:val="0"/>
                <w:sz w:val="24"/>
                <w:szCs w:val="24"/>
                <w:lang w:val="en-US" w:eastAsia="zh-CN" w:bidi="ar"/>
              </w:rPr>
              <w:t>i=0.57%</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i=0.857%</w:t>
            </w:r>
            <w:r>
              <w:rPr>
                <w:rFonts w:ascii="宋体" w:hAnsi="宋体" w:eastAsia="宋体" w:cs="宋体"/>
                <w:color w:val="000000"/>
                <w:kern w:val="0"/>
                <w:sz w:val="24"/>
                <w:szCs w:val="24"/>
                <w:lang w:val="en-US" w:eastAsia="zh-CN" w:bidi="ar"/>
              </w:rPr>
              <w:t xml:space="preserve">。 </w:t>
            </w:r>
          </w:p>
          <w:p w14:paraId="79DF2CD3">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号路共设置 </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 xml:space="preserve">处竖曲线，最小竖曲线半径 </w:t>
            </w:r>
            <w:r>
              <w:rPr>
                <w:rFonts w:hint="default" w:ascii="Times New Roman" w:hAnsi="Times New Roman" w:eastAsia="宋体" w:cs="Times New Roman"/>
                <w:color w:val="000000"/>
                <w:kern w:val="0"/>
                <w:sz w:val="24"/>
                <w:szCs w:val="24"/>
                <w:lang w:val="en-US" w:eastAsia="zh-CN" w:bidi="ar"/>
              </w:rPr>
              <w:t>R=7000m</w:t>
            </w:r>
            <w:r>
              <w:rPr>
                <w:rFonts w:ascii="宋体" w:hAnsi="宋体" w:eastAsia="宋体" w:cs="宋体"/>
                <w:color w:val="000000"/>
                <w:kern w:val="0"/>
                <w:sz w:val="24"/>
                <w:szCs w:val="24"/>
                <w:lang w:val="en-US" w:eastAsia="zh-CN" w:bidi="ar"/>
              </w:rPr>
              <w:t xml:space="preserve">，最小纵坡 </w:t>
            </w:r>
            <w:r>
              <w:rPr>
                <w:rFonts w:hint="default" w:ascii="Times New Roman" w:hAnsi="Times New Roman" w:eastAsia="宋体" w:cs="Times New Roman"/>
                <w:color w:val="000000"/>
                <w:kern w:val="0"/>
                <w:sz w:val="24"/>
                <w:szCs w:val="24"/>
                <w:lang w:val="en-US" w:eastAsia="zh-CN" w:bidi="ar"/>
              </w:rPr>
              <w:t>i=0.3%</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i=1.185%</w:t>
            </w:r>
            <w:r>
              <w:rPr>
                <w:rFonts w:ascii="宋体" w:hAnsi="宋体" w:eastAsia="宋体" w:cs="宋体"/>
                <w:color w:val="000000"/>
                <w:kern w:val="0"/>
                <w:sz w:val="24"/>
                <w:szCs w:val="24"/>
                <w:lang w:val="en-US" w:eastAsia="zh-CN" w:bidi="ar"/>
              </w:rPr>
              <w:t xml:space="preserve">。 </w:t>
            </w:r>
          </w:p>
          <w:p w14:paraId="65560562">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 xml:space="preserve">号路（北）共设置 </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处竖曲线，最小竖曲线半径 </w:t>
            </w:r>
            <w:r>
              <w:rPr>
                <w:rFonts w:hint="default" w:ascii="Times New Roman" w:hAnsi="Times New Roman" w:eastAsia="宋体" w:cs="Times New Roman"/>
                <w:color w:val="000000"/>
                <w:kern w:val="0"/>
                <w:sz w:val="24"/>
                <w:szCs w:val="24"/>
                <w:lang w:val="en-US" w:eastAsia="zh-CN" w:bidi="ar"/>
              </w:rPr>
              <w:t>R=12000m</w:t>
            </w:r>
            <w:r>
              <w:rPr>
                <w:rFonts w:ascii="宋体" w:hAnsi="宋体" w:eastAsia="宋体" w:cs="宋体"/>
                <w:color w:val="000000"/>
                <w:kern w:val="0"/>
                <w:sz w:val="24"/>
                <w:szCs w:val="24"/>
                <w:lang w:val="en-US" w:eastAsia="zh-CN" w:bidi="ar"/>
              </w:rPr>
              <w:t>，最小纵坡</w:t>
            </w:r>
            <w:r>
              <w:rPr>
                <w:rFonts w:hint="default" w:ascii="Times New Roman" w:hAnsi="Times New Roman" w:eastAsia="宋体" w:cs="Times New Roman"/>
                <w:color w:val="000000"/>
                <w:kern w:val="0"/>
                <w:sz w:val="28"/>
                <w:szCs w:val="28"/>
                <w:lang w:val="en-US" w:eastAsia="zh-CN" w:bidi="ar"/>
              </w:rPr>
              <w:t>i=0.3%</w:t>
            </w:r>
            <w:r>
              <w:rPr>
                <w:rFonts w:ascii="宋体" w:hAnsi="宋体" w:eastAsia="宋体" w:cs="宋体"/>
                <w:color w:val="000000"/>
                <w:kern w:val="0"/>
                <w:sz w:val="28"/>
                <w:szCs w:val="28"/>
                <w:lang w:val="en-US" w:eastAsia="zh-CN" w:bidi="ar"/>
              </w:rPr>
              <w:t>，</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i=0.828%</w:t>
            </w:r>
            <w:r>
              <w:rPr>
                <w:rFonts w:ascii="宋体" w:hAnsi="宋体" w:eastAsia="宋体" w:cs="宋体"/>
                <w:color w:val="000000"/>
                <w:kern w:val="0"/>
                <w:sz w:val="24"/>
                <w:szCs w:val="24"/>
                <w:lang w:val="en-US" w:eastAsia="zh-CN" w:bidi="ar"/>
              </w:rPr>
              <w:t xml:space="preserve">。 </w:t>
            </w:r>
          </w:p>
          <w:p w14:paraId="0A19C5FF">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 xml:space="preserve">号路（南）共设置 </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 xml:space="preserve">处竖曲线，最小竖曲线半径 </w:t>
            </w:r>
            <w:r>
              <w:rPr>
                <w:rFonts w:hint="default" w:ascii="Times New Roman" w:hAnsi="Times New Roman" w:eastAsia="宋体" w:cs="Times New Roman"/>
                <w:color w:val="000000"/>
                <w:kern w:val="0"/>
                <w:sz w:val="24"/>
                <w:szCs w:val="24"/>
                <w:lang w:val="en-US" w:eastAsia="zh-CN" w:bidi="ar"/>
              </w:rPr>
              <w:t>R=20000m</w:t>
            </w:r>
            <w:r>
              <w:rPr>
                <w:rFonts w:ascii="宋体" w:hAnsi="宋体" w:eastAsia="宋体" w:cs="宋体"/>
                <w:color w:val="000000"/>
                <w:kern w:val="0"/>
                <w:sz w:val="24"/>
                <w:szCs w:val="24"/>
                <w:lang w:val="en-US" w:eastAsia="zh-CN" w:bidi="ar"/>
              </w:rPr>
              <w:t xml:space="preserve">，最小纵坡 </w:t>
            </w:r>
          </w:p>
          <w:p w14:paraId="236ECF87">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i=0.305%</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i=0.654%</w:t>
            </w:r>
            <w:r>
              <w:rPr>
                <w:rFonts w:ascii="宋体" w:hAnsi="宋体" w:eastAsia="宋体" w:cs="宋体"/>
                <w:color w:val="000000"/>
                <w:kern w:val="0"/>
                <w:sz w:val="24"/>
                <w:szCs w:val="24"/>
                <w:lang w:val="en-US" w:eastAsia="zh-CN" w:bidi="ar"/>
              </w:rPr>
              <w:t xml:space="preserve">。 </w:t>
            </w:r>
          </w:p>
          <w:p w14:paraId="019244EF">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5 </w:t>
            </w:r>
            <w:r>
              <w:rPr>
                <w:rFonts w:ascii="宋体" w:hAnsi="宋体" w:eastAsia="宋体" w:cs="宋体"/>
                <w:color w:val="000000"/>
                <w:kern w:val="0"/>
                <w:sz w:val="24"/>
                <w:szCs w:val="24"/>
                <w:lang w:val="en-US" w:eastAsia="zh-CN" w:bidi="ar"/>
              </w:rPr>
              <w:t xml:space="preserve">号路共设置 </w:t>
            </w:r>
            <w:r>
              <w:rPr>
                <w:rFonts w:hint="default" w:ascii="Times New Roman" w:hAnsi="Times New Roman" w:eastAsia="宋体" w:cs="Times New Roman"/>
                <w:color w:val="000000"/>
                <w:kern w:val="0"/>
                <w:sz w:val="24"/>
                <w:szCs w:val="24"/>
                <w:lang w:val="en-US" w:eastAsia="zh-CN" w:bidi="ar"/>
              </w:rPr>
              <w:t xml:space="preserve">8 </w:t>
            </w:r>
            <w:r>
              <w:rPr>
                <w:rFonts w:ascii="宋体" w:hAnsi="宋体" w:eastAsia="宋体" w:cs="宋体"/>
                <w:color w:val="000000"/>
                <w:kern w:val="0"/>
                <w:sz w:val="24"/>
                <w:szCs w:val="24"/>
                <w:lang w:val="en-US" w:eastAsia="zh-CN" w:bidi="ar"/>
              </w:rPr>
              <w:t xml:space="preserve">处竖曲线，最小竖曲线半径 </w:t>
            </w:r>
            <w:r>
              <w:rPr>
                <w:rFonts w:hint="default" w:ascii="Times New Roman" w:hAnsi="Times New Roman" w:eastAsia="宋体" w:cs="Times New Roman"/>
                <w:color w:val="000000"/>
                <w:kern w:val="0"/>
                <w:sz w:val="24"/>
                <w:szCs w:val="24"/>
                <w:lang w:val="en-US" w:eastAsia="zh-CN" w:bidi="ar"/>
              </w:rPr>
              <w:t>R=2400m</w:t>
            </w:r>
            <w:r>
              <w:rPr>
                <w:rFonts w:ascii="宋体" w:hAnsi="宋体" w:eastAsia="宋体" w:cs="宋体"/>
                <w:color w:val="000000"/>
                <w:kern w:val="0"/>
                <w:sz w:val="24"/>
                <w:szCs w:val="24"/>
                <w:lang w:val="en-US" w:eastAsia="zh-CN" w:bidi="ar"/>
              </w:rPr>
              <w:t xml:space="preserve">，最小纵坡 </w:t>
            </w:r>
            <w:r>
              <w:rPr>
                <w:rFonts w:hint="default" w:ascii="Times New Roman" w:hAnsi="Times New Roman" w:eastAsia="宋体" w:cs="Times New Roman"/>
                <w:color w:val="000000"/>
                <w:kern w:val="0"/>
                <w:sz w:val="24"/>
                <w:szCs w:val="24"/>
                <w:lang w:val="en-US" w:eastAsia="zh-CN" w:bidi="ar"/>
              </w:rPr>
              <w:t>i=0.3%</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i=2.981%</w:t>
            </w:r>
            <w:r>
              <w:rPr>
                <w:rFonts w:ascii="宋体" w:hAnsi="宋体" w:eastAsia="宋体" w:cs="宋体"/>
                <w:color w:val="000000"/>
                <w:kern w:val="0"/>
                <w:sz w:val="24"/>
                <w:szCs w:val="24"/>
                <w:lang w:val="en-US" w:eastAsia="zh-CN" w:bidi="ar"/>
              </w:rPr>
              <w:t xml:space="preserve">。 </w:t>
            </w:r>
          </w:p>
          <w:p w14:paraId="438CEA1B">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 xml:space="preserve">号路共设置 </w:t>
            </w: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处竖曲线，竖曲线半径 </w:t>
            </w:r>
            <w:r>
              <w:rPr>
                <w:rFonts w:hint="default" w:ascii="Times New Roman" w:hAnsi="Times New Roman" w:eastAsia="宋体" w:cs="Times New Roman"/>
                <w:color w:val="000000"/>
                <w:kern w:val="0"/>
                <w:sz w:val="24"/>
                <w:szCs w:val="24"/>
                <w:lang w:val="en-US" w:eastAsia="zh-CN" w:bidi="ar"/>
              </w:rPr>
              <w:t>R=90000m</w:t>
            </w:r>
            <w:r>
              <w:rPr>
                <w:rFonts w:ascii="宋体" w:hAnsi="宋体" w:eastAsia="宋体" w:cs="宋体"/>
                <w:color w:val="000000"/>
                <w:kern w:val="0"/>
                <w:sz w:val="24"/>
                <w:szCs w:val="24"/>
                <w:lang w:val="en-US" w:eastAsia="zh-CN" w:bidi="ar"/>
              </w:rPr>
              <w:t xml:space="preserve">，最小纵坡 </w:t>
            </w:r>
            <w:r>
              <w:rPr>
                <w:rFonts w:hint="default" w:ascii="Times New Roman" w:hAnsi="Times New Roman" w:eastAsia="宋体" w:cs="Times New Roman"/>
                <w:color w:val="000000"/>
                <w:kern w:val="0"/>
                <w:sz w:val="24"/>
                <w:szCs w:val="24"/>
                <w:lang w:val="en-US" w:eastAsia="zh-CN" w:bidi="ar"/>
              </w:rPr>
              <w:t>i=0.3%</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i=0.379%</w:t>
            </w:r>
            <w:r>
              <w:rPr>
                <w:rFonts w:ascii="宋体" w:hAnsi="宋体" w:eastAsia="宋体" w:cs="宋体"/>
                <w:color w:val="000000"/>
                <w:kern w:val="0"/>
                <w:sz w:val="24"/>
                <w:szCs w:val="24"/>
                <w:lang w:val="en-US" w:eastAsia="zh-CN" w:bidi="ar"/>
              </w:rPr>
              <w:t xml:space="preserve">。 </w:t>
            </w:r>
          </w:p>
          <w:p w14:paraId="31EFC020">
            <w:pPr>
              <w:keepNext w:val="0"/>
              <w:keepLines w:val="0"/>
              <w:widowControl/>
              <w:suppressLineNumbers w:val="0"/>
              <w:ind w:firstLine="480" w:firstLineChars="200"/>
              <w:jc w:val="left"/>
              <w:rPr>
                <w:rFonts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号路共设置 </w:t>
            </w:r>
            <w:r>
              <w:rPr>
                <w:rFonts w:hint="default" w:ascii="Times New Roman" w:hAnsi="Times New Roman" w:eastAsia="宋体" w:cs="Times New Roman"/>
                <w:color w:val="000000"/>
                <w:kern w:val="0"/>
                <w:sz w:val="24"/>
                <w:szCs w:val="24"/>
                <w:lang w:val="en-US" w:eastAsia="zh-CN" w:bidi="ar"/>
              </w:rPr>
              <w:t xml:space="preserve">8 </w:t>
            </w:r>
            <w:r>
              <w:rPr>
                <w:rFonts w:ascii="宋体" w:hAnsi="宋体" w:eastAsia="宋体" w:cs="宋体"/>
                <w:color w:val="000000"/>
                <w:kern w:val="0"/>
                <w:sz w:val="24"/>
                <w:szCs w:val="24"/>
                <w:lang w:val="en-US" w:eastAsia="zh-CN" w:bidi="ar"/>
              </w:rPr>
              <w:t xml:space="preserve">处竖曲线，最小竖曲线半径 </w:t>
            </w:r>
            <w:r>
              <w:rPr>
                <w:rFonts w:hint="default" w:ascii="Times New Roman" w:hAnsi="Times New Roman" w:eastAsia="宋体" w:cs="Times New Roman"/>
                <w:color w:val="000000"/>
                <w:kern w:val="0"/>
                <w:sz w:val="24"/>
                <w:szCs w:val="24"/>
                <w:lang w:val="en-US" w:eastAsia="zh-CN" w:bidi="ar"/>
              </w:rPr>
              <w:t>R=5800m</w:t>
            </w:r>
            <w:r>
              <w:rPr>
                <w:rFonts w:ascii="宋体" w:hAnsi="宋体" w:eastAsia="宋体" w:cs="宋体"/>
                <w:color w:val="000000"/>
                <w:kern w:val="0"/>
                <w:sz w:val="24"/>
                <w:szCs w:val="24"/>
                <w:lang w:val="en-US" w:eastAsia="zh-CN" w:bidi="ar"/>
              </w:rPr>
              <w:t xml:space="preserve">，最小纵坡 </w:t>
            </w:r>
            <w:r>
              <w:rPr>
                <w:rFonts w:hint="default" w:ascii="Times New Roman" w:hAnsi="Times New Roman" w:eastAsia="宋体" w:cs="Times New Roman"/>
                <w:color w:val="000000"/>
                <w:kern w:val="0"/>
                <w:sz w:val="24"/>
                <w:szCs w:val="24"/>
                <w:lang w:val="en-US" w:eastAsia="zh-CN" w:bidi="ar"/>
              </w:rPr>
              <w:t>i=0.3%</w:t>
            </w:r>
            <w:r>
              <w:rPr>
                <w:rFonts w:hint="eastAsia" w:cs="Times New Roman"/>
                <w:color w:val="000000"/>
                <w:kern w:val="0"/>
                <w:sz w:val="24"/>
                <w:szCs w:val="24"/>
                <w:lang w:val="en-US" w:eastAsia="zh-CN" w:bidi="ar"/>
              </w:rPr>
              <w:t>，</w:t>
            </w:r>
            <w:r>
              <w:rPr>
                <w:rFonts w:ascii="宋体" w:hAnsi="宋体" w:eastAsia="宋体" w:cs="宋体"/>
                <w:color w:val="000000"/>
                <w:kern w:val="0"/>
                <w:sz w:val="24"/>
                <w:szCs w:val="24"/>
                <w:lang w:val="en-US" w:eastAsia="zh-CN" w:bidi="ar"/>
              </w:rPr>
              <w:t xml:space="preserve">最大纵坡 </w:t>
            </w:r>
            <w:r>
              <w:rPr>
                <w:rFonts w:hint="default" w:ascii="Times New Roman" w:hAnsi="Times New Roman" w:eastAsia="宋体" w:cs="Times New Roman"/>
                <w:color w:val="000000"/>
                <w:kern w:val="0"/>
                <w:sz w:val="24"/>
                <w:szCs w:val="24"/>
                <w:lang w:val="en-US" w:eastAsia="zh-CN" w:bidi="ar"/>
              </w:rPr>
              <w:t>i=1.041%</w:t>
            </w:r>
            <w:r>
              <w:rPr>
                <w:rFonts w:ascii="宋体" w:hAnsi="宋体" w:eastAsia="宋体" w:cs="宋体"/>
                <w:color w:val="000000"/>
                <w:kern w:val="0"/>
                <w:sz w:val="24"/>
                <w:szCs w:val="24"/>
                <w:lang w:val="en-US" w:eastAsia="zh-CN" w:bidi="ar"/>
              </w:rPr>
              <w:t xml:space="preserve">。 </w:t>
            </w:r>
          </w:p>
          <w:p w14:paraId="119D45A5">
            <w:pPr>
              <w:keepNext w:val="0"/>
              <w:keepLines w:val="0"/>
              <w:widowControl/>
              <w:numPr>
                <w:ilvl w:val="0"/>
                <w:numId w:val="0"/>
              </w:numPr>
              <w:suppressLineNumbers w:val="0"/>
              <w:spacing w:line="360" w:lineRule="auto"/>
              <w:ind w:leftChars="200"/>
              <w:jc w:val="both"/>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4.4路基工程</w:t>
            </w:r>
          </w:p>
          <w:p w14:paraId="2C565B69">
            <w:pPr>
              <w:keepNext w:val="0"/>
              <w:keepLines w:val="0"/>
              <w:widowControl/>
              <w:numPr>
                <w:ilvl w:val="0"/>
                <w:numId w:val="6"/>
              </w:numPr>
              <w:suppressLineNumbers w:val="0"/>
              <w:spacing w:line="360" w:lineRule="auto"/>
              <w:ind w:leftChars="200"/>
              <w:jc w:val="both"/>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一般路基</w:t>
            </w:r>
          </w:p>
          <w:p w14:paraId="6D2210FD">
            <w:pPr>
              <w:keepNext w:val="0"/>
              <w:keepLines w:val="0"/>
              <w:widowControl/>
              <w:numPr>
                <w:ilvl w:val="0"/>
                <w:numId w:val="0"/>
              </w:numPr>
              <w:suppressLineNumbers w:val="0"/>
              <w:spacing w:line="360" w:lineRule="auto"/>
              <w:ind w:firstLine="240" w:firstLineChars="100"/>
              <w:jc w:val="both"/>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（1）路基</w:t>
            </w:r>
          </w:p>
          <w:p w14:paraId="16F6C28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路基施工应做好排水工作，施工面表层不应有积水，填方路堤应设 2%～4%的排水横坡，挖方路段应注意雨水的排除。地面横坡缓于 1：5 时，在清除地表草皮、腐殖土后，可直接在天然地面上填筑路堤。地面横坡为 1：5～1：2.5 时，原地面应挖台阶，台阶宽度不应小于 2m。当基岩面上的覆盖层较薄时，宜先清除覆盖层再挖台阶；当覆盖层较厚且稳定时，可予保留。</w:t>
            </w:r>
          </w:p>
          <w:p w14:paraId="2D0B5F50">
            <w:pPr>
              <w:keepNext w:val="0"/>
              <w:keepLines w:val="0"/>
              <w:widowControl/>
              <w:numPr>
                <w:ilvl w:val="0"/>
                <w:numId w:val="7"/>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路基回弹模量</w:t>
            </w:r>
          </w:p>
          <w:p w14:paraId="7E8CB80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路基必须做到密实、均匀、稳定。路槽底面土基在不利季节应达到干燥或中湿状态，其土基设计回弹模量值不应小于 35MPa。</w:t>
            </w:r>
          </w:p>
          <w:p w14:paraId="7B07AE5E">
            <w:pPr>
              <w:keepNext w:val="0"/>
              <w:keepLines w:val="0"/>
              <w:widowControl/>
              <w:numPr>
                <w:ilvl w:val="0"/>
                <w:numId w:val="7"/>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路基填料要求</w:t>
            </w:r>
          </w:p>
          <w:p w14:paraId="53C63CE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路基填料不得采用膨胀土及高液限粘土。根据建设条件分析，筑路材料可采用风化料。路基施工前应将表层根植土清除，本次设计由于缺乏地质资料，对道路全线统一进行清表，清表平均厚度为 0.5m，清表后采用符合要求的碎石土换填，软基地段另作处理。清表后，应将地基表层碾压密实，压实度(重型)参照规范要求。路基填料的最小强度（CBR）值和最大粒径应符合下表规定。</w:t>
            </w:r>
          </w:p>
          <w:p w14:paraId="559E435E">
            <w:pPr>
              <w:keepNext w:val="0"/>
              <w:keepLines w:val="0"/>
              <w:widowControl/>
              <w:suppressLineNumbers w:val="0"/>
              <w:spacing w:line="360" w:lineRule="auto"/>
              <w:jc w:val="center"/>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表1-3 路基填料的最小强度（CBR）值和最大粒径要求</w:t>
            </w:r>
          </w:p>
          <w:tbl>
            <w:tblPr>
              <w:tblStyle w:val="16"/>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2361"/>
              <w:gridCol w:w="2601"/>
              <w:gridCol w:w="2030"/>
            </w:tblGrid>
            <w:tr w14:paraId="46BD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46" w:type="dxa"/>
                  <w:vAlign w:val="center"/>
                </w:tcPr>
                <w:p w14:paraId="73463A91">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填挖类型</w:t>
                  </w:r>
                </w:p>
              </w:tc>
              <w:tc>
                <w:tcPr>
                  <w:tcW w:w="2361" w:type="dxa"/>
                  <w:vAlign w:val="center"/>
                </w:tcPr>
                <w:p w14:paraId="0E303626">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路面地面以下深度（m）</w:t>
                  </w:r>
                </w:p>
              </w:tc>
              <w:tc>
                <w:tcPr>
                  <w:tcW w:w="2601" w:type="dxa"/>
                  <w:vAlign w:val="center"/>
                </w:tcPr>
                <w:p w14:paraId="0CF219C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填料最小强度（CBR）（m）</w:t>
                  </w:r>
                </w:p>
              </w:tc>
              <w:tc>
                <w:tcPr>
                  <w:tcW w:w="2030" w:type="dxa"/>
                  <w:vAlign w:val="center"/>
                </w:tcPr>
                <w:p w14:paraId="5B2E33DE">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填料最大粒径（mm）</w:t>
                  </w:r>
                </w:p>
              </w:tc>
            </w:tr>
            <w:tr w14:paraId="3806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346" w:type="dxa"/>
                  <w:vMerge w:val="restart"/>
                  <w:vAlign w:val="center"/>
                </w:tcPr>
                <w:p w14:paraId="4637A7A5">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填方</w:t>
                  </w:r>
                </w:p>
              </w:tc>
              <w:tc>
                <w:tcPr>
                  <w:tcW w:w="2361" w:type="dxa"/>
                  <w:vAlign w:val="center"/>
                </w:tcPr>
                <w:p w14:paraId="67F2AF63">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0～0.3</w:t>
                  </w:r>
                </w:p>
              </w:tc>
              <w:tc>
                <w:tcPr>
                  <w:tcW w:w="2601" w:type="dxa"/>
                  <w:vAlign w:val="center"/>
                </w:tcPr>
                <w:p w14:paraId="49E0EEBF">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8</w:t>
                  </w:r>
                </w:p>
              </w:tc>
              <w:tc>
                <w:tcPr>
                  <w:tcW w:w="2030" w:type="dxa"/>
                  <w:vAlign w:val="center"/>
                </w:tcPr>
                <w:p w14:paraId="4A63ECF0">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100</w:t>
                  </w:r>
                </w:p>
              </w:tc>
            </w:tr>
            <w:tr w14:paraId="7704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46" w:type="dxa"/>
                  <w:vMerge w:val="continue"/>
                  <w:vAlign w:val="center"/>
                </w:tcPr>
                <w:p w14:paraId="7937A481">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p>
              </w:tc>
              <w:tc>
                <w:tcPr>
                  <w:tcW w:w="2361" w:type="dxa"/>
                  <w:vAlign w:val="center"/>
                </w:tcPr>
                <w:p w14:paraId="74C8034F">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0.3～0.8</w:t>
                  </w:r>
                </w:p>
              </w:tc>
              <w:tc>
                <w:tcPr>
                  <w:tcW w:w="2601" w:type="dxa"/>
                  <w:vAlign w:val="center"/>
                </w:tcPr>
                <w:p w14:paraId="071BB3C2">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5</w:t>
                  </w:r>
                </w:p>
              </w:tc>
              <w:tc>
                <w:tcPr>
                  <w:tcW w:w="2030" w:type="dxa"/>
                  <w:vAlign w:val="center"/>
                </w:tcPr>
                <w:p w14:paraId="68DB4614">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100</w:t>
                  </w:r>
                </w:p>
              </w:tc>
            </w:tr>
            <w:tr w14:paraId="0D6F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346" w:type="dxa"/>
                  <w:vMerge w:val="continue"/>
                  <w:vAlign w:val="center"/>
                </w:tcPr>
                <w:p w14:paraId="64D9F56B">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p>
              </w:tc>
              <w:tc>
                <w:tcPr>
                  <w:tcW w:w="2361" w:type="dxa"/>
                  <w:vAlign w:val="center"/>
                </w:tcPr>
                <w:p w14:paraId="791DC8FD">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0.8～1.5</w:t>
                  </w:r>
                </w:p>
              </w:tc>
              <w:tc>
                <w:tcPr>
                  <w:tcW w:w="2601" w:type="dxa"/>
                  <w:vAlign w:val="center"/>
                </w:tcPr>
                <w:p w14:paraId="06358D64">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4</w:t>
                  </w:r>
                </w:p>
              </w:tc>
              <w:tc>
                <w:tcPr>
                  <w:tcW w:w="2030" w:type="dxa"/>
                  <w:vAlign w:val="center"/>
                </w:tcPr>
                <w:p w14:paraId="7394C3D0">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150</w:t>
                  </w:r>
                </w:p>
              </w:tc>
            </w:tr>
            <w:tr w14:paraId="1F45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46" w:type="dxa"/>
                  <w:vMerge w:val="continue"/>
                  <w:vAlign w:val="center"/>
                </w:tcPr>
                <w:p w14:paraId="3BCAD8B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p>
              </w:tc>
              <w:tc>
                <w:tcPr>
                  <w:tcW w:w="2361" w:type="dxa"/>
                  <w:vAlign w:val="center"/>
                </w:tcPr>
                <w:p w14:paraId="0D4B2F10">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1.5以下</w:t>
                  </w:r>
                </w:p>
              </w:tc>
              <w:tc>
                <w:tcPr>
                  <w:tcW w:w="2601" w:type="dxa"/>
                  <w:vAlign w:val="center"/>
                </w:tcPr>
                <w:p w14:paraId="4E9CDB77">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3</w:t>
                  </w:r>
                </w:p>
              </w:tc>
              <w:tc>
                <w:tcPr>
                  <w:tcW w:w="2030" w:type="dxa"/>
                  <w:vAlign w:val="center"/>
                </w:tcPr>
                <w:p w14:paraId="03684C52">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150</w:t>
                  </w:r>
                </w:p>
              </w:tc>
            </w:tr>
            <w:tr w14:paraId="5FBF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46" w:type="dxa"/>
                  <w:vMerge w:val="restart"/>
                  <w:vAlign w:val="center"/>
                </w:tcPr>
                <w:p w14:paraId="4499929D">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零填或挖方</w:t>
                  </w:r>
                </w:p>
              </w:tc>
              <w:tc>
                <w:tcPr>
                  <w:tcW w:w="2361" w:type="dxa"/>
                  <w:vAlign w:val="center"/>
                </w:tcPr>
                <w:p w14:paraId="65DFB769">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0～0.3</w:t>
                  </w:r>
                </w:p>
              </w:tc>
              <w:tc>
                <w:tcPr>
                  <w:tcW w:w="2601" w:type="dxa"/>
                  <w:vAlign w:val="center"/>
                </w:tcPr>
                <w:p w14:paraId="142A69FD">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8</w:t>
                  </w:r>
                </w:p>
              </w:tc>
              <w:tc>
                <w:tcPr>
                  <w:tcW w:w="2030" w:type="dxa"/>
                  <w:vAlign w:val="center"/>
                </w:tcPr>
                <w:p w14:paraId="59272572">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100</w:t>
                  </w:r>
                </w:p>
              </w:tc>
            </w:tr>
            <w:tr w14:paraId="4F7E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46" w:type="dxa"/>
                  <w:vMerge w:val="continue"/>
                  <w:vAlign w:val="center"/>
                </w:tcPr>
                <w:p w14:paraId="4FB9464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p>
              </w:tc>
              <w:tc>
                <w:tcPr>
                  <w:tcW w:w="2361" w:type="dxa"/>
                  <w:vAlign w:val="center"/>
                </w:tcPr>
                <w:p w14:paraId="55447185">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0.3～0.8</w:t>
                  </w:r>
                </w:p>
              </w:tc>
              <w:tc>
                <w:tcPr>
                  <w:tcW w:w="2601" w:type="dxa"/>
                  <w:vAlign w:val="center"/>
                </w:tcPr>
                <w:p w14:paraId="40F0FB6D">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5</w:t>
                  </w:r>
                </w:p>
              </w:tc>
              <w:tc>
                <w:tcPr>
                  <w:tcW w:w="2030" w:type="dxa"/>
                  <w:vAlign w:val="center"/>
                </w:tcPr>
                <w:p w14:paraId="69A08200">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100</w:t>
                  </w:r>
                </w:p>
              </w:tc>
            </w:tr>
          </w:tbl>
          <w:p w14:paraId="323C528A">
            <w:pPr>
              <w:keepNext w:val="0"/>
              <w:keepLines w:val="0"/>
              <w:widowControl/>
              <w:suppressLineNumbers w:val="0"/>
              <w:spacing w:line="360" w:lineRule="auto"/>
              <w:jc w:val="left"/>
              <w:rPr>
                <w:rFonts w:hint="default" w:ascii="Times New Roman" w:hAnsi="Times New Roman" w:eastAsia="宋体" w:cs="Times New Roman"/>
                <w:b w:val="0"/>
                <w:bCs/>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注：当路基填料的 CBR 值达不到表列要求时，可掺石灰或其它稳定材料处理。</w:t>
            </w:r>
          </w:p>
          <w:p w14:paraId="7646CB9A">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val="0"/>
                <w:bCs/>
                <w:color w:val="000000"/>
                <w:kern w:val="0"/>
                <w:sz w:val="24"/>
                <w:szCs w:val="24"/>
                <w:lang w:val="en-US" w:eastAsia="zh-CN" w:bidi="ar"/>
              </w:rPr>
            </w:pPr>
            <w:r>
              <w:rPr>
                <w:rFonts w:hint="default" w:ascii="Times New Roman" w:hAnsi="Times New Roman" w:eastAsia="宋体" w:cs="Times New Roman"/>
                <w:b w:val="0"/>
                <w:bCs/>
                <w:color w:val="000000"/>
                <w:kern w:val="0"/>
                <w:sz w:val="24"/>
                <w:szCs w:val="24"/>
                <w:lang w:val="en-US" w:eastAsia="zh-CN" w:bidi="ar"/>
              </w:rPr>
              <w:t>（4）路基压实标准</w:t>
            </w:r>
          </w:p>
          <w:p w14:paraId="1311674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路基回填时应采用分层铺筑，均匀压实。分层厚度不应大于 30cm，压实度应符合下表规定。</w:t>
            </w:r>
          </w:p>
          <w:p w14:paraId="518E45B7">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表1-4 路基压实标准</w:t>
            </w:r>
          </w:p>
          <w:tbl>
            <w:tblPr>
              <w:tblStyle w:val="16"/>
              <w:tblW w:w="8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2879"/>
              <w:gridCol w:w="2753"/>
            </w:tblGrid>
            <w:tr w14:paraId="34CA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6" w:type="dxa"/>
                  <w:vAlign w:val="center"/>
                </w:tcPr>
                <w:p w14:paraId="6A18037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填挖类型</w:t>
                  </w:r>
                </w:p>
              </w:tc>
              <w:tc>
                <w:tcPr>
                  <w:tcW w:w="2879" w:type="dxa"/>
                  <w:vAlign w:val="center"/>
                </w:tcPr>
                <w:p w14:paraId="01E0D65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路面地面以下深度（m）</w:t>
                  </w:r>
                </w:p>
              </w:tc>
              <w:tc>
                <w:tcPr>
                  <w:tcW w:w="2753" w:type="dxa"/>
                  <w:vAlign w:val="center"/>
                </w:tcPr>
                <w:p w14:paraId="6B4092F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压实度应大于（%）</w:t>
                  </w:r>
                </w:p>
              </w:tc>
            </w:tr>
            <w:tr w14:paraId="0782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626" w:type="dxa"/>
                  <w:vMerge w:val="restart"/>
                  <w:vAlign w:val="center"/>
                </w:tcPr>
                <w:p w14:paraId="712D734D">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填方</w:t>
                  </w:r>
                </w:p>
              </w:tc>
              <w:tc>
                <w:tcPr>
                  <w:tcW w:w="2879" w:type="dxa"/>
                  <w:vAlign w:val="center"/>
                </w:tcPr>
                <w:p w14:paraId="6B030A61">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0～0.8</w:t>
                  </w:r>
                </w:p>
              </w:tc>
              <w:tc>
                <w:tcPr>
                  <w:tcW w:w="2753" w:type="dxa"/>
                  <w:vAlign w:val="center"/>
                </w:tcPr>
                <w:p w14:paraId="6A46C5F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95</w:t>
                  </w:r>
                </w:p>
              </w:tc>
            </w:tr>
            <w:tr w14:paraId="0621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626" w:type="dxa"/>
                  <w:vMerge w:val="continue"/>
                  <w:vAlign w:val="center"/>
                </w:tcPr>
                <w:p w14:paraId="7EBB655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79" w:type="dxa"/>
                  <w:vAlign w:val="center"/>
                </w:tcPr>
                <w:p w14:paraId="1F80A8D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0.8～1.5</w:t>
                  </w:r>
                </w:p>
              </w:tc>
              <w:tc>
                <w:tcPr>
                  <w:tcW w:w="2753" w:type="dxa"/>
                  <w:vAlign w:val="center"/>
                </w:tcPr>
                <w:p w14:paraId="4EF5101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93</w:t>
                  </w:r>
                </w:p>
              </w:tc>
            </w:tr>
            <w:tr w14:paraId="5A27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6" w:type="dxa"/>
                  <w:vMerge w:val="continue"/>
                  <w:vAlign w:val="center"/>
                </w:tcPr>
                <w:p w14:paraId="35BF4D9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79" w:type="dxa"/>
                  <w:vAlign w:val="center"/>
                </w:tcPr>
                <w:p w14:paraId="2085B275">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1.5以下</w:t>
                  </w:r>
                </w:p>
              </w:tc>
              <w:tc>
                <w:tcPr>
                  <w:tcW w:w="2753" w:type="dxa"/>
                  <w:vAlign w:val="center"/>
                </w:tcPr>
                <w:p w14:paraId="4CDF6D2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92</w:t>
                  </w:r>
                </w:p>
              </w:tc>
            </w:tr>
            <w:tr w14:paraId="558B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26" w:type="dxa"/>
                  <w:vMerge w:val="restart"/>
                  <w:vAlign w:val="center"/>
                </w:tcPr>
                <w:p w14:paraId="006BA95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零填或挖方</w:t>
                  </w:r>
                </w:p>
              </w:tc>
              <w:tc>
                <w:tcPr>
                  <w:tcW w:w="2879" w:type="dxa"/>
                  <w:vAlign w:val="center"/>
                </w:tcPr>
                <w:p w14:paraId="0474145D">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0～0.3</w:t>
                  </w:r>
                </w:p>
              </w:tc>
              <w:tc>
                <w:tcPr>
                  <w:tcW w:w="2753" w:type="dxa"/>
                  <w:vAlign w:val="center"/>
                </w:tcPr>
                <w:p w14:paraId="03D316D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93</w:t>
                  </w:r>
                </w:p>
              </w:tc>
            </w:tr>
            <w:tr w14:paraId="74FA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626" w:type="dxa"/>
                  <w:vMerge w:val="continue"/>
                  <w:vAlign w:val="center"/>
                </w:tcPr>
                <w:p w14:paraId="7549CBB6">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p>
              </w:tc>
              <w:tc>
                <w:tcPr>
                  <w:tcW w:w="2879" w:type="dxa"/>
                  <w:vAlign w:val="center"/>
                </w:tcPr>
                <w:p w14:paraId="4B4DC4CF">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lang w:val="en-US" w:eastAsia="zh-CN" w:bidi="ar"/>
                    </w:rPr>
                    <w:t>0.3～0.8</w:t>
                  </w:r>
                </w:p>
              </w:tc>
              <w:tc>
                <w:tcPr>
                  <w:tcW w:w="2753" w:type="dxa"/>
                  <w:vAlign w:val="center"/>
                </w:tcPr>
                <w:p w14:paraId="0EA1E41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92</w:t>
                  </w:r>
                </w:p>
              </w:tc>
            </w:tr>
          </w:tbl>
          <w:p w14:paraId="7A00B1EF">
            <w:pPr>
              <w:keepNext w:val="0"/>
              <w:keepLines w:val="0"/>
              <w:widowControl/>
              <w:suppressLineNumbers w:val="0"/>
              <w:spacing w:line="360" w:lineRule="auto"/>
              <w:jc w:val="left"/>
              <w:rPr>
                <w:rFonts w:hint="default" w:ascii="Times New Roman" w:hAnsi="Times New Roman" w:eastAsia="宋体" w:cs="Times New Roman"/>
                <w:b w:val="0"/>
                <w:bCs/>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注：表中数值均为重型击实标准。</w:t>
            </w:r>
          </w:p>
          <w:p w14:paraId="2B62D17E">
            <w:pPr>
              <w:keepNext w:val="0"/>
              <w:keepLines w:val="0"/>
              <w:widowControl/>
              <w:numPr>
                <w:ilvl w:val="0"/>
                <w:numId w:val="0"/>
              </w:numPr>
              <w:suppressLineNumbers w:val="0"/>
              <w:spacing w:line="360" w:lineRule="auto"/>
              <w:ind w:leftChars="200"/>
              <w:jc w:val="lef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）新旧路基搭接设计</w:t>
            </w:r>
          </w:p>
          <w:p w14:paraId="5EA3902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5号路起点与现状道路相接，该位置新旧路基搭接设计如下：将旧路边坡表面松土草皮清除，然后将旧路基分层破除，自上而下逐层开挖台阶，开挖一阶及时回填一阶，台阶高 1m，宽 2m 并向内倾 3%坡度。当老路堤高度小于 2m 时，老路堤坡面处理后，可直接填筑新路堤。施工中严禁将边坡清挖物作为新路堤填料。</w:t>
            </w:r>
          </w:p>
          <w:p w14:paraId="18EBC5CF">
            <w:pPr>
              <w:keepNext w:val="0"/>
              <w:keepLines w:val="0"/>
              <w:widowControl/>
              <w:numPr>
                <w:ilvl w:val="0"/>
                <w:numId w:val="6"/>
              </w:numPr>
              <w:suppressLineNumbers w:val="0"/>
              <w:spacing w:line="360" w:lineRule="auto"/>
              <w:ind w:left="480" w:leftChars="200" w:firstLine="0"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其他路基</w:t>
            </w:r>
          </w:p>
          <w:p w14:paraId="5A2B4871">
            <w:pPr>
              <w:keepNext w:val="0"/>
              <w:keepLines w:val="0"/>
              <w:widowControl/>
              <w:numPr>
                <w:ilvl w:val="0"/>
                <w:numId w:val="0"/>
              </w:numPr>
              <w:suppressLineNumbers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道路填方路段两侧地坪按规划要求一般将予以填高，道路两侧地坪填筑时不会产生废弃工程量。坡度可结合用地、景观等因素综合考虑，以平缓的坡度，配之以绿化放坡处理，形成较好的绿化景观效果。</w:t>
            </w:r>
          </w:p>
          <w:p w14:paraId="54E7BA24">
            <w:pPr>
              <w:keepNext w:val="0"/>
              <w:keepLines w:val="0"/>
              <w:widowControl/>
              <w:numPr>
                <w:ilvl w:val="0"/>
                <w:numId w:val="0"/>
              </w:numPr>
              <w:suppressLineNumbers w:val="0"/>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4.5路面工程</w:t>
            </w:r>
          </w:p>
          <w:p w14:paraId="6863812F">
            <w:pPr>
              <w:keepNext w:val="0"/>
              <w:keepLines w:val="0"/>
              <w:widowControl/>
              <w:numPr>
                <w:ilvl w:val="0"/>
                <w:numId w:val="0"/>
              </w:numPr>
              <w:suppressLineNumbers w:val="0"/>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1.路面方案</w:t>
            </w:r>
          </w:p>
          <w:p w14:paraId="2F062EFE">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根据本道路等级要求，遵循因地制宜、合理选材、方便施工、利于养护的原则，本工程路面采用沥青混凝土路面。</w:t>
            </w:r>
          </w:p>
          <w:p w14:paraId="27920FAA">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2.路面结构设计</w:t>
            </w:r>
          </w:p>
          <w:p w14:paraId="7340AB88">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本工程路面采用沥青柔性路面</w:t>
            </w:r>
            <w:r>
              <w:rPr>
                <w:rFonts w:hint="default" w:ascii="Times New Roman" w:hAnsi="Times New Roman" w:eastAsia="宋体" w:cs="Times New Roman"/>
                <w:color w:val="auto"/>
                <w:sz w:val="24"/>
                <w:szCs w:val="24"/>
                <w:highlight w:val="none"/>
                <w:lang w:eastAsia="zh-CN"/>
              </w:rPr>
              <w:t>，具体路面结构分为机动车道结构、非机动车道结构，人行道结构。路面结构形式如下：</w:t>
            </w:r>
          </w:p>
          <w:p w14:paraId="39958D85">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）机动车道路面结构</w:t>
            </w:r>
          </w:p>
          <w:p w14:paraId="2F794894">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2号路、3号路、</w:t>
            </w:r>
            <w:r>
              <w:rPr>
                <w:rFonts w:hint="default" w:ascii="Times New Roman" w:hAnsi="Times New Roman" w:eastAsia="宋体" w:cs="Times New Roman"/>
                <w:color w:val="auto"/>
                <w:sz w:val="24"/>
                <w:szCs w:val="24"/>
                <w:highlight w:val="none"/>
                <w:lang w:val="en-US" w:eastAsia="zh-CN"/>
              </w:rPr>
              <w:t>5号路</w:t>
            </w:r>
            <w:r>
              <w:rPr>
                <w:rFonts w:hint="eastAsia" w:ascii="Times New Roman" w:hAnsi="Times New Roman" w:cs="Times New Roman"/>
                <w:color w:val="auto"/>
                <w:sz w:val="24"/>
                <w:szCs w:val="24"/>
                <w:highlight w:val="none"/>
                <w:lang w:val="en-US" w:eastAsia="zh-CN"/>
              </w:rPr>
              <w:t>、6号路</w:t>
            </w:r>
            <w:r>
              <w:rPr>
                <w:rFonts w:hint="default" w:ascii="Times New Roman" w:hAnsi="Times New Roman" w:eastAsia="宋体" w:cs="Times New Roman"/>
                <w:color w:val="auto"/>
                <w:sz w:val="24"/>
                <w:szCs w:val="24"/>
                <w:highlight w:val="none"/>
                <w:lang w:val="en-US" w:eastAsia="zh-CN"/>
              </w:rPr>
              <w:t>车行道路面结构层如下：</w:t>
            </w:r>
          </w:p>
          <w:p w14:paraId="2634FD08">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4cm 沥青玛蹄脂碎石，SMA-13</w:t>
            </w:r>
          </w:p>
          <w:p w14:paraId="6675DDB7">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7cm 中粒式沥青混凝土，AC-20</w:t>
            </w:r>
          </w:p>
          <w:p w14:paraId="32797104">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6mm 稀浆封层（ES-2）</w:t>
            </w:r>
          </w:p>
          <w:p w14:paraId="602FE523">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30cm 水泥稳定碎石 （水泥含量 6%）</w:t>
            </w:r>
          </w:p>
          <w:p w14:paraId="703A054B">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20cm 级配碎石</w:t>
            </w:r>
          </w:p>
          <w:p w14:paraId="62AD575F">
            <w:pPr>
              <w:keepNext w:val="0"/>
              <w:keepLines w:val="0"/>
              <w:widowControl/>
              <w:suppressLineNumbers w:val="0"/>
              <w:spacing w:line="360" w:lineRule="auto"/>
              <w:ind w:firstLine="720" w:firstLineChars="3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总厚度 61.6cm。</w:t>
            </w:r>
          </w:p>
          <w:p w14:paraId="761A8E7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w:t>
            </w:r>
            <w:r>
              <w:rPr>
                <w:rFonts w:hint="eastAsia" w:ascii="Times New Roman" w:hAnsi="Times New Roman" w:cs="Times New Roman"/>
                <w:color w:val="000000"/>
                <w:kern w:val="0"/>
                <w:sz w:val="24"/>
                <w:szCs w:val="24"/>
                <w:lang w:val="en-US" w:eastAsia="zh-CN" w:bidi="ar"/>
              </w:rPr>
              <w:t>1号路、4号路、</w:t>
            </w:r>
            <w:r>
              <w:rPr>
                <w:rFonts w:hint="default" w:ascii="Times New Roman" w:hAnsi="Times New Roman" w:eastAsia="宋体" w:cs="Times New Roman"/>
                <w:color w:val="000000"/>
                <w:kern w:val="0"/>
                <w:sz w:val="24"/>
                <w:szCs w:val="24"/>
                <w:lang w:val="en-US" w:eastAsia="zh-CN" w:bidi="ar"/>
              </w:rPr>
              <w:t>7号路车行道路面结构层如下：</w:t>
            </w:r>
          </w:p>
          <w:p w14:paraId="4C3E9B50">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4cm 沥青玛蹄脂碎石，SMA-13 </w:t>
            </w:r>
          </w:p>
          <w:p w14:paraId="493EFE62">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5cm 中粒式沥青混凝土，AC-16 </w:t>
            </w:r>
          </w:p>
          <w:p w14:paraId="6495B78D">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7cm 粗粒式沥青混凝土，AC-25 </w:t>
            </w:r>
          </w:p>
          <w:p w14:paraId="7F89E975">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6mm 稀浆封层（ES-2）</w:t>
            </w:r>
          </w:p>
          <w:p w14:paraId="3527CDCB">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36cm 水泥稳定碎石 （水泥含量 6%） </w:t>
            </w:r>
          </w:p>
          <w:p w14:paraId="5015F05E">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20cm 级配碎石 </w:t>
            </w:r>
          </w:p>
          <w:p w14:paraId="3A55DC5C">
            <w:pPr>
              <w:keepNext w:val="0"/>
              <w:keepLines w:val="0"/>
              <w:widowControl/>
              <w:suppressLineNumbers w:val="0"/>
              <w:spacing w:line="360" w:lineRule="auto"/>
              <w:ind w:firstLine="720" w:firstLineChars="3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总厚度 72.6cm。</w:t>
            </w:r>
          </w:p>
          <w:p w14:paraId="3D6824E3">
            <w:pPr>
              <w:keepNext w:val="0"/>
              <w:keepLines w:val="0"/>
              <w:widowControl/>
              <w:numPr>
                <w:ilvl w:val="0"/>
                <w:numId w:val="8"/>
              </w:numPr>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非机动车道路面结构</w:t>
            </w:r>
          </w:p>
          <w:p w14:paraId="32B96A12">
            <w:pPr>
              <w:keepNext w:val="0"/>
              <w:keepLines w:val="0"/>
              <w:widowControl/>
              <w:suppressLineNumbers w:val="0"/>
              <w:spacing w:line="360" w:lineRule="auto"/>
              <w:jc w:val="center"/>
              <w:rPr>
                <w:rFonts w:hint="default" w:ascii="Times New Roman" w:hAnsi="Times New Roman" w:cs="Times New Roman"/>
                <w:b/>
                <w:bCs w:val="0"/>
                <w:sz w:val="24"/>
                <w:szCs w:val="24"/>
              </w:rPr>
            </w:pPr>
            <w:r>
              <w:rPr>
                <w:rFonts w:hint="default" w:ascii="Times New Roman" w:hAnsi="Times New Roman" w:eastAsia="宋体" w:cs="Times New Roman"/>
                <w:b/>
                <w:bCs w:val="0"/>
                <w:color w:val="000000"/>
                <w:kern w:val="0"/>
                <w:sz w:val="24"/>
                <w:szCs w:val="24"/>
                <w:lang w:val="en-US" w:eastAsia="zh-CN" w:bidi="ar"/>
              </w:rPr>
              <w:t>表1-5 非机动车道结构层</w:t>
            </w:r>
          </w:p>
          <w:tbl>
            <w:tblPr>
              <w:tblStyle w:val="16"/>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9"/>
              <w:gridCol w:w="1766"/>
              <w:gridCol w:w="1624"/>
            </w:tblGrid>
            <w:tr w14:paraId="0FE7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889" w:type="dxa"/>
                  <w:vAlign w:val="center"/>
                </w:tcPr>
                <w:p w14:paraId="6264160A">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名称</w:t>
                  </w:r>
                </w:p>
              </w:tc>
              <w:tc>
                <w:tcPr>
                  <w:tcW w:w="1766" w:type="dxa"/>
                  <w:vAlign w:val="center"/>
                </w:tcPr>
                <w:p w14:paraId="2350D7C5">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单位</w:t>
                  </w:r>
                </w:p>
              </w:tc>
              <w:tc>
                <w:tcPr>
                  <w:tcW w:w="1624" w:type="dxa"/>
                  <w:vAlign w:val="center"/>
                </w:tcPr>
                <w:p w14:paraId="3A9B3819">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厚度</w:t>
                  </w:r>
                </w:p>
              </w:tc>
            </w:tr>
            <w:tr w14:paraId="0378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889" w:type="dxa"/>
                  <w:vAlign w:val="center"/>
                </w:tcPr>
                <w:p w14:paraId="444C5CFB">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细粒式透水沥青混凝土混合料(PAC-13)</w:t>
                  </w:r>
                </w:p>
              </w:tc>
              <w:tc>
                <w:tcPr>
                  <w:tcW w:w="1766" w:type="dxa"/>
                  <w:vMerge w:val="restart"/>
                  <w:vAlign w:val="center"/>
                </w:tcPr>
                <w:p w14:paraId="65B8976E">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cm</w:t>
                  </w:r>
                </w:p>
              </w:tc>
              <w:tc>
                <w:tcPr>
                  <w:tcW w:w="1624" w:type="dxa"/>
                  <w:vAlign w:val="center"/>
                </w:tcPr>
                <w:p w14:paraId="291063BE">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4</w:t>
                  </w:r>
                </w:p>
              </w:tc>
            </w:tr>
            <w:tr w14:paraId="2414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889" w:type="dxa"/>
                  <w:vAlign w:val="center"/>
                </w:tcPr>
                <w:p w14:paraId="4EA7BF5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中粒式透水沥青混凝土混合料(PAC-16)</w:t>
                  </w:r>
                </w:p>
              </w:tc>
              <w:tc>
                <w:tcPr>
                  <w:tcW w:w="1766" w:type="dxa"/>
                  <w:vMerge w:val="continue"/>
                  <w:vAlign w:val="center"/>
                </w:tcPr>
                <w:p w14:paraId="111FD538">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1624" w:type="dxa"/>
                  <w:vAlign w:val="center"/>
                </w:tcPr>
                <w:p w14:paraId="505E4182">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5</w:t>
                  </w:r>
                </w:p>
              </w:tc>
            </w:tr>
            <w:tr w14:paraId="61A1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889" w:type="dxa"/>
                  <w:vAlign w:val="center"/>
                </w:tcPr>
                <w:p w14:paraId="2EF3E12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C20 透水水泥混凝土</w:t>
                  </w:r>
                </w:p>
              </w:tc>
              <w:tc>
                <w:tcPr>
                  <w:tcW w:w="1766" w:type="dxa"/>
                  <w:vMerge w:val="continue"/>
                  <w:vAlign w:val="center"/>
                </w:tcPr>
                <w:p w14:paraId="1B7F402F">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1624" w:type="dxa"/>
                  <w:vAlign w:val="center"/>
                </w:tcPr>
                <w:p w14:paraId="3AE8E799">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20</w:t>
                  </w:r>
                </w:p>
              </w:tc>
            </w:tr>
            <w:tr w14:paraId="248A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889" w:type="dxa"/>
                  <w:vAlign w:val="center"/>
                </w:tcPr>
                <w:p w14:paraId="0D305F1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级配碎石</w:t>
                  </w:r>
                </w:p>
              </w:tc>
              <w:tc>
                <w:tcPr>
                  <w:tcW w:w="1766" w:type="dxa"/>
                  <w:vMerge w:val="continue"/>
                  <w:vAlign w:val="center"/>
                </w:tcPr>
                <w:p w14:paraId="653885BE">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1624" w:type="dxa"/>
                  <w:vAlign w:val="center"/>
                </w:tcPr>
                <w:p w14:paraId="224FFD92">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bl>
          <w:p w14:paraId="6A991E41">
            <w:pPr>
              <w:keepNext w:val="0"/>
              <w:keepLines w:val="0"/>
              <w:widowControl/>
              <w:numPr>
                <w:ilvl w:val="0"/>
                <w:numId w:val="8"/>
              </w:numPr>
              <w:suppressLineNumbers w:val="0"/>
              <w:spacing w:line="360" w:lineRule="auto"/>
              <w:ind w:left="0" w:leftChars="0" w:firstLine="0"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人行道路面结构</w:t>
            </w:r>
          </w:p>
          <w:p w14:paraId="2E91F9A2">
            <w:pPr>
              <w:keepNext w:val="0"/>
              <w:keepLines w:val="0"/>
              <w:widowControl/>
              <w:suppressLineNumbers w:val="0"/>
              <w:spacing w:line="360" w:lineRule="auto"/>
              <w:jc w:val="center"/>
              <w:rPr>
                <w:rFonts w:hint="default" w:ascii="Times New Roman" w:hAnsi="Times New Roman" w:cs="Times New Roman"/>
                <w:b/>
                <w:bCs w:val="0"/>
                <w:sz w:val="24"/>
                <w:szCs w:val="24"/>
              </w:rPr>
            </w:pPr>
            <w:r>
              <w:rPr>
                <w:rFonts w:hint="default" w:ascii="Times New Roman" w:hAnsi="Times New Roman" w:eastAsia="宋体" w:cs="Times New Roman"/>
                <w:b/>
                <w:bCs w:val="0"/>
                <w:color w:val="000000"/>
                <w:kern w:val="0"/>
                <w:sz w:val="24"/>
                <w:szCs w:val="24"/>
                <w:lang w:val="en-US" w:eastAsia="zh-CN" w:bidi="ar"/>
              </w:rPr>
              <w:t>表1-6 人行道结构层</w:t>
            </w:r>
          </w:p>
          <w:tbl>
            <w:tblPr>
              <w:tblStyle w:val="16"/>
              <w:tblW w:w="8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1"/>
              <w:gridCol w:w="1770"/>
              <w:gridCol w:w="1628"/>
            </w:tblGrid>
            <w:tr w14:paraId="5444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901" w:type="dxa"/>
                  <w:vAlign w:val="center"/>
                </w:tcPr>
                <w:p w14:paraId="0FE0C4C6">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名称</w:t>
                  </w:r>
                </w:p>
              </w:tc>
              <w:tc>
                <w:tcPr>
                  <w:tcW w:w="1770" w:type="dxa"/>
                  <w:vAlign w:val="center"/>
                </w:tcPr>
                <w:p w14:paraId="450BCEFD">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单位</w:t>
                  </w:r>
                </w:p>
              </w:tc>
              <w:tc>
                <w:tcPr>
                  <w:tcW w:w="1628" w:type="dxa"/>
                  <w:vAlign w:val="center"/>
                </w:tcPr>
                <w:p w14:paraId="5B574C86">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厚度</w:t>
                  </w:r>
                </w:p>
              </w:tc>
            </w:tr>
            <w:tr w14:paraId="64FF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01" w:type="dxa"/>
                  <w:vAlign w:val="center"/>
                </w:tcPr>
                <w:p w14:paraId="6F3B7CE3">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透水性步砖</w:t>
                  </w:r>
                </w:p>
              </w:tc>
              <w:tc>
                <w:tcPr>
                  <w:tcW w:w="1770" w:type="dxa"/>
                  <w:vMerge w:val="restart"/>
                  <w:vAlign w:val="center"/>
                </w:tcPr>
                <w:p w14:paraId="7F0CB603">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cm</w:t>
                  </w:r>
                </w:p>
              </w:tc>
              <w:tc>
                <w:tcPr>
                  <w:tcW w:w="1628" w:type="dxa"/>
                  <w:vAlign w:val="center"/>
                </w:tcPr>
                <w:p w14:paraId="2E1AC625">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6</w:t>
                  </w:r>
                </w:p>
              </w:tc>
            </w:tr>
            <w:tr w14:paraId="1B6C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901" w:type="dxa"/>
                  <w:vAlign w:val="center"/>
                </w:tcPr>
                <w:p w14:paraId="332AC7A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1:6干性水泥砂浆</w:t>
                  </w:r>
                </w:p>
              </w:tc>
              <w:tc>
                <w:tcPr>
                  <w:tcW w:w="1770" w:type="dxa"/>
                  <w:vMerge w:val="continue"/>
                  <w:vAlign w:val="center"/>
                </w:tcPr>
                <w:p w14:paraId="478CA3CB">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1628" w:type="dxa"/>
                  <w:vAlign w:val="center"/>
                </w:tcPr>
                <w:p w14:paraId="434736E5">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3</w:t>
                  </w:r>
                </w:p>
              </w:tc>
            </w:tr>
            <w:tr w14:paraId="0EE1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01" w:type="dxa"/>
                  <w:vAlign w:val="center"/>
                </w:tcPr>
                <w:p w14:paraId="7BCAC88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C20 无砂大孔混凝土</w:t>
                  </w:r>
                </w:p>
              </w:tc>
              <w:tc>
                <w:tcPr>
                  <w:tcW w:w="1770" w:type="dxa"/>
                  <w:vMerge w:val="continue"/>
                  <w:vAlign w:val="center"/>
                </w:tcPr>
                <w:p w14:paraId="3BA1CBE3">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1628" w:type="dxa"/>
                  <w:vAlign w:val="center"/>
                </w:tcPr>
                <w:p w14:paraId="55E1ABD1">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20</w:t>
                  </w:r>
                </w:p>
              </w:tc>
            </w:tr>
            <w:tr w14:paraId="3BF0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901" w:type="dxa"/>
                  <w:vAlign w:val="center"/>
                </w:tcPr>
                <w:p w14:paraId="04626C9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碎石垫层</w:t>
                  </w:r>
                </w:p>
              </w:tc>
              <w:tc>
                <w:tcPr>
                  <w:tcW w:w="1770" w:type="dxa"/>
                  <w:vMerge w:val="continue"/>
                  <w:vAlign w:val="center"/>
                </w:tcPr>
                <w:p w14:paraId="3B91E848">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1628" w:type="dxa"/>
                  <w:vAlign w:val="center"/>
                </w:tcPr>
                <w:p w14:paraId="0B8CAEF0">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bl>
          <w:p w14:paraId="4247AB78">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4.6交叉工程</w:t>
            </w:r>
          </w:p>
          <w:p w14:paraId="26C8A0C0">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b w:val="0"/>
                <w:bCs w:val="0"/>
                <w:color w:val="auto"/>
                <w:kern w:val="0"/>
                <w:sz w:val="24"/>
                <w:szCs w:val="24"/>
                <w:lang w:val="en-US" w:eastAsia="zh-CN" w:bidi="ar"/>
              </w:rPr>
              <w:t>7条道路为城市次干道，沿线交叉口均采用平面交叉的形式。</w:t>
            </w:r>
            <w:r>
              <w:rPr>
                <w:rFonts w:hint="default" w:ascii="Times New Roman" w:hAnsi="Times New Roman" w:cs="Times New Roman"/>
                <w:color w:val="auto"/>
                <w:sz w:val="24"/>
                <w:highlight w:val="none"/>
              </w:rPr>
              <w:t>平面交叉口转弯半径均应符合相应等级道路的规范要求。交叉道路原则上应满足次要道路服从主要道路的通行，提高通行能力，提高安全性。</w:t>
            </w:r>
            <w:r>
              <w:rPr>
                <w:rFonts w:hint="eastAsia" w:cs="Times New Roman"/>
                <w:color w:val="auto"/>
                <w:sz w:val="24"/>
                <w:highlight w:val="none"/>
                <w:lang w:eastAsia="zh-CN"/>
              </w:rPr>
              <w:t>具体</w:t>
            </w:r>
            <w:r>
              <w:rPr>
                <w:rFonts w:hint="default" w:ascii="Times New Roman" w:hAnsi="Times New Roman" w:cs="Times New Roman"/>
                <w:color w:val="auto"/>
                <w:sz w:val="24"/>
                <w:highlight w:val="none"/>
                <w:lang w:eastAsia="zh-CN"/>
              </w:rPr>
              <w:t>位置见图</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1。</w:t>
            </w:r>
          </w:p>
          <w:p w14:paraId="6B3A1632">
            <w:pPr>
              <w:keepNext w:val="0"/>
              <w:keepLines w:val="0"/>
              <w:widowControl/>
              <w:numPr>
                <w:ilvl w:val="0"/>
                <w:numId w:val="0"/>
              </w:numPr>
              <w:suppressLineNumbers w:val="0"/>
              <w:spacing w:line="360" w:lineRule="auto"/>
              <w:ind w:leftChars="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表1-7 平面交叉一览表</w:t>
            </w:r>
          </w:p>
          <w:tbl>
            <w:tblPr>
              <w:tblStyle w:val="1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2075"/>
              <w:gridCol w:w="2075"/>
              <w:gridCol w:w="2075"/>
            </w:tblGrid>
            <w:tr w14:paraId="4A42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075" w:type="dxa"/>
                  <w:vAlign w:val="center"/>
                </w:tcPr>
                <w:p w14:paraId="3646FC96">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道路</w:t>
                  </w:r>
                </w:p>
              </w:tc>
              <w:tc>
                <w:tcPr>
                  <w:tcW w:w="2075" w:type="dxa"/>
                  <w:vAlign w:val="center"/>
                </w:tcPr>
                <w:p w14:paraId="564AC264">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相交道路</w:t>
                  </w:r>
                </w:p>
              </w:tc>
              <w:tc>
                <w:tcPr>
                  <w:tcW w:w="2075" w:type="dxa"/>
                  <w:vAlign w:val="center"/>
                </w:tcPr>
                <w:p w14:paraId="1E74BA16">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相交道路等级</w:t>
                  </w:r>
                </w:p>
              </w:tc>
              <w:tc>
                <w:tcPr>
                  <w:tcW w:w="2075" w:type="dxa"/>
                  <w:vAlign w:val="center"/>
                </w:tcPr>
                <w:p w14:paraId="6FEDFD2F">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相交方式</w:t>
                  </w:r>
                </w:p>
              </w:tc>
            </w:tr>
            <w:tr w14:paraId="112B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075" w:type="dxa"/>
                  <w:vMerge w:val="restart"/>
                  <w:vAlign w:val="center"/>
                </w:tcPr>
                <w:p w14:paraId="75B89DA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1号路</w:t>
                  </w:r>
                </w:p>
              </w:tc>
              <w:tc>
                <w:tcPr>
                  <w:tcW w:w="2075" w:type="dxa"/>
                  <w:vAlign w:val="center"/>
                </w:tcPr>
                <w:p w14:paraId="2D2B36D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田园大道</w:t>
                  </w:r>
                </w:p>
              </w:tc>
              <w:tc>
                <w:tcPr>
                  <w:tcW w:w="2075" w:type="dxa"/>
                  <w:vAlign w:val="center"/>
                </w:tcPr>
                <w:p w14:paraId="2FA253B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2075" w:type="dxa"/>
                  <w:vAlign w:val="center"/>
                </w:tcPr>
                <w:p w14:paraId="4E88D99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3D9A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075" w:type="dxa"/>
                  <w:vMerge w:val="continue"/>
                  <w:vAlign w:val="center"/>
                </w:tcPr>
                <w:p w14:paraId="74CAECE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02CA9C2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24C4649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70BA677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4A33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075" w:type="dxa"/>
                  <w:vMerge w:val="continue"/>
                  <w:vAlign w:val="center"/>
                </w:tcPr>
                <w:p w14:paraId="68C36AD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AF1B88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32m规划道路</w:t>
                  </w:r>
                </w:p>
              </w:tc>
              <w:tc>
                <w:tcPr>
                  <w:tcW w:w="2075" w:type="dxa"/>
                  <w:vAlign w:val="center"/>
                </w:tcPr>
                <w:p w14:paraId="2E6E5AC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5394A63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1562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075" w:type="dxa"/>
                  <w:vMerge w:val="continue"/>
                  <w:vAlign w:val="center"/>
                </w:tcPr>
                <w:p w14:paraId="1F958D9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2F0ED4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5E48938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6C02CEF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0060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075" w:type="dxa"/>
                  <w:vMerge w:val="continue"/>
                  <w:vAlign w:val="center"/>
                </w:tcPr>
                <w:p w14:paraId="0D64557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3E1BAE5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2075" w:type="dxa"/>
                  <w:vAlign w:val="center"/>
                </w:tcPr>
                <w:p w14:paraId="1FA6ACD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2B683DD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75CF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161FD79D">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2号路</w:t>
                  </w:r>
                </w:p>
              </w:tc>
              <w:tc>
                <w:tcPr>
                  <w:tcW w:w="2075" w:type="dxa"/>
                  <w:vAlign w:val="center"/>
                </w:tcPr>
                <w:p w14:paraId="60A2089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田园大道</w:t>
                  </w:r>
                </w:p>
              </w:tc>
              <w:tc>
                <w:tcPr>
                  <w:tcW w:w="2075" w:type="dxa"/>
                  <w:vAlign w:val="center"/>
                </w:tcPr>
                <w:p w14:paraId="54B9C1DF">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2075" w:type="dxa"/>
                  <w:vAlign w:val="center"/>
                </w:tcPr>
                <w:p w14:paraId="5C3DAF70">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3C4D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99877A4">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5B0752E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5384148F">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4592893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4885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71E68559">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5AF4B29D">
                  <w:pPr>
                    <w:keepNext w:val="0"/>
                    <w:keepLines w:val="0"/>
                    <w:widowControl/>
                    <w:numPr>
                      <w:ilvl w:val="0"/>
                      <w:numId w:val="0"/>
                    </w:numPr>
                    <w:suppressLineNumbers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314D56B6">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7A7F7FA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450F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016013B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12830F3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32m规划道路</w:t>
                  </w:r>
                </w:p>
              </w:tc>
              <w:tc>
                <w:tcPr>
                  <w:tcW w:w="2075" w:type="dxa"/>
                  <w:vAlign w:val="center"/>
                </w:tcPr>
                <w:p w14:paraId="48D4A495">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5A46CDA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5055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4958203B">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16C0941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5144AD6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11333C6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3B75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075" w:type="dxa"/>
                  <w:vMerge w:val="continue"/>
                  <w:vAlign w:val="center"/>
                </w:tcPr>
                <w:p w14:paraId="51A20046">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21D121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2075" w:type="dxa"/>
                  <w:vAlign w:val="center"/>
                </w:tcPr>
                <w:p w14:paraId="7EDDA7CD">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4219FE65">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658F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5FD6D413">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3号路</w:t>
                  </w:r>
                </w:p>
              </w:tc>
              <w:tc>
                <w:tcPr>
                  <w:tcW w:w="2075" w:type="dxa"/>
                  <w:vAlign w:val="center"/>
                </w:tcPr>
                <w:p w14:paraId="19C2EF2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田园大道</w:t>
                  </w:r>
                </w:p>
              </w:tc>
              <w:tc>
                <w:tcPr>
                  <w:tcW w:w="2075" w:type="dxa"/>
                  <w:vAlign w:val="center"/>
                </w:tcPr>
                <w:p w14:paraId="4237D9A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2075" w:type="dxa"/>
                  <w:vAlign w:val="center"/>
                </w:tcPr>
                <w:p w14:paraId="2DBFF835">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3463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CD8DBAA">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4A0BB94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4DE537B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086B193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687B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23ACC2A7">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61B59E8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35AEA51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3DB5882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22F6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8B16C2C">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022541B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32m规划道路</w:t>
                  </w:r>
                </w:p>
              </w:tc>
              <w:tc>
                <w:tcPr>
                  <w:tcW w:w="2075" w:type="dxa"/>
                  <w:vAlign w:val="center"/>
                </w:tcPr>
                <w:p w14:paraId="4F89005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4D2F0CF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093F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0FAE72E9">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4F72BC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3C12967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21DCDEF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2DA8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4A9078CA">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6900F3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2075" w:type="dxa"/>
                  <w:vAlign w:val="center"/>
                </w:tcPr>
                <w:p w14:paraId="32EDE13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3A107FE0">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0316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1FF3FCC">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16B0AA47">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5号路</w:t>
                  </w:r>
                </w:p>
              </w:tc>
              <w:tc>
                <w:tcPr>
                  <w:tcW w:w="2075" w:type="dxa"/>
                  <w:vAlign w:val="center"/>
                </w:tcPr>
                <w:p w14:paraId="09D8A3B7">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7DAA7CBE">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3299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12B7370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w:t>
                  </w:r>
                </w:p>
              </w:tc>
              <w:tc>
                <w:tcPr>
                  <w:tcW w:w="2075" w:type="dxa"/>
                  <w:vAlign w:val="center"/>
                </w:tcPr>
                <w:p w14:paraId="46448FE8">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田园大道</w:t>
                  </w:r>
                </w:p>
              </w:tc>
              <w:tc>
                <w:tcPr>
                  <w:tcW w:w="2075" w:type="dxa"/>
                  <w:vAlign w:val="center"/>
                </w:tcPr>
                <w:p w14:paraId="62B9B723">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2075" w:type="dxa"/>
                  <w:vAlign w:val="center"/>
                </w:tcPr>
                <w:p w14:paraId="79C19EC4">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7B2F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647609B">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140B537C">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4号路（南）/（北）</w:t>
                  </w:r>
                </w:p>
              </w:tc>
              <w:tc>
                <w:tcPr>
                  <w:tcW w:w="2075" w:type="dxa"/>
                  <w:vAlign w:val="center"/>
                </w:tcPr>
                <w:p w14:paraId="2630D400">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2075" w:type="dxa"/>
                  <w:vAlign w:val="center"/>
                </w:tcPr>
                <w:p w14:paraId="0A4F1D5A">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“Y型”交叉</w:t>
                  </w:r>
                </w:p>
              </w:tc>
            </w:tr>
            <w:tr w14:paraId="516E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593D87E3">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4号路（北）</w:t>
                  </w:r>
                </w:p>
              </w:tc>
              <w:tc>
                <w:tcPr>
                  <w:tcW w:w="2075" w:type="dxa"/>
                  <w:vAlign w:val="center"/>
                </w:tcPr>
                <w:p w14:paraId="62AFA223">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w:t>
                  </w:r>
                </w:p>
              </w:tc>
              <w:tc>
                <w:tcPr>
                  <w:tcW w:w="2075" w:type="dxa"/>
                  <w:vAlign w:val="center"/>
                </w:tcPr>
                <w:p w14:paraId="31262F38">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2075" w:type="dxa"/>
                  <w:vAlign w:val="center"/>
                </w:tcPr>
                <w:p w14:paraId="0C719F8D">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“Y型”交叉</w:t>
                  </w:r>
                </w:p>
              </w:tc>
            </w:tr>
            <w:tr w14:paraId="2E93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F571B1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4F93BED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7BEB524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25DBB764">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4202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83269A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128AA25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1438112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62AB5A44">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7C4D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02D1AF8">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4FED21B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32m规划道路</w:t>
                  </w:r>
                </w:p>
              </w:tc>
              <w:tc>
                <w:tcPr>
                  <w:tcW w:w="2075" w:type="dxa"/>
                  <w:vAlign w:val="center"/>
                </w:tcPr>
                <w:p w14:paraId="5B13B34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3C852C85">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067B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B8B5229">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32166E6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1189E25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72AA7724">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5173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864D649">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006E2C7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2075" w:type="dxa"/>
                  <w:vAlign w:val="center"/>
                </w:tcPr>
                <w:p w14:paraId="1512770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66291B46">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2A3C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63F414EB">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4号路（南）</w:t>
                  </w:r>
                </w:p>
              </w:tc>
              <w:tc>
                <w:tcPr>
                  <w:tcW w:w="2075" w:type="dxa"/>
                  <w:vAlign w:val="center"/>
                </w:tcPr>
                <w:p w14:paraId="13BF3D8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w:t>
                  </w:r>
                </w:p>
              </w:tc>
              <w:tc>
                <w:tcPr>
                  <w:tcW w:w="2075" w:type="dxa"/>
                  <w:vAlign w:val="center"/>
                </w:tcPr>
                <w:p w14:paraId="0A825AD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2075" w:type="dxa"/>
                  <w:vAlign w:val="center"/>
                </w:tcPr>
                <w:p w14:paraId="75D95509">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“Y型”交叉</w:t>
                  </w:r>
                </w:p>
              </w:tc>
            </w:tr>
            <w:tr w14:paraId="1239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23D47FBD">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E4A209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1B38B98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5DBE5531">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740B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2E53B68">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1E2717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07943C7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540B91B9">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6E1F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293D3B5B">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18D2B8D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32m规划道路</w:t>
                  </w:r>
                </w:p>
              </w:tc>
              <w:tc>
                <w:tcPr>
                  <w:tcW w:w="2075" w:type="dxa"/>
                  <w:vAlign w:val="center"/>
                </w:tcPr>
                <w:p w14:paraId="778DC00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6F629CA0">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189D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6F70054">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3CBD7F7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6B33049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0511C244">
                  <w:pPr>
                    <w:keepNext w:val="0"/>
                    <w:keepLines w:val="0"/>
                    <w:widowControl/>
                    <w:numPr>
                      <w:ilvl w:val="0"/>
                      <w:numId w:val="0"/>
                    </w:numPr>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2019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AD7BF22">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0A1D43A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2075" w:type="dxa"/>
                  <w:vAlign w:val="center"/>
                </w:tcPr>
                <w:p w14:paraId="4FCCD14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2327F1FE">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56C7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64FA496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5号路</w:t>
                  </w:r>
                </w:p>
              </w:tc>
              <w:tc>
                <w:tcPr>
                  <w:tcW w:w="2075" w:type="dxa"/>
                  <w:vAlign w:val="center"/>
                </w:tcPr>
                <w:p w14:paraId="068609A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田园大道</w:t>
                  </w:r>
                </w:p>
              </w:tc>
              <w:tc>
                <w:tcPr>
                  <w:tcW w:w="2075" w:type="dxa"/>
                  <w:vAlign w:val="center"/>
                </w:tcPr>
                <w:p w14:paraId="3E91BAC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主干道</w:t>
                  </w:r>
                </w:p>
              </w:tc>
              <w:tc>
                <w:tcPr>
                  <w:tcW w:w="2075" w:type="dxa"/>
                  <w:vAlign w:val="center"/>
                </w:tcPr>
                <w:p w14:paraId="2A8DED6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“T型”交叉</w:t>
                  </w:r>
                </w:p>
              </w:tc>
            </w:tr>
            <w:tr w14:paraId="6131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1FDD30C">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36A10F7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15m规划道路</w:t>
                  </w:r>
                </w:p>
              </w:tc>
              <w:tc>
                <w:tcPr>
                  <w:tcW w:w="2075" w:type="dxa"/>
                  <w:vAlign w:val="center"/>
                </w:tcPr>
                <w:p w14:paraId="50EEBE5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支路</w:t>
                  </w:r>
                </w:p>
              </w:tc>
              <w:tc>
                <w:tcPr>
                  <w:tcW w:w="2075" w:type="dxa"/>
                  <w:vAlign w:val="center"/>
                </w:tcPr>
                <w:p w14:paraId="66E9A43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“十字型”交叉</w:t>
                  </w:r>
                </w:p>
              </w:tc>
            </w:tr>
            <w:tr w14:paraId="3FCD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0A54AC45">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096DDAD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32m规划道路</w:t>
                  </w:r>
                </w:p>
              </w:tc>
              <w:tc>
                <w:tcPr>
                  <w:tcW w:w="2075" w:type="dxa"/>
                  <w:vAlign w:val="center"/>
                </w:tcPr>
                <w:p w14:paraId="7F8EA7D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次干道</w:t>
                  </w:r>
                </w:p>
              </w:tc>
              <w:tc>
                <w:tcPr>
                  <w:tcW w:w="2075" w:type="dxa"/>
                  <w:vAlign w:val="center"/>
                </w:tcPr>
                <w:p w14:paraId="48C0E48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“十字型”交叉</w:t>
                  </w:r>
                </w:p>
              </w:tc>
            </w:tr>
            <w:tr w14:paraId="1DBA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46E05E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32A8E1B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25m规划道路</w:t>
                  </w:r>
                </w:p>
              </w:tc>
              <w:tc>
                <w:tcPr>
                  <w:tcW w:w="2075" w:type="dxa"/>
                  <w:vAlign w:val="center"/>
                </w:tcPr>
                <w:p w14:paraId="22E6A49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支路</w:t>
                  </w:r>
                </w:p>
              </w:tc>
              <w:tc>
                <w:tcPr>
                  <w:tcW w:w="2075" w:type="dxa"/>
                  <w:vAlign w:val="center"/>
                </w:tcPr>
                <w:p w14:paraId="0D79C8E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“T型”交叉</w:t>
                  </w:r>
                </w:p>
              </w:tc>
            </w:tr>
            <w:tr w14:paraId="2F48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0A05C73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0" w:type="auto"/>
                  <w:vAlign w:val="center"/>
                </w:tcPr>
                <w:p w14:paraId="0906CB6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7号路</w:t>
                  </w:r>
                </w:p>
              </w:tc>
              <w:tc>
                <w:tcPr>
                  <w:tcW w:w="0" w:type="auto"/>
                  <w:vAlign w:val="center"/>
                </w:tcPr>
                <w:p w14:paraId="0E5B25D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次干道</w:t>
                  </w:r>
                </w:p>
              </w:tc>
              <w:tc>
                <w:tcPr>
                  <w:tcW w:w="0" w:type="auto"/>
                  <w:vAlign w:val="center"/>
                </w:tcPr>
                <w:p w14:paraId="5BB13E7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“十字型”交叉</w:t>
                  </w:r>
                </w:p>
              </w:tc>
            </w:tr>
            <w:tr w14:paraId="57FA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59D398D">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016989F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25m规划道路</w:t>
                  </w:r>
                </w:p>
              </w:tc>
              <w:tc>
                <w:tcPr>
                  <w:tcW w:w="2075" w:type="dxa"/>
                  <w:vAlign w:val="center"/>
                </w:tcPr>
                <w:p w14:paraId="6E36A84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支路</w:t>
                  </w:r>
                </w:p>
              </w:tc>
              <w:tc>
                <w:tcPr>
                  <w:tcW w:w="0" w:type="auto"/>
                  <w:vAlign w:val="center"/>
                </w:tcPr>
                <w:p w14:paraId="24E787C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0FE0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4324D29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5EFA7AB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25m规划道路</w:t>
                  </w:r>
                </w:p>
              </w:tc>
              <w:tc>
                <w:tcPr>
                  <w:tcW w:w="2075" w:type="dxa"/>
                  <w:vAlign w:val="center"/>
                </w:tcPr>
                <w:p w14:paraId="352A65C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支路</w:t>
                  </w:r>
                </w:p>
              </w:tc>
              <w:tc>
                <w:tcPr>
                  <w:tcW w:w="0" w:type="auto"/>
                  <w:vAlign w:val="center"/>
                </w:tcPr>
                <w:p w14:paraId="3660DDE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463A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2807CFD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462AA9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25m规划道路</w:t>
                  </w:r>
                </w:p>
              </w:tc>
              <w:tc>
                <w:tcPr>
                  <w:tcW w:w="2075" w:type="dxa"/>
                  <w:vAlign w:val="center"/>
                </w:tcPr>
                <w:p w14:paraId="5B7EF1C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支路</w:t>
                  </w:r>
                </w:p>
              </w:tc>
              <w:tc>
                <w:tcPr>
                  <w:tcW w:w="0" w:type="auto"/>
                  <w:vAlign w:val="center"/>
                </w:tcPr>
                <w:p w14:paraId="3A4E553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1C90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0225EC27">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9C0CDA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25m规划道路</w:t>
                  </w:r>
                </w:p>
              </w:tc>
              <w:tc>
                <w:tcPr>
                  <w:tcW w:w="2075" w:type="dxa"/>
                  <w:vAlign w:val="center"/>
                </w:tcPr>
                <w:p w14:paraId="0CA412D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支路</w:t>
                  </w:r>
                </w:p>
              </w:tc>
              <w:tc>
                <w:tcPr>
                  <w:tcW w:w="0" w:type="auto"/>
                  <w:vAlign w:val="center"/>
                </w:tcPr>
                <w:p w14:paraId="2915091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4D10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7850F47B">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0" w:type="auto"/>
                  <w:vAlign w:val="center"/>
                </w:tcPr>
                <w:p w14:paraId="3D8D606E">
                  <w:pPr>
                    <w:keepNext w:val="0"/>
                    <w:keepLines w:val="0"/>
                    <w:widowControl/>
                    <w:numPr>
                      <w:ilvl w:val="0"/>
                      <w:numId w:val="0"/>
                    </w:numPr>
                    <w:suppressLineNumbers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3号路</w:t>
                  </w:r>
                </w:p>
              </w:tc>
              <w:tc>
                <w:tcPr>
                  <w:tcW w:w="0" w:type="auto"/>
                  <w:vAlign w:val="center"/>
                </w:tcPr>
                <w:p w14:paraId="7F7CC8DD">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0" w:type="auto"/>
                  <w:vAlign w:val="center"/>
                </w:tcPr>
                <w:p w14:paraId="5D6D54A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0C17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28259449">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6号路</w:t>
                  </w:r>
                </w:p>
              </w:tc>
              <w:tc>
                <w:tcPr>
                  <w:tcW w:w="0" w:type="auto"/>
                  <w:vAlign w:val="center"/>
                </w:tcPr>
                <w:p w14:paraId="564A9596">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田园大道</w:t>
                  </w:r>
                </w:p>
              </w:tc>
              <w:tc>
                <w:tcPr>
                  <w:tcW w:w="0" w:type="auto"/>
                  <w:vAlign w:val="center"/>
                </w:tcPr>
                <w:p w14:paraId="7F85436D">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主干道</w:t>
                  </w:r>
                </w:p>
              </w:tc>
              <w:tc>
                <w:tcPr>
                  <w:tcW w:w="0" w:type="auto"/>
                  <w:vAlign w:val="center"/>
                </w:tcPr>
                <w:p w14:paraId="6E7DCF1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“T型”交叉</w:t>
                  </w:r>
                </w:p>
              </w:tc>
            </w:tr>
            <w:tr w14:paraId="1E20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0087635">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0" w:type="auto"/>
                  <w:vAlign w:val="center"/>
                </w:tcPr>
                <w:p w14:paraId="6A0964A3">
                  <w:pPr>
                    <w:keepNext w:val="0"/>
                    <w:keepLines w:val="0"/>
                    <w:widowControl/>
                    <w:numPr>
                      <w:ilvl w:val="0"/>
                      <w:numId w:val="0"/>
                    </w:numPr>
                    <w:suppressLineNumbers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0" w:type="auto"/>
                  <w:vAlign w:val="center"/>
                </w:tcPr>
                <w:p w14:paraId="0D55F8CC">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0" w:type="auto"/>
                  <w:vAlign w:val="center"/>
                </w:tcPr>
                <w:p w14:paraId="6A63532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“T型”交叉</w:t>
                  </w:r>
                </w:p>
              </w:tc>
            </w:tr>
            <w:tr w14:paraId="1385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CDF4755">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0" w:type="auto"/>
                  <w:vAlign w:val="center"/>
                </w:tcPr>
                <w:p w14:paraId="42E0ACA4">
                  <w:pPr>
                    <w:keepNext w:val="0"/>
                    <w:keepLines w:val="0"/>
                    <w:widowControl/>
                    <w:numPr>
                      <w:ilvl w:val="0"/>
                      <w:numId w:val="0"/>
                    </w:numPr>
                    <w:suppressLineNumbers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32m规划道路</w:t>
                  </w:r>
                </w:p>
              </w:tc>
              <w:tc>
                <w:tcPr>
                  <w:tcW w:w="0" w:type="auto"/>
                  <w:vAlign w:val="center"/>
                </w:tcPr>
                <w:p w14:paraId="1D6503D6">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0" w:type="auto"/>
                  <w:vAlign w:val="center"/>
                </w:tcPr>
                <w:p w14:paraId="317EF8E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5C07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3434FE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0" w:type="auto"/>
                  <w:vAlign w:val="center"/>
                </w:tcPr>
                <w:p w14:paraId="1D7B361C">
                  <w:pPr>
                    <w:keepNext w:val="0"/>
                    <w:keepLines w:val="0"/>
                    <w:widowControl/>
                    <w:numPr>
                      <w:ilvl w:val="0"/>
                      <w:numId w:val="0"/>
                    </w:numPr>
                    <w:suppressLineNumbers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0" w:type="auto"/>
                  <w:vAlign w:val="center"/>
                </w:tcPr>
                <w:p w14:paraId="36A7EA36">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0" w:type="auto"/>
                  <w:vAlign w:val="center"/>
                </w:tcPr>
                <w:p w14:paraId="72CDD68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7E28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4D453CC">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0" w:type="auto"/>
                  <w:vAlign w:val="center"/>
                </w:tcPr>
                <w:p w14:paraId="1DC97D3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0" w:type="auto"/>
                  <w:vAlign w:val="center"/>
                </w:tcPr>
                <w:p w14:paraId="38316CA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0" w:type="auto"/>
                  <w:vAlign w:val="center"/>
                </w:tcPr>
                <w:p w14:paraId="16AA22B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44F7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restart"/>
                  <w:vAlign w:val="center"/>
                </w:tcPr>
                <w:p w14:paraId="3A23BCB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7号路</w:t>
                  </w:r>
                </w:p>
              </w:tc>
              <w:tc>
                <w:tcPr>
                  <w:tcW w:w="2075" w:type="dxa"/>
                  <w:vAlign w:val="center"/>
                </w:tcPr>
                <w:p w14:paraId="169EEB6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1号路</w:t>
                  </w:r>
                </w:p>
              </w:tc>
              <w:tc>
                <w:tcPr>
                  <w:tcW w:w="2075" w:type="dxa"/>
                  <w:vAlign w:val="center"/>
                </w:tcPr>
                <w:p w14:paraId="1C17380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715D742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3B1B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64CDBDB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22F8AE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419C7BF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2FB1145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77C5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97722A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5E09091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32m规划道路</w:t>
                  </w:r>
                </w:p>
              </w:tc>
              <w:tc>
                <w:tcPr>
                  <w:tcW w:w="2075" w:type="dxa"/>
                  <w:vAlign w:val="center"/>
                </w:tcPr>
                <w:p w14:paraId="145F595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3263386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4426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584731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44E2AD7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75D1B07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194DB5A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0D6E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0ABC95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2BD107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2号路</w:t>
                  </w:r>
                </w:p>
              </w:tc>
              <w:tc>
                <w:tcPr>
                  <w:tcW w:w="2075" w:type="dxa"/>
                  <w:vAlign w:val="center"/>
                </w:tcPr>
                <w:p w14:paraId="412ACC7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7874209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0FBC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4E5243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63989DE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5DE30C2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45D9203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4483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32F633E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974FCC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3号路</w:t>
                  </w:r>
                </w:p>
              </w:tc>
              <w:tc>
                <w:tcPr>
                  <w:tcW w:w="2075" w:type="dxa"/>
                  <w:vAlign w:val="center"/>
                </w:tcPr>
                <w:p w14:paraId="7F26A62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38BD56D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5916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7FE17B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F7E771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45A8179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6C1F57E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6EF4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4210BAD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017D5C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4号路（南）</w:t>
                  </w:r>
                </w:p>
              </w:tc>
              <w:tc>
                <w:tcPr>
                  <w:tcW w:w="2075" w:type="dxa"/>
                  <w:vAlign w:val="center"/>
                </w:tcPr>
                <w:p w14:paraId="39B65DE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7840244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732D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27A7211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C08AD9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4号路（北）</w:t>
                  </w:r>
                </w:p>
              </w:tc>
              <w:tc>
                <w:tcPr>
                  <w:tcW w:w="2075" w:type="dxa"/>
                  <w:vAlign w:val="center"/>
                </w:tcPr>
                <w:p w14:paraId="383749B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次干道</w:t>
                  </w:r>
                </w:p>
              </w:tc>
              <w:tc>
                <w:tcPr>
                  <w:tcW w:w="2075" w:type="dxa"/>
                  <w:vAlign w:val="center"/>
                </w:tcPr>
                <w:p w14:paraId="475EC04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0D0B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558547A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0FEB81C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25m规划道路</w:t>
                  </w:r>
                </w:p>
              </w:tc>
              <w:tc>
                <w:tcPr>
                  <w:tcW w:w="2075" w:type="dxa"/>
                  <w:vAlign w:val="center"/>
                </w:tcPr>
                <w:p w14:paraId="7504E1E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c>
                <w:tcPr>
                  <w:tcW w:w="2075" w:type="dxa"/>
                  <w:vAlign w:val="center"/>
                </w:tcPr>
                <w:p w14:paraId="32EA2F2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4FFD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026A3C2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192F9E3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6号路</w:t>
                  </w:r>
                </w:p>
              </w:tc>
              <w:tc>
                <w:tcPr>
                  <w:tcW w:w="2075" w:type="dxa"/>
                  <w:vAlign w:val="center"/>
                </w:tcPr>
                <w:p w14:paraId="6D97630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次干道</w:t>
                  </w:r>
                </w:p>
              </w:tc>
              <w:tc>
                <w:tcPr>
                  <w:tcW w:w="2075" w:type="dxa"/>
                  <w:vAlign w:val="center"/>
                </w:tcPr>
                <w:p w14:paraId="71E4AE0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1DBA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7D8F32E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784BB2C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5号路</w:t>
                  </w:r>
                </w:p>
              </w:tc>
              <w:tc>
                <w:tcPr>
                  <w:tcW w:w="2075" w:type="dxa"/>
                  <w:vAlign w:val="center"/>
                </w:tcPr>
                <w:p w14:paraId="54D7DEB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次干道</w:t>
                  </w:r>
                </w:p>
              </w:tc>
              <w:tc>
                <w:tcPr>
                  <w:tcW w:w="2075" w:type="dxa"/>
                  <w:vAlign w:val="center"/>
                </w:tcPr>
                <w:p w14:paraId="213037F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“十字型”交叉</w:t>
                  </w:r>
                </w:p>
              </w:tc>
            </w:tr>
            <w:tr w14:paraId="60D4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75" w:type="dxa"/>
                  <w:vMerge w:val="continue"/>
                  <w:vAlign w:val="center"/>
                </w:tcPr>
                <w:p w14:paraId="15D6C17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21CF0CF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4441A3A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支路</w:t>
                  </w:r>
                </w:p>
              </w:tc>
              <w:tc>
                <w:tcPr>
                  <w:tcW w:w="2075" w:type="dxa"/>
                  <w:vAlign w:val="center"/>
                </w:tcPr>
                <w:p w14:paraId="32E0D64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r w14:paraId="0C61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075" w:type="dxa"/>
                  <w:vMerge w:val="continue"/>
                  <w:vAlign w:val="center"/>
                </w:tcPr>
                <w:p w14:paraId="7715258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2075" w:type="dxa"/>
                  <w:vAlign w:val="center"/>
                </w:tcPr>
                <w:p w14:paraId="3DA36FE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15m规划道路</w:t>
                  </w:r>
                </w:p>
              </w:tc>
              <w:tc>
                <w:tcPr>
                  <w:tcW w:w="2075" w:type="dxa"/>
                  <w:vAlign w:val="center"/>
                </w:tcPr>
                <w:p w14:paraId="54F4C1F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支路</w:t>
                  </w:r>
                </w:p>
              </w:tc>
              <w:tc>
                <w:tcPr>
                  <w:tcW w:w="2075" w:type="dxa"/>
                  <w:vAlign w:val="center"/>
                </w:tcPr>
                <w:p w14:paraId="2EF52EA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“T型”交叉</w:t>
                  </w:r>
                </w:p>
              </w:tc>
            </w:tr>
          </w:tbl>
          <w:p w14:paraId="17FA1820">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w:t>
            </w:r>
            <w:r>
              <w:rPr>
                <w:rFonts w:hint="eastAsia" w:ascii="Times New Roman" w:hAnsi="Times New Roman" w:cs="Times New Roman"/>
                <w:b/>
                <w:bCs/>
                <w:color w:val="auto"/>
                <w:kern w:val="0"/>
                <w:sz w:val="24"/>
                <w:szCs w:val="24"/>
                <w:lang w:val="en-US" w:eastAsia="zh-CN" w:bidi="ar"/>
              </w:rPr>
              <w:t>7</w:t>
            </w:r>
            <w:r>
              <w:rPr>
                <w:rFonts w:hint="default" w:ascii="Times New Roman" w:hAnsi="Times New Roman" w:eastAsia="宋体" w:cs="Times New Roman"/>
                <w:b/>
                <w:bCs/>
                <w:color w:val="auto"/>
                <w:kern w:val="0"/>
                <w:sz w:val="24"/>
                <w:szCs w:val="24"/>
                <w:lang w:val="en-US" w:eastAsia="zh-CN" w:bidi="ar"/>
              </w:rPr>
              <w:t>桥</w:t>
            </w:r>
            <w:r>
              <w:rPr>
                <w:rFonts w:hint="eastAsia" w:ascii="Times New Roman" w:hAnsi="Times New Roman" w:cs="Times New Roman"/>
                <w:b/>
                <w:bCs/>
                <w:color w:val="auto"/>
                <w:kern w:val="0"/>
                <w:sz w:val="24"/>
                <w:szCs w:val="24"/>
                <w:lang w:val="en-US" w:eastAsia="zh-CN" w:bidi="ar"/>
              </w:rPr>
              <w:t>涵</w:t>
            </w:r>
            <w:r>
              <w:rPr>
                <w:rFonts w:hint="default" w:ascii="Times New Roman" w:hAnsi="Times New Roman" w:eastAsia="宋体" w:cs="Times New Roman"/>
                <w:b/>
                <w:bCs/>
                <w:color w:val="auto"/>
                <w:kern w:val="0"/>
                <w:sz w:val="24"/>
                <w:szCs w:val="24"/>
                <w:lang w:val="en-US" w:eastAsia="zh-CN" w:bidi="ar"/>
              </w:rPr>
              <w:t>工程</w:t>
            </w:r>
          </w:p>
          <w:p w14:paraId="48CDC1CD">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1.桥梁工程</w:t>
            </w:r>
          </w:p>
          <w:p w14:paraId="774CB8FC">
            <w:pPr>
              <w:keepNext w:val="0"/>
              <w:keepLines w:val="0"/>
              <w:widowControl/>
              <w:suppressLineNumbers w:val="0"/>
              <w:ind w:firstLine="480" w:firstLineChars="200"/>
              <w:jc w:val="left"/>
              <w:rPr>
                <w:rFonts w:hint="eastAsia" w:ascii="宋体" w:hAnsi="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 号路、3 号路、4 号路（北）、4 号路（南）、5 号路、6 号路、7 号路。沿线现状用地多为农田，地势平坦开阔，道路与多条规划及现状河道相交。考虑到道路建成后沿线地块也将随之进行开发建设，本次设计仅考虑在规划河道位置设置桥梁。</w:t>
            </w:r>
            <w:r>
              <w:rPr>
                <w:rFonts w:ascii="宋体" w:hAnsi="宋体" w:eastAsia="宋体" w:cs="宋体"/>
                <w:color w:val="000000"/>
                <w:kern w:val="0"/>
                <w:sz w:val="24"/>
                <w:szCs w:val="24"/>
                <w:lang w:val="en-US" w:eastAsia="zh-CN" w:bidi="ar"/>
              </w:rPr>
              <w:t xml:space="preserve">本次桥梁设计均考虑采用 </w:t>
            </w:r>
            <w:r>
              <w:rPr>
                <w:rFonts w:hint="default" w:ascii="Times New Roman" w:hAnsi="Times New Roman" w:eastAsia="宋体" w:cs="Times New Roman"/>
                <w:color w:val="000000"/>
                <w:kern w:val="0"/>
                <w:sz w:val="24"/>
                <w:szCs w:val="24"/>
                <w:lang w:val="en-US" w:eastAsia="zh-CN" w:bidi="ar"/>
              </w:rPr>
              <w:t xml:space="preserve">24m </w:t>
            </w:r>
            <w:r>
              <w:rPr>
                <w:rFonts w:ascii="宋体" w:hAnsi="宋体" w:eastAsia="宋体" w:cs="宋体"/>
                <w:color w:val="000000"/>
                <w:kern w:val="0"/>
                <w:sz w:val="24"/>
                <w:szCs w:val="24"/>
                <w:lang w:val="en-US" w:eastAsia="zh-CN" w:bidi="ar"/>
              </w:rPr>
              <w:t>跨度简支梁跨越</w:t>
            </w:r>
            <w:r>
              <w:rPr>
                <w:rFonts w:hint="eastAsia" w:ascii="宋体" w:hAnsi="宋体" w:cs="宋体"/>
                <w:color w:val="000000"/>
                <w:kern w:val="0"/>
                <w:sz w:val="24"/>
                <w:szCs w:val="24"/>
                <w:lang w:val="en-US" w:eastAsia="zh-CN" w:bidi="ar"/>
              </w:rPr>
              <w:t>。</w:t>
            </w:r>
          </w:p>
          <w:p w14:paraId="6A95441C">
            <w:pPr>
              <w:keepNext w:val="0"/>
              <w:keepLines w:val="0"/>
              <w:widowControl/>
              <w:suppressLineNumbers w:val="0"/>
              <w:ind w:firstLine="482" w:firstLineChars="200"/>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表1-8 项目桥梁一览表</w:t>
            </w:r>
          </w:p>
          <w:tbl>
            <w:tblPr>
              <w:tblStyle w:val="16"/>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2201"/>
              <w:gridCol w:w="1107"/>
              <w:gridCol w:w="1046"/>
              <w:gridCol w:w="2438"/>
            </w:tblGrid>
            <w:tr w14:paraId="17C3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505" w:type="dxa"/>
                  <w:vAlign w:val="center"/>
                </w:tcPr>
                <w:p w14:paraId="7EDE36BB">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道路名称</w:t>
                  </w:r>
                </w:p>
              </w:tc>
              <w:tc>
                <w:tcPr>
                  <w:tcW w:w="2201" w:type="dxa"/>
                  <w:vAlign w:val="center"/>
                </w:tcPr>
                <w:p w14:paraId="78769664">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孔径组合（孔-米）</w:t>
                  </w:r>
                </w:p>
              </w:tc>
              <w:tc>
                <w:tcPr>
                  <w:tcW w:w="1107" w:type="dxa"/>
                  <w:vAlign w:val="center"/>
                </w:tcPr>
                <w:p w14:paraId="27C215B6">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桥长</w:t>
                  </w:r>
                </w:p>
              </w:tc>
              <w:tc>
                <w:tcPr>
                  <w:tcW w:w="1046" w:type="dxa"/>
                  <w:vAlign w:val="center"/>
                </w:tcPr>
                <w:p w14:paraId="443C3F30">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面积</w:t>
                  </w:r>
                </w:p>
              </w:tc>
              <w:tc>
                <w:tcPr>
                  <w:tcW w:w="2438" w:type="dxa"/>
                  <w:vAlign w:val="center"/>
                </w:tcPr>
                <w:p w14:paraId="1EE6FC40">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备注</w:t>
                  </w:r>
                </w:p>
              </w:tc>
            </w:tr>
            <w:tr w14:paraId="64F2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505" w:type="dxa"/>
                  <w:vAlign w:val="center"/>
                </w:tcPr>
                <w:p w14:paraId="6E7390EC">
                  <w:pPr>
                    <w:keepNext w:val="0"/>
                    <w:keepLines w:val="0"/>
                    <w:widowControl/>
                    <w:suppressLineNumbers w:val="0"/>
                    <w:spacing w:line="240" w:lineRule="auto"/>
                    <w:ind w:firstLine="0" w:firstLineChars="0"/>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2号路</w:t>
                  </w:r>
                </w:p>
              </w:tc>
              <w:tc>
                <w:tcPr>
                  <w:tcW w:w="2201" w:type="dxa"/>
                  <w:vMerge w:val="restart"/>
                  <w:vAlign w:val="center"/>
                </w:tcPr>
                <w:p w14:paraId="4E9BA17A">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1-24</w:t>
                  </w:r>
                </w:p>
                <w:p w14:paraId="2635FA99">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107" w:type="dxa"/>
                  <w:vMerge w:val="restart"/>
                  <w:vAlign w:val="center"/>
                </w:tcPr>
                <w:p w14:paraId="4BFFEE1D">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30</w:t>
                  </w:r>
                </w:p>
              </w:tc>
              <w:tc>
                <w:tcPr>
                  <w:tcW w:w="1046" w:type="dxa"/>
                  <w:vAlign w:val="center"/>
                </w:tcPr>
                <w:p w14:paraId="7529BF53">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960</w:t>
                  </w:r>
                </w:p>
              </w:tc>
              <w:tc>
                <w:tcPr>
                  <w:tcW w:w="2438" w:type="dxa"/>
                  <w:vAlign w:val="center"/>
                </w:tcPr>
                <w:p w14:paraId="77768820">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桩号K0+334</w:t>
                  </w:r>
                </w:p>
              </w:tc>
            </w:tr>
            <w:tr w14:paraId="238F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05" w:type="dxa"/>
                  <w:vAlign w:val="center"/>
                </w:tcPr>
                <w:p w14:paraId="11724146">
                  <w:pPr>
                    <w:keepNext w:val="0"/>
                    <w:keepLines w:val="0"/>
                    <w:widowControl/>
                    <w:suppressLineNumbers w:val="0"/>
                    <w:spacing w:line="240" w:lineRule="auto"/>
                    <w:ind w:firstLine="0" w:firstLineChars="0"/>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3号路</w:t>
                  </w:r>
                </w:p>
              </w:tc>
              <w:tc>
                <w:tcPr>
                  <w:tcW w:w="2201" w:type="dxa"/>
                  <w:vMerge w:val="continue"/>
                  <w:vAlign w:val="center"/>
                </w:tcPr>
                <w:p w14:paraId="1D9EDD7E">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107" w:type="dxa"/>
                  <w:vMerge w:val="continue"/>
                  <w:vAlign w:val="center"/>
                </w:tcPr>
                <w:p w14:paraId="60CFFC5D">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046" w:type="dxa"/>
                  <w:vAlign w:val="center"/>
                </w:tcPr>
                <w:p w14:paraId="2F82301F">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960</w:t>
                  </w:r>
                </w:p>
              </w:tc>
              <w:tc>
                <w:tcPr>
                  <w:tcW w:w="2438" w:type="dxa"/>
                  <w:vAlign w:val="center"/>
                </w:tcPr>
                <w:p w14:paraId="2ED10006">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桩号K0+334</w:t>
                  </w:r>
                </w:p>
              </w:tc>
            </w:tr>
            <w:tr w14:paraId="2D93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05" w:type="dxa"/>
                  <w:vAlign w:val="center"/>
                </w:tcPr>
                <w:p w14:paraId="438F27E5">
                  <w:pPr>
                    <w:keepNext w:val="0"/>
                    <w:keepLines w:val="0"/>
                    <w:widowControl/>
                    <w:suppressLineNumbers w:val="0"/>
                    <w:spacing w:line="240" w:lineRule="auto"/>
                    <w:ind w:firstLine="0" w:firstLineChars="0"/>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4号路（南）</w:t>
                  </w:r>
                </w:p>
              </w:tc>
              <w:tc>
                <w:tcPr>
                  <w:tcW w:w="2201" w:type="dxa"/>
                  <w:vMerge w:val="continue"/>
                  <w:vAlign w:val="center"/>
                </w:tcPr>
                <w:p w14:paraId="34F98F15">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107" w:type="dxa"/>
                  <w:vMerge w:val="continue"/>
                  <w:vAlign w:val="center"/>
                </w:tcPr>
                <w:p w14:paraId="13DCE20F">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046" w:type="dxa"/>
                  <w:vAlign w:val="center"/>
                </w:tcPr>
                <w:p w14:paraId="00E2C214">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750</w:t>
                  </w:r>
                </w:p>
              </w:tc>
              <w:tc>
                <w:tcPr>
                  <w:tcW w:w="2438" w:type="dxa"/>
                  <w:vAlign w:val="center"/>
                </w:tcPr>
                <w:p w14:paraId="2EC0DF1A">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桩号K0+334</w:t>
                  </w:r>
                </w:p>
              </w:tc>
            </w:tr>
            <w:tr w14:paraId="79CB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05" w:type="dxa"/>
                  <w:vAlign w:val="center"/>
                </w:tcPr>
                <w:p w14:paraId="7FBC834E">
                  <w:pPr>
                    <w:keepNext w:val="0"/>
                    <w:keepLines w:val="0"/>
                    <w:widowControl/>
                    <w:suppressLineNumbers w:val="0"/>
                    <w:spacing w:line="240" w:lineRule="auto"/>
                    <w:ind w:firstLine="0" w:firstLineChars="0"/>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4号路（北）</w:t>
                  </w:r>
                </w:p>
              </w:tc>
              <w:tc>
                <w:tcPr>
                  <w:tcW w:w="2201" w:type="dxa"/>
                  <w:vMerge w:val="continue"/>
                  <w:vAlign w:val="center"/>
                </w:tcPr>
                <w:p w14:paraId="627CF1AC">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107" w:type="dxa"/>
                  <w:vMerge w:val="continue"/>
                  <w:vAlign w:val="center"/>
                </w:tcPr>
                <w:p w14:paraId="75369451">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046" w:type="dxa"/>
                  <w:vAlign w:val="center"/>
                </w:tcPr>
                <w:p w14:paraId="48D8EEBA">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750</w:t>
                  </w:r>
                </w:p>
              </w:tc>
              <w:tc>
                <w:tcPr>
                  <w:tcW w:w="2438" w:type="dxa"/>
                  <w:vAlign w:val="center"/>
                </w:tcPr>
                <w:p w14:paraId="70A70408">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桩号K0+334</w:t>
                  </w:r>
                </w:p>
              </w:tc>
            </w:tr>
            <w:tr w14:paraId="3F31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505" w:type="dxa"/>
                  <w:vAlign w:val="center"/>
                </w:tcPr>
                <w:p w14:paraId="0F61F637">
                  <w:pPr>
                    <w:keepNext w:val="0"/>
                    <w:keepLines w:val="0"/>
                    <w:widowControl/>
                    <w:suppressLineNumbers w:val="0"/>
                    <w:spacing w:line="240" w:lineRule="auto"/>
                    <w:ind w:firstLine="0" w:firstLineChars="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5号路</w:t>
                  </w:r>
                </w:p>
              </w:tc>
              <w:tc>
                <w:tcPr>
                  <w:tcW w:w="2201" w:type="dxa"/>
                  <w:vMerge w:val="continue"/>
                  <w:vAlign w:val="center"/>
                </w:tcPr>
                <w:p w14:paraId="3DC880A0">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107" w:type="dxa"/>
                  <w:vMerge w:val="continue"/>
                  <w:vAlign w:val="center"/>
                </w:tcPr>
                <w:p w14:paraId="0BF6106B">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046" w:type="dxa"/>
                  <w:vAlign w:val="center"/>
                </w:tcPr>
                <w:p w14:paraId="528B4A96">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960</w:t>
                  </w:r>
                </w:p>
              </w:tc>
              <w:tc>
                <w:tcPr>
                  <w:tcW w:w="2438" w:type="dxa"/>
                  <w:vAlign w:val="center"/>
                </w:tcPr>
                <w:p w14:paraId="13D5D7DA">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桩号K0+334</w:t>
                  </w:r>
                </w:p>
              </w:tc>
            </w:tr>
            <w:tr w14:paraId="2350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505" w:type="dxa"/>
                  <w:vAlign w:val="center"/>
                </w:tcPr>
                <w:p w14:paraId="592176A1">
                  <w:pPr>
                    <w:keepNext w:val="0"/>
                    <w:keepLines w:val="0"/>
                    <w:widowControl/>
                    <w:suppressLineNumbers w:val="0"/>
                    <w:spacing w:line="240" w:lineRule="auto"/>
                    <w:ind w:firstLine="0" w:firstLineChars="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6号路</w:t>
                  </w:r>
                </w:p>
              </w:tc>
              <w:tc>
                <w:tcPr>
                  <w:tcW w:w="2201" w:type="dxa"/>
                  <w:vMerge w:val="continue"/>
                  <w:vAlign w:val="center"/>
                </w:tcPr>
                <w:p w14:paraId="64C4F44E">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107" w:type="dxa"/>
                  <w:vMerge w:val="continue"/>
                  <w:vAlign w:val="center"/>
                </w:tcPr>
                <w:p w14:paraId="1172E011">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046" w:type="dxa"/>
                  <w:vAlign w:val="center"/>
                </w:tcPr>
                <w:p w14:paraId="7DA7C563">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960</w:t>
                  </w:r>
                </w:p>
              </w:tc>
              <w:tc>
                <w:tcPr>
                  <w:tcW w:w="2438" w:type="dxa"/>
                  <w:vAlign w:val="center"/>
                </w:tcPr>
                <w:p w14:paraId="316DD03C">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桩号K0+334</w:t>
                  </w:r>
                </w:p>
              </w:tc>
            </w:tr>
            <w:tr w14:paraId="02F6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505" w:type="dxa"/>
                  <w:vAlign w:val="center"/>
                </w:tcPr>
                <w:p w14:paraId="7461EA7A">
                  <w:pPr>
                    <w:keepNext w:val="0"/>
                    <w:keepLines w:val="0"/>
                    <w:widowControl/>
                    <w:suppressLineNumbers w:val="0"/>
                    <w:spacing w:line="240" w:lineRule="auto"/>
                    <w:ind w:firstLine="0" w:firstLineChars="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7号路</w:t>
                  </w:r>
                </w:p>
              </w:tc>
              <w:tc>
                <w:tcPr>
                  <w:tcW w:w="2201" w:type="dxa"/>
                  <w:vMerge w:val="continue"/>
                  <w:vAlign w:val="center"/>
                </w:tcPr>
                <w:p w14:paraId="56AA49AA">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107" w:type="dxa"/>
                  <w:vMerge w:val="continue"/>
                  <w:vAlign w:val="center"/>
                </w:tcPr>
                <w:p w14:paraId="2E8C222E">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p>
              </w:tc>
              <w:tc>
                <w:tcPr>
                  <w:tcW w:w="1046" w:type="dxa"/>
                  <w:vAlign w:val="center"/>
                </w:tcPr>
                <w:p w14:paraId="57A5CA3E">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1200</w:t>
                  </w:r>
                </w:p>
              </w:tc>
              <w:tc>
                <w:tcPr>
                  <w:tcW w:w="2438" w:type="dxa"/>
                  <w:vAlign w:val="center"/>
                </w:tcPr>
                <w:p w14:paraId="24D1BC0B">
                  <w:pPr>
                    <w:keepNext w:val="0"/>
                    <w:keepLines w:val="0"/>
                    <w:widowControl/>
                    <w:suppressLineNumbers w:val="0"/>
                    <w:spacing w:line="240" w:lineRule="auto"/>
                    <w:jc w:val="center"/>
                    <w:rPr>
                      <w:rFonts w:hint="default" w:ascii="Times New Roman" w:hAnsi="Times New Roman"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桩号K2+762</w:t>
                  </w:r>
                </w:p>
              </w:tc>
            </w:tr>
          </w:tbl>
          <w:p w14:paraId="62053FBF">
            <w:pPr>
              <w:keepNext w:val="0"/>
              <w:keepLines w:val="0"/>
              <w:widowControl/>
              <w:suppressLineNumbers w:val="0"/>
              <w:ind w:firstLine="480" w:firstLineChars="200"/>
              <w:jc w:val="left"/>
              <w:rPr>
                <w:rFonts w:hint="default" w:ascii="宋体" w:hAnsi="宋体" w:cs="宋体"/>
                <w:color w:val="000000"/>
                <w:kern w:val="0"/>
                <w:sz w:val="24"/>
                <w:szCs w:val="24"/>
                <w:lang w:val="en-US" w:eastAsia="zh-CN" w:bidi="ar"/>
              </w:rPr>
            </w:pPr>
          </w:p>
          <w:p w14:paraId="672A449B">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5029200" cy="2771775"/>
                  <wp:effectExtent l="0" t="0" r="0" b="9525"/>
                  <wp:docPr id="8" name="图片 8" descr="桥梁纵断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桥梁纵断面"/>
                          <pic:cNvPicPr>
                            <a:picLocks noChangeAspect="1"/>
                          </pic:cNvPicPr>
                        </pic:nvPicPr>
                        <pic:blipFill>
                          <a:blip r:embed="rId21"/>
                          <a:stretch>
                            <a:fillRect/>
                          </a:stretch>
                        </pic:blipFill>
                        <pic:spPr>
                          <a:xfrm>
                            <a:off x="0" y="0"/>
                            <a:ext cx="5029200" cy="2771775"/>
                          </a:xfrm>
                          <a:prstGeom prst="rect">
                            <a:avLst/>
                          </a:prstGeom>
                        </pic:spPr>
                      </pic:pic>
                    </a:graphicData>
                  </a:graphic>
                </wp:inline>
              </w:drawing>
            </w:r>
          </w:p>
          <w:p w14:paraId="375C741A">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图1-</w:t>
            </w:r>
            <w:r>
              <w:rPr>
                <w:rFonts w:hint="eastAsia" w:ascii="Times New Roman" w:hAnsi="Times New Roman"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color w:val="000000"/>
                <w:kern w:val="0"/>
                <w:sz w:val="24"/>
                <w:szCs w:val="24"/>
                <w:lang w:val="en-US" w:eastAsia="zh-CN" w:bidi="ar"/>
              </w:rPr>
              <w:t>单跨桥梁纵断面示意图</w:t>
            </w:r>
          </w:p>
          <w:p w14:paraId="6F4C57B1">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p>
          <w:p w14:paraId="658068B9">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drawing>
                <wp:inline distT="0" distB="0" distL="114300" distR="114300">
                  <wp:extent cx="5175885" cy="3338195"/>
                  <wp:effectExtent l="0" t="0" r="5715" b="14605"/>
                  <wp:docPr id="9" name="图片 9" descr="D:\羊媛\芒市火车站片区主要道路建设项目\图片资料\桥梁平面示意图.jpg桥梁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羊媛\芒市火车站片区主要道路建设项目\图片资料\桥梁平面示意图.jpg桥梁平面示意图"/>
                          <pic:cNvPicPr>
                            <a:picLocks noChangeAspect="1"/>
                          </pic:cNvPicPr>
                        </pic:nvPicPr>
                        <pic:blipFill>
                          <a:blip r:embed="rId22"/>
                          <a:srcRect/>
                          <a:stretch>
                            <a:fillRect/>
                          </a:stretch>
                        </pic:blipFill>
                        <pic:spPr>
                          <a:xfrm>
                            <a:off x="0" y="0"/>
                            <a:ext cx="5175885" cy="3338195"/>
                          </a:xfrm>
                          <a:prstGeom prst="rect">
                            <a:avLst/>
                          </a:prstGeom>
                        </pic:spPr>
                      </pic:pic>
                    </a:graphicData>
                  </a:graphic>
                </wp:inline>
              </w:drawing>
            </w:r>
          </w:p>
          <w:p w14:paraId="72E7E36A">
            <w:pPr>
              <w:keepNext w:val="0"/>
              <w:keepLines w:val="0"/>
              <w:widowControl/>
              <w:suppressLineNumbers w:val="0"/>
              <w:jc w:val="center"/>
              <w:rPr>
                <w:rFonts w:hint="eastAsia" w:ascii="宋体" w:hAnsi="宋体" w:cs="宋体"/>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图1-</w:t>
            </w:r>
            <w:r>
              <w:rPr>
                <w:rFonts w:hint="eastAsia" w:ascii="Times New Roman" w:hAnsi="Times New Roman"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cs="Times New Roman"/>
                <w:b/>
                <w:bCs/>
                <w:color w:val="000000"/>
                <w:kern w:val="0"/>
                <w:sz w:val="24"/>
                <w:szCs w:val="24"/>
                <w:lang w:val="en-US" w:eastAsia="zh-CN" w:bidi="ar"/>
              </w:rPr>
              <w:t>单跨桥梁平面布置示意图</w:t>
            </w:r>
          </w:p>
          <w:p w14:paraId="61CE183F">
            <w:pPr>
              <w:keepNext w:val="0"/>
              <w:keepLines w:val="0"/>
              <w:widowControl/>
              <w:suppressLineNumbers w:val="0"/>
              <w:ind w:firstLine="480" w:firstLineChars="200"/>
              <w:jc w:val="left"/>
              <w:rPr>
                <w:rFonts w:hint="default" w:ascii="Times New Roman" w:hAnsi="Times New Roman" w:cs="Times New Roman"/>
                <w:color w:val="000000"/>
                <w:kern w:val="0"/>
                <w:sz w:val="24"/>
                <w:szCs w:val="24"/>
                <w:lang w:val="en-US" w:eastAsia="zh-CN" w:bidi="ar"/>
              </w:rPr>
            </w:pPr>
            <w:r>
              <w:rPr>
                <w:rFonts w:hint="eastAsia" w:ascii="宋体" w:hAnsi="宋体" w:cs="宋体"/>
                <w:color w:val="000000"/>
                <w:kern w:val="0"/>
                <w:sz w:val="24"/>
                <w:szCs w:val="24"/>
                <w:lang w:val="en-US" w:eastAsia="zh-CN" w:bidi="ar"/>
              </w:rPr>
              <w:t>桥梁</w:t>
            </w:r>
            <w:r>
              <w:rPr>
                <w:rFonts w:ascii="宋体" w:hAnsi="宋体" w:eastAsia="宋体" w:cs="宋体"/>
                <w:color w:val="000000"/>
                <w:kern w:val="0"/>
                <w:sz w:val="24"/>
                <w:szCs w:val="24"/>
                <w:lang w:val="en-US" w:eastAsia="zh-CN" w:bidi="ar"/>
              </w:rPr>
              <w:t>采用钻孔灌注桩基础</w:t>
            </w:r>
            <w:r>
              <w:rPr>
                <w:rFonts w:hint="eastAsia" w:ascii="宋体" w:hAnsi="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上部结构采用装配式部分预应力混凝土箱梁</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跨径一般为 20m～40m</w:t>
            </w:r>
            <w:r>
              <w:rPr>
                <w:rFonts w:hint="default" w:ascii="Times New Roman" w:hAnsi="Times New Roman" w:cs="Times New Roman"/>
                <w:color w:val="000000"/>
                <w:kern w:val="0"/>
                <w:sz w:val="24"/>
                <w:szCs w:val="24"/>
                <w:lang w:val="en-US" w:eastAsia="zh-CN" w:bidi="ar"/>
              </w:rPr>
              <w:t>。</w:t>
            </w:r>
            <w:r>
              <w:rPr>
                <w:rFonts w:hint="eastAsia" w:cs="Times New Roman"/>
                <w:color w:val="000000"/>
                <w:kern w:val="0"/>
                <w:sz w:val="24"/>
                <w:szCs w:val="24"/>
                <w:lang w:val="en-US" w:eastAsia="zh-CN" w:bidi="ar"/>
              </w:rPr>
              <w:t>断面图见图1-10。</w:t>
            </w:r>
            <w:r>
              <w:rPr>
                <w:rFonts w:ascii="宋体" w:hAnsi="宋体" w:eastAsia="宋体" w:cs="宋体"/>
                <w:color w:val="000000"/>
                <w:kern w:val="0"/>
                <w:sz w:val="24"/>
                <w:szCs w:val="24"/>
                <w:lang w:val="en-US" w:eastAsia="zh-CN" w:bidi="ar"/>
              </w:rPr>
              <w:t xml:space="preserve">桥台高度 </w:t>
            </w:r>
            <w:r>
              <w:rPr>
                <w:rFonts w:hint="default" w:ascii="Times New Roman" w:hAnsi="Times New Roman" w:eastAsia="宋体" w:cs="Times New Roman"/>
                <w:color w:val="000000"/>
                <w:kern w:val="0"/>
                <w:sz w:val="24"/>
                <w:szCs w:val="24"/>
                <w:lang w:val="en-US" w:eastAsia="zh-CN" w:bidi="ar"/>
              </w:rPr>
              <w:t>h</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5m </w:t>
            </w:r>
            <w:r>
              <w:rPr>
                <w:rFonts w:ascii="宋体" w:hAnsi="宋体" w:eastAsia="宋体" w:cs="宋体"/>
                <w:color w:val="000000"/>
                <w:kern w:val="0"/>
                <w:sz w:val="24"/>
                <w:szCs w:val="24"/>
                <w:lang w:val="en-US" w:eastAsia="zh-CN" w:bidi="ar"/>
              </w:rPr>
              <w:t>采用钢筋混凝土多柱埋置式桥台；桥台高</w:t>
            </w:r>
            <w:r>
              <w:rPr>
                <w:rFonts w:hint="eastAsia" w:ascii="宋体" w:hAnsi="宋体" w:cs="宋体"/>
                <w:color w:val="000000"/>
                <w:kern w:val="0"/>
                <w:sz w:val="24"/>
                <w:szCs w:val="24"/>
                <w:lang w:val="en-US" w:eastAsia="zh-CN" w:bidi="ar"/>
              </w:rPr>
              <w:t>度</w:t>
            </w:r>
            <w:r>
              <w:rPr>
                <w:rFonts w:hint="default" w:ascii="Times New Roman" w:hAnsi="Times New Roman" w:eastAsia="宋体" w:cs="Times New Roman"/>
                <w:color w:val="000000"/>
                <w:kern w:val="0"/>
                <w:sz w:val="24"/>
                <w:szCs w:val="24"/>
                <w:lang w:val="en-US" w:eastAsia="zh-CN" w:bidi="ar"/>
              </w:rPr>
              <w:t>5m&lt;h</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10m</w:t>
            </w:r>
            <w:r>
              <w:rPr>
                <w:rFonts w:ascii="宋体" w:hAnsi="宋体" w:eastAsia="宋体" w:cs="宋体"/>
                <w:color w:val="000000"/>
                <w:kern w:val="0"/>
                <w:sz w:val="24"/>
                <w:szCs w:val="24"/>
                <w:lang w:val="en-US" w:eastAsia="zh-CN" w:bidi="ar"/>
              </w:rPr>
              <w:t>采用钢筋混凝土肋板埋置式桥台</w:t>
            </w:r>
            <w:r>
              <w:rPr>
                <w:rFonts w:hint="eastAsia" w:ascii="宋体" w:hAnsi="宋体" w:cs="宋体"/>
                <w:color w:val="000000"/>
                <w:kern w:val="0"/>
                <w:sz w:val="24"/>
                <w:szCs w:val="24"/>
                <w:lang w:val="en-US" w:eastAsia="zh-CN" w:bidi="ar"/>
              </w:rPr>
              <w:t>。</w:t>
            </w:r>
          </w:p>
          <w:p w14:paraId="4F0FA65A">
            <w:pPr>
              <w:keepNext w:val="0"/>
              <w:keepLines w:val="0"/>
              <w:widowControl/>
              <w:suppressLineNumbers w:val="0"/>
              <w:ind w:firstLine="480" w:firstLineChars="200"/>
              <w:jc w:val="left"/>
              <w:rPr>
                <w:rFonts w:hint="default" w:ascii="Times New Roman" w:hAnsi="Times New Roman" w:eastAsia="宋体" w:cs="Times New Roman"/>
                <w:color w:val="000000"/>
                <w:kern w:val="0"/>
                <w:sz w:val="28"/>
                <w:szCs w:val="28"/>
                <w:lang w:val="en-US" w:eastAsia="zh-CN" w:bidi="ar"/>
              </w:rPr>
            </w:pPr>
            <w:r>
              <w:rPr>
                <w:rFonts w:hint="default" w:ascii="Times New Roman" w:hAnsi="Times New Roman" w:eastAsia="宋体" w:cs="Times New Roman"/>
                <w:color w:val="000000"/>
                <w:kern w:val="0"/>
                <w:sz w:val="24"/>
                <w:szCs w:val="24"/>
                <w:lang w:val="en-US" w:eastAsia="zh-CN" w:bidi="ar"/>
              </w:rPr>
              <w:t>桥梁结构桥面铺装由钢筋混凝土铺装、防水层、沥青混凝土铺装三层组成。其中下层钢筋混凝土铺装厚 10cm；中间设一道防水层；上层改性沥青混凝土铺装总厚度 10cm。</w:t>
            </w:r>
            <w:r>
              <w:rPr>
                <w:rFonts w:hint="default" w:ascii="Times New Roman" w:hAnsi="Times New Roman" w:eastAsia="宋体" w:cs="Times New Roman"/>
                <w:color w:val="000000"/>
                <w:kern w:val="0"/>
                <w:sz w:val="28"/>
                <w:szCs w:val="28"/>
                <w:lang w:val="en-US" w:eastAsia="zh-CN" w:bidi="ar"/>
              </w:rPr>
              <w:t xml:space="preserve"> </w:t>
            </w:r>
            <w:r>
              <w:rPr>
                <w:rFonts w:hint="default" w:ascii="Times New Roman" w:hAnsi="Times New Roman" w:eastAsia="宋体" w:cs="Times New Roman"/>
                <w:color w:val="000000"/>
                <w:kern w:val="0"/>
                <w:sz w:val="24"/>
                <w:szCs w:val="24"/>
                <w:lang w:val="en-US" w:eastAsia="zh-CN" w:bidi="ar"/>
              </w:rPr>
              <w:t>支座需承受竖向荷载、水平荷载，满足梁体因活载、温度、混凝土收缩及徐变、制动等产生的伸长缩短和转角等变形要求，因此，选用长寿命，耐腐蚀，养护工作量少、便于更换的支座实属必要。桥梁栏杆采用具有地方特色的石材栏杆，桥面横坡 2.0%。桥面排水采用纵排和横排结合方式</w:t>
            </w:r>
            <w:r>
              <w:rPr>
                <w:rFonts w:hint="default"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4"/>
                <w:szCs w:val="24"/>
                <w:lang w:val="en-US" w:eastAsia="zh-CN" w:bidi="ar"/>
              </w:rPr>
              <w:t>道路中央绿化带及路侧绿化带均在桥上布设，行车道与人行道与道路保持一致，道路不在桥梁段产生突变，保证行车顺畅及行人步行顺接。</w:t>
            </w:r>
            <w:r>
              <w:rPr>
                <w:rFonts w:hint="default" w:ascii="Times New Roman" w:hAnsi="Times New Roman" w:eastAsia="宋体" w:cs="Times New Roman"/>
                <w:color w:val="000000"/>
                <w:kern w:val="0"/>
                <w:sz w:val="28"/>
                <w:szCs w:val="28"/>
                <w:lang w:val="en-US" w:eastAsia="zh-CN" w:bidi="ar"/>
              </w:rPr>
              <w:t xml:space="preserve"> </w:t>
            </w:r>
          </w:p>
          <w:p w14:paraId="68EC4F06">
            <w:pPr>
              <w:keepNext w:val="0"/>
              <w:keepLines w:val="0"/>
              <w:widowControl/>
              <w:suppressLineNumbers w:val="0"/>
              <w:ind w:firstLine="560" w:firstLineChars="200"/>
              <w:jc w:val="left"/>
              <w:rPr>
                <w:rFonts w:hint="default" w:ascii="Times New Roman" w:hAnsi="Times New Roman" w:eastAsia="宋体" w:cs="Times New Roman"/>
                <w:color w:val="000000"/>
                <w:kern w:val="0"/>
                <w:sz w:val="28"/>
                <w:szCs w:val="28"/>
                <w:lang w:val="en-US" w:eastAsia="zh-CN" w:bidi="ar"/>
              </w:rPr>
            </w:pPr>
            <w:r>
              <w:rPr>
                <w:rFonts w:hint="default" w:ascii="Times New Roman" w:hAnsi="Times New Roman" w:eastAsia="宋体" w:cs="Times New Roman"/>
                <w:color w:val="000000"/>
                <w:kern w:val="0"/>
                <w:sz w:val="28"/>
                <w:szCs w:val="28"/>
                <w:lang w:val="en-US" w:eastAsia="zh-CN" w:bidi="ar"/>
              </w:rPr>
              <w:drawing>
                <wp:inline distT="0" distB="0" distL="114300" distR="114300">
                  <wp:extent cx="4638675" cy="1244600"/>
                  <wp:effectExtent l="0" t="0" r="9525" b="12700"/>
                  <wp:docPr id="19" name="图片 19" descr="桥梁上部分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桥梁上部分结构"/>
                          <pic:cNvPicPr>
                            <a:picLocks noChangeAspect="1"/>
                          </pic:cNvPicPr>
                        </pic:nvPicPr>
                        <pic:blipFill>
                          <a:blip r:embed="rId23"/>
                          <a:stretch>
                            <a:fillRect/>
                          </a:stretch>
                        </pic:blipFill>
                        <pic:spPr>
                          <a:xfrm>
                            <a:off x="0" y="0"/>
                            <a:ext cx="4638675" cy="1244600"/>
                          </a:xfrm>
                          <a:prstGeom prst="rect">
                            <a:avLst/>
                          </a:prstGeom>
                        </pic:spPr>
                      </pic:pic>
                    </a:graphicData>
                  </a:graphic>
                </wp:inline>
              </w:drawing>
            </w:r>
          </w:p>
          <w:p w14:paraId="6E536737">
            <w:pPr>
              <w:keepNext w:val="0"/>
              <w:keepLines w:val="0"/>
              <w:widowControl/>
              <w:suppressLineNumbers w:val="0"/>
              <w:jc w:val="center"/>
              <w:rPr>
                <w:rFonts w:ascii="宋体" w:hAnsi="宋体" w:eastAsia="宋体" w:cs="宋体"/>
                <w:b/>
                <w:color w:val="000000"/>
                <w:kern w:val="0"/>
                <w:sz w:val="24"/>
                <w:szCs w:val="24"/>
                <w:lang w:val="en-US" w:eastAsia="zh-CN" w:bidi="ar"/>
              </w:rPr>
            </w:pPr>
            <w:r>
              <w:rPr>
                <w:rFonts w:hint="eastAsia" w:ascii="Times New Roman" w:hAnsi="Times New Roman" w:cs="Times New Roman"/>
                <w:b/>
                <w:bCs/>
                <w:color w:val="000000"/>
                <w:kern w:val="0"/>
                <w:sz w:val="28"/>
                <w:szCs w:val="28"/>
                <w:lang w:val="en-US" w:eastAsia="zh-CN" w:bidi="ar"/>
              </w:rPr>
              <w:t>图1-10</w:t>
            </w:r>
            <w:r>
              <w:rPr>
                <w:rFonts w:hint="eastAsia" w:ascii="Times New Roman" w:hAnsi="Times New Roman" w:cs="Times New Roman"/>
                <w:color w:val="000000"/>
                <w:kern w:val="0"/>
                <w:sz w:val="28"/>
                <w:szCs w:val="28"/>
                <w:lang w:val="en-US" w:eastAsia="zh-CN" w:bidi="ar"/>
              </w:rPr>
              <w:t xml:space="preserve"> </w:t>
            </w:r>
            <w:r>
              <w:rPr>
                <w:rFonts w:ascii="宋体" w:hAnsi="宋体" w:eastAsia="宋体" w:cs="宋体"/>
                <w:b/>
                <w:color w:val="000000"/>
                <w:kern w:val="0"/>
                <w:sz w:val="24"/>
                <w:szCs w:val="24"/>
                <w:lang w:val="en-US" w:eastAsia="zh-CN" w:bidi="ar"/>
              </w:rPr>
              <w:t>装配式部分预应力混凝土箱梁断面形式</w:t>
            </w:r>
          </w:p>
          <w:p w14:paraId="108FC721">
            <w:pPr>
              <w:keepNext w:val="0"/>
              <w:keepLines w:val="0"/>
              <w:widowControl/>
              <w:numPr>
                <w:ilvl w:val="0"/>
                <w:numId w:val="0"/>
              </w:numPr>
              <w:suppressLineNumbers w:val="0"/>
              <w:ind w:leftChars="200"/>
              <w:jc w:val="both"/>
              <w:rPr>
                <w:rFonts w:hint="eastAsia" w:ascii="宋体" w:hAnsi="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2.涵洞工程</w:t>
            </w:r>
          </w:p>
          <w:p w14:paraId="5E775CBE">
            <w:pPr>
              <w:keepNext w:val="0"/>
              <w:keepLines w:val="0"/>
              <w:widowControl/>
              <w:suppressLineNumbers w:val="0"/>
              <w:ind w:firstLine="480" w:firstLineChars="200"/>
              <w:jc w:val="left"/>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 xml:space="preserve">本项目共设置 </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道涵洞，其中 </w:t>
            </w:r>
            <w:r>
              <w:rPr>
                <w:rFonts w:hint="default" w:ascii="Times New Roman" w:hAnsi="Times New Roman" w:eastAsia="宋体" w:cs="Times New Roman"/>
                <w:color w:val="000000"/>
                <w:kern w:val="0"/>
                <w:sz w:val="24"/>
                <w:szCs w:val="24"/>
                <w:lang w:val="en-US" w:eastAsia="zh-CN" w:bidi="ar"/>
              </w:rPr>
              <w:t xml:space="preserve">2-6.0×2.0m </w:t>
            </w:r>
            <w:r>
              <w:rPr>
                <w:rFonts w:ascii="宋体" w:hAnsi="宋体" w:eastAsia="宋体" w:cs="宋体"/>
                <w:color w:val="000000"/>
                <w:kern w:val="0"/>
                <w:sz w:val="24"/>
                <w:szCs w:val="24"/>
                <w:lang w:val="en-US" w:eastAsia="zh-CN" w:bidi="ar"/>
              </w:rPr>
              <w:t xml:space="preserve">钢筋混凝土箱涵 </w:t>
            </w: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道，</w:t>
            </w:r>
            <w:r>
              <w:rPr>
                <w:rFonts w:hint="default" w:ascii="Times New Roman" w:hAnsi="Times New Roman" w:eastAsia="宋体" w:cs="Times New Roman"/>
                <w:color w:val="000000"/>
                <w:kern w:val="0"/>
                <w:sz w:val="24"/>
                <w:szCs w:val="24"/>
                <w:lang w:val="en-US" w:eastAsia="zh-CN" w:bidi="ar"/>
              </w:rPr>
              <w:t xml:space="preserve">2-5.0×2.0m </w:t>
            </w:r>
            <w:r>
              <w:rPr>
                <w:rFonts w:ascii="宋体" w:hAnsi="宋体" w:eastAsia="宋体" w:cs="宋体"/>
                <w:color w:val="000000"/>
                <w:kern w:val="0"/>
                <w:sz w:val="24"/>
                <w:szCs w:val="24"/>
                <w:lang w:val="en-US" w:eastAsia="zh-CN" w:bidi="ar"/>
              </w:rPr>
              <w:t xml:space="preserve">钢筋混凝土箱涵 </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道。</w:t>
            </w:r>
          </w:p>
          <w:p w14:paraId="0A2E54D7">
            <w:pPr>
              <w:keepNext w:val="0"/>
              <w:keepLines w:val="0"/>
              <w:widowControl/>
              <w:suppressLineNumbers w:val="0"/>
              <w:ind w:firstLine="482" w:firstLineChars="20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表1-9 全线涵洞一览表</w:t>
            </w:r>
          </w:p>
          <w:tbl>
            <w:tblPr>
              <w:tblStyle w:val="16"/>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660"/>
              <w:gridCol w:w="1200"/>
              <w:gridCol w:w="1545"/>
              <w:gridCol w:w="1170"/>
              <w:gridCol w:w="900"/>
              <w:gridCol w:w="1020"/>
              <w:gridCol w:w="672"/>
            </w:tblGrid>
            <w:tr w14:paraId="09C7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89" w:type="dxa"/>
                  <w:vMerge w:val="restart"/>
                  <w:vAlign w:val="center"/>
                </w:tcPr>
                <w:p w14:paraId="672775E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道路名称</w:t>
                  </w:r>
                </w:p>
              </w:tc>
              <w:tc>
                <w:tcPr>
                  <w:tcW w:w="660" w:type="dxa"/>
                  <w:vMerge w:val="restart"/>
                  <w:vAlign w:val="center"/>
                </w:tcPr>
                <w:p w14:paraId="07CB11D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个数</w:t>
                  </w:r>
                </w:p>
              </w:tc>
              <w:tc>
                <w:tcPr>
                  <w:tcW w:w="1200" w:type="dxa"/>
                  <w:vMerge w:val="restart"/>
                  <w:vAlign w:val="center"/>
                </w:tcPr>
                <w:p w14:paraId="16BF746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孔径</w:t>
                  </w:r>
                </w:p>
              </w:tc>
              <w:tc>
                <w:tcPr>
                  <w:tcW w:w="1545" w:type="dxa"/>
                  <w:vMerge w:val="restart"/>
                  <w:vAlign w:val="center"/>
                </w:tcPr>
                <w:p w14:paraId="09DA206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合计涵长（m）</w:t>
                  </w:r>
                </w:p>
              </w:tc>
              <w:tc>
                <w:tcPr>
                  <w:tcW w:w="1170" w:type="dxa"/>
                  <w:vMerge w:val="restart"/>
                  <w:vAlign w:val="center"/>
                </w:tcPr>
                <w:p w14:paraId="020CC26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结构类型</w:t>
                  </w:r>
                </w:p>
              </w:tc>
              <w:tc>
                <w:tcPr>
                  <w:tcW w:w="1920" w:type="dxa"/>
                  <w:gridSpan w:val="2"/>
                  <w:vAlign w:val="center"/>
                </w:tcPr>
                <w:p w14:paraId="2327A76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进出口类型</w:t>
                  </w:r>
                </w:p>
              </w:tc>
              <w:tc>
                <w:tcPr>
                  <w:tcW w:w="672" w:type="dxa"/>
                  <w:vMerge w:val="restart"/>
                  <w:vAlign w:val="center"/>
                </w:tcPr>
                <w:p w14:paraId="6946216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备注</w:t>
                  </w:r>
                </w:p>
              </w:tc>
            </w:tr>
            <w:tr w14:paraId="087F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89" w:type="dxa"/>
                  <w:vMerge w:val="continue"/>
                  <w:vAlign w:val="center"/>
                </w:tcPr>
                <w:p w14:paraId="7A1B5091">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660" w:type="dxa"/>
                  <w:vMerge w:val="continue"/>
                  <w:vAlign w:val="center"/>
                </w:tcPr>
                <w:p w14:paraId="04B606C2">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1200" w:type="dxa"/>
                  <w:vMerge w:val="continue"/>
                  <w:vAlign w:val="center"/>
                </w:tcPr>
                <w:p w14:paraId="4C01ADF3">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1545" w:type="dxa"/>
                  <w:vMerge w:val="continue"/>
                  <w:vAlign w:val="center"/>
                </w:tcPr>
                <w:p w14:paraId="356ED0B5">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1170" w:type="dxa"/>
                  <w:vMerge w:val="continue"/>
                  <w:vAlign w:val="center"/>
                </w:tcPr>
                <w:p w14:paraId="04234F21">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900" w:type="dxa"/>
                  <w:vAlign w:val="center"/>
                </w:tcPr>
                <w:p w14:paraId="08BF4D39">
                  <w:pPr>
                    <w:keepNext w:val="0"/>
                    <w:keepLines w:val="0"/>
                    <w:widowControl/>
                    <w:suppressLineNumbers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进口</w:t>
                  </w:r>
                </w:p>
              </w:tc>
              <w:tc>
                <w:tcPr>
                  <w:tcW w:w="1020" w:type="dxa"/>
                  <w:vAlign w:val="center"/>
                </w:tcPr>
                <w:p w14:paraId="54534E63">
                  <w:pPr>
                    <w:keepNext w:val="0"/>
                    <w:keepLines w:val="0"/>
                    <w:widowControl/>
                    <w:suppressLineNumbers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出口</w:t>
                  </w:r>
                </w:p>
              </w:tc>
              <w:tc>
                <w:tcPr>
                  <w:tcW w:w="672" w:type="dxa"/>
                  <w:vMerge w:val="continue"/>
                  <w:vAlign w:val="center"/>
                </w:tcPr>
                <w:p w14:paraId="5ECC5E1D">
                  <w:pPr>
                    <w:keepNext w:val="0"/>
                    <w:keepLines w:val="0"/>
                    <w:widowControl/>
                    <w:suppressLineNumbers w:val="0"/>
                    <w:spacing w:line="240" w:lineRule="auto"/>
                    <w:jc w:val="center"/>
                    <w:rPr>
                      <w:rFonts w:hint="default" w:ascii="Times New Roman" w:hAnsi="Times New Roman" w:eastAsia="宋体" w:cs="Times New Roman"/>
                      <w:sz w:val="21"/>
                      <w:szCs w:val="21"/>
                    </w:rPr>
                  </w:pPr>
                </w:p>
              </w:tc>
            </w:tr>
            <w:tr w14:paraId="270E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89" w:type="dxa"/>
                  <w:vAlign w:val="center"/>
                </w:tcPr>
                <w:p w14:paraId="0FD8D03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5号路</w:t>
                  </w:r>
                </w:p>
              </w:tc>
              <w:tc>
                <w:tcPr>
                  <w:tcW w:w="660" w:type="dxa"/>
                  <w:vAlign w:val="center"/>
                </w:tcPr>
                <w:p w14:paraId="55A4EB3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w:t>
                  </w:r>
                </w:p>
              </w:tc>
              <w:tc>
                <w:tcPr>
                  <w:tcW w:w="1200" w:type="dxa"/>
                  <w:vAlign w:val="center"/>
                </w:tcPr>
                <w:p w14:paraId="2AFB455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2-6.0×2.0m</w:t>
                  </w:r>
                </w:p>
              </w:tc>
              <w:tc>
                <w:tcPr>
                  <w:tcW w:w="1545" w:type="dxa"/>
                  <w:vAlign w:val="center"/>
                </w:tcPr>
                <w:p w14:paraId="74B51D0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80</w:t>
                  </w:r>
                </w:p>
              </w:tc>
              <w:tc>
                <w:tcPr>
                  <w:tcW w:w="1170" w:type="dxa"/>
                  <w:vAlign w:val="center"/>
                </w:tcPr>
                <w:p w14:paraId="6B1A712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钢筋混凝土箱涵</w:t>
                  </w:r>
                </w:p>
              </w:tc>
              <w:tc>
                <w:tcPr>
                  <w:tcW w:w="900" w:type="dxa"/>
                  <w:vAlign w:val="center"/>
                </w:tcPr>
                <w:p w14:paraId="2F5CF21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八字墙</w:t>
                  </w:r>
                </w:p>
              </w:tc>
              <w:tc>
                <w:tcPr>
                  <w:tcW w:w="1020" w:type="dxa"/>
                  <w:vAlign w:val="center"/>
                </w:tcPr>
                <w:p w14:paraId="78E1E87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八字墙</w:t>
                  </w:r>
                </w:p>
              </w:tc>
              <w:tc>
                <w:tcPr>
                  <w:tcW w:w="672" w:type="dxa"/>
                  <w:vAlign w:val="center"/>
                </w:tcPr>
                <w:p w14:paraId="40B1B4E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w:t>
                  </w:r>
                </w:p>
              </w:tc>
            </w:tr>
            <w:tr w14:paraId="0B4C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089" w:type="dxa"/>
                  <w:vAlign w:val="center"/>
                </w:tcPr>
                <w:p w14:paraId="413189F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7号路</w:t>
                  </w:r>
                </w:p>
              </w:tc>
              <w:tc>
                <w:tcPr>
                  <w:tcW w:w="660" w:type="dxa"/>
                  <w:vAlign w:val="center"/>
                </w:tcPr>
                <w:p w14:paraId="06CBCA0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2</w:t>
                  </w:r>
                </w:p>
              </w:tc>
              <w:tc>
                <w:tcPr>
                  <w:tcW w:w="1200" w:type="dxa"/>
                  <w:vAlign w:val="center"/>
                </w:tcPr>
                <w:p w14:paraId="35B2179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2-5.0×2.0m</w:t>
                  </w:r>
                </w:p>
              </w:tc>
              <w:tc>
                <w:tcPr>
                  <w:tcW w:w="1545" w:type="dxa"/>
                  <w:vAlign w:val="center"/>
                </w:tcPr>
                <w:p w14:paraId="6E4D77F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116</w:t>
                  </w:r>
                </w:p>
              </w:tc>
              <w:tc>
                <w:tcPr>
                  <w:tcW w:w="1170" w:type="dxa"/>
                  <w:vAlign w:val="center"/>
                </w:tcPr>
                <w:p w14:paraId="4569A9F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钢筋混凝土箱涵</w:t>
                  </w:r>
                </w:p>
              </w:tc>
              <w:tc>
                <w:tcPr>
                  <w:tcW w:w="900" w:type="dxa"/>
                  <w:vAlign w:val="center"/>
                </w:tcPr>
                <w:p w14:paraId="2502774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八字墙</w:t>
                  </w:r>
                </w:p>
              </w:tc>
              <w:tc>
                <w:tcPr>
                  <w:tcW w:w="1020" w:type="dxa"/>
                  <w:vAlign w:val="center"/>
                </w:tcPr>
                <w:p w14:paraId="2BD4A3C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八字墙</w:t>
                  </w:r>
                </w:p>
              </w:tc>
              <w:tc>
                <w:tcPr>
                  <w:tcW w:w="672" w:type="dxa"/>
                  <w:vAlign w:val="center"/>
                </w:tcPr>
                <w:p w14:paraId="22E335B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w:t>
                  </w:r>
                </w:p>
              </w:tc>
            </w:tr>
          </w:tbl>
          <w:p w14:paraId="123CBD1C">
            <w:pPr>
              <w:keepNext w:val="0"/>
              <w:keepLines w:val="0"/>
              <w:widowControl/>
              <w:numPr>
                <w:ilvl w:val="0"/>
                <w:numId w:val="0"/>
              </w:numPr>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5.附属</w:t>
            </w:r>
            <w:r>
              <w:rPr>
                <w:rFonts w:hint="default" w:ascii="Times New Roman" w:hAnsi="Times New Roman" w:eastAsia="宋体" w:cs="Times New Roman"/>
                <w:b/>
                <w:bCs/>
                <w:color w:val="000000"/>
                <w:kern w:val="0"/>
                <w:sz w:val="24"/>
                <w:szCs w:val="24"/>
                <w:lang w:val="en-US" w:eastAsia="zh-CN" w:bidi="ar"/>
              </w:rPr>
              <w:t>工程</w:t>
            </w:r>
          </w:p>
          <w:p w14:paraId="63B95A11">
            <w:pPr>
              <w:keepNext w:val="0"/>
              <w:keepLines w:val="0"/>
              <w:widowControl/>
              <w:numPr>
                <w:ilvl w:val="0"/>
                <w:numId w:val="0"/>
              </w:numPr>
              <w:suppressLineNumbers w:val="0"/>
              <w:spacing w:line="360" w:lineRule="auto"/>
              <w:ind w:firstLine="482" w:firstLineChars="200"/>
              <w:jc w:val="left"/>
              <w:rPr>
                <w:rFonts w:hint="default" w:ascii="Times New Roman" w:hAnsi="Times New Roman"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5.1</w:t>
            </w:r>
            <w:r>
              <w:rPr>
                <w:rFonts w:hint="default" w:ascii="Times New Roman" w:hAnsi="Times New Roman" w:eastAsia="宋体" w:cs="Times New Roman"/>
                <w:b/>
                <w:bCs/>
                <w:color w:val="auto"/>
                <w:kern w:val="0"/>
                <w:sz w:val="24"/>
                <w:szCs w:val="24"/>
                <w:lang w:val="en-US" w:eastAsia="zh-CN" w:bidi="ar"/>
              </w:rPr>
              <w:t>公交设施</w:t>
            </w:r>
            <w:r>
              <w:rPr>
                <w:rFonts w:hint="default" w:ascii="Times New Roman" w:hAnsi="Times New Roman" w:cs="Times New Roman"/>
                <w:b/>
                <w:bCs/>
                <w:color w:val="auto"/>
                <w:kern w:val="0"/>
                <w:sz w:val="24"/>
                <w:szCs w:val="24"/>
                <w:lang w:val="en-US" w:eastAsia="zh-CN" w:bidi="ar"/>
              </w:rPr>
              <w:t>及无障碍设计</w:t>
            </w:r>
          </w:p>
          <w:p w14:paraId="18DA231B">
            <w:pPr>
              <w:keepNext w:val="0"/>
              <w:keepLines w:val="0"/>
              <w:widowControl/>
              <w:numPr>
                <w:ilvl w:val="0"/>
                <w:numId w:val="0"/>
              </w:numPr>
              <w:suppressLineNumbers w:val="0"/>
              <w:spacing w:line="360" w:lineRule="auto"/>
              <w:ind w:firstLine="482" w:firstLineChars="200"/>
              <w:jc w:val="left"/>
              <w:rPr>
                <w:rFonts w:hint="default" w:ascii="Times New Roman" w:hAnsi="Times New Roman"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1.公交设</w:t>
            </w:r>
            <w:r>
              <w:rPr>
                <w:rFonts w:hint="eastAsia" w:ascii="Times New Roman" w:hAnsi="Times New Roman" w:cs="Times New Roman"/>
                <w:b/>
                <w:bCs/>
                <w:color w:val="auto"/>
                <w:kern w:val="0"/>
                <w:sz w:val="24"/>
                <w:szCs w:val="24"/>
                <w:lang w:val="en-US" w:eastAsia="zh-CN" w:bidi="ar"/>
              </w:rPr>
              <w:t>施</w:t>
            </w:r>
          </w:p>
          <w:p w14:paraId="6F9278BF">
            <w:pPr>
              <w:snapToGrid w:val="0"/>
              <w:spacing w:line="360" w:lineRule="auto"/>
              <w:ind w:firstLine="480" w:firstLineChars="200"/>
              <w:rPr>
                <w:rFonts w:hint="eastAsia" w:ascii="Times New Roman" w:hAnsi="Times New Roman" w:eastAsia="宋体" w:cs="Times New Roman"/>
                <w:bCs/>
                <w:color w:val="auto"/>
                <w:sz w:val="24"/>
                <w:highlight w:val="none"/>
                <w:lang w:eastAsia="zh-CN"/>
              </w:rPr>
            </w:pPr>
            <w:r>
              <w:rPr>
                <w:rFonts w:hint="eastAsia" w:ascii="Times New Roman" w:hAnsi="Times New Roman" w:cs="Times New Roman"/>
                <w:bCs/>
                <w:color w:val="auto"/>
                <w:sz w:val="24"/>
                <w:szCs w:val="24"/>
                <w:highlight w:val="none"/>
                <w:lang w:val="en-US" w:eastAsia="zh-CN"/>
              </w:rPr>
              <w:t>7条道路均布设公交车站，1号路、4号路、7号路需布设公交专用道。</w:t>
            </w:r>
            <w:r>
              <w:rPr>
                <w:rFonts w:hint="default" w:ascii="Times New Roman" w:hAnsi="Times New Roman" w:eastAsia="宋体" w:cs="Times New Roman"/>
                <w:bCs/>
                <w:color w:val="auto"/>
                <w:sz w:val="24"/>
                <w:highlight w:val="none"/>
              </w:rPr>
              <w:t>公交站台形式均为港湾式，</w:t>
            </w:r>
            <w:r>
              <w:rPr>
                <w:rFonts w:hint="eastAsia" w:ascii="Times New Roman" w:hAnsi="Times New Roman" w:cs="Times New Roman"/>
                <w:bCs/>
                <w:color w:val="auto"/>
                <w:sz w:val="24"/>
                <w:highlight w:val="none"/>
                <w:lang w:eastAsia="zh-CN"/>
              </w:rPr>
              <w:t>站台宽度</w:t>
            </w:r>
            <w:r>
              <w:rPr>
                <w:rFonts w:hint="eastAsia" w:ascii="Times New Roman" w:hAnsi="Times New Roman" w:cs="Times New Roman"/>
                <w:bCs/>
                <w:color w:val="auto"/>
                <w:sz w:val="24"/>
                <w:highlight w:val="none"/>
                <w:lang w:val="en-US" w:eastAsia="zh-CN"/>
              </w:rPr>
              <w:t>2m，</w:t>
            </w:r>
            <w:r>
              <w:rPr>
                <w:rFonts w:hint="default" w:ascii="Times New Roman" w:hAnsi="Times New Roman" w:eastAsia="宋体" w:cs="Times New Roman"/>
                <w:bCs/>
                <w:color w:val="auto"/>
                <w:sz w:val="24"/>
                <w:highlight w:val="none"/>
              </w:rPr>
              <w:t>长度为30m</w:t>
            </w:r>
            <w:r>
              <w:rPr>
                <w:rFonts w:hint="eastAsia" w:ascii="Times New Roman" w:hAnsi="Times New Roman" w:cs="Times New Roman"/>
                <w:bCs/>
                <w:color w:val="auto"/>
                <w:sz w:val="24"/>
                <w:highlight w:val="none"/>
                <w:lang w:eastAsia="zh-CN"/>
              </w:rPr>
              <w:t>。</w:t>
            </w:r>
          </w:p>
          <w:p w14:paraId="4C1CD529">
            <w:pPr>
              <w:snapToGrid w:val="0"/>
              <w:spacing w:line="360" w:lineRule="auto"/>
              <w:ind w:firstLine="482" w:firstLineChars="200"/>
              <w:jc w:val="center"/>
              <w:rPr>
                <w:rFonts w:hint="eastAsia" w:ascii="Times New Roman" w:hAnsi="Times New Roman" w:cs="Times New Roman"/>
                <w:b/>
                <w:bCs w:val="0"/>
                <w:color w:val="auto"/>
                <w:sz w:val="24"/>
                <w:highlight w:val="none"/>
                <w:lang w:val="en-US" w:eastAsia="zh-CN"/>
              </w:rPr>
            </w:pPr>
            <w:r>
              <w:rPr>
                <w:rFonts w:hint="eastAsia" w:ascii="Times New Roman" w:hAnsi="Times New Roman" w:cs="Times New Roman"/>
                <w:b/>
                <w:bCs w:val="0"/>
                <w:color w:val="auto"/>
                <w:sz w:val="24"/>
                <w:highlight w:val="none"/>
                <w:lang w:eastAsia="zh-CN"/>
              </w:rPr>
              <w:t>表</w:t>
            </w:r>
            <w:r>
              <w:rPr>
                <w:rFonts w:hint="eastAsia" w:ascii="Times New Roman" w:hAnsi="Times New Roman" w:cs="Times New Roman"/>
                <w:b/>
                <w:bCs w:val="0"/>
                <w:color w:val="auto"/>
                <w:sz w:val="24"/>
                <w:highlight w:val="none"/>
                <w:lang w:val="en-US" w:eastAsia="zh-CN"/>
              </w:rPr>
              <w:t>1-10 各条道路公交车站台的数量（个）</w:t>
            </w:r>
          </w:p>
          <w:tbl>
            <w:tblPr>
              <w:tblStyle w:val="16"/>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9"/>
              <w:gridCol w:w="2759"/>
              <w:gridCol w:w="2760"/>
            </w:tblGrid>
            <w:tr w14:paraId="2DDB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59" w:type="dxa"/>
                  <w:vAlign w:val="center"/>
                </w:tcPr>
                <w:p w14:paraId="3D55C334">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道路名称</w:t>
                  </w:r>
                </w:p>
              </w:tc>
              <w:tc>
                <w:tcPr>
                  <w:tcW w:w="2759" w:type="dxa"/>
                  <w:vAlign w:val="center"/>
                </w:tcPr>
                <w:p w14:paraId="01AA99B2">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公交站台数量</w:t>
                  </w:r>
                </w:p>
              </w:tc>
              <w:tc>
                <w:tcPr>
                  <w:tcW w:w="2760" w:type="dxa"/>
                  <w:vAlign w:val="center"/>
                </w:tcPr>
                <w:p w14:paraId="50996029">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站台平均间距</w:t>
                  </w:r>
                </w:p>
              </w:tc>
            </w:tr>
            <w:tr w14:paraId="4FE4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59" w:type="dxa"/>
                  <w:vAlign w:val="center"/>
                </w:tcPr>
                <w:p w14:paraId="0BED62F1">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1号路</w:t>
                  </w:r>
                </w:p>
              </w:tc>
              <w:tc>
                <w:tcPr>
                  <w:tcW w:w="2759" w:type="dxa"/>
                  <w:vAlign w:val="center"/>
                </w:tcPr>
                <w:p w14:paraId="405B27C8">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w:t>
                  </w:r>
                </w:p>
              </w:tc>
              <w:tc>
                <w:tcPr>
                  <w:tcW w:w="2760" w:type="dxa"/>
                  <w:vAlign w:val="center"/>
                </w:tcPr>
                <w:p w14:paraId="7AD31D54">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400</w:t>
                  </w:r>
                </w:p>
              </w:tc>
            </w:tr>
            <w:tr w14:paraId="536C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59" w:type="dxa"/>
                  <w:vAlign w:val="center"/>
                </w:tcPr>
                <w:p w14:paraId="6F884F6B">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2号路</w:t>
                  </w:r>
                </w:p>
              </w:tc>
              <w:tc>
                <w:tcPr>
                  <w:tcW w:w="2759" w:type="dxa"/>
                  <w:vAlign w:val="center"/>
                </w:tcPr>
                <w:p w14:paraId="14710951">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w:t>
                  </w:r>
                </w:p>
              </w:tc>
              <w:tc>
                <w:tcPr>
                  <w:tcW w:w="2760" w:type="dxa"/>
                  <w:vAlign w:val="center"/>
                </w:tcPr>
                <w:p w14:paraId="3819AFC2">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400</w:t>
                  </w:r>
                </w:p>
              </w:tc>
            </w:tr>
            <w:tr w14:paraId="104A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59" w:type="dxa"/>
                  <w:vAlign w:val="center"/>
                </w:tcPr>
                <w:p w14:paraId="64D09CFE">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3号路</w:t>
                  </w:r>
                </w:p>
              </w:tc>
              <w:tc>
                <w:tcPr>
                  <w:tcW w:w="2759" w:type="dxa"/>
                  <w:vAlign w:val="center"/>
                </w:tcPr>
                <w:p w14:paraId="121DD0B8">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5</w:t>
                  </w:r>
                </w:p>
              </w:tc>
              <w:tc>
                <w:tcPr>
                  <w:tcW w:w="2760" w:type="dxa"/>
                  <w:vAlign w:val="center"/>
                </w:tcPr>
                <w:p w14:paraId="5E64F05C">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400</w:t>
                  </w:r>
                </w:p>
              </w:tc>
            </w:tr>
            <w:tr w14:paraId="209E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59" w:type="dxa"/>
                  <w:vAlign w:val="center"/>
                </w:tcPr>
                <w:p w14:paraId="55433B54">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4号路（南）</w:t>
                  </w:r>
                </w:p>
              </w:tc>
              <w:tc>
                <w:tcPr>
                  <w:tcW w:w="2759" w:type="dxa"/>
                  <w:vAlign w:val="center"/>
                </w:tcPr>
                <w:p w14:paraId="2D1BEF90">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2</w:t>
                  </w:r>
                </w:p>
              </w:tc>
              <w:tc>
                <w:tcPr>
                  <w:tcW w:w="2760" w:type="dxa"/>
                  <w:vAlign w:val="center"/>
                </w:tcPr>
                <w:p w14:paraId="6ED9EA7B">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432.5</w:t>
                  </w:r>
                </w:p>
              </w:tc>
            </w:tr>
            <w:tr w14:paraId="72DA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59" w:type="dxa"/>
                  <w:vAlign w:val="center"/>
                </w:tcPr>
                <w:p w14:paraId="48F84DF0">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4号路北含4号路</w:t>
                  </w:r>
                </w:p>
              </w:tc>
              <w:tc>
                <w:tcPr>
                  <w:tcW w:w="2759" w:type="dxa"/>
                  <w:vAlign w:val="center"/>
                </w:tcPr>
                <w:p w14:paraId="4BF82DB1">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2</w:t>
                  </w:r>
                </w:p>
              </w:tc>
              <w:tc>
                <w:tcPr>
                  <w:tcW w:w="2760" w:type="dxa"/>
                  <w:vAlign w:val="center"/>
                </w:tcPr>
                <w:p w14:paraId="17AB360D">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330</w:t>
                  </w:r>
                </w:p>
              </w:tc>
            </w:tr>
            <w:tr w14:paraId="41C7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59" w:type="dxa"/>
                  <w:vAlign w:val="center"/>
                </w:tcPr>
                <w:p w14:paraId="44F974F7">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5号路</w:t>
                  </w:r>
                </w:p>
              </w:tc>
              <w:tc>
                <w:tcPr>
                  <w:tcW w:w="2759" w:type="dxa"/>
                  <w:vAlign w:val="center"/>
                </w:tcPr>
                <w:p w14:paraId="73548A82">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6</w:t>
                  </w:r>
                </w:p>
              </w:tc>
              <w:tc>
                <w:tcPr>
                  <w:tcW w:w="2760" w:type="dxa"/>
                  <w:vAlign w:val="center"/>
                </w:tcPr>
                <w:p w14:paraId="7C760FEC">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400</w:t>
                  </w:r>
                </w:p>
              </w:tc>
            </w:tr>
            <w:tr w14:paraId="1197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59" w:type="dxa"/>
                  <w:vAlign w:val="center"/>
                </w:tcPr>
                <w:p w14:paraId="7AAE7F1C">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6号路</w:t>
                  </w:r>
                </w:p>
              </w:tc>
              <w:tc>
                <w:tcPr>
                  <w:tcW w:w="2759" w:type="dxa"/>
                  <w:vAlign w:val="center"/>
                </w:tcPr>
                <w:p w14:paraId="2FE5AA60">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w:t>
                  </w:r>
                </w:p>
              </w:tc>
              <w:tc>
                <w:tcPr>
                  <w:tcW w:w="2760" w:type="dxa"/>
                  <w:vAlign w:val="center"/>
                </w:tcPr>
                <w:p w14:paraId="6E027A49">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400</w:t>
                  </w:r>
                </w:p>
              </w:tc>
            </w:tr>
            <w:tr w14:paraId="02C4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59" w:type="dxa"/>
                  <w:vAlign w:val="center"/>
                </w:tcPr>
                <w:p w14:paraId="6D0A107E">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7号路</w:t>
                  </w:r>
                </w:p>
              </w:tc>
              <w:tc>
                <w:tcPr>
                  <w:tcW w:w="2759" w:type="dxa"/>
                  <w:vAlign w:val="center"/>
                </w:tcPr>
                <w:p w14:paraId="410A4168">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15</w:t>
                  </w:r>
                </w:p>
              </w:tc>
              <w:tc>
                <w:tcPr>
                  <w:tcW w:w="2760" w:type="dxa"/>
                  <w:vAlign w:val="center"/>
                </w:tcPr>
                <w:p w14:paraId="2B79199B">
                  <w:pPr>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454.6</w:t>
                  </w:r>
                </w:p>
              </w:tc>
            </w:tr>
          </w:tbl>
          <w:p w14:paraId="6CE5FC47">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drawing>
                <wp:inline distT="0" distB="0" distL="114300" distR="114300">
                  <wp:extent cx="5143500" cy="2183130"/>
                  <wp:effectExtent l="0" t="0" r="0" b="7620"/>
                  <wp:docPr id="17" name="图片 17" descr="123456公交站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3456公交站台示意图"/>
                          <pic:cNvPicPr>
                            <a:picLocks noChangeAspect="1"/>
                          </pic:cNvPicPr>
                        </pic:nvPicPr>
                        <pic:blipFill>
                          <a:blip r:embed="rId24"/>
                          <a:stretch>
                            <a:fillRect/>
                          </a:stretch>
                        </pic:blipFill>
                        <pic:spPr>
                          <a:xfrm>
                            <a:off x="0" y="0"/>
                            <a:ext cx="5143500" cy="2183130"/>
                          </a:xfrm>
                          <a:prstGeom prst="rect">
                            <a:avLst/>
                          </a:prstGeom>
                        </pic:spPr>
                      </pic:pic>
                    </a:graphicData>
                  </a:graphic>
                </wp:inline>
              </w:drawing>
            </w:r>
          </w:p>
          <w:p w14:paraId="5E9BCE54">
            <w:pPr>
              <w:keepNext w:val="0"/>
              <w:keepLines w:val="0"/>
              <w:widowControl/>
              <w:suppressLineNumbers w:val="0"/>
              <w:jc w:val="center"/>
              <w:rPr>
                <w:rFonts w:hint="eastAsia" w:ascii="宋体" w:hAnsi="宋体" w:cs="宋体"/>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 xml:space="preserve">图1-11 </w:t>
            </w:r>
            <w:r>
              <w:rPr>
                <w:rFonts w:hint="default" w:ascii="Times New Roman" w:hAnsi="Times New Roman" w:eastAsia="宋体" w:cs="Times New Roman"/>
                <w:b/>
                <w:bCs/>
                <w:color w:val="000000"/>
                <w:kern w:val="0"/>
                <w:sz w:val="24"/>
                <w:szCs w:val="24"/>
                <w:lang w:val="en-US" w:eastAsia="zh-CN" w:bidi="ar"/>
              </w:rPr>
              <w:t xml:space="preserve">1 </w:t>
            </w:r>
            <w:r>
              <w:rPr>
                <w:rFonts w:ascii="宋体" w:hAnsi="宋体" w:eastAsia="宋体" w:cs="宋体"/>
                <w:b/>
                <w:bCs/>
                <w:color w:val="000000"/>
                <w:kern w:val="0"/>
                <w:sz w:val="24"/>
                <w:szCs w:val="24"/>
                <w:lang w:val="en-US" w:eastAsia="zh-CN" w:bidi="ar"/>
              </w:rPr>
              <w:t>号路、</w:t>
            </w:r>
            <w:r>
              <w:rPr>
                <w:rFonts w:hint="default" w:ascii="Times New Roman" w:hAnsi="Times New Roman" w:eastAsia="宋体" w:cs="Times New Roman"/>
                <w:b/>
                <w:bCs/>
                <w:color w:val="000000"/>
                <w:kern w:val="0"/>
                <w:sz w:val="24"/>
                <w:szCs w:val="24"/>
                <w:lang w:val="en-US" w:eastAsia="zh-CN" w:bidi="ar"/>
              </w:rPr>
              <w:t xml:space="preserve">2 </w:t>
            </w:r>
            <w:r>
              <w:rPr>
                <w:rFonts w:ascii="宋体" w:hAnsi="宋体" w:eastAsia="宋体" w:cs="宋体"/>
                <w:b/>
                <w:bCs/>
                <w:color w:val="000000"/>
                <w:kern w:val="0"/>
                <w:sz w:val="24"/>
                <w:szCs w:val="24"/>
                <w:lang w:val="en-US" w:eastAsia="zh-CN" w:bidi="ar"/>
              </w:rPr>
              <w:t>号路、</w:t>
            </w:r>
            <w:r>
              <w:rPr>
                <w:rFonts w:hint="default" w:ascii="Times New Roman" w:hAnsi="Times New Roman" w:eastAsia="宋体" w:cs="Times New Roman"/>
                <w:b/>
                <w:bCs/>
                <w:color w:val="000000"/>
                <w:kern w:val="0"/>
                <w:sz w:val="24"/>
                <w:szCs w:val="24"/>
                <w:lang w:val="en-US" w:eastAsia="zh-CN" w:bidi="ar"/>
              </w:rPr>
              <w:t xml:space="preserve">3 </w:t>
            </w:r>
            <w:r>
              <w:rPr>
                <w:rFonts w:ascii="宋体" w:hAnsi="宋体" w:eastAsia="宋体" w:cs="宋体"/>
                <w:b/>
                <w:bCs/>
                <w:color w:val="000000"/>
                <w:kern w:val="0"/>
                <w:sz w:val="24"/>
                <w:szCs w:val="24"/>
                <w:lang w:val="en-US" w:eastAsia="zh-CN" w:bidi="ar"/>
              </w:rPr>
              <w:t>号路、</w:t>
            </w:r>
            <w:r>
              <w:rPr>
                <w:rFonts w:hint="default" w:ascii="Times New Roman" w:hAnsi="Times New Roman" w:eastAsia="宋体" w:cs="Times New Roman"/>
                <w:b/>
                <w:bCs/>
                <w:color w:val="000000"/>
                <w:kern w:val="0"/>
                <w:sz w:val="24"/>
                <w:szCs w:val="24"/>
                <w:lang w:val="en-US" w:eastAsia="zh-CN" w:bidi="ar"/>
              </w:rPr>
              <w:t xml:space="preserve">4 </w:t>
            </w:r>
            <w:r>
              <w:rPr>
                <w:rFonts w:ascii="宋体" w:hAnsi="宋体" w:eastAsia="宋体" w:cs="宋体"/>
                <w:b/>
                <w:bCs/>
                <w:color w:val="000000"/>
                <w:kern w:val="0"/>
                <w:sz w:val="24"/>
                <w:szCs w:val="24"/>
                <w:lang w:val="en-US" w:eastAsia="zh-CN" w:bidi="ar"/>
              </w:rPr>
              <w:t>号路、</w:t>
            </w:r>
            <w:r>
              <w:rPr>
                <w:rFonts w:hint="default" w:ascii="Times New Roman" w:hAnsi="Times New Roman" w:eastAsia="宋体" w:cs="Times New Roman"/>
                <w:b/>
                <w:bCs/>
                <w:color w:val="000000"/>
                <w:kern w:val="0"/>
                <w:sz w:val="24"/>
                <w:szCs w:val="24"/>
                <w:lang w:val="en-US" w:eastAsia="zh-CN" w:bidi="ar"/>
              </w:rPr>
              <w:t xml:space="preserve">5 </w:t>
            </w:r>
            <w:r>
              <w:rPr>
                <w:rFonts w:ascii="宋体" w:hAnsi="宋体" w:eastAsia="宋体" w:cs="宋体"/>
                <w:b/>
                <w:bCs/>
                <w:color w:val="000000"/>
                <w:kern w:val="0"/>
                <w:sz w:val="24"/>
                <w:szCs w:val="24"/>
                <w:lang w:val="en-US" w:eastAsia="zh-CN" w:bidi="ar"/>
              </w:rPr>
              <w:t>号路、</w:t>
            </w:r>
            <w:r>
              <w:rPr>
                <w:rFonts w:hint="default" w:ascii="Times New Roman" w:hAnsi="Times New Roman" w:eastAsia="宋体" w:cs="Times New Roman"/>
                <w:b/>
                <w:bCs/>
                <w:color w:val="000000"/>
                <w:kern w:val="0"/>
                <w:sz w:val="24"/>
                <w:szCs w:val="24"/>
                <w:lang w:val="en-US" w:eastAsia="zh-CN" w:bidi="ar"/>
              </w:rPr>
              <w:t xml:space="preserve">6 </w:t>
            </w:r>
            <w:r>
              <w:rPr>
                <w:rFonts w:ascii="宋体" w:hAnsi="宋体" w:eastAsia="宋体" w:cs="宋体"/>
                <w:b/>
                <w:bCs/>
                <w:color w:val="000000"/>
                <w:kern w:val="0"/>
                <w:sz w:val="24"/>
                <w:szCs w:val="24"/>
                <w:lang w:val="en-US" w:eastAsia="zh-CN" w:bidi="ar"/>
              </w:rPr>
              <w:t>号路、</w:t>
            </w:r>
            <w:r>
              <w:rPr>
                <w:rFonts w:hint="default" w:ascii="Times New Roman" w:hAnsi="Times New Roman" w:eastAsia="宋体" w:cs="Times New Roman"/>
                <w:b/>
                <w:bCs/>
                <w:color w:val="000000"/>
                <w:kern w:val="0"/>
                <w:sz w:val="24"/>
                <w:szCs w:val="24"/>
                <w:lang w:val="en-US" w:eastAsia="zh-CN" w:bidi="ar"/>
              </w:rPr>
              <w:t xml:space="preserve">7 </w:t>
            </w:r>
            <w:r>
              <w:rPr>
                <w:rFonts w:ascii="宋体" w:hAnsi="宋体" w:eastAsia="宋体" w:cs="宋体"/>
                <w:b/>
                <w:bCs/>
                <w:color w:val="000000"/>
                <w:kern w:val="0"/>
                <w:sz w:val="24"/>
                <w:szCs w:val="24"/>
                <w:lang w:val="en-US" w:eastAsia="zh-CN" w:bidi="ar"/>
              </w:rPr>
              <w:t>号路的公交站台</w:t>
            </w:r>
            <w:r>
              <w:rPr>
                <w:rFonts w:hint="eastAsia" w:ascii="宋体" w:hAnsi="宋体" w:cs="宋体"/>
                <w:b/>
                <w:bCs/>
                <w:color w:val="000000"/>
                <w:kern w:val="0"/>
                <w:sz w:val="24"/>
                <w:szCs w:val="24"/>
                <w:lang w:val="en-US" w:eastAsia="zh-CN" w:bidi="ar"/>
              </w:rPr>
              <w:t>示意图</w:t>
            </w:r>
          </w:p>
          <w:p w14:paraId="2CAD27A4">
            <w:pPr>
              <w:keepNext w:val="0"/>
              <w:keepLines w:val="0"/>
              <w:widowControl/>
              <w:suppressLineNumbers w:val="0"/>
              <w:jc w:val="both"/>
              <w:rPr>
                <w:rFonts w:hint="default" w:ascii="宋体" w:hAnsi="宋体" w:cs="宋体"/>
                <w:b w:val="0"/>
                <w:bCs w:val="0"/>
                <w:color w:val="000000"/>
                <w:kern w:val="0"/>
                <w:sz w:val="24"/>
                <w:szCs w:val="24"/>
                <w:lang w:val="en-US" w:eastAsia="zh-CN" w:bidi="ar"/>
              </w:rPr>
            </w:pPr>
            <w:r>
              <w:rPr>
                <w:rFonts w:hint="default" w:ascii="宋体" w:hAnsi="宋体" w:cs="宋体"/>
                <w:b w:val="0"/>
                <w:bCs w:val="0"/>
                <w:color w:val="000000"/>
                <w:kern w:val="0"/>
                <w:sz w:val="24"/>
                <w:szCs w:val="24"/>
                <w:lang w:val="en-US" w:eastAsia="zh-CN" w:bidi="ar"/>
              </w:rPr>
              <w:drawing>
                <wp:inline distT="0" distB="0" distL="114300" distR="114300">
                  <wp:extent cx="5259070" cy="2710815"/>
                  <wp:effectExtent l="0" t="0" r="17780" b="13335"/>
                  <wp:docPr id="18" name="图片 18" descr="4南北公交站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南北公交站台"/>
                          <pic:cNvPicPr>
                            <a:picLocks noChangeAspect="1"/>
                          </pic:cNvPicPr>
                        </pic:nvPicPr>
                        <pic:blipFill>
                          <a:blip r:embed="rId25"/>
                          <a:stretch>
                            <a:fillRect/>
                          </a:stretch>
                        </pic:blipFill>
                        <pic:spPr>
                          <a:xfrm>
                            <a:off x="0" y="0"/>
                            <a:ext cx="5259070" cy="2710815"/>
                          </a:xfrm>
                          <a:prstGeom prst="rect">
                            <a:avLst/>
                          </a:prstGeom>
                        </pic:spPr>
                      </pic:pic>
                    </a:graphicData>
                  </a:graphic>
                </wp:inline>
              </w:drawing>
            </w:r>
          </w:p>
          <w:p w14:paraId="3E6CBE1E">
            <w:pPr>
              <w:keepNext w:val="0"/>
              <w:keepLines w:val="0"/>
              <w:widowControl/>
              <w:numPr>
                <w:ilvl w:val="0"/>
                <w:numId w:val="0"/>
              </w:numPr>
              <w:suppressLineNumbers w:val="0"/>
              <w:spacing w:line="360" w:lineRule="auto"/>
              <w:jc w:val="center"/>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图1-12 4号路（南）与4号路（北）公交站台示意图</w:t>
            </w:r>
          </w:p>
          <w:p w14:paraId="0630EB62">
            <w:pPr>
              <w:keepNext w:val="0"/>
              <w:keepLines w:val="0"/>
              <w:widowControl/>
              <w:numPr>
                <w:ilvl w:val="0"/>
                <w:numId w:val="0"/>
              </w:numPr>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无障碍设计</w:t>
            </w:r>
          </w:p>
          <w:p w14:paraId="0E74946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无障碍设计需在道路路段人行道、沿线单位出入口、道路交叉口、人行过街设施、桥梁、公交车站等设施处满足视力残疾者与肢体残疾者以及体弱老人、儿童等利用道路交通设施出行的需要。对此我国已有国家行业标准《城市道路和建筑物无障碍设计规范》（JGJ50-2001）予以了明确规定，基础设施的建设尤其应体现对残疾人士的人文关怀。</w:t>
            </w:r>
          </w:p>
          <w:p w14:paraId="0D3A616F">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行进盲道在路段上连续铺设，无障碍物铺设位置一般距绿化带或行道树树</w:t>
            </w:r>
            <w:r>
              <w:rPr>
                <w:rFonts w:hint="eastAsia" w:ascii="Times New Roman" w:hAnsi="Times New Roman" w:cs="Times New Roman"/>
                <w:color w:val="000000"/>
                <w:kern w:val="0"/>
                <w:sz w:val="24"/>
                <w:szCs w:val="24"/>
                <w:lang w:val="en-US" w:eastAsia="zh-CN" w:bidi="ar"/>
              </w:rPr>
              <w:t>穴</w:t>
            </w:r>
            <w:r>
              <w:rPr>
                <w:rFonts w:hint="default" w:ascii="Times New Roman" w:hAnsi="Times New Roman" w:eastAsia="宋体" w:cs="Times New Roman"/>
                <w:color w:val="000000"/>
                <w:kern w:val="0"/>
                <w:sz w:val="24"/>
                <w:szCs w:val="24"/>
                <w:lang w:val="en-US" w:eastAsia="zh-CN" w:bidi="ar"/>
              </w:rPr>
              <w:t>0.3~0.6m，一块行进盲道宽度 0.30m</w:t>
            </w:r>
            <w:r>
              <w:rPr>
                <w:rFonts w:hint="eastAsia" w:ascii="Times New Roman" w:hAnsi="Times New Roman" w:cs="Times New Roman"/>
                <w:color w:val="000000"/>
                <w:kern w:val="0"/>
                <w:sz w:val="24"/>
                <w:szCs w:val="24"/>
                <w:lang w:val="en-US" w:eastAsia="zh-CN" w:bidi="ar"/>
              </w:rPr>
              <w:t>，行进盲道转折处设提示盲道。斜坡坡度满足1:20的要求。</w:t>
            </w:r>
            <w:r>
              <w:rPr>
                <w:rFonts w:hint="default" w:ascii="Times New Roman" w:hAnsi="Times New Roman" w:eastAsia="宋体" w:cs="Times New Roman"/>
                <w:color w:val="000000"/>
                <w:kern w:val="0"/>
                <w:sz w:val="24"/>
                <w:szCs w:val="24"/>
                <w:lang w:val="en-US" w:eastAsia="zh-CN" w:bidi="ar"/>
              </w:rPr>
              <w:t>道路交叉口人行道在对应人行横道线的缘石部位设置缘石坡道，其中单面坡缘石坡道坡度为 1：20，三面坡缘石坡道坡度为 1：12。</w:t>
            </w:r>
          </w:p>
          <w:p w14:paraId="6A739CA6">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w:t>
            </w:r>
            <w:r>
              <w:rPr>
                <w:rFonts w:hint="eastAsia" w:ascii="Times New Roman" w:hAnsi="Times New Roman"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综合管线</w:t>
            </w:r>
          </w:p>
          <w:p w14:paraId="40FF0A41">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本项目设计内容包括给水管线、污水管线、雨水管线、燃气管线、再生水管线、电力管沟、电信电缆等管线。管线断面</w:t>
            </w:r>
            <w:r>
              <w:rPr>
                <w:rFonts w:hint="default" w:ascii="Times New Roman" w:hAnsi="Times New Roman" w:eastAsia="宋体" w:cs="Times New Roman"/>
                <w:b w:val="0"/>
                <w:bCs w:val="0"/>
                <w:color w:val="auto"/>
                <w:kern w:val="0"/>
                <w:sz w:val="24"/>
                <w:szCs w:val="24"/>
                <w:lang w:val="en-US" w:eastAsia="zh-CN" w:bidi="ar"/>
              </w:rPr>
              <w:t>图见图1-</w:t>
            </w:r>
            <w:r>
              <w:rPr>
                <w:rFonts w:hint="eastAsia" w:ascii="Times New Roman" w:hAnsi="Times New Roman" w:cs="Times New Roman"/>
                <w:b w:val="0"/>
                <w:bCs w:val="0"/>
                <w:color w:val="auto"/>
                <w:kern w:val="0"/>
                <w:sz w:val="24"/>
                <w:szCs w:val="24"/>
                <w:lang w:val="en-US" w:eastAsia="zh-CN" w:bidi="ar"/>
              </w:rPr>
              <w:t>13～</w:t>
            </w:r>
            <w:r>
              <w:rPr>
                <w:rFonts w:hint="default" w:ascii="Times New Roman" w:hAnsi="Times New Roman" w:eastAsia="宋体" w:cs="Times New Roman"/>
                <w:b w:val="0"/>
                <w:bCs w:val="0"/>
                <w:color w:val="auto"/>
                <w:kern w:val="0"/>
                <w:sz w:val="24"/>
                <w:szCs w:val="24"/>
                <w:lang w:val="en-US" w:eastAsia="zh-CN" w:bidi="ar"/>
              </w:rPr>
              <w:t>图1-</w:t>
            </w:r>
            <w:r>
              <w:rPr>
                <w:rFonts w:hint="eastAsia" w:ascii="Times New Roman" w:hAnsi="Times New Roman" w:cs="Times New Roman"/>
                <w:b w:val="0"/>
                <w:bCs w:val="0"/>
                <w:color w:val="auto"/>
                <w:kern w:val="0"/>
                <w:sz w:val="24"/>
                <w:szCs w:val="24"/>
                <w:lang w:val="en-US" w:eastAsia="zh-CN" w:bidi="ar"/>
              </w:rPr>
              <w:t>17</w:t>
            </w:r>
          </w:p>
          <w:p w14:paraId="58EC1251">
            <w:pPr>
              <w:keepNext w:val="0"/>
              <w:keepLines w:val="0"/>
              <w:widowControl/>
              <w:numPr>
                <w:ilvl w:val="0"/>
                <w:numId w:val="9"/>
              </w:numPr>
              <w:suppressLineNumbers w:val="0"/>
              <w:spacing w:line="360" w:lineRule="auto"/>
              <w:ind w:firstLine="480" w:firstLineChars="20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管线平面布置</w:t>
            </w:r>
          </w:p>
          <w:p w14:paraId="156AA09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各种管线性质、易损程度、建筑物对各种管线安全距离要求以及各种管线相互间的安全距离要求，本着压力管避让重力管，易弯曲管线避让不易弯曲管线，临时性管线避让永久性管线等原则，各种工程管线间距要求以及倘甸地区管道敷设习惯，如电力管沟敷设在道路西侧或北侧、电信管道敷设在道路东侧或南侧等在道路平面上布置各种工程管线。</w:t>
            </w:r>
          </w:p>
          <w:p w14:paraId="1D4C8634">
            <w:pPr>
              <w:keepNext w:val="0"/>
              <w:keepLines w:val="0"/>
              <w:widowControl/>
              <w:numPr>
                <w:ilvl w:val="0"/>
                <w:numId w:val="9"/>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路段管线最小深埋</w:t>
            </w:r>
          </w:p>
          <w:p w14:paraId="385691C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路段（交叉口除外），根据地面承受荷载的大小，各种管线最小埋深见下表所示（单位为 m）。管线设计应满足此埋深，如在特殊情况下无法满足，应有混凝土包封等保护措施。</w:t>
            </w:r>
          </w:p>
          <w:p w14:paraId="23D732E7">
            <w:pPr>
              <w:keepNext w:val="0"/>
              <w:keepLines w:val="0"/>
              <w:widowControl/>
              <w:suppressLineNumbers w:val="0"/>
              <w:spacing w:line="360" w:lineRule="auto"/>
              <w:jc w:val="center"/>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表1-</w:t>
            </w:r>
            <w:r>
              <w:rPr>
                <w:rFonts w:hint="eastAsia" w:ascii="Times New Roman" w:hAnsi="Times New Roman" w:cs="Times New Roman"/>
                <w:b/>
                <w:color w:val="000000"/>
                <w:kern w:val="0"/>
                <w:sz w:val="24"/>
                <w:szCs w:val="24"/>
                <w:lang w:val="en-US" w:eastAsia="zh-CN" w:bidi="ar"/>
              </w:rPr>
              <w:t>11</w:t>
            </w:r>
            <w:r>
              <w:rPr>
                <w:rFonts w:hint="default" w:ascii="Times New Roman" w:hAnsi="Times New Roman" w:eastAsia="宋体" w:cs="Times New Roman"/>
                <w:b/>
                <w:color w:val="000000"/>
                <w:kern w:val="0"/>
                <w:sz w:val="24"/>
                <w:szCs w:val="24"/>
                <w:lang w:val="en-US" w:eastAsia="zh-CN" w:bidi="ar"/>
              </w:rPr>
              <w:t xml:space="preserve"> 路段管线最小埋深控制</w:t>
            </w:r>
          </w:p>
          <w:tbl>
            <w:tblPr>
              <w:tblStyle w:val="16"/>
              <w:tblW w:w="8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100"/>
              <w:gridCol w:w="856"/>
              <w:gridCol w:w="911"/>
              <w:gridCol w:w="1013"/>
              <w:gridCol w:w="896"/>
              <w:gridCol w:w="806"/>
              <w:gridCol w:w="881"/>
              <w:gridCol w:w="881"/>
            </w:tblGrid>
            <w:tr w14:paraId="29BB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74" w:type="dxa"/>
                  <w:gridSpan w:val="2"/>
                  <w:vAlign w:val="center"/>
                </w:tcPr>
                <w:p w14:paraId="65435557">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序号</w:t>
                  </w:r>
                </w:p>
              </w:tc>
              <w:tc>
                <w:tcPr>
                  <w:tcW w:w="856" w:type="dxa"/>
                  <w:vAlign w:val="center"/>
                </w:tcPr>
                <w:p w14:paraId="75BDC579">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w:t>
                  </w:r>
                </w:p>
              </w:tc>
              <w:tc>
                <w:tcPr>
                  <w:tcW w:w="911" w:type="dxa"/>
                  <w:vAlign w:val="center"/>
                </w:tcPr>
                <w:p w14:paraId="5F7711B5">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2</w:t>
                  </w:r>
                </w:p>
              </w:tc>
              <w:tc>
                <w:tcPr>
                  <w:tcW w:w="1013" w:type="dxa"/>
                  <w:vAlign w:val="center"/>
                </w:tcPr>
                <w:p w14:paraId="62E9D41D">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3</w:t>
                  </w:r>
                </w:p>
              </w:tc>
              <w:tc>
                <w:tcPr>
                  <w:tcW w:w="896" w:type="dxa"/>
                  <w:vAlign w:val="center"/>
                </w:tcPr>
                <w:p w14:paraId="22EA7F45">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4</w:t>
                  </w:r>
                </w:p>
              </w:tc>
              <w:tc>
                <w:tcPr>
                  <w:tcW w:w="806" w:type="dxa"/>
                  <w:vAlign w:val="center"/>
                </w:tcPr>
                <w:p w14:paraId="2FABC0C0">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5</w:t>
                  </w:r>
                </w:p>
              </w:tc>
              <w:tc>
                <w:tcPr>
                  <w:tcW w:w="881" w:type="dxa"/>
                  <w:vAlign w:val="center"/>
                </w:tcPr>
                <w:p w14:paraId="658565B1">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6</w:t>
                  </w:r>
                </w:p>
              </w:tc>
              <w:tc>
                <w:tcPr>
                  <w:tcW w:w="881" w:type="dxa"/>
                  <w:vAlign w:val="center"/>
                </w:tcPr>
                <w:p w14:paraId="37D8D40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7</w:t>
                  </w:r>
                </w:p>
              </w:tc>
            </w:tr>
            <w:tr w14:paraId="61CB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974" w:type="dxa"/>
                  <w:gridSpan w:val="2"/>
                  <w:vAlign w:val="center"/>
                </w:tcPr>
                <w:p w14:paraId="648DAB0E">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管线名称</w:t>
                  </w:r>
                </w:p>
              </w:tc>
              <w:tc>
                <w:tcPr>
                  <w:tcW w:w="856" w:type="dxa"/>
                  <w:vAlign w:val="center"/>
                </w:tcPr>
                <w:p w14:paraId="6C8ACB04">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电力管沟</w:t>
                  </w:r>
                </w:p>
              </w:tc>
              <w:tc>
                <w:tcPr>
                  <w:tcW w:w="911" w:type="dxa"/>
                  <w:vAlign w:val="center"/>
                </w:tcPr>
                <w:p w14:paraId="1312BCA7">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电信管沟</w:t>
                  </w:r>
                </w:p>
              </w:tc>
              <w:tc>
                <w:tcPr>
                  <w:tcW w:w="1013" w:type="dxa"/>
                  <w:vAlign w:val="center"/>
                </w:tcPr>
                <w:p w14:paraId="477784A9">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再生水管线</w:t>
                  </w:r>
                </w:p>
              </w:tc>
              <w:tc>
                <w:tcPr>
                  <w:tcW w:w="896" w:type="dxa"/>
                  <w:vAlign w:val="center"/>
                </w:tcPr>
                <w:p w14:paraId="6F28D8BF">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燃气管线</w:t>
                  </w:r>
                </w:p>
              </w:tc>
              <w:tc>
                <w:tcPr>
                  <w:tcW w:w="806" w:type="dxa"/>
                  <w:vAlign w:val="center"/>
                </w:tcPr>
                <w:p w14:paraId="7217730F">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给水管线</w:t>
                  </w:r>
                </w:p>
              </w:tc>
              <w:tc>
                <w:tcPr>
                  <w:tcW w:w="881" w:type="dxa"/>
                  <w:vAlign w:val="center"/>
                </w:tcPr>
                <w:p w14:paraId="358B681E">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雨水管线</w:t>
                  </w:r>
                </w:p>
              </w:tc>
              <w:tc>
                <w:tcPr>
                  <w:tcW w:w="881" w:type="dxa"/>
                  <w:vAlign w:val="center"/>
                </w:tcPr>
                <w:p w14:paraId="4DC0409C">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污水管线</w:t>
                  </w:r>
                </w:p>
              </w:tc>
            </w:tr>
            <w:tr w14:paraId="2461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74" w:type="dxa"/>
                  <w:vMerge w:val="restart"/>
                  <w:vAlign w:val="center"/>
                </w:tcPr>
                <w:p w14:paraId="52C2DFCE">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最小覆土深度（m）</w:t>
                  </w:r>
                </w:p>
              </w:tc>
              <w:tc>
                <w:tcPr>
                  <w:tcW w:w="1100" w:type="dxa"/>
                  <w:vAlign w:val="center"/>
                </w:tcPr>
                <w:p w14:paraId="2E4F1F13">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人行道下</w:t>
                  </w:r>
                </w:p>
              </w:tc>
              <w:tc>
                <w:tcPr>
                  <w:tcW w:w="856" w:type="dxa"/>
                  <w:vAlign w:val="center"/>
                </w:tcPr>
                <w:p w14:paraId="63BDB699">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0.4</w:t>
                  </w:r>
                </w:p>
              </w:tc>
              <w:tc>
                <w:tcPr>
                  <w:tcW w:w="911" w:type="dxa"/>
                  <w:vAlign w:val="center"/>
                </w:tcPr>
                <w:p w14:paraId="3395520B">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0.4</w:t>
                  </w:r>
                </w:p>
              </w:tc>
              <w:tc>
                <w:tcPr>
                  <w:tcW w:w="1013" w:type="dxa"/>
                  <w:vAlign w:val="center"/>
                </w:tcPr>
                <w:p w14:paraId="2FC4B987">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0.6</w:t>
                  </w:r>
                </w:p>
              </w:tc>
              <w:tc>
                <w:tcPr>
                  <w:tcW w:w="896" w:type="dxa"/>
                  <w:vAlign w:val="center"/>
                </w:tcPr>
                <w:p w14:paraId="59194142">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0.6</w:t>
                  </w:r>
                </w:p>
              </w:tc>
              <w:tc>
                <w:tcPr>
                  <w:tcW w:w="806" w:type="dxa"/>
                  <w:vAlign w:val="center"/>
                </w:tcPr>
                <w:p w14:paraId="5122EDC5">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0.6</w:t>
                  </w:r>
                </w:p>
              </w:tc>
              <w:tc>
                <w:tcPr>
                  <w:tcW w:w="881" w:type="dxa"/>
                  <w:vAlign w:val="center"/>
                </w:tcPr>
                <w:p w14:paraId="6AAE160F">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0.6</w:t>
                  </w:r>
                </w:p>
              </w:tc>
              <w:tc>
                <w:tcPr>
                  <w:tcW w:w="881" w:type="dxa"/>
                  <w:vAlign w:val="center"/>
                </w:tcPr>
                <w:p w14:paraId="1B5D7766">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0.6</w:t>
                  </w:r>
                </w:p>
              </w:tc>
            </w:tr>
            <w:tr w14:paraId="4947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74" w:type="dxa"/>
                  <w:vMerge w:val="continue"/>
                  <w:vAlign w:val="center"/>
                </w:tcPr>
                <w:p w14:paraId="467EB009">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p>
              </w:tc>
              <w:tc>
                <w:tcPr>
                  <w:tcW w:w="1100" w:type="dxa"/>
                  <w:vAlign w:val="center"/>
                </w:tcPr>
                <w:p w14:paraId="2D3CDFF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车行道下</w:t>
                  </w:r>
                </w:p>
              </w:tc>
              <w:tc>
                <w:tcPr>
                  <w:tcW w:w="856" w:type="dxa"/>
                  <w:vAlign w:val="center"/>
                </w:tcPr>
                <w:p w14:paraId="6DCC555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0.5</w:t>
                  </w:r>
                </w:p>
              </w:tc>
              <w:tc>
                <w:tcPr>
                  <w:tcW w:w="911" w:type="dxa"/>
                  <w:vAlign w:val="center"/>
                </w:tcPr>
                <w:p w14:paraId="557BBEBB">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0.7</w:t>
                  </w:r>
                </w:p>
              </w:tc>
              <w:tc>
                <w:tcPr>
                  <w:tcW w:w="1013" w:type="dxa"/>
                  <w:vAlign w:val="center"/>
                </w:tcPr>
                <w:p w14:paraId="545E8C40">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0.7</w:t>
                  </w:r>
                </w:p>
              </w:tc>
              <w:tc>
                <w:tcPr>
                  <w:tcW w:w="896" w:type="dxa"/>
                  <w:vAlign w:val="center"/>
                </w:tcPr>
                <w:p w14:paraId="55C440F4">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0.8</w:t>
                  </w:r>
                </w:p>
              </w:tc>
              <w:tc>
                <w:tcPr>
                  <w:tcW w:w="806" w:type="dxa"/>
                  <w:vAlign w:val="center"/>
                </w:tcPr>
                <w:p w14:paraId="0C1D3E9F">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0.7</w:t>
                  </w:r>
                </w:p>
              </w:tc>
              <w:tc>
                <w:tcPr>
                  <w:tcW w:w="881" w:type="dxa"/>
                  <w:vAlign w:val="center"/>
                </w:tcPr>
                <w:p w14:paraId="3540E0CC">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0.7</w:t>
                  </w:r>
                </w:p>
              </w:tc>
              <w:tc>
                <w:tcPr>
                  <w:tcW w:w="881" w:type="dxa"/>
                  <w:vAlign w:val="center"/>
                </w:tcPr>
                <w:p w14:paraId="30997688">
                  <w:pPr>
                    <w:keepNext w:val="0"/>
                    <w:keepLines w:val="0"/>
                    <w:widowControl/>
                    <w:suppressLineNumbers w:val="0"/>
                    <w:spacing w:line="240" w:lineRule="auto"/>
                    <w:jc w:val="center"/>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0.7</w:t>
                  </w:r>
                </w:p>
              </w:tc>
            </w:tr>
          </w:tbl>
          <w:p w14:paraId="373BE780">
            <w:pPr>
              <w:keepNext w:val="0"/>
              <w:keepLines w:val="0"/>
              <w:widowControl/>
              <w:numPr>
                <w:ilvl w:val="0"/>
                <w:numId w:val="9"/>
              </w:numPr>
              <w:suppressLineNumbers w:val="0"/>
              <w:spacing w:line="360" w:lineRule="auto"/>
              <w:ind w:left="0" w:leftChars="0" w:firstLine="480" w:firstLineChars="200"/>
              <w:jc w:val="left"/>
              <w:rPr>
                <w:rFonts w:hint="default" w:ascii="Times New Roman" w:hAnsi="Times New Roman" w:eastAsia="宋体" w:cs="Times New Roman"/>
                <w:b w:val="0"/>
                <w:bCs/>
                <w:color w:val="000000"/>
                <w:kern w:val="0"/>
                <w:sz w:val="24"/>
                <w:szCs w:val="24"/>
                <w:lang w:val="en-US" w:eastAsia="zh-CN" w:bidi="ar"/>
              </w:rPr>
            </w:pPr>
            <w:r>
              <w:rPr>
                <w:rFonts w:hint="default" w:ascii="Times New Roman" w:hAnsi="Times New Roman" w:eastAsia="宋体" w:cs="Times New Roman"/>
                <w:b w:val="0"/>
                <w:bCs/>
                <w:color w:val="000000"/>
                <w:kern w:val="0"/>
                <w:sz w:val="24"/>
                <w:szCs w:val="24"/>
                <w:lang w:val="en-US" w:eastAsia="zh-CN" w:bidi="ar"/>
              </w:rPr>
              <w:t>道路交叉口交叉管设计</w:t>
            </w:r>
          </w:p>
          <w:p w14:paraId="51AA81A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本道路</w:t>
            </w:r>
            <w:r>
              <w:rPr>
                <w:rFonts w:hint="eastAsia" w:cs="Times New Roman"/>
                <w:color w:val="000000"/>
                <w:kern w:val="0"/>
                <w:sz w:val="24"/>
                <w:szCs w:val="24"/>
                <w:lang w:val="en-US" w:eastAsia="zh-CN" w:bidi="ar"/>
              </w:rPr>
              <w:t>所处地区</w:t>
            </w:r>
            <w:r>
              <w:rPr>
                <w:rFonts w:hint="default" w:ascii="Times New Roman" w:hAnsi="Times New Roman" w:eastAsia="宋体" w:cs="Times New Roman"/>
                <w:color w:val="000000"/>
                <w:kern w:val="0"/>
                <w:sz w:val="24"/>
                <w:szCs w:val="24"/>
                <w:lang w:val="en-US" w:eastAsia="zh-CN" w:bidi="ar"/>
              </w:rPr>
              <w:t>尚处于开发建设阶段，目前基本先实施干道，部分支路下阶段进行。大部分工程管线主通道布置于干道下。为避免修好的道路出现反复开</w:t>
            </w:r>
            <w:r>
              <w:rPr>
                <w:rFonts w:hint="eastAsia" w:cs="Times New Roman"/>
                <w:color w:val="000000"/>
                <w:kern w:val="0"/>
                <w:sz w:val="24"/>
                <w:szCs w:val="24"/>
                <w:lang w:val="en-US" w:eastAsia="zh-CN" w:bidi="ar"/>
              </w:rPr>
              <w:t>挖</w:t>
            </w:r>
            <w:r>
              <w:rPr>
                <w:rFonts w:hint="default" w:ascii="Times New Roman" w:hAnsi="Times New Roman" w:eastAsia="宋体" w:cs="Times New Roman"/>
                <w:color w:val="000000"/>
                <w:kern w:val="0"/>
                <w:sz w:val="24"/>
                <w:szCs w:val="24"/>
                <w:lang w:val="en-US" w:eastAsia="zh-CN" w:bidi="ar"/>
              </w:rPr>
              <w:t>现象，必须确定主干道交叉口所有管线标高，</w:t>
            </w:r>
            <w:r>
              <w:rPr>
                <w:rFonts w:hint="eastAsia" w:cs="Times New Roman"/>
                <w:color w:val="000000"/>
                <w:kern w:val="0"/>
                <w:sz w:val="24"/>
                <w:szCs w:val="24"/>
                <w:lang w:val="en-US" w:eastAsia="zh-CN" w:bidi="ar"/>
              </w:rPr>
              <w:t>预留部分布设空间，</w:t>
            </w:r>
            <w:r>
              <w:rPr>
                <w:rFonts w:hint="default" w:ascii="Times New Roman" w:hAnsi="Times New Roman" w:eastAsia="宋体" w:cs="Times New Roman"/>
                <w:color w:val="000000"/>
                <w:kern w:val="0"/>
                <w:sz w:val="24"/>
                <w:szCs w:val="24"/>
                <w:lang w:val="en-US" w:eastAsia="zh-CN" w:bidi="ar"/>
              </w:rPr>
              <w:t>在道路施工时同步敷设，支路口实施预留管作为以后管线施工的通道。</w:t>
            </w:r>
            <w:r>
              <w:rPr>
                <w:rFonts w:hint="default" w:ascii="Times New Roman" w:hAnsi="Times New Roman" w:eastAsia="宋体" w:cs="Times New Roman"/>
                <w:color w:val="000000"/>
                <w:kern w:val="0"/>
                <w:sz w:val="28"/>
                <w:szCs w:val="28"/>
                <w:lang w:val="en-US" w:eastAsia="zh-CN" w:bidi="ar"/>
              </w:rPr>
              <w:t xml:space="preserve"> </w:t>
            </w:r>
          </w:p>
          <w:p w14:paraId="1D52BAB1">
            <w:pPr>
              <w:keepNext w:val="0"/>
              <w:keepLines w:val="0"/>
              <w:widowControl/>
              <w:suppressLineNumbers w:val="0"/>
              <w:spacing w:line="360" w:lineRule="auto"/>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drawing>
                <wp:inline distT="0" distB="0" distL="114300" distR="114300">
                  <wp:extent cx="5184140" cy="2633345"/>
                  <wp:effectExtent l="0" t="0" r="16510" b="14605"/>
                  <wp:docPr id="10" name="图片 10" descr="5号路管道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号路管道设计图"/>
                          <pic:cNvPicPr>
                            <a:picLocks noChangeAspect="1"/>
                          </pic:cNvPicPr>
                        </pic:nvPicPr>
                        <pic:blipFill>
                          <a:blip r:embed="rId26"/>
                          <a:stretch>
                            <a:fillRect/>
                          </a:stretch>
                        </pic:blipFill>
                        <pic:spPr>
                          <a:xfrm>
                            <a:off x="0" y="0"/>
                            <a:ext cx="5184140" cy="2633345"/>
                          </a:xfrm>
                          <a:prstGeom prst="rect">
                            <a:avLst/>
                          </a:prstGeom>
                        </pic:spPr>
                      </pic:pic>
                    </a:graphicData>
                  </a:graphic>
                </wp:inline>
              </w:drawing>
            </w:r>
          </w:p>
          <w:p w14:paraId="150944CF">
            <w:pPr>
              <w:keepNext w:val="0"/>
              <w:keepLines w:val="0"/>
              <w:widowControl/>
              <w:suppressLineNumbers w:val="0"/>
              <w:spacing w:line="360" w:lineRule="auto"/>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图1-</w:t>
            </w:r>
            <w:r>
              <w:rPr>
                <w:rFonts w:hint="eastAsia" w:ascii="Times New Roman" w:hAnsi="Times New Roman" w:cs="Times New Roman"/>
                <w:b/>
                <w:bCs/>
                <w:color w:val="000000"/>
                <w:kern w:val="0"/>
                <w:sz w:val="24"/>
                <w:szCs w:val="24"/>
                <w:lang w:val="en-US" w:eastAsia="zh-CN" w:bidi="ar"/>
              </w:rPr>
              <w:t>13 2号路、3号路、6号路、5</w:t>
            </w:r>
            <w:r>
              <w:rPr>
                <w:rFonts w:hint="default" w:ascii="Times New Roman" w:hAnsi="Times New Roman" w:eastAsia="宋体" w:cs="Times New Roman"/>
                <w:b/>
                <w:bCs/>
                <w:color w:val="000000"/>
                <w:kern w:val="0"/>
                <w:sz w:val="24"/>
                <w:szCs w:val="24"/>
                <w:lang w:val="en-US" w:eastAsia="zh-CN" w:bidi="ar"/>
              </w:rPr>
              <w:t>号路（红线宽度32m）管线断面分布图</w:t>
            </w:r>
          </w:p>
          <w:p w14:paraId="5CCD5793">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道路断面形式： </w:t>
            </w:r>
          </w:p>
          <w:p w14:paraId="3CCC9B4C">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左侧（西侧）       右侧（东侧） </w:t>
            </w:r>
          </w:p>
          <w:p w14:paraId="5778157D">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给水管              给水管 </w:t>
            </w:r>
          </w:p>
          <w:p w14:paraId="0EBF1655">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燃气管              燃气管 </w:t>
            </w:r>
          </w:p>
          <w:p w14:paraId="3A22A05F">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通信线缆            电力管沟 </w:t>
            </w:r>
          </w:p>
          <w:p w14:paraId="52143592">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污水管              污水管 </w:t>
            </w:r>
          </w:p>
          <w:p w14:paraId="3829B758">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再生水管            再生水管 </w:t>
            </w:r>
          </w:p>
          <w:p w14:paraId="2CB4F627">
            <w:pPr>
              <w:keepNext w:val="0"/>
              <w:keepLines w:val="0"/>
              <w:widowControl/>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雨水管              雨水管</w:t>
            </w:r>
          </w:p>
          <w:p w14:paraId="7CF5CB27">
            <w:pPr>
              <w:keepNext w:val="0"/>
              <w:keepLines w:val="0"/>
              <w:widowControl/>
              <w:suppressLineNumbers w:val="0"/>
              <w:spacing w:line="360" w:lineRule="auto"/>
              <w:jc w:val="both"/>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drawing>
                <wp:inline distT="0" distB="0" distL="114300" distR="114300">
                  <wp:extent cx="5221605" cy="2774315"/>
                  <wp:effectExtent l="0" t="0" r="17145" b="6985"/>
                  <wp:docPr id="11" name="图片 11" descr="7号路管道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号路管道设计图"/>
                          <pic:cNvPicPr>
                            <a:picLocks noChangeAspect="1"/>
                          </pic:cNvPicPr>
                        </pic:nvPicPr>
                        <pic:blipFill>
                          <a:blip r:embed="rId27"/>
                          <a:stretch>
                            <a:fillRect/>
                          </a:stretch>
                        </pic:blipFill>
                        <pic:spPr>
                          <a:xfrm>
                            <a:off x="0" y="0"/>
                            <a:ext cx="5221605" cy="2774315"/>
                          </a:xfrm>
                          <a:prstGeom prst="rect">
                            <a:avLst/>
                          </a:prstGeom>
                        </pic:spPr>
                      </pic:pic>
                    </a:graphicData>
                  </a:graphic>
                </wp:inline>
              </w:drawing>
            </w:r>
          </w:p>
          <w:p w14:paraId="7630C649">
            <w:pPr>
              <w:keepNext w:val="0"/>
              <w:keepLines w:val="0"/>
              <w:widowControl/>
              <w:suppressLineNumbers w:val="0"/>
              <w:spacing w:line="360" w:lineRule="auto"/>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图1-</w:t>
            </w:r>
            <w:r>
              <w:rPr>
                <w:rFonts w:hint="eastAsia" w:ascii="Times New Roman" w:hAnsi="Times New Roman" w:cs="Times New Roman"/>
                <w:b/>
                <w:bCs/>
                <w:color w:val="000000"/>
                <w:kern w:val="0"/>
                <w:sz w:val="24"/>
                <w:szCs w:val="24"/>
                <w:lang w:val="en-US" w:eastAsia="zh-CN" w:bidi="ar"/>
              </w:rPr>
              <w:t>14</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cs="Times New Roman"/>
                <w:b/>
                <w:bCs/>
                <w:color w:val="000000"/>
                <w:kern w:val="0"/>
                <w:sz w:val="24"/>
                <w:szCs w:val="24"/>
                <w:lang w:val="en-US" w:eastAsia="zh-CN" w:bidi="ar"/>
              </w:rPr>
              <w:t>1号路、7</w:t>
            </w:r>
            <w:r>
              <w:rPr>
                <w:rFonts w:hint="default" w:ascii="Times New Roman" w:hAnsi="Times New Roman" w:eastAsia="宋体" w:cs="Times New Roman"/>
                <w:b/>
                <w:bCs/>
                <w:color w:val="000000"/>
                <w:kern w:val="0"/>
                <w:sz w:val="24"/>
                <w:szCs w:val="24"/>
                <w:lang w:val="en-US" w:eastAsia="zh-CN" w:bidi="ar"/>
              </w:rPr>
              <w:t>号路（红线宽度40m）管线断面分布图</w:t>
            </w:r>
          </w:p>
          <w:p w14:paraId="456E6E87">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道路断面形式： </w:t>
            </w:r>
          </w:p>
          <w:p w14:paraId="597C16EE">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左侧（西侧）            右侧（东侧） </w:t>
            </w:r>
          </w:p>
          <w:p w14:paraId="29992DA8">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给水管                    给水管 </w:t>
            </w:r>
          </w:p>
          <w:p w14:paraId="320B024D">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燃气管                    电力管沟 </w:t>
            </w:r>
          </w:p>
          <w:p w14:paraId="1E62C0BF">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雨水管                    雨水管 </w:t>
            </w:r>
          </w:p>
          <w:p w14:paraId="251615BE">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污水管                    污水管 </w:t>
            </w:r>
          </w:p>
          <w:p w14:paraId="3BB068C5">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通信线缆                  污水管 </w:t>
            </w:r>
          </w:p>
          <w:p w14:paraId="34D4989A">
            <w:pPr>
              <w:keepNext w:val="0"/>
              <w:keepLines w:val="0"/>
              <w:widowControl/>
              <w:suppressLineNumbers w:val="0"/>
              <w:spacing w:line="360" w:lineRule="auto"/>
              <w:ind w:firstLine="3120" w:firstLineChars="13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再生水管</w:t>
            </w:r>
          </w:p>
          <w:p w14:paraId="7490B02B">
            <w:pPr>
              <w:keepNext w:val="0"/>
              <w:keepLines w:val="0"/>
              <w:widowControl/>
              <w:suppressLineNumbers w:val="0"/>
              <w:spacing w:line="360" w:lineRule="auto"/>
              <w:ind w:firstLine="482" w:firstLineChars="200"/>
              <w:jc w:val="both"/>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drawing>
                <wp:inline distT="0" distB="0" distL="114300" distR="114300">
                  <wp:extent cx="4857750" cy="2526030"/>
                  <wp:effectExtent l="0" t="0" r="0" b="7620"/>
                  <wp:docPr id="20" name="图片 20" descr="4号合并段管道布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号合并段管道布设"/>
                          <pic:cNvPicPr>
                            <a:picLocks noChangeAspect="1"/>
                          </pic:cNvPicPr>
                        </pic:nvPicPr>
                        <pic:blipFill>
                          <a:blip r:embed="rId28"/>
                          <a:stretch>
                            <a:fillRect/>
                          </a:stretch>
                        </pic:blipFill>
                        <pic:spPr>
                          <a:xfrm>
                            <a:off x="0" y="0"/>
                            <a:ext cx="4857750" cy="2526030"/>
                          </a:xfrm>
                          <a:prstGeom prst="rect">
                            <a:avLst/>
                          </a:prstGeom>
                        </pic:spPr>
                      </pic:pic>
                    </a:graphicData>
                  </a:graphic>
                </wp:inline>
              </w:drawing>
            </w:r>
          </w:p>
          <w:p w14:paraId="327E197C">
            <w:pPr>
              <w:keepNext w:val="0"/>
              <w:keepLines w:val="0"/>
              <w:widowControl/>
              <w:suppressLineNumbers w:val="0"/>
              <w:spacing w:line="360" w:lineRule="auto"/>
              <w:ind w:firstLine="482" w:firstLineChars="200"/>
              <w:jc w:val="center"/>
              <w:rPr>
                <w:rFonts w:hint="eastAsia" w:ascii="Times New Roman" w:hAnsi="Times New Roman" w:cs="Times New Roman"/>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图1-15 4号路合并段（红线宽度42m）管线分布图</w:t>
            </w:r>
          </w:p>
          <w:p w14:paraId="77D80EE1">
            <w:pPr>
              <w:keepNext w:val="0"/>
              <w:keepLines w:val="0"/>
              <w:widowControl/>
              <w:suppressLineNumbers w:val="0"/>
              <w:spacing w:line="360" w:lineRule="auto"/>
              <w:jc w:val="left"/>
              <w:rPr>
                <w:sz w:val="24"/>
                <w:szCs w:val="24"/>
              </w:rPr>
            </w:pPr>
            <w:r>
              <w:rPr>
                <w:rFonts w:ascii="宋体" w:hAnsi="宋体" w:eastAsia="宋体" w:cs="宋体"/>
                <w:color w:val="000000"/>
                <w:kern w:val="0"/>
                <w:sz w:val="24"/>
                <w:szCs w:val="24"/>
                <w:lang w:val="en-US" w:eastAsia="zh-CN" w:bidi="ar"/>
              </w:rPr>
              <w:t xml:space="preserve">道路断面形式： </w:t>
            </w:r>
          </w:p>
          <w:p w14:paraId="0CA3C2F9">
            <w:pPr>
              <w:keepNext w:val="0"/>
              <w:keepLines w:val="0"/>
              <w:widowControl/>
              <w:suppressLineNumbers w:val="0"/>
              <w:spacing w:line="360" w:lineRule="auto"/>
              <w:jc w:val="left"/>
              <w:rPr>
                <w:sz w:val="24"/>
                <w:szCs w:val="24"/>
              </w:rPr>
            </w:pPr>
            <w:r>
              <w:rPr>
                <w:rFonts w:ascii="宋体" w:hAnsi="宋体" w:eastAsia="宋体" w:cs="宋体"/>
                <w:color w:val="000000"/>
                <w:kern w:val="0"/>
                <w:sz w:val="24"/>
                <w:szCs w:val="24"/>
                <w:lang w:val="en-US" w:eastAsia="zh-CN" w:bidi="ar"/>
              </w:rPr>
              <w:t>左侧（西侧</w:t>
            </w:r>
            <w:r>
              <w:rPr>
                <w:rFonts w:hint="eastAsia" w:ascii="宋体" w:hAnsi="宋体" w:cs="宋体"/>
                <w:color w:val="000000"/>
                <w:kern w:val="0"/>
                <w:sz w:val="24"/>
                <w:szCs w:val="24"/>
                <w:lang w:val="en-US" w:eastAsia="zh-CN" w:bidi="ar"/>
              </w:rPr>
              <w:t xml:space="preserve">）         </w:t>
            </w:r>
            <w:r>
              <w:rPr>
                <w:rFonts w:ascii="宋体" w:hAnsi="宋体" w:eastAsia="宋体" w:cs="宋体"/>
                <w:color w:val="000000"/>
                <w:kern w:val="0"/>
                <w:sz w:val="24"/>
                <w:szCs w:val="24"/>
                <w:lang w:val="en-US" w:eastAsia="zh-CN" w:bidi="ar"/>
              </w:rPr>
              <w:t xml:space="preserve">右侧（东侧） </w:t>
            </w:r>
          </w:p>
          <w:p w14:paraId="5F2914CB">
            <w:pPr>
              <w:keepNext w:val="0"/>
              <w:keepLines w:val="0"/>
              <w:widowControl/>
              <w:suppressLineNumbers w:val="0"/>
              <w:spacing w:line="360" w:lineRule="auto"/>
              <w:jc w:val="left"/>
              <w:rPr>
                <w:sz w:val="24"/>
                <w:szCs w:val="24"/>
              </w:rPr>
            </w:pPr>
            <w:r>
              <w:rPr>
                <w:rFonts w:ascii="宋体" w:hAnsi="宋体" w:eastAsia="宋体" w:cs="宋体"/>
                <w:color w:val="000000"/>
                <w:kern w:val="0"/>
                <w:sz w:val="24"/>
                <w:szCs w:val="24"/>
                <w:lang w:val="en-US" w:eastAsia="zh-CN" w:bidi="ar"/>
              </w:rPr>
              <w:t>给水管</w:t>
            </w:r>
            <w:r>
              <w:rPr>
                <w:rFonts w:hint="default" w:ascii="Times New Roman" w:hAnsi="Times New Roman" w:eastAsia="宋体" w:cs="Times New Roman"/>
                <w:color w:val="000000"/>
                <w:kern w:val="0"/>
                <w:sz w:val="24"/>
                <w:szCs w:val="24"/>
                <w:lang w:val="en-US" w:eastAsia="zh-CN" w:bidi="ar"/>
              </w:rPr>
              <w:t xml:space="preserve"> </w:t>
            </w:r>
            <w:r>
              <w:rPr>
                <w:rFonts w:hint="eastAsia" w:cs="Times New Roman"/>
                <w:color w:val="000000"/>
                <w:kern w:val="0"/>
                <w:sz w:val="24"/>
                <w:szCs w:val="24"/>
                <w:lang w:val="en-US" w:eastAsia="zh-CN" w:bidi="ar"/>
              </w:rPr>
              <w:t xml:space="preserve">               </w:t>
            </w:r>
            <w:r>
              <w:rPr>
                <w:rFonts w:ascii="宋体" w:hAnsi="宋体" w:eastAsia="宋体" w:cs="宋体"/>
                <w:color w:val="000000"/>
                <w:kern w:val="0"/>
                <w:sz w:val="24"/>
                <w:szCs w:val="24"/>
                <w:lang w:val="en-US" w:eastAsia="zh-CN" w:bidi="ar"/>
              </w:rPr>
              <w:t xml:space="preserve">给水管 </w:t>
            </w:r>
          </w:p>
          <w:p w14:paraId="1E487C8E">
            <w:pPr>
              <w:keepNext w:val="0"/>
              <w:keepLines w:val="0"/>
              <w:widowControl/>
              <w:suppressLineNumbers w:val="0"/>
              <w:spacing w:line="360" w:lineRule="auto"/>
              <w:jc w:val="left"/>
              <w:rPr>
                <w:sz w:val="24"/>
                <w:szCs w:val="24"/>
              </w:rPr>
            </w:pPr>
            <w:r>
              <w:rPr>
                <w:rFonts w:ascii="宋体" w:hAnsi="宋体" w:eastAsia="宋体" w:cs="宋体"/>
                <w:color w:val="000000"/>
                <w:kern w:val="0"/>
                <w:sz w:val="24"/>
                <w:szCs w:val="24"/>
                <w:lang w:val="en-US" w:eastAsia="zh-CN" w:bidi="ar"/>
              </w:rPr>
              <w:t>燃气管</w:t>
            </w:r>
            <w:r>
              <w:rPr>
                <w:rFonts w:hint="default" w:ascii="Times New Roman" w:hAnsi="Times New Roman" w:eastAsia="宋体" w:cs="Times New Roman"/>
                <w:color w:val="000000"/>
                <w:kern w:val="0"/>
                <w:sz w:val="24"/>
                <w:szCs w:val="24"/>
                <w:lang w:val="en-US" w:eastAsia="zh-CN" w:bidi="ar"/>
              </w:rPr>
              <w:t xml:space="preserve"> </w:t>
            </w:r>
            <w:r>
              <w:rPr>
                <w:rFonts w:hint="eastAsia" w:cs="Times New Roman"/>
                <w:color w:val="000000"/>
                <w:kern w:val="0"/>
                <w:sz w:val="24"/>
                <w:szCs w:val="24"/>
                <w:lang w:val="en-US" w:eastAsia="zh-CN" w:bidi="ar"/>
              </w:rPr>
              <w:t xml:space="preserve">               </w:t>
            </w:r>
            <w:r>
              <w:rPr>
                <w:rFonts w:ascii="宋体" w:hAnsi="宋体" w:eastAsia="宋体" w:cs="宋体"/>
                <w:color w:val="000000"/>
                <w:kern w:val="0"/>
                <w:sz w:val="24"/>
                <w:szCs w:val="24"/>
                <w:lang w:val="en-US" w:eastAsia="zh-CN" w:bidi="ar"/>
              </w:rPr>
              <w:t xml:space="preserve">电力管沟 </w:t>
            </w:r>
          </w:p>
          <w:p w14:paraId="36D2ECC7">
            <w:pPr>
              <w:keepNext w:val="0"/>
              <w:keepLines w:val="0"/>
              <w:widowControl/>
              <w:suppressLineNumbers w:val="0"/>
              <w:spacing w:line="360" w:lineRule="auto"/>
              <w:jc w:val="left"/>
              <w:rPr>
                <w:sz w:val="24"/>
                <w:szCs w:val="24"/>
              </w:rPr>
            </w:pPr>
            <w:r>
              <w:rPr>
                <w:rFonts w:ascii="宋体" w:hAnsi="宋体" w:eastAsia="宋体" w:cs="宋体"/>
                <w:color w:val="000000"/>
                <w:kern w:val="0"/>
                <w:sz w:val="24"/>
                <w:szCs w:val="24"/>
                <w:lang w:val="en-US" w:eastAsia="zh-CN" w:bidi="ar"/>
              </w:rPr>
              <w:t>雨水管</w:t>
            </w:r>
            <w:r>
              <w:rPr>
                <w:rFonts w:hint="default" w:ascii="Times New Roman" w:hAnsi="Times New Roman" w:eastAsia="宋体" w:cs="Times New Roman"/>
                <w:color w:val="000000"/>
                <w:kern w:val="0"/>
                <w:sz w:val="24"/>
                <w:szCs w:val="24"/>
                <w:lang w:val="en-US" w:eastAsia="zh-CN" w:bidi="ar"/>
              </w:rPr>
              <w:t xml:space="preserve"> </w:t>
            </w:r>
            <w:r>
              <w:rPr>
                <w:rFonts w:hint="eastAsia" w:cs="Times New Roman"/>
                <w:color w:val="000000"/>
                <w:kern w:val="0"/>
                <w:sz w:val="24"/>
                <w:szCs w:val="24"/>
                <w:lang w:val="en-US" w:eastAsia="zh-CN" w:bidi="ar"/>
              </w:rPr>
              <w:t xml:space="preserve">               </w:t>
            </w:r>
            <w:r>
              <w:rPr>
                <w:rFonts w:ascii="宋体" w:hAnsi="宋体" w:eastAsia="宋体" w:cs="宋体"/>
                <w:color w:val="000000"/>
                <w:kern w:val="0"/>
                <w:sz w:val="24"/>
                <w:szCs w:val="24"/>
                <w:lang w:val="en-US" w:eastAsia="zh-CN" w:bidi="ar"/>
              </w:rPr>
              <w:t xml:space="preserve">雨水管 </w:t>
            </w:r>
          </w:p>
          <w:p w14:paraId="460BA91B">
            <w:pPr>
              <w:keepNext w:val="0"/>
              <w:keepLines w:val="0"/>
              <w:widowControl/>
              <w:suppressLineNumbers w:val="0"/>
              <w:spacing w:line="360" w:lineRule="auto"/>
              <w:jc w:val="left"/>
              <w:rPr>
                <w:sz w:val="24"/>
                <w:szCs w:val="24"/>
              </w:rPr>
            </w:pPr>
            <w:r>
              <w:rPr>
                <w:rFonts w:ascii="宋体" w:hAnsi="宋体" w:eastAsia="宋体" w:cs="宋体"/>
                <w:color w:val="000000"/>
                <w:kern w:val="0"/>
                <w:sz w:val="24"/>
                <w:szCs w:val="24"/>
                <w:lang w:val="en-US" w:eastAsia="zh-CN" w:bidi="ar"/>
              </w:rPr>
              <w:t>污水管</w:t>
            </w:r>
            <w:r>
              <w:rPr>
                <w:rFonts w:hint="default" w:ascii="Times New Roman" w:hAnsi="Times New Roman" w:eastAsia="宋体" w:cs="Times New Roman"/>
                <w:color w:val="000000"/>
                <w:kern w:val="0"/>
                <w:sz w:val="24"/>
                <w:szCs w:val="24"/>
                <w:lang w:val="en-US" w:eastAsia="zh-CN" w:bidi="ar"/>
              </w:rPr>
              <w:t xml:space="preserve"> </w:t>
            </w:r>
            <w:r>
              <w:rPr>
                <w:rFonts w:hint="eastAsia" w:cs="Times New Roman"/>
                <w:color w:val="000000"/>
                <w:kern w:val="0"/>
                <w:sz w:val="24"/>
                <w:szCs w:val="24"/>
                <w:lang w:val="en-US" w:eastAsia="zh-CN" w:bidi="ar"/>
              </w:rPr>
              <w:t xml:space="preserve">               </w:t>
            </w:r>
            <w:r>
              <w:rPr>
                <w:rFonts w:ascii="宋体" w:hAnsi="宋体" w:eastAsia="宋体" w:cs="宋体"/>
                <w:color w:val="000000"/>
                <w:kern w:val="0"/>
                <w:sz w:val="24"/>
                <w:szCs w:val="24"/>
                <w:lang w:val="en-US" w:eastAsia="zh-CN" w:bidi="ar"/>
              </w:rPr>
              <w:t xml:space="preserve">污水管 </w:t>
            </w:r>
          </w:p>
          <w:p w14:paraId="6EFEDB62">
            <w:pPr>
              <w:keepNext w:val="0"/>
              <w:keepLines w:val="0"/>
              <w:widowControl/>
              <w:suppressLineNumbers w:val="0"/>
              <w:spacing w:line="360" w:lineRule="auto"/>
              <w:jc w:val="left"/>
              <w:rPr>
                <w:sz w:val="24"/>
                <w:szCs w:val="24"/>
              </w:rPr>
            </w:pPr>
            <w:r>
              <w:rPr>
                <w:rFonts w:ascii="宋体" w:hAnsi="宋体" w:eastAsia="宋体" w:cs="宋体"/>
                <w:color w:val="000000"/>
                <w:kern w:val="0"/>
                <w:sz w:val="24"/>
                <w:szCs w:val="24"/>
                <w:lang w:val="en-US" w:eastAsia="zh-CN" w:bidi="ar"/>
              </w:rPr>
              <w:t>通信线缆</w:t>
            </w:r>
            <w:r>
              <w:rPr>
                <w:rFonts w:hint="default" w:ascii="Times New Roman" w:hAnsi="Times New Roman" w:eastAsia="宋体" w:cs="Times New Roman"/>
                <w:color w:val="000000"/>
                <w:kern w:val="0"/>
                <w:sz w:val="24"/>
                <w:szCs w:val="24"/>
                <w:lang w:val="en-US" w:eastAsia="zh-CN" w:bidi="ar"/>
              </w:rPr>
              <w:t xml:space="preserve"> </w:t>
            </w:r>
            <w:r>
              <w:rPr>
                <w:rFonts w:hint="eastAsia" w:cs="Times New Roman"/>
                <w:color w:val="000000"/>
                <w:kern w:val="0"/>
                <w:sz w:val="24"/>
                <w:szCs w:val="24"/>
                <w:lang w:val="en-US" w:eastAsia="zh-CN" w:bidi="ar"/>
              </w:rPr>
              <w:t xml:space="preserve">             </w:t>
            </w:r>
            <w:r>
              <w:rPr>
                <w:rFonts w:ascii="宋体" w:hAnsi="宋体" w:eastAsia="宋体" w:cs="宋体"/>
                <w:color w:val="000000"/>
                <w:kern w:val="0"/>
                <w:sz w:val="24"/>
                <w:szCs w:val="24"/>
                <w:lang w:val="en-US" w:eastAsia="zh-CN" w:bidi="ar"/>
              </w:rPr>
              <w:t xml:space="preserve">污水管 </w:t>
            </w:r>
          </w:p>
          <w:p w14:paraId="5131FF6D">
            <w:pPr>
              <w:keepNext w:val="0"/>
              <w:keepLines w:val="0"/>
              <w:widowControl/>
              <w:suppressLineNumbers w:val="0"/>
              <w:spacing w:line="360" w:lineRule="auto"/>
              <w:ind w:firstLine="2640" w:firstLineChars="1100"/>
              <w:jc w:val="left"/>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再生水管</w:t>
            </w:r>
          </w:p>
          <w:p w14:paraId="32E06657">
            <w:pPr>
              <w:keepNext w:val="0"/>
              <w:keepLines w:val="0"/>
              <w:widowControl/>
              <w:suppressLineNumbers w:val="0"/>
              <w:spacing w:line="360" w:lineRule="auto"/>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drawing>
                <wp:inline distT="0" distB="0" distL="114300" distR="114300">
                  <wp:extent cx="5259070" cy="2648585"/>
                  <wp:effectExtent l="0" t="0" r="17780" b="18415"/>
                  <wp:docPr id="21" name="图片 21" descr="4号二分段25m管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号二分段25m管道图"/>
                          <pic:cNvPicPr>
                            <a:picLocks noChangeAspect="1"/>
                          </pic:cNvPicPr>
                        </pic:nvPicPr>
                        <pic:blipFill>
                          <a:blip r:embed="rId29"/>
                          <a:stretch>
                            <a:fillRect/>
                          </a:stretch>
                        </pic:blipFill>
                        <pic:spPr>
                          <a:xfrm>
                            <a:off x="0" y="0"/>
                            <a:ext cx="5259070" cy="2648585"/>
                          </a:xfrm>
                          <a:prstGeom prst="rect">
                            <a:avLst/>
                          </a:prstGeom>
                        </pic:spPr>
                      </pic:pic>
                    </a:graphicData>
                  </a:graphic>
                </wp:inline>
              </w:drawing>
            </w:r>
          </w:p>
          <w:p w14:paraId="1E2A1D78">
            <w:pPr>
              <w:keepNext w:val="0"/>
              <w:keepLines w:val="0"/>
              <w:widowControl/>
              <w:suppressLineNumbers w:val="0"/>
              <w:spacing w:line="360" w:lineRule="auto"/>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图1-16 4号路南北两侧（红线宽度25m）管线分布图</w:t>
            </w:r>
          </w:p>
          <w:p w14:paraId="59826126">
            <w:pPr>
              <w:keepNext w:val="0"/>
              <w:keepLines w:val="0"/>
              <w:widowControl/>
              <w:suppressLineNumbers w:val="0"/>
              <w:spacing w:line="360" w:lineRule="auto"/>
              <w:jc w:val="center"/>
              <w:rPr>
                <w:rFonts w:hint="default" w:ascii="宋体" w:hAnsi="宋体" w:cs="宋体"/>
                <w:b/>
                <w:bCs/>
                <w:color w:val="000000"/>
                <w:kern w:val="0"/>
                <w:sz w:val="24"/>
                <w:szCs w:val="24"/>
                <w:lang w:val="en-US" w:eastAsia="zh-CN" w:bidi="ar"/>
              </w:rPr>
            </w:pPr>
            <w:r>
              <w:rPr>
                <w:rFonts w:hint="default" w:ascii="宋体" w:hAnsi="宋体" w:cs="宋体"/>
                <w:b/>
                <w:bCs/>
                <w:color w:val="000000"/>
                <w:kern w:val="0"/>
                <w:sz w:val="24"/>
                <w:szCs w:val="24"/>
                <w:lang w:val="en-US" w:eastAsia="zh-CN" w:bidi="ar"/>
              </w:rPr>
              <w:drawing>
                <wp:inline distT="0" distB="0" distL="114300" distR="114300">
                  <wp:extent cx="4648835" cy="2449830"/>
                  <wp:effectExtent l="0" t="0" r="18415" b="7620"/>
                  <wp:docPr id="22" name="图片 22" descr="5号25m管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号25m管道图"/>
                          <pic:cNvPicPr>
                            <a:picLocks noChangeAspect="1"/>
                          </pic:cNvPicPr>
                        </pic:nvPicPr>
                        <pic:blipFill>
                          <a:blip r:embed="rId30"/>
                          <a:stretch>
                            <a:fillRect/>
                          </a:stretch>
                        </pic:blipFill>
                        <pic:spPr>
                          <a:xfrm>
                            <a:off x="0" y="0"/>
                            <a:ext cx="4648835" cy="2449830"/>
                          </a:xfrm>
                          <a:prstGeom prst="rect">
                            <a:avLst/>
                          </a:prstGeom>
                        </pic:spPr>
                      </pic:pic>
                    </a:graphicData>
                  </a:graphic>
                </wp:inline>
              </w:drawing>
            </w:r>
          </w:p>
          <w:p w14:paraId="04548B8B">
            <w:pPr>
              <w:keepNext w:val="0"/>
              <w:keepLines w:val="0"/>
              <w:widowControl/>
              <w:suppressLineNumbers w:val="0"/>
              <w:spacing w:line="360" w:lineRule="auto"/>
              <w:jc w:val="center"/>
              <w:rPr>
                <w:rFonts w:hint="default" w:ascii="宋体" w:hAnsi="宋体" w:cs="宋体"/>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图1-17 5号路（红线宽度25m）管线分布图</w:t>
            </w:r>
          </w:p>
          <w:p w14:paraId="5F6812AF">
            <w:pPr>
              <w:keepNext w:val="0"/>
              <w:keepLines w:val="0"/>
              <w:widowControl/>
              <w:suppressLineNumbers w:val="0"/>
              <w:spacing w:line="360" w:lineRule="auto"/>
              <w:ind w:firstLine="482" w:firstLineChars="200"/>
              <w:jc w:val="both"/>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w:t>
            </w:r>
            <w:r>
              <w:rPr>
                <w:rFonts w:hint="eastAsia"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排水工程</w:t>
            </w:r>
          </w:p>
          <w:p w14:paraId="71DCDC4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依据排水相关规划，结合区域实际情况，考虑到城区大部分将为新建道路及其附属基础设施，城市建设将采用成片规划，成片开发，十分有利于分流制管网的形成，同时也便于污水的处理和运营，故本工程排水体制采用分流制排水体制，以尽量提高污水的收集处理率，减少污染物的排放，保护区内生态环境。</w:t>
            </w:r>
          </w:p>
          <w:p w14:paraId="3B4AFD34">
            <w:pPr>
              <w:keepNext w:val="0"/>
              <w:keepLines w:val="0"/>
              <w:widowControl/>
              <w:numPr>
                <w:ilvl w:val="0"/>
                <w:numId w:val="10"/>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雨水工程设计</w:t>
            </w:r>
          </w:p>
          <w:p w14:paraId="2BCB54BE">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（1）雨水管道布设</w:t>
            </w:r>
          </w:p>
          <w:p w14:paraId="60B080BB">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道路雨水按照分流制、就近入河的原则进行雨水管道布设。管道布置应按照尽可能顺道路坡向、减少土方量、满足排水最小坡度要求、就近入河、充分考虑雨水收集的原则来进行规划设计。</w:t>
            </w:r>
          </w:p>
          <w:p w14:paraId="592DE0F8">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号路雨水管采用双侧布置，布置于道路两侧机动车道下，距道路中心线 </w:t>
            </w:r>
            <w:r>
              <w:rPr>
                <w:rFonts w:hint="default" w:ascii="Times New Roman" w:hAnsi="Times New Roman" w:eastAsia="宋体" w:cs="Times New Roman"/>
                <w:color w:val="000000"/>
                <w:kern w:val="0"/>
                <w:sz w:val="24"/>
                <w:szCs w:val="24"/>
                <w:lang w:val="en-US" w:eastAsia="zh-CN" w:bidi="ar"/>
              </w:rPr>
              <w:t>15m</w:t>
            </w:r>
            <w:r>
              <w:rPr>
                <w:rFonts w:hint="eastAsia" w:cs="Times New Roman"/>
                <w:color w:val="000000"/>
                <w:kern w:val="0"/>
                <w:sz w:val="24"/>
                <w:szCs w:val="24"/>
                <w:lang w:val="en-US" w:eastAsia="zh-CN" w:bidi="ar"/>
              </w:rPr>
              <w:t>。</w:t>
            </w:r>
          </w:p>
          <w:p w14:paraId="075939C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2号路、3号路、</w:t>
            </w:r>
            <w:r>
              <w:rPr>
                <w:rFonts w:hint="default" w:ascii="Times New Roman" w:hAnsi="Times New Roman" w:eastAsia="宋体" w:cs="Times New Roman"/>
                <w:color w:val="000000"/>
                <w:kern w:val="0"/>
                <w:sz w:val="24"/>
                <w:szCs w:val="24"/>
                <w:lang w:val="en-US" w:eastAsia="zh-CN" w:bidi="ar"/>
              </w:rPr>
              <w:t>5号路</w:t>
            </w:r>
            <w:r>
              <w:rPr>
                <w:rFonts w:hint="eastAsia" w:cs="Times New Roman"/>
                <w:color w:val="000000"/>
                <w:kern w:val="0"/>
                <w:sz w:val="24"/>
                <w:szCs w:val="24"/>
                <w:lang w:val="en-US" w:eastAsia="zh-CN" w:bidi="ar"/>
              </w:rPr>
              <w:t>（红线宽32m）</w:t>
            </w:r>
            <w:r>
              <w:rPr>
                <w:rFonts w:hint="eastAsia" w:ascii="Times New Roman" w:hAnsi="Times New Roman" w:cs="Times New Roman"/>
                <w:color w:val="000000"/>
                <w:kern w:val="0"/>
                <w:sz w:val="24"/>
                <w:szCs w:val="24"/>
                <w:lang w:val="en-US" w:eastAsia="zh-CN" w:bidi="ar"/>
              </w:rPr>
              <w:t>、6号路</w:t>
            </w:r>
            <w:r>
              <w:rPr>
                <w:rFonts w:hint="default" w:ascii="Times New Roman" w:hAnsi="Times New Roman" w:eastAsia="宋体" w:cs="Times New Roman"/>
                <w:color w:val="000000"/>
                <w:kern w:val="0"/>
                <w:sz w:val="24"/>
                <w:szCs w:val="24"/>
                <w:lang w:val="en-US" w:eastAsia="zh-CN" w:bidi="ar"/>
              </w:rPr>
              <w:t>雨水管采用双侧布置，布置于道路两侧机动车道下，距道路中心线 11.5m。</w:t>
            </w:r>
          </w:p>
          <w:p w14:paraId="550ADB99">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4号路南北侧道路和5号路（红线宽25m）</w:t>
            </w:r>
            <w:r>
              <w:rPr>
                <w:rFonts w:hint="default" w:ascii="Times New Roman" w:hAnsi="Times New Roman" w:eastAsia="宋体" w:cs="Times New Roman"/>
                <w:color w:val="000000"/>
                <w:kern w:val="0"/>
                <w:sz w:val="24"/>
                <w:szCs w:val="24"/>
                <w:lang w:val="en-US" w:eastAsia="zh-CN" w:bidi="ar"/>
              </w:rPr>
              <w:t>雨水管采用单侧布置，布置于道路北侧机动车道下，距道路中心线 9.0m，</w:t>
            </w:r>
          </w:p>
          <w:p w14:paraId="69ACBF68">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号路东侧雨水管管径 </w:t>
            </w:r>
            <w:r>
              <w:rPr>
                <w:rFonts w:hint="default" w:ascii="Times New Roman" w:hAnsi="Times New Roman" w:eastAsia="宋体" w:cs="Times New Roman"/>
                <w:color w:val="000000"/>
                <w:kern w:val="0"/>
                <w:sz w:val="24"/>
                <w:szCs w:val="24"/>
                <w:lang w:val="en-US" w:eastAsia="zh-CN" w:bidi="ar"/>
              </w:rPr>
              <w:t>DN800</w:t>
            </w:r>
            <w:r>
              <w:rPr>
                <w:rFonts w:ascii="宋体" w:hAnsi="宋体" w:eastAsia="宋体" w:cs="宋体"/>
                <w:color w:val="000000"/>
                <w:kern w:val="0"/>
                <w:sz w:val="24"/>
                <w:szCs w:val="24"/>
                <w:lang w:val="en-US" w:eastAsia="zh-CN" w:bidi="ar"/>
              </w:rPr>
              <w:t xml:space="preserve">，西侧雨水管管径 </w:t>
            </w:r>
            <w:r>
              <w:rPr>
                <w:rFonts w:hint="default" w:ascii="Times New Roman" w:hAnsi="Times New Roman" w:eastAsia="宋体" w:cs="Times New Roman"/>
                <w:color w:val="000000"/>
                <w:kern w:val="0"/>
                <w:sz w:val="24"/>
                <w:szCs w:val="24"/>
                <w:lang w:val="en-US" w:eastAsia="zh-CN" w:bidi="ar"/>
              </w:rPr>
              <w:t>DN800</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 xml:space="preserve">号路东侧雨水管管径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 xml:space="preserve">，西侧雨水管管径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号路东侧雨水管管径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 xml:space="preserve">，西侧雨水管管径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42 </w:t>
            </w:r>
            <w:r>
              <w:rPr>
                <w:rFonts w:ascii="宋体" w:hAnsi="宋体" w:eastAsia="宋体" w:cs="宋体"/>
                <w:color w:val="000000"/>
                <w:kern w:val="0"/>
                <w:sz w:val="24"/>
                <w:szCs w:val="24"/>
                <w:lang w:val="en-US" w:eastAsia="zh-CN" w:bidi="ar"/>
              </w:rPr>
              <w:t xml:space="preserve">米道路东西侧雨水管管径均为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25</w:t>
            </w:r>
            <w:r>
              <w:rPr>
                <w:rFonts w:hint="eastAsia" w:cs="Times New Roman"/>
                <w:color w:val="000000"/>
                <w:kern w:val="0"/>
                <w:sz w:val="24"/>
                <w:szCs w:val="24"/>
                <w:lang w:val="en-US" w:eastAsia="zh-CN" w:bidi="ar"/>
              </w:rPr>
              <w:t>米</w:t>
            </w:r>
            <w:r>
              <w:rPr>
                <w:rFonts w:ascii="宋体" w:hAnsi="宋体" w:eastAsia="宋体" w:cs="宋体"/>
                <w:color w:val="000000"/>
                <w:kern w:val="0"/>
                <w:sz w:val="24"/>
                <w:szCs w:val="24"/>
                <w:lang w:val="en-US" w:eastAsia="zh-CN" w:bidi="ar"/>
              </w:rPr>
              <w:t xml:space="preserve">西侧雨水管管径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 xml:space="preserve">，东侧雨水管管径 </w:t>
            </w:r>
            <w:r>
              <w:rPr>
                <w:rFonts w:hint="default" w:ascii="Times New Roman" w:hAnsi="Times New Roman" w:eastAsia="宋体" w:cs="Times New Roman"/>
                <w:color w:val="000000"/>
                <w:kern w:val="0"/>
                <w:sz w:val="24"/>
                <w:szCs w:val="24"/>
                <w:lang w:val="en-US" w:eastAsia="zh-CN" w:bidi="ar"/>
              </w:rPr>
              <w:t>DN600</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32 </w:t>
            </w:r>
            <w:r>
              <w:rPr>
                <w:rFonts w:ascii="宋体" w:hAnsi="宋体" w:eastAsia="宋体" w:cs="宋体"/>
                <w:color w:val="000000"/>
                <w:kern w:val="0"/>
                <w:sz w:val="24"/>
                <w:szCs w:val="24"/>
                <w:lang w:val="en-US" w:eastAsia="zh-CN" w:bidi="ar"/>
              </w:rPr>
              <w:t>米道路东侧雨水管管径</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DN800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DN1400</w:t>
            </w:r>
            <w:r>
              <w:rPr>
                <w:rFonts w:ascii="宋体" w:hAnsi="宋体" w:eastAsia="宋体" w:cs="宋体"/>
                <w:color w:val="000000"/>
                <w:kern w:val="0"/>
                <w:sz w:val="24"/>
                <w:szCs w:val="24"/>
                <w:lang w:val="en-US" w:eastAsia="zh-CN" w:bidi="ar"/>
              </w:rPr>
              <w:t xml:space="preserve">，西侧雨水管管径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DN800</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25 </w:t>
            </w:r>
            <w:r>
              <w:rPr>
                <w:rFonts w:ascii="宋体" w:hAnsi="宋体" w:eastAsia="宋体" w:cs="宋体"/>
                <w:color w:val="000000"/>
                <w:kern w:val="0"/>
                <w:sz w:val="24"/>
                <w:szCs w:val="24"/>
                <w:lang w:val="en-US" w:eastAsia="zh-CN" w:bidi="ar"/>
              </w:rPr>
              <w:t xml:space="preserve">米道路西侧雨水管管径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 xml:space="preserve">，东侧雨水管管径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号路东侧雨水管管</w:t>
            </w:r>
            <w:r>
              <w:rPr>
                <w:rFonts w:hint="eastAsia" w:ascii="宋体" w:hAnsi="宋体" w:cs="宋体"/>
                <w:color w:val="000000"/>
                <w:kern w:val="0"/>
                <w:sz w:val="24"/>
                <w:szCs w:val="24"/>
                <w:lang w:val="en-US" w:eastAsia="zh-CN" w:bidi="ar"/>
              </w:rPr>
              <w:t>径</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 xml:space="preserve">，西侧雨水管管径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号路南侧雨水管管径 </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DN800</w:t>
            </w:r>
            <w:r>
              <w:rPr>
                <w:rFonts w:ascii="宋体" w:hAnsi="宋体" w:eastAsia="宋体" w:cs="宋体"/>
                <w:color w:val="000000"/>
                <w:kern w:val="0"/>
                <w:sz w:val="24"/>
                <w:szCs w:val="24"/>
                <w:lang w:val="en-US" w:eastAsia="zh-CN" w:bidi="ar"/>
              </w:rPr>
              <w:t>，北侧雨水管管径</w:t>
            </w:r>
            <w:r>
              <w:rPr>
                <w:rFonts w:hint="default" w:ascii="Times New Roman" w:hAnsi="Times New Roman" w:eastAsia="宋体" w:cs="Times New Roman"/>
                <w:color w:val="000000"/>
                <w:kern w:val="0"/>
                <w:sz w:val="24"/>
                <w:szCs w:val="24"/>
                <w:lang w:val="en-US" w:eastAsia="zh-CN" w:bidi="ar"/>
              </w:rPr>
              <w:t>DN600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DN800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DN1000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DN1200</w:t>
            </w:r>
            <w:r>
              <w:rPr>
                <w:rFonts w:ascii="宋体" w:hAnsi="宋体" w:eastAsia="宋体" w:cs="宋体"/>
                <w:color w:val="000000"/>
                <w:kern w:val="0"/>
                <w:sz w:val="24"/>
                <w:szCs w:val="24"/>
                <w:lang w:val="en-US" w:eastAsia="zh-CN" w:bidi="ar"/>
              </w:rPr>
              <w:t>。</w:t>
            </w:r>
          </w:p>
          <w:p w14:paraId="746392AC">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（2）雨水预留管</w:t>
            </w:r>
          </w:p>
          <w:p w14:paraId="60B3C37D">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在雨水干管中平均每隔 3～4 个检查井设置一根雨水预留管，预埋管检查井实施到红线外 3.0 米，在管道正对预留检查井方向墙上预留与支管相同管径的孔洞，标高与支管相同。雨水预留管径为 dn600，坡度为 i=0.005。雨水预埋管位置在施工中可根据现场雨水排放情况进行调整、布置。</w:t>
            </w:r>
          </w:p>
          <w:p w14:paraId="311833BD">
            <w:pPr>
              <w:keepNext w:val="0"/>
              <w:keepLines w:val="0"/>
              <w:widowControl/>
              <w:numPr>
                <w:ilvl w:val="0"/>
                <w:numId w:val="10"/>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污水工程设计</w:t>
            </w:r>
          </w:p>
          <w:p w14:paraId="3D5F4877">
            <w:pPr>
              <w:keepNext w:val="0"/>
              <w:keepLines w:val="0"/>
              <w:widowControl/>
              <w:numPr>
                <w:ilvl w:val="0"/>
                <w:numId w:val="11"/>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污水管道布设</w:t>
            </w:r>
          </w:p>
          <w:p w14:paraId="4AB54F3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根据道路竖向设计及片区排水规划，依托地势，按照污水分区及污水就近排放的原则，布置污水管道收集系统。道路采用分流制排水体制，即污水管道负责收集分区内的污水。</w:t>
            </w:r>
          </w:p>
          <w:p w14:paraId="6896F0E8">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宋体" w:hAnsi="宋体" w:cs="宋体"/>
                <w:color w:val="000000"/>
                <w:kern w:val="0"/>
                <w:sz w:val="24"/>
                <w:szCs w:val="24"/>
                <w:lang w:val="en-US" w:eastAsia="zh-CN" w:bidi="ar"/>
              </w:rPr>
              <w:t>4号路红线宽度</w:t>
            </w:r>
            <w:r>
              <w:rPr>
                <w:rFonts w:hint="default" w:ascii="Times New Roman" w:hAnsi="Times New Roman" w:cs="Times New Roman"/>
                <w:color w:val="000000"/>
                <w:kern w:val="0"/>
                <w:sz w:val="24"/>
                <w:szCs w:val="24"/>
                <w:lang w:val="en-US" w:eastAsia="zh-CN" w:bidi="ar"/>
              </w:rPr>
              <w:t>42m</w:t>
            </w:r>
            <w:r>
              <w:rPr>
                <w:rFonts w:ascii="宋体" w:hAnsi="宋体" w:eastAsia="宋体" w:cs="宋体"/>
                <w:color w:val="000000"/>
                <w:kern w:val="0"/>
                <w:sz w:val="24"/>
                <w:szCs w:val="24"/>
                <w:lang w:val="en-US" w:eastAsia="zh-CN" w:bidi="ar"/>
              </w:rPr>
              <w:t xml:space="preserve">污水管采用双侧布置，布置于道路非机动车道下，距道路中心线 </w:t>
            </w:r>
            <w:r>
              <w:rPr>
                <w:rFonts w:hint="default" w:ascii="Times New Roman" w:hAnsi="Times New Roman" w:eastAsia="宋体" w:cs="Times New Roman"/>
                <w:color w:val="000000"/>
                <w:kern w:val="0"/>
                <w:sz w:val="24"/>
                <w:szCs w:val="24"/>
                <w:lang w:val="en-US" w:eastAsia="zh-CN" w:bidi="ar"/>
              </w:rPr>
              <w:t>17.5m</w:t>
            </w:r>
            <w:r>
              <w:rPr>
                <w:rFonts w:ascii="宋体" w:hAnsi="宋体" w:eastAsia="宋体" w:cs="宋体"/>
                <w:color w:val="000000"/>
                <w:kern w:val="0"/>
                <w:sz w:val="24"/>
                <w:szCs w:val="24"/>
                <w:lang w:val="en-US" w:eastAsia="zh-CN" w:bidi="ar"/>
              </w:rPr>
              <w:t>。</w:t>
            </w:r>
          </w:p>
          <w:p w14:paraId="15F0FED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2号路、3号路、</w:t>
            </w:r>
            <w:r>
              <w:rPr>
                <w:rFonts w:hint="default" w:ascii="Times New Roman" w:hAnsi="Times New Roman" w:eastAsia="宋体" w:cs="Times New Roman"/>
                <w:color w:val="000000"/>
                <w:kern w:val="0"/>
                <w:sz w:val="24"/>
                <w:szCs w:val="24"/>
                <w:lang w:val="en-US" w:eastAsia="zh-CN" w:bidi="ar"/>
              </w:rPr>
              <w:t>5号</w:t>
            </w:r>
            <w:r>
              <w:rPr>
                <w:rFonts w:hint="eastAsia" w:ascii="Times New Roman" w:hAnsi="Times New Roman" w:cs="Times New Roman"/>
                <w:color w:val="000000"/>
                <w:kern w:val="0"/>
                <w:sz w:val="24"/>
                <w:szCs w:val="24"/>
                <w:lang w:val="en-US" w:eastAsia="zh-CN" w:bidi="ar"/>
              </w:rPr>
              <w:t>路、6号路</w:t>
            </w:r>
            <w:r>
              <w:rPr>
                <w:rFonts w:hint="default" w:ascii="Times New Roman" w:hAnsi="Times New Roman" w:eastAsia="宋体" w:cs="Times New Roman"/>
                <w:color w:val="000000"/>
                <w:kern w:val="0"/>
                <w:sz w:val="24"/>
                <w:szCs w:val="24"/>
                <w:lang w:val="en-US" w:eastAsia="zh-CN" w:bidi="ar"/>
              </w:rPr>
              <w:t>红线宽度32m，污水管采用双侧布置，布置于道路两侧非机动车道下，距道路中心线14.5m。</w:t>
            </w:r>
          </w:p>
          <w:p w14:paraId="401B137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1号路、</w:t>
            </w:r>
            <w:r>
              <w:rPr>
                <w:rFonts w:hint="default" w:ascii="Times New Roman" w:hAnsi="Times New Roman" w:eastAsia="宋体" w:cs="Times New Roman"/>
                <w:color w:val="000000"/>
                <w:kern w:val="0"/>
                <w:sz w:val="24"/>
                <w:szCs w:val="24"/>
                <w:lang w:val="en-US" w:eastAsia="zh-CN" w:bidi="ar"/>
              </w:rPr>
              <w:t>7号路红线宽度40m，污水管采用双侧布置，布置于道路两侧机动车道下，距道路中心线 17m。</w:t>
            </w:r>
          </w:p>
          <w:p w14:paraId="61AC1012">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4号路和5号路红线宽度25</w:t>
            </w:r>
            <w:r>
              <w:rPr>
                <w:rFonts w:hint="eastAsia" w:ascii="宋体" w:hAnsi="宋体" w:cs="宋体"/>
                <w:color w:val="000000"/>
                <w:kern w:val="0"/>
                <w:sz w:val="24"/>
                <w:szCs w:val="24"/>
                <w:lang w:val="en-US" w:eastAsia="zh-CN" w:bidi="ar"/>
              </w:rPr>
              <w:t>m</w:t>
            </w:r>
            <w:r>
              <w:rPr>
                <w:rFonts w:ascii="宋体" w:hAnsi="宋体" w:eastAsia="宋体" w:cs="宋体"/>
                <w:color w:val="000000"/>
                <w:kern w:val="0"/>
                <w:sz w:val="24"/>
                <w:szCs w:val="24"/>
                <w:lang w:val="en-US" w:eastAsia="zh-CN" w:bidi="ar"/>
              </w:rPr>
              <w:t>污水管采用双侧布置，布置于道路两侧非机动车道下</w:t>
            </w:r>
            <w:r>
              <w:rPr>
                <w:rFonts w:hint="eastAsia" w:ascii="宋体" w:hAnsi="宋体" w:cs="宋体"/>
                <w:color w:val="000000"/>
                <w:kern w:val="0"/>
                <w:sz w:val="24"/>
                <w:szCs w:val="24"/>
                <w:lang w:val="en-US" w:eastAsia="zh-CN" w:bidi="ar"/>
              </w:rPr>
              <w:t>。</w:t>
            </w:r>
          </w:p>
          <w:p w14:paraId="465F498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（2）污水预留管</w:t>
            </w:r>
          </w:p>
          <w:p w14:paraId="094CF67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在污水干管中平均每隔 3～4 个检查井设置一根污水预留管，预埋管检查井实施到红线外 3.0m，在管道正对预留检查井方向墙上预留与支管相同管径的孔洞，标高与支管相同。污水预留管径为 dn500，坡度为 i=0.005。污水预埋管位置在施工中可根据现场污水排放情况进行调整、布置。</w:t>
            </w:r>
          </w:p>
          <w:p w14:paraId="1DFB86C3">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w:t>
            </w:r>
            <w:r>
              <w:rPr>
                <w:rFonts w:hint="eastAsia"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交通工程</w:t>
            </w:r>
          </w:p>
          <w:p w14:paraId="0758A5F7">
            <w:pPr>
              <w:keepNext w:val="0"/>
              <w:keepLines w:val="0"/>
              <w:widowControl/>
              <w:numPr>
                <w:ilvl w:val="0"/>
                <w:numId w:val="12"/>
              </w:numPr>
              <w:suppressLineNumbers w:val="0"/>
              <w:spacing w:line="360" w:lineRule="auto"/>
              <w:ind w:firstLine="480" w:firstLineChars="20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交通标志</w:t>
            </w:r>
          </w:p>
          <w:p w14:paraId="497A7A1C">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根据《道路交通标志标线》（GB5768.2-2009）与《城市道路交通标志和标线设置规范》（GB 51038-2015）设置交通标志的颜色、符号、形状。本项目采用单柱柱式、L 悬臂柱式与附着式形式的支撑形式，具体支撑方式根据道路条件和交通标志选择确定，汉字字高40cm。指示标志圆形标志直径为 80cm；正方形边长为 80cm；长方形边长为 150×100cm。标志板版面采用逆反射材料制作，根据道路等级采用相应等级的反光膜； 标志底板标志板面积小于 2m2 底板建议采用 2mm 厚铝板制作，面积大于 2m2 的底板建议采用 3mm 厚铝板制作。</w:t>
            </w:r>
          </w:p>
          <w:p w14:paraId="491653D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（2）交通标线</w:t>
            </w:r>
          </w:p>
          <w:p w14:paraId="382EACD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标线主要有车行道中心线、车道分界线、车行道边缘线、人行横道线、导向箭头、导流标线、停车线等。</w:t>
            </w:r>
          </w:p>
          <w:p w14:paraId="136288AD">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车道分界线为线段长为 2m，间隔为 4m，线宽为 15cm 的白色虚线；车</w:t>
            </w:r>
            <w:r>
              <w:rPr>
                <w:rFonts w:hint="default" w:ascii="Times New Roman" w:hAnsi="Times New Roman" w:cs="Times New Roman"/>
                <w:color w:val="auto"/>
                <w:sz w:val="24"/>
                <w:highlight w:val="none"/>
              </w:rPr>
              <w:t>行道边缘</w:t>
            </w:r>
            <w:r>
              <w:rPr>
                <w:rFonts w:hint="default" w:ascii="Times New Roman" w:hAnsi="Times New Roman" w:eastAsia="宋体" w:cs="Times New Roman"/>
                <w:color w:val="000000"/>
                <w:kern w:val="0"/>
                <w:sz w:val="24"/>
                <w:szCs w:val="24"/>
                <w:lang w:val="en-US" w:eastAsia="zh-CN" w:bidi="ar"/>
              </w:rPr>
              <w:t>采用线宽为 15cm 的白色实线；导向箭头的颜色为白色，导向箭头的总长为 6m；人行横道线采用线宽为45cm 的白色实线，人行横道宽度为 5m，间隔为 1m；公交专用道标线为黄色标线，采用线段为 40cm，间隔为 60cm，线宽为15cm 的虚线与三角箭头配合使用。采用反光热熔涂料涂划，所有标线厚度为 2mm。</w:t>
            </w:r>
          </w:p>
          <w:p w14:paraId="28AEC630">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w:t>
            </w:r>
            <w:r>
              <w:rPr>
                <w:rFonts w:hint="eastAsia" w:cs="Times New Roman"/>
                <w:b/>
                <w:bCs/>
                <w:color w:val="000000"/>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照明及电气工程</w:t>
            </w:r>
          </w:p>
          <w:p w14:paraId="4231920E">
            <w:pPr>
              <w:keepNext w:val="0"/>
              <w:keepLines w:val="0"/>
              <w:widowControl/>
              <w:numPr>
                <w:ilvl w:val="0"/>
                <w:numId w:val="13"/>
              </w:numPr>
              <w:suppressLineNumbers w:val="0"/>
              <w:spacing w:line="360" w:lineRule="auto"/>
              <w:ind w:firstLine="480" w:firstLineChars="20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照明</w:t>
            </w:r>
          </w:p>
          <w:p w14:paraId="03CFDA1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本项目道路照明采用双侧对称布灯方式。采用高光效截光型大功率 LED 路灯，灯杆设置于两侧人行道上距立缘石0.5m 处，双臂灯杆。</w:t>
            </w:r>
            <w:r>
              <w:rPr>
                <w:rFonts w:hint="eastAsia" w:ascii="Times New Roman" w:hAnsi="Times New Roman" w:cs="Times New Roman"/>
                <w:color w:val="000000"/>
                <w:kern w:val="0"/>
                <w:sz w:val="24"/>
                <w:szCs w:val="24"/>
                <w:lang w:val="en-US" w:eastAsia="zh-CN" w:bidi="ar"/>
              </w:rPr>
              <w:t>2号路、3号路、4号路（南北侧）、5号路、6号路</w:t>
            </w:r>
            <w:r>
              <w:rPr>
                <w:rFonts w:hint="default" w:ascii="Times New Roman" w:hAnsi="Times New Roman" w:eastAsia="宋体" w:cs="Times New Roman"/>
                <w:color w:val="000000"/>
                <w:kern w:val="0"/>
                <w:sz w:val="24"/>
                <w:szCs w:val="24"/>
                <w:lang w:val="en-US" w:eastAsia="zh-CN" w:bidi="ar"/>
              </w:rPr>
              <w:t>道路布灯方式为：杆高 10m，灯具仰角均为10°，光源每杆 150W，悬臂长度 1.5m，灯杆理论杆距为≤30 米。</w:t>
            </w:r>
            <w:r>
              <w:rPr>
                <w:rFonts w:hint="eastAsia" w:ascii="Times New Roman" w:hAnsi="Times New Roman" w:cs="Times New Roman"/>
                <w:color w:val="000000"/>
                <w:kern w:val="0"/>
                <w:sz w:val="24"/>
                <w:szCs w:val="24"/>
                <w:lang w:val="en-US" w:eastAsia="zh-CN" w:bidi="ar"/>
              </w:rPr>
              <w:t>1号路、4号路合并段、</w:t>
            </w:r>
            <w:r>
              <w:rPr>
                <w:rFonts w:hint="default" w:ascii="Times New Roman" w:hAnsi="Times New Roman" w:eastAsia="宋体" w:cs="Times New Roman"/>
                <w:color w:val="000000"/>
                <w:kern w:val="0"/>
                <w:sz w:val="24"/>
                <w:szCs w:val="24"/>
                <w:lang w:val="en-US" w:eastAsia="zh-CN" w:bidi="ar"/>
              </w:rPr>
              <w:t>7号路道路布灯方式为：杆高 13m，灯具仰角均为 10°，光源每杆 250W，悬臂长度2.5m，灯杆理论杆距为≤35 米。本段照明线路穿φ75 PE 管埋地敷设，埋深不小于 0.7 米，横穿路口处及车行道下采用 DN100 热镀锌钢套管，埋深不小于 1.0 米。所有管线均须加设防盗线夹，两灯杆之间不得少于 3 个防盗线夹。采用一路 10KVA 专用 10/0．4/0．23kV箱式变电站供电，接地电阻 R≤4Q。采用 LDKZ1110-02KM 型路灯监控柜控制，控制设置“全夜灯”和“半夜灯”两组控制，达到节约电能的目的。</w:t>
            </w:r>
          </w:p>
          <w:p w14:paraId="31D5B80B">
            <w:pPr>
              <w:keepNext w:val="0"/>
              <w:keepLines w:val="0"/>
              <w:widowControl/>
              <w:numPr>
                <w:ilvl w:val="0"/>
                <w:numId w:val="13"/>
              </w:numPr>
              <w:suppressLineNumbers w:val="0"/>
              <w:spacing w:line="360" w:lineRule="auto"/>
              <w:ind w:left="0" w:leftChars="0" w:firstLine="480" w:firstLineChars="200"/>
              <w:jc w:val="left"/>
              <w:rPr>
                <w:rFonts w:hint="eastAsia"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配电</w:t>
            </w:r>
          </w:p>
          <w:p w14:paraId="13AAD98C">
            <w:pPr>
              <w:keepNext w:val="0"/>
              <w:keepLines w:val="0"/>
              <w:widowControl/>
              <w:suppressLineNumbers w:val="0"/>
              <w:ind w:firstLine="480" w:firstLineChars="200"/>
              <w:jc w:val="left"/>
              <w:rPr>
                <w:rFonts w:hint="default"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本项目共设置11套箱变</w:t>
            </w:r>
            <w:r>
              <w:rPr>
                <w:rFonts w:ascii="宋体" w:hAnsi="宋体" w:eastAsia="宋体" w:cs="宋体"/>
                <w:color w:val="000000"/>
                <w:kern w:val="0"/>
                <w:sz w:val="24"/>
                <w:szCs w:val="24"/>
                <w:lang w:val="en-US" w:eastAsia="zh-CN" w:bidi="ar"/>
              </w:rPr>
              <w:t xml:space="preserve">箱变型号暂定 </w:t>
            </w:r>
            <w:r>
              <w:rPr>
                <w:rFonts w:hint="default" w:ascii="Times New Roman" w:hAnsi="Times New Roman" w:eastAsia="宋体" w:cs="Times New Roman"/>
                <w:color w:val="000000"/>
                <w:kern w:val="0"/>
                <w:sz w:val="24"/>
                <w:szCs w:val="24"/>
                <w:lang w:val="en-US" w:eastAsia="zh-CN" w:bidi="ar"/>
              </w:rPr>
              <w:t>10/0.4KV-160KVA</w:t>
            </w:r>
            <w:r>
              <w:rPr>
                <w:rFonts w:ascii="宋体" w:hAnsi="宋体" w:eastAsia="宋体" w:cs="宋体"/>
                <w:color w:val="000000"/>
                <w:kern w:val="0"/>
                <w:sz w:val="24"/>
                <w:szCs w:val="24"/>
                <w:lang w:val="en-US" w:eastAsia="zh-CN" w:bidi="ar"/>
              </w:rPr>
              <w:t xml:space="preserve">，箱变由就近供电部门 </w:t>
            </w:r>
            <w:r>
              <w:rPr>
                <w:rFonts w:hint="default" w:ascii="Times New Roman" w:hAnsi="Times New Roman" w:eastAsia="宋体" w:cs="Times New Roman"/>
                <w:color w:val="000000"/>
                <w:kern w:val="0"/>
                <w:sz w:val="24"/>
                <w:szCs w:val="24"/>
                <w:lang w:val="en-US" w:eastAsia="zh-CN" w:bidi="ar"/>
              </w:rPr>
              <w:t xml:space="preserve">10KV </w:t>
            </w:r>
            <w:r>
              <w:rPr>
                <w:rFonts w:ascii="宋体" w:hAnsi="宋体" w:eastAsia="宋体" w:cs="宋体"/>
                <w:color w:val="000000"/>
                <w:kern w:val="0"/>
                <w:sz w:val="24"/>
                <w:szCs w:val="24"/>
                <w:lang w:val="en-US" w:eastAsia="zh-CN" w:bidi="ar"/>
              </w:rPr>
              <w:t xml:space="preserve">线路引入一路高压电源，经箱变转换为 </w:t>
            </w:r>
            <w:r>
              <w:rPr>
                <w:rFonts w:hint="default" w:ascii="Times New Roman" w:hAnsi="Times New Roman" w:eastAsia="宋体" w:cs="Times New Roman"/>
                <w:color w:val="000000"/>
                <w:kern w:val="0"/>
                <w:sz w:val="24"/>
                <w:szCs w:val="24"/>
                <w:lang w:val="en-US" w:eastAsia="zh-CN" w:bidi="ar"/>
              </w:rPr>
              <w:t xml:space="preserve">380V </w:t>
            </w:r>
            <w:r>
              <w:rPr>
                <w:rFonts w:ascii="宋体" w:hAnsi="宋体" w:eastAsia="宋体" w:cs="宋体"/>
                <w:color w:val="000000"/>
                <w:kern w:val="0"/>
                <w:sz w:val="24"/>
                <w:szCs w:val="24"/>
                <w:lang w:val="en-US" w:eastAsia="zh-CN" w:bidi="ar"/>
              </w:rPr>
              <w:t>低压后，再引出自末端的照明用电负荷</w:t>
            </w:r>
            <w:r>
              <w:rPr>
                <w:rFonts w:hint="eastAsia" w:ascii="宋体" w:hAnsi="宋体" w:cs="宋体"/>
                <w:color w:val="000000"/>
                <w:kern w:val="0"/>
                <w:sz w:val="24"/>
                <w:szCs w:val="24"/>
                <w:lang w:val="en-US" w:eastAsia="zh-CN" w:bidi="ar"/>
              </w:rPr>
              <w:t>。</w:t>
            </w:r>
          </w:p>
          <w:p w14:paraId="6DD7A5B5">
            <w:pPr>
              <w:keepNext w:val="0"/>
              <w:keepLines w:val="0"/>
              <w:widowControl/>
              <w:numPr>
                <w:ilvl w:val="0"/>
                <w:numId w:val="13"/>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电力管线工程</w:t>
            </w:r>
          </w:p>
          <w:p w14:paraId="33AE836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电力线缆采用电力排管敷设于道路西侧或北侧。道路交叉口处可采用电缆套管直埋式，竖向标高根据排水管控制标高及综合考虑各管线竖向要求而定，覆土按 0.7-1.0m 控制。</w:t>
            </w:r>
          </w:p>
          <w:p w14:paraId="0D753A59">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号路西侧电力排管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 xml:space="preserve">，东侧电力排管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 xml:space="preserve">号路西侧电力排管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 xml:space="preserve">，东侧电力排管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号路西侧电力排</w:t>
            </w:r>
            <w:r>
              <w:rPr>
                <w:rFonts w:hint="eastAsia" w:ascii="宋体" w:hAnsi="宋体" w:cs="宋体"/>
                <w:color w:val="000000"/>
                <w:kern w:val="0"/>
                <w:sz w:val="24"/>
                <w:szCs w:val="24"/>
                <w:lang w:val="en-US" w:eastAsia="zh-CN" w:bidi="ar"/>
              </w:rPr>
              <w:t>管</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 xml:space="preserve">，东侧电力排管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32 </w:t>
            </w:r>
            <w:r>
              <w:rPr>
                <w:rFonts w:ascii="宋体" w:hAnsi="宋体" w:eastAsia="宋体" w:cs="宋体"/>
                <w:color w:val="000000"/>
                <w:kern w:val="0"/>
                <w:sz w:val="24"/>
                <w:szCs w:val="24"/>
                <w:lang w:val="en-US" w:eastAsia="zh-CN" w:bidi="ar"/>
              </w:rPr>
              <w:t xml:space="preserve">米道路双侧布置，双侧电力排管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25 </w:t>
            </w:r>
            <w:r>
              <w:rPr>
                <w:rFonts w:ascii="宋体" w:hAnsi="宋体" w:eastAsia="宋体" w:cs="宋体"/>
                <w:color w:val="000000"/>
                <w:kern w:val="0"/>
                <w:sz w:val="24"/>
                <w:szCs w:val="24"/>
                <w:lang w:val="en-US" w:eastAsia="zh-CN" w:bidi="ar"/>
              </w:rPr>
              <w:t>米沿道路单侧布置</w:t>
            </w:r>
            <w:r>
              <w:rPr>
                <w:rFonts w:hint="eastAsia" w:ascii="宋体" w:hAnsi="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 xml:space="preserve">单侧电力排管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号路南侧电力排管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 xml:space="preserve">，北侧电力排管 </w:t>
            </w:r>
            <w:r>
              <w:rPr>
                <w:rFonts w:hint="default" w:ascii="Times New Roman" w:hAnsi="Times New Roman" w:eastAsia="宋体" w:cs="Times New Roman"/>
                <w:color w:val="000000"/>
                <w:kern w:val="0"/>
                <w:sz w:val="24"/>
                <w:szCs w:val="24"/>
                <w:lang w:val="en-US" w:eastAsia="zh-CN" w:bidi="ar"/>
              </w:rPr>
              <w:t>3×4Ø150</w:t>
            </w:r>
            <w:r>
              <w:rPr>
                <w:rFonts w:ascii="宋体" w:hAnsi="宋体" w:eastAsia="宋体" w:cs="宋体"/>
                <w:color w:val="000000"/>
                <w:kern w:val="0"/>
                <w:sz w:val="24"/>
                <w:szCs w:val="24"/>
                <w:lang w:val="en-US" w:eastAsia="zh-CN" w:bidi="ar"/>
              </w:rPr>
              <w:t>。</w:t>
            </w:r>
          </w:p>
          <w:p w14:paraId="62D3744D">
            <w:pPr>
              <w:keepNext w:val="0"/>
              <w:keepLines w:val="0"/>
              <w:widowControl/>
              <w:numPr>
                <w:ilvl w:val="0"/>
                <w:numId w:val="13"/>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通信管线工程</w:t>
            </w:r>
          </w:p>
          <w:p w14:paraId="2BB6EA0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电信线缆采用通信排管敷设于道路南侧或东侧，道路交叉口处可采用电信电缆套管直埋式，竖向标高根据排水管控制标高及综合考虑各管线竖向要求而定，覆土按 0.7-1.0m 控制。</w:t>
            </w:r>
          </w:p>
          <w:p w14:paraId="797C67BE">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号路西侧通信排管 </w:t>
            </w:r>
            <w:r>
              <w:rPr>
                <w:rFonts w:hint="default" w:ascii="Times New Roman" w:hAnsi="Times New Roman" w:eastAsia="宋体" w:cs="Times New Roman"/>
                <w:color w:val="000000"/>
                <w:kern w:val="0"/>
                <w:sz w:val="24"/>
                <w:szCs w:val="24"/>
                <w:lang w:val="en-US" w:eastAsia="zh-CN" w:bidi="ar"/>
              </w:rPr>
              <w:t xml:space="preserve">16 </w:t>
            </w:r>
            <w:r>
              <w:rPr>
                <w:rFonts w:ascii="宋体" w:hAnsi="宋体" w:eastAsia="宋体" w:cs="宋体"/>
                <w:color w:val="000000"/>
                <w:kern w:val="0"/>
                <w:sz w:val="24"/>
                <w:szCs w:val="24"/>
                <w:lang w:val="en-US" w:eastAsia="zh-CN" w:bidi="ar"/>
              </w:rPr>
              <w:t xml:space="preserve">孔，东侧通信排管 </w:t>
            </w:r>
            <w:r>
              <w:rPr>
                <w:rFonts w:hint="default" w:ascii="Times New Roman" w:hAnsi="Times New Roman" w:eastAsia="宋体" w:cs="Times New Roman"/>
                <w:color w:val="000000"/>
                <w:kern w:val="0"/>
                <w:sz w:val="24"/>
                <w:szCs w:val="24"/>
                <w:lang w:val="en-US" w:eastAsia="zh-CN" w:bidi="ar"/>
              </w:rPr>
              <w:t xml:space="preserve">12 </w:t>
            </w:r>
            <w:r>
              <w:rPr>
                <w:rFonts w:ascii="宋体" w:hAnsi="宋体" w:eastAsia="宋体" w:cs="宋体"/>
                <w:color w:val="000000"/>
                <w:kern w:val="0"/>
                <w:sz w:val="24"/>
                <w:szCs w:val="24"/>
                <w:lang w:val="en-US" w:eastAsia="zh-CN" w:bidi="ar"/>
              </w:rPr>
              <w:t>孔。</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 xml:space="preserve">号路双侧布置通信排管 </w:t>
            </w:r>
            <w:r>
              <w:rPr>
                <w:rFonts w:hint="default" w:ascii="Times New Roman" w:hAnsi="Times New Roman" w:eastAsia="宋体" w:cs="Times New Roman"/>
                <w:color w:val="000000"/>
                <w:kern w:val="0"/>
                <w:sz w:val="24"/>
                <w:szCs w:val="24"/>
                <w:lang w:val="en-US" w:eastAsia="zh-CN" w:bidi="ar"/>
              </w:rPr>
              <w:t xml:space="preserve">12 </w:t>
            </w:r>
            <w:r>
              <w:rPr>
                <w:rFonts w:ascii="宋体" w:hAnsi="宋体" w:eastAsia="宋体" w:cs="宋体"/>
                <w:color w:val="000000"/>
                <w:kern w:val="0"/>
                <w:sz w:val="24"/>
                <w:szCs w:val="24"/>
                <w:lang w:val="en-US" w:eastAsia="zh-CN" w:bidi="ar"/>
              </w:rPr>
              <w:t>孔。</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 xml:space="preserve">号路西侧通信排管 </w:t>
            </w:r>
            <w:r>
              <w:rPr>
                <w:rFonts w:hint="default" w:ascii="Times New Roman" w:hAnsi="Times New Roman" w:eastAsia="宋体" w:cs="Times New Roman"/>
                <w:color w:val="000000"/>
                <w:kern w:val="0"/>
                <w:sz w:val="24"/>
                <w:szCs w:val="24"/>
                <w:lang w:val="en-US" w:eastAsia="zh-CN" w:bidi="ar"/>
              </w:rPr>
              <w:t xml:space="preserve">14 </w:t>
            </w:r>
            <w:r>
              <w:rPr>
                <w:rFonts w:ascii="宋体" w:hAnsi="宋体" w:eastAsia="宋体" w:cs="宋体"/>
                <w:color w:val="000000"/>
                <w:kern w:val="0"/>
                <w:sz w:val="24"/>
                <w:szCs w:val="24"/>
                <w:lang w:val="en-US" w:eastAsia="zh-CN" w:bidi="ar"/>
              </w:rPr>
              <w:t xml:space="preserve">孔，东侧通信排管 </w:t>
            </w:r>
            <w:r>
              <w:rPr>
                <w:rFonts w:hint="default" w:ascii="Times New Roman" w:hAnsi="Times New Roman" w:eastAsia="宋体" w:cs="Times New Roman"/>
                <w:color w:val="000000"/>
                <w:kern w:val="0"/>
                <w:sz w:val="24"/>
                <w:szCs w:val="24"/>
                <w:lang w:val="en-US" w:eastAsia="zh-CN" w:bidi="ar"/>
              </w:rPr>
              <w:t xml:space="preserve">14 </w:t>
            </w:r>
            <w:r>
              <w:rPr>
                <w:rFonts w:ascii="宋体" w:hAnsi="宋体" w:eastAsia="宋体" w:cs="宋体"/>
                <w:color w:val="000000"/>
                <w:kern w:val="0"/>
                <w:sz w:val="24"/>
                <w:szCs w:val="24"/>
                <w:lang w:val="en-US" w:eastAsia="zh-CN" w:bidi="ar"/>
              </w:rPr>
              <w:t xml:space="preserve">孔。 </w:t>
            </w:r>
          </w:p>
          <w:p w14:paraId="78715595">
            <w:pPr>
              <w:keepNext w:val="0"/>
              <w:keepLines w:val="0"/>
              <w:widowControl/>
              <w:suppressLineNumbers w:val="0"/>
              <w:jc w:val="left"/>
              <w:rPr>
                <w:rFonts w:hint="eastAsia" w:ascii="宋体" w:hAnsi="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5 </w:t>
            </w:r>
            <w:r>
              <w:rPr>
                <w:rFonts w:ascii="宋体" w:hAnsi="宋体" w:eastAsia="宋体" w:cs="宋体"/>
                <w:color w:val="000000"/>
                <w:kern w:val="0"/>
                <w:sz w:val="24"/>
                <w:szCs w:val="24"/>
                <w:lang w:val="en-US" w:eastAsia="zh-CN" w:bidi="ar"/>
              </w:rPr>
              <w:t xml:space="preserve">号路双侧通信排管 </w:t>
            </w:r>
            <w:r>
              <w:rPr>
                <w:rFonts w:hint="default" w:ascii="Times New Roman" w:hAnsi="Times New Roman" w:eastAsia="宋体" w:cs="Times New Roman"/>
                <w:color w:val="000000"/>
                <w:kern w:val="0"/>
                <w:sz w:val="24"/>
                <w:szCs w:val="24"/>
                <w:lang w:val="en-US" w:eastAsia="zh-CN" w:bidi="ar"/>
              </w:rPr>
              <w:t xml:space="preserve">12 </w:t>
            </w:r>
            <w:r>
              <w:rPr>
                <w:rFonts w:ascii="宋体" w:hAnsi="宋体" w:eastAsia="宋体" w:cs="宋体"/>
                <w:color w:val="000000"/>
                <w:kern w:val="0"/>
                <w:sz w:val="24"/>
                <w:szCs w:val="24"/>
                <w:lang w:val="en-US" w:eastAsia="zh-CN" w:bidi="ar"/>
              </w:rPr>
              <w:t>孔。</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号路南侧通信排管 </w:t>
            </w:r>
            <w:r>
              <w:rPr>
                <w:rFonts w:hint="default" w:ascii="Times New Roman" w:hAnsi="Times New Roman" w:eastAsia="宋体" w:cs="Times New Roman"/>
                <w:color w:val="000000"/>
                <w:kern w:val="0"/>
                <w:sz w:val="24"/>
                <w:szCs w:val="24"/>
                <w:lang w:val="en-US" w:eastAsia="zh-CN" w:bidi="ar"/>
              </w:rPr>
              <w:t xml:space="preserve">12 </w:t>
            </w:r>
            <w:r>
              <w:rPr>
                <w:rFonts w:ascii="宋体" w:hAnsi="宋体" w:eastAsia="宋体" w:cs="宋体"/>
                <w:color w:val="000000"/>
                <w:kern w:val="0"/>
                <w:sz w:val="24"/>
                <w:szCs w:val="24"/>
                <w:lang w:val="en-US" w:eastAsia="zh-CN" w:bidi="ar"/>
              </w:rPr>
              <w:t xml:space="preserve">孔，北侧通信排管 </w:t>
            </w:r>
            <w:r>
              <w:rPr>
                <w:rFonts w:hint="default" w:ascii="Times New Roman" w:hAnsi="Times New Roman" w:eastAsia="宋体" w:cs="Times New Roman"/>
                <w:color w:val="000000"/>
                <w:kern w:val="0"/>
                <w:sz w:val="24"/>
                <w:szCs w:val="24"/>
                <w:lang w:val="en-US" w:eastAsia="zh-CN" w:bidi="ar"/>
              </w:rPr>
              <w:t xml:space="preserve">16 </w:t>
            </w:r>
            <w:r>
              <w:rPr>
                <w:rFonts w:ascii="宋体" w:hAnsi="宋体" w:eastAsia="宋体" w:cs="宋体"/>
                <w:color w:val="000000"/>
                <w:kern w:val="0"/>
                <w:sz w:val="24"/>
                <w:szCs w:val="24"/>
                <w:lang w:val="en-US" w:eastAsia="zh-CN" w:bidi="ar"/>
              </w:rPr>
              <w:t>孔</w:t>
            </w:r>
            <w:r>
              <w:rPr>
                <w:rFonts w:hint="eastAsia" w:ascii="宋体" w:hAnsi="宋体" w:cs="宋体"/>
                <w:color w:val="000000"/>
                <w:kern w:val="0"/>
                <w:sz w:val="24"/>
                <w:szCs w:val="24"/>
                <w:lang w:val="en-US" w:eastAsia="zh-CN" w:bidi="ar"/>
              </w:rPr>
              <w:t>。</w:t>
            </w:r>
          </w:p>
          <w:p w14:paraId="6CF86C38">
            <w:pPr>
              <w:keepNext w:val="0"/>
              <w:keepLines w:val="0"/>
              <w:widowControl/>
              <w:suppressLineNumbers w:val="0"/>
              <w:ind w:firstLine="482" w:firstLineChars="200"/>
              <w:jc w:val="left"/>
              <w:rPr>
                <w:rFonts w:hint="eastAsia" w:ascii="宋体" w:hAnsi="宋体" w:cs="宋体"/>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5.6</w:t>
            </w:r>
            <w:r>
              <w:rPr>
                <w:rFonts w:hint="eastAsia" w:ascii="宋体" w:hAnsi="宋体" w:cs="宋体"/>
                <w:b/>
                <w:bCs/>
                <w:color w:val="000000"/>
                <w:kern w:val="0"/>
                <w:sz w:val="24"/>
                <w:szCs w:val="24"/>
                <w:lang w:val="en-US" w:eastAsia="zh-CN" w:bidi="ar"/>
              </w:rPr>
              <w:t>给水工程</w:t>
            </w:r>
          </w:p>
          <w:p w14:paraId="2C5A8D12">
            <w:pPr>
              <w:keepNext w:val="0"/>
              <w:keepLines w:val="0"/>
              <w:widowControl/>
              <w:suppressLineNumbers w:val="0"/>
              <w:ind w:firstLine="480" w:firstLineChars="200"/>
              <w:jc w:val="left"/>
              <w:rPr>
                <w:rFonts w:hint="eastAsia" w:ascii="宋体" w:hAnsi="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结合《芒市火车站片区控制线详细规划》和片区地块开发情况，本项目道路给水管均双侧布置，布置于道路人行道下</w:t>
            </w:r>
            <w:r>
              <w:rPr>
                <w:rFonts w:hint="eastAsia" w:ascii="宋体" w:hAnsi="宋体" w:cs="宋体"/>
                <w:color w:val="000000"/>
                <w:kern w:val="0"/>
                <w:sz w:val="24"/>
                <w:szCs w:val="24"/>
                <w:lang w:val="en-US" w:eastAsia="zh-CN" w:bidi="ar"/>
              </w:rPr>
              <w:t>。</w:t>
            </w:r>
          </w:p>
          <w:p w14:paraId="73552024">
            <w:pPr>
              <w:keepNext w:val="0"/>
              <w:keepLines w:val="0"/>
              <w:widowControl/>
              <w:suppressLineNumbers w:val="0"/>
              <w:ind w:firstLine="480" w:firstLineChars="200"/>
              <w:jc w:val="left"/>
              <w:rPr>
                <w:rFonts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号路沿道路双侧布置，东侧给水管管径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 xml:space="preserve">，西侧给水管管径 </w:t>
            </w:r>
            <w:r>
              <w:rPr>
                <w:rFonts w:hint="default" w:ascii="Times New Roman" w:hAnsi="Times New Roman" w:eastAsia="宋体" w:cs="Times New Roman"/>
                <w:color w:val="000000"/>
                <w:kern w:val="0"/>
                <w:sz w:val="24"/>
                <w:szCs w:val="24"/>
                <w:lang w:val="en-US" w:eastAsia="zh-CN" w:bidi="ar"/>
              </w:rPr>
              <w:t>DN400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 xml:space="preserve">号路沿道路双侧布置，东侧给水管管径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 xml:space="preserve">，西侧给水管管径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号路沿道路双侧布置，东侧给水管管径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 xml:space="preserve">，西侧给水管管径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42 </w:t>
            </w:r>
            <w:r>
              <w:rPr>
                <w:rFonts w:ascii="宋体" w:hAnsi="宋体" w:eastAsia="宋体" w:cs="宋体"/>
                <w:color w:val="000000"/>
                <w:kern w:val="0"/>
                <w:sz w:val="24"/>
                <w:szCs w:val="24"/>
                <w:lang w:val="en-US" w:eastAsia="zh-CN" w:bidi="ar"/>
              </w:rPr>
              <w:t xml:space="preserve">米道路沿道路双侧布置，东西侧给水管管径均为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25 </w:t>
            </w:r>
            <w:r>
              <w:rPr>
                <w:rFonts w:ascii="宋体" w:hAnsi="宋体" w:eastAsia="宋体" w:cs="宋体"/>
                <w:color w:val="000000"/>
                <w:kern w:val="0"/>
                <w:sz w:val="24"/>
                <w:szCs w:val="24"/>
                <w:lang w:val="en-US" w:eastAsia="zh-CN" w:bidi="ar"/>
              </w:rPr>
              <w:t xml:space="preserve">米道路单侧布置，西侧给水管管径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 xml:space="preserve">，东侧给水管管径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32 </w:t>
            </w:r>
            <w:r>
              <w:rPr>
                <w:rFonts w:ascii="宋体" w:hAnsi="宋体" w:eastAsia="宋体" w:cs="宋体"/>
                <w:color w:val="000000"/>
                <w:kern w:val="0"/>
                <w:sz w:val="24"/>
                <w:szCs w:val="24"/>
                <w:lang w:val="en-US" w:eastAsia="zh-CN" w:bidi="ar"/>
              </w:rPr>
              <w:t xml:space="preserve">米道路沿道路双侧布置，北侧给水管管径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，南侧给水管管径</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25 </w:t>
            </w:r>
            <w:r>
              <w:rPr>
                <w:rFonts w:ascii="宋体" w:hAnsi="宋体" w:eastAsia="宋体" w:cs="宋体"/>
                <w:color w:val="000000"/>
                <w:kern w:val="0"/>
                <w:sz w:val="24"/>
                <w:szCs w:val="24"/>
                <w:lang w:val="en-US" w:eastAsia="zh-CN" w:bidi="ar"/>
              </w:rPr>
              <w:t xml:space="preserve">米道路单侧布置，北侧给水管管径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 xml:space="preserve">，南侧给水管管径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 xml:space="preserve">号路沿道路双侧布置，东侧给水管管径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 xml:space="preserve">，西侧给水管管径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号路沿道路双侧布置，南侧给水管管径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 xml:space="preserve">，北侧给水管管径 </w:t>
            </w:r>
            <w:r>
              <w:rPr>
                <w:rFonts w:hint="default" w:ascii="Times New Roman" w:hAnsi="Times New Roman" w:eastAsia="宋体" w:cs="Times New Roman"/>
                <w:color w:val="000000"/>
                <w:kern w:val="0"/>
                <w:sz w:val="24"/>
                <w:szCs w:val="24"/>
                <w:lang w:val="en-US" w:eastAsia="zh-CN" w:bidi="ar"/>
              </w:rPr>
              <w:t>DN300</w:t>
            </w:r>
            <w:r>
              <w:rPr>
                <w:rFonts w:ascii="宋体" w:hAnsi="宋体" w:eastAsia="宋体" w:cs="宋体"/>
                <w:color w:val="000000"/>
                <w:kern w:val="0"/>
                <w:sz w:val="24"/>
                <w:szCs w:val="24"/>
                <w:lang w:val="en-US" w:eastAsia="zh-CN" w:bidi="ar"/>
              </w:rPr>
              <w:t>。</w:t>
            </w:r>
          </w:p>
          <w:p w14:paraId="4C442FF6">
            <w:pPr>
              <w:keepNext w:val="0"/>
              <w:keepLines w:val="0"/>
              <w:widowControl/>
              <w:suppressLineNumbers w:val="0"/>
              <w:ind w:firstLine="482" w:firstLineChars="200"/>
              <w:jc w:val="left"/>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5.7再生水工程</w:t>
            </w:r>
          </w:p>
          <w:p w14:paraId="33206BC0">
            <w:pPr>
              <w:keepNext w:val="0"/>
              <w:keepLines w:val="0"/>
              <w:widowControl/>
              <w:suppressLineNumbers w:val="0"/>
              <w:ind w:firstLine="480" w:firstLineChars="200"/>
              <w:jc w:val="left"/>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再生水统一由市政再生水管网供给，再生水管敷设于绿化带下，再生水管竖向标高根据排水管控制标高及综合考虑各管线竖向要求而定，覆土按 0.7-1.0m 控制</w:t>
            </w:r>
            <w:r>
              <w:rPr>
                <w:rFonts w:hint="eastAsia" w:cs="Times New Roman"/>
                <w:color w:val="000000"/>
                <w:kern w:val="0"/>
                <w:sz w:val="24"/>
                <w:szCs w:val="24"/>
                <w:lang w:val="en-US" w:eastAsia="zh-CN" w:bidi="ar"/>
              </w:rPr>
              <w:t>。</w:t>
            </w:r>
          </w:p>
          <w:p w14:paraId="110EEB55">
            <w:pPr>
              <w:keepNext w:val="0"/>
              <w:keepLines w:val="0"/>
              <w:widowControl/>
              <w:suppressLineNumbers w:val="0"/>
              <w:ind w:firstLine="480" w:firstLineChars="200"/>
              <w:jc w:val="left"/>
              <w:rPr>
                <w:rFonts w:hint="default"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号路东侧再生水管管径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 xml:space="preserve">，西侧再生水管管径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 xml:space="preserve">号路东侧再生水管管径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 xml:space="preserve">，西侧再生水管管径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 xml:space="preserve">号路东侧再生水管管径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，西侧再生水管管</w:t>
            </w:r>
            <w:r>
              <w:rPr>
                <w:rFonts w:hint="eastAsia" w:ascii="宋体" w:hAnsi="宋体" w:cs="宋体"/>
                <w:color w:val="000000"/>
                <w:kern w:val="0"/>
                <w:sz w:val="24"/>
                <w:szCs w:val="24"/>
                <w:lang w:val="en-US" w:eastAsia="zh-CN" w:bidi="ar"/>
              </w:rPr>
              <w:t>径</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32 </w:t>
            </w:r>
            <w:r>
              <w:rPr>
                <w:rFonts w:ascii="宋体" w:hAnsi="宋体" w:eastAsia="宋体" w:cs="宋体"/>
                <w:color w:val="000000"/>
                <w:kern w:val="0"/>
                <w:sz w:val="24"/>
                <w:szCs w:val="24"/>
                <w:lang w:val="en-US" w:eastAsia="zh-CN" w:bidi="ar"/>
              </w:rPr>
              <w:t xml:space="preserve">米道路双侧布置，再生水管管径均为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25 </w:t>
            </w:r>
            <w:r>
              <w:rPr>
                <w:rFonts w:ascii="宋体" w:hAnsi="宋体" w:eastAsia="宋体" w:cs="宋体"/>
                <w:color w:val="000000"/>
                <w:kern w:val="0"/>
                <w:sz w:val="24"/>
                <w:szCs w:val="24"/>
                <w:lang w:val="en-US" w:eastAsia="zh-CN" w:bidi="ar"/>
              </w:rPr>
              <w:t xml:space="preserve">米道路沿道路单侧布置，再生水管管径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号路南侧再生水管管径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 xml:space="preserve">，北侧再生水管管径 </w:t>
            </w:r>
            <w:r>
              <w:rPr>
                <w:rFonts w:hint="default" w:ascii="Times New Roman" w:hAnsi="Times New Roman" w:eastAsia="宋体" w:cs="Times New Roman"/>
                <w:color w:val="000000"/>
                <w:kern w:val="0"/>
                <w:sz w:val="24"/>
                <w:szCs w:val="24"/>
                <w:lang w:val="en-US" w:eastAsia="zh-CN" w:bidi="ar"/>
              </w:rPr>
              <w:t>DN200</w:t>
            </w:r>
            <w:r>
              <w:rPr>
                <w:rFonts w:ascii="宋体" w:hAnsi="宋体" w:eastAsia="宋体" w:cs="宋体"/>
                <w:color w:val="000000"/>
                <w:kern w:val="0"/>
                <w:sz w:val="24"/>
                <w:szCs w:val="24"/>
                <w:lang w:val="en-US" w:eastAsia="zh-CN" w:bidi="ar"/>
              </w:rPr>
              <w:t xml:space="preserve">。 </w:t>
            </w:r>
          </w:p>
          <w:p w14:paraId="163C60C9">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w:t>
            </w:r>
            <w:r>
              <w:rPr>
                <w:rFonts w:hint="eastAsia" w:ascii="Times New Roman" w:hAnsi="Times New Roman"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景观绿化设计</w:t>
            </w:r>
          </w:p>
          <w:p w14:paraId="7F27BF9F">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本</w:t>
            </w:r>
            <w:r>
              <w:rPr>
                <w:rFonts w:hint="eastAsia" w:ascii="宋体" w:hAnsi="宋体" w:cs="宋体"/>
                <w:color w:val="000000"/>
                <w:kern w:val="0"/>
                <w:sz w:val="24"/>
                <w:szCs w:val="24"/>
                <w:lang w:val="en-US" w:eastAsia="zh-CN" w:bidi="ar"/>
              </w:rPr>
              <w:t>项目</w:t>
            </w:r>
            <w:r>
              <w:rPr>
                <w:rFonts w:ascii="宋体" w:hAnsi="宋体" w:eastAsia="宋体" w:cs="宋体"/>
                <w:color w:val="000000"/>
                <w:kern w:val="0"/>
                <w:sz w:val="24"/>
                <w:szCs w:val="24"/>
                <w:lang w:val="en-US" w:eastAsia="zh-CN" w:bidi="ar"/>
              </w:rPr>
              <w:t xml:space="preserve">的 </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条道路为芒市火车站的主要交通主干道，也是芒市城市形象集中体现的区域。主要以 </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号路为景观主轴线，</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7 </w:t>
            </w:r>
            <w:r>
              <w:rPr>
                <w:rFonts w:ascii="宋体" w:hAnsi="宋体" w:eastAsia="宋体" w:cs="宋体"/>
                <w:color w:val="000000"/>
                <w:kern w:val="0"/>
                <w:sz w:val="24"/>
                <w:szCs w:val="24"/>
                <w:lang w:val="en-US" w:eastAsia="zh-CN" w:bidi="ar"/>
              </w:rPr>
              <w:t xml:space="preserve">号路两条路条路定位为芒市城市景观迎宾大道，其余道路为景观林荫大道，在 </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号路南北两端节点处进行迎宾门的布置</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根据道路沿线环境及植物生长特性选用树种，以降低噪声、减少粉尘污染、美化环境为目的；以经济、美观、便于管理、与当地生长条件相协调、适应性强、生命力旺盛、冠幅荫浓的树木、灌木、地被等品种进行种植。主要采用芒市当地的特色景观大树、灌木球以及地被来集中体现芒市植物景观特色。部分主干道迎宾路段增加雕塑小品来突出芒市的生物多样性的城市风貌。</w:t>
            </w:r>
          </w:p>
          <w:p w14:paraId="43A92736">
            <w:pPr>
              <w:keepNext w:val="0"/>
              <w:keepLines w:val="0"/>
              <w:widowControl/>
              <w:numPr>
                <w:ilvl w:val="0"/>
                <w:numId w:val="14"/>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道路绿化设计</w:t>
            </w:r>
          </w:p>
          <w:p w14:paraId="41E40B37">
            <w:pPr>
              <w:keepNext w:val="0"/>
              <w:keepLines w:val="0"/>
              <w:widowControl/>
              <w:suppressLineNumbers w:val="0"/>
              <w:ind w:firstLine="480" w:firstLineChars="200"/>
              <w:jc w:val="left"/>
              <w:rPr>
                <w:sz w:val="24"/>
                <w:szCs w:val="24"/>
              </w:rPr>
            </w:pP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号路道路绿化设计方案 </w:t>
            </w:r>
          </w:p>
          <w:p w14:paraId="48552392">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 xml:space="preserve">道路级别：城市次干道 </w:t>
            </w:r>
            <w:r>
              <w:rPr>
                <w:rFonts w:hint="eastAsia" w:ascii="宋体" w:hAnsi="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绿地率：</w:t>
            </w:r>
            <w:r>
              <w:rPr>
                <w:rFonts w:hint="default" w:ascii="Times New Roman" w:hAnsi="Times New Roman" w:eastAsia="宋体" w:cs="Times New Roman"/>
                <w:color w:val="000000"/>
                <w:kern w:val="0"/>
                <w:sz w:val="24"/>
                <w:szCs w:val="24"/>
                <w:lang w:val="en-US" w:eastAsia="zh-CN" w:bidi="ar"/>
              </w:rPr>
              <w:t xml:space="preserve">25% </w:t>
            </w:r>
          </w:p>
          <w:p w14:paraId="07C34F40">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 xml:space="preserve">绿化区域 </w:t>
            </w:r>
          </w:p>
          <w:p w14:paraId="50DFFDD9">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①道路红线宽度：</w:t>
            </w:r>
            <w:r>
              <w:rPr>
                <w:rFonts w:hint="default" w:ascii="Times New Roman" w:hAnsi="Times New Roman" w:eastAsia="宋体" w:cs="Times New Roman"/>
                <w:color w:val="000000"/>
                <w:kern w:val="0"/>
                <w:sz w:val="24"/>
                <w:szCs w:val="24"/>
                <w:lang w:val="en-US" w:eastAsia="zh-CN" w:bidi="ar"/>
              </w:rPr>
              <w:t>40m</w:t>
            </w:r>
          </w:p>
          <w:p w14:paraId="5D6DC97E">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②机非隔离带宽度：</w:t>
            </w:r>
            <w:r>
              <w:rPr>
                <w:rFonts w:hint="default" w:ascii="Times New Roman" w:hAnsi="Times New Roman" w:eastAsia="宋体" w:cs="Times New Roman"/>
                <w:color w:val="000000"/>
                <w:kern w:val="0"/>
                <w:sz w:val="24"/>
                <w:szCs w:val="24"/>
                <w:lang w:val="en-US" w:eastAsia="zh-CN" w:bidi="ar"/>
              </w:rPr>
              <w:t xml:space="preserve">3m </w:t>
            </w:r>
          </w:p>
          <w:p w14:paraId="0C8B4A6A">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机非隔离带乔木：假槟榔：</w:t>
            </w:r>
            <w:r>
              <w:rPr>
                <w:rFonts w:hint="default" w:ascii="Times New Roman" w:hAnsi="Times New Roman" w:eastAsia="宋体" w:cs="Times New Roman"/>
                <w:color w:val="000000"/>
                <w:kern w:val="0"/>
                <w:sz w:val="24"/>
                <w:szCs w:val="24"/>
                <w:lang w:val="en-US" w:eastAsia="zh-CN" w:bidi="ar"/>
              </w:rPr>
              <w:t>d=10-15m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8m </w:t>
            </w:r>
          </w:p>
          <w:p w14:paraId="55EB1A9E">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机非隔离带灌木球：叶子花球：</w:t>
            </w:r>
            <w:r>
              <w:rPr>
                <w:rFonts w:hint="default" w:ascii="Times New Roman" w:hAnsi="Times New Roman" w:eastAsia="宋体" w:cs="Times New Roman"/>
                <w:color w:val="000000"/>
                <w:kern w:val="0"/>
                <w:sz w:val="24"/>
                <w:szCs w:val="24"/>
                <w:lang w:val="en-US" w:eastAsia="zh-CN" w:bidi="ar"/>
              </w:rPr>
              <w:t>h=120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130cm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2m </w:t>
            </w:r>
          </w:p>
          <w:p w14:paraId="5770EAE5">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机非隔离带地被：龙船花：</w:t>
            </w:r>
            <w:r>
              <w:rPr>
                <w:rFonts w:hint="default" w:ascii="Times New Roman" w:hAnsi="Times New Roman" w:eastAsia="宋体" w:cs="Times New Roman"/>
                <w:color w:val="000000"/>
                <w:kern w:val="0"/>
                <w:sz w:val="24"/>
                <w:szCs w:val="24"/>
                <w:lang w:val="en-US" w:eastAsia="zh-CN" w:bidi="ar"/>
              </w:rPr>
              <w:t>h=20-25</w:t>
            </w:r>
            <w:r>
              <w:rPr>
                <w:rFonts w:ascii="宋体" w:hAnsi="宋体" w:eastAsia="宋体" w:cs="宋体"/>
                <w:color w:val="000000"/>
                <w:kern w:val="0"/>
                <w:sz w:val="24"/>
                <w:szCs w:val="24"/>
                <w:lang w:val="en-US" w:eastAsia="zh-CN" w:bidi="ar"/>
              </w:rPr>
              <w:t>、黄金菊：</w:t>
            </w:r>
            <w:r>
              <w:rPr>
                <w:rFonts w:hint="default" w:ascii="Times New Roman" w:hAnsi="Times New Roman" w:eastAsia="宋体" w:cs="Times New Roman"/>
                <w:color w:val="000000"/>
                <w:kern w:val="0"/>
                <w:sz w:val="24"/>
                <w:szCs w:val="24"/>
                <w:lang w:val="en-US" w:eastAsia="zh-CN" w:bidi="ar"/>
              </w:rPr>
              <w:t>h=15-20</w:t>
            </w:r>
            <w:r>
              <w:rPr>
                <w:rFonts w:ascii="宋体" w:hAnsi="宋体" w:eastAsia="宋体" w:cs="宋体"/>
                <w:color w:val="000000"/>
                <w:kern w:val="0"/>
                <w:sz w:val="24"/>
                <w:szCs w:val="24"/>
                <w:lang w:val="en-US" w:eastAsia="zh-CN" w:bidi="ar"/>
              </w:rPr>
              <w:t xml:space="preserve">，以 </w:t>
            </w:r>
            <w:r>
              <w:rPr>
                <w:rFonts w:hint="default" w:ascii="Times New Roman" w:hAnsi="Times New Roman" w:eastAsia="宋体" w:cs="Times New Roman"/>
                <w:color w:val="000000"/>
                <w:kern w:val="0"/>
                <w:sz w:val="24"/>
                <w:szCs w:val="24"/>
                <w:lang w:val="en-US" w:eastAsia="zh-CN" w:bidi="ar"/>
              </w:rPr>
              <w:t xml:space="preserve">100m </w:t>
            </w:r>
            <w:r>
              <w:rPr>
                <w:rFonts w:ascii="宋体" w:hAnsi="宋体" w:eastAsia="宋体" w:cs="宋体"/>
                <w:color w:val="000000"/>
                <w:kern w:val="0"/>
                <w:sz w:val="24"/>
                <w:szCs w:val="24"/>
                <w:lang w:val="en-US" w:eastAsia="zh-CN" w:bidi="ar"/>
              </w:rPr>
              <w:t xml:space="preserve">为标准段 </w:t>
            </w:r>
            <w:r>
              <w:rPr>
                <w:rFonts w:hint="default" w:ascii="Times New Roman" w:hAnsi="Times New Roman" w:eastAsia="宋体" w:cs="Times New Roman"/>
                <w:color w:val="000000"/>
                <w:kern w:val="0"/>
                <w:sz w:val="24"/>
                <w:szCs w:val="24"/>
                <w:lang w:val="en-US" w:eastAsia="zh-CN" w:bidi="ar"/>
              </w:rPr>
              <w:t xml:space="preserve">60m </w:t>
            </w:r>
            <w:r>
              <w:rPr>
                <w:rFonts w:ascii="宋体" w:hAnsi="宋体" w:eastAsia="宋体" w:cs="宋体"/>
                <w:color w:val="000000"/>
                <w:kern w:val="0"/>
                <w:sz w:val="24"/>
                <w:szCs w:val="24"/>
                <w:lang w:val="en-US" w:eastAsia="zh-CN" w:bidi="ar"/>
              </w:rPr>
              <w:t>龙船花，</w:t>
            </w:r>
            <w:r>
              <w:rPr>
                <w:rFonts w:hint="default" w:ascii="Times New Roman" w:hAnsi="Times New Roman" w:eastAsia="宋体" w:cs="Times New Roman"/>
                <w:color w:val="000000"/>
                <w:kern w:val="0"/>
                <w:sz w:val="24"/>
                <w:szCs w:val="24"/>
                <w:lang w:val="en-US" w:eastAsia="zh-CN" w:bidi="ar"/>
              </w:rPr>
              <w:t xml:space="preserve">40m </w:t>
            </w:r>
            <w:r>
              <w:rPr>
                <w:rFonts w:ascii="宋体" w:hAnsi="宋体" w:eastAsia="宋体" w:cs="宋体"/>
                <w:color w:val="000000"/>
                <w:kern w:val="0"/>
                <w:sz w:val="24"/>
                <w:szCs w:val="24"/>
                <w:lang w:val="en-US" w:eastAsia="zh-CN" w:bidi="ar"/>
              </w:rPr>
              <w:t xml:space="preserve">黄金菊交替种植。 </w:t>
            </w:r>
          </w:p>
          <w:p w14:paraId="716498E9">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③人非隔离带宽度：</w:t>
            </w:r>
            <w:r>
              <w:rPr>
                <w:rFonts w:hint="default" w:ascii="Times New Roman" w:hAnsi="Times New Roman" w:eastAsia="宋体" w:cs="Times New Roman"/>
                <w:color w:val="000000"/>
                <w:kern w:val="0"/>
                <w:sz w:val="24"/>
                <w:szCs w:val="24"/>
                <w:lang w:val="en-US" w:eastAsia="zh-CN" w:bidi="ar"/>
              </w:rPr>
              <w:t xml:space="preserve">3m </w:t>
            </w:r>
          </w:p>
          <w:p w14:paraId="40D83256">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行道树：加拿利海枣：</w:t>
            </w:r>
            <w:r>
              <w:rPr>
                <w:rFonts w:hint="default" w:ascii="Times New Roman" w:hAnsi="Times New Roman" w:eastAsia="宋体" w:cs="Times New Roman"/>
                <w:color w:val="000000"/>
                <w:kern w:val="0"/>
                <w:sz w:val="24"/>
                <w:szCs w:val="24"/>
                <w:lang w:val="en-US" w:eastAsia="zh-CN" w:bidi="ar"/>
              </w:rPr>
              <w:t>d=20-25</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8m</w:t>
            </w:r>
          </w:p>
          <w:p w14:paraId="093CF941">
            <w:pPr>
              <w:keepNext w:val="0"/>
              <w:keepLines w:val="0"/>
              <w:widowControl/>
              <w:suppressLineNumbers w:val="0"/>
              <w:ind w:firstLine="480" w:firstLineChars="200"/>
              <w:jc w:val="left"/>
              <w:rPr>
                <w:sz w:val="24"/>
                <w:szCs w:val="24"/>
              </w:rPr>
            </w:pP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2</w:t>
            </w:r>
            <w:r>
              <w:rPr>
                <w:rFonts w:ascii="宋体" w:hAnsi="宋体" w:eastAsia="宋体" w:cs="宋体"/>
                <w:color w:val="000000"/>
                <w:kern w:val="0"/>
                <w:sz w:val="24"/>
                <w:szCs w:val="24"/>
                <w:lang w:val="en-US" w:eastAsia="zh-CN" w:bidi="ar"/>
              </w:rPr>
              <w:t xml:space="preserve">号路道路绿化设计方案 </w:t>
            </w:r>
          </w:p>
          <w:p w14:paraId="4589E93B">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道路级别：城市次干道</w:t>
            </w:r>
            <w:r>
              <w:rPr>
                <w:rFonts w:hint="eastAsia" w:ascii="宋体" w:hAnsi="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绿地率：</w:t>
            </w:r>
            <w:r>
              <w:rPr>
                <w:rFonts w:hint="default" w:ascii="Times New Roman" w:hAnsi="Times New Roman" w:eastAsia="宋体" w:cs="Times New Roman"/>
                <w:color w:val="000000"/>
                <w:kern w:val="0"/>
                <w:sz w:val="24"/>
                <w:szCs w:val="24"/>
                <w:lang w:val="en-US" w:eastAsia="zh-CN" w:bidi="ar"/>
              </w:rPr>
              <w:t xml:space="preserve">20% </w:t>
            </w:r>
          </w:p>
          <w:p w14:paraId="43515685">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 xml:space="preserve">绿化区域 </w:t>
            </w:r>
          </w:p>
          <w:p w14:paraId="3DDD3587">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①道路红线宽度：</w:t>
            </w:r>
            <w:r>
              <w:rPr>
                <w:rFonts w:hint="default" w:ascii="Times New Roman" w:hAnsi="Times New Roman" w:eastAsia="宋体" w:cs="Times New Roman"/>
                <w:color w:val="000000"/>
                <w:kern w:val="0"/>
                <w:sz w:val="24"/>
                <w:szCs w:val="24"/>
                <w:lang w:val="en-US" w:eastAsia="zh-CN" w:bidi="ar"/>
              </w:rPr>
              <w:t xml:space="preserve">32m </w:t>
            </w:r>
          </w:p>
          <w:p w14:paraId="6023CD58">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②机非隔离带宽度：</w:t>
            </w:r>
            <w:r>
              <w:rPr>
                <w:rFonts w:hint="default" w:ascii="Times New Roman" w:hAnsi="Times New Roman" w:eastAsia="宋体" w:cs="Times New Roman"/>
                <w:color w:val="000000"/>
                <w:kern w:val="0"/>
                <w:sz w:val="24"/>
                <w:szCs w:val="24"/>
                <w:lang w:val="en-US" w:eastAsia="zh-CN" w:bidi="ar"/>
              </w:rPr>
              <w:t xml:space="preserve">2.5m </w:t>
            </w:r>
          </w:p>
          <w:p w14:paraId="5C3525E3">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机非隔离带乔木：中东海枣：</w:t>
            </w:r>
            <w:r>
              <w:rPr>
                <w:rFonts w:hint="default" w:ascii="Times New Roman" w:hAnsi="Times New Roman" w:eastAsia="宋体" w:cs="Times New Roman"/>
                <w:color w:val="000000"/>
                <w:kern w:val="0"/>
                <w:sz w:val="24"/>
                <w:szCs w:val="24"/>
                <w:lang w:val="en-US" w:eastAsia="zh-CN" w:bidi="ar"/>
              </w:rPr>
              <w:t>d=20-25m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8m </w:t>
            </w:r>
          </w:p>
          <w:p w14:paraId="6DEC0FC0">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机非隔离带灌木球：叶子花球：</w:t>
            </w:r>
            <w:r>
              <w:rPr>
                <w:rFonts w:hint="default" w:ascii="Times New Roman" w:hAnsi="Times New Roman" w:eastAsia="宋体" w:cs="Times New Roman"/>
                <w:color w:val="000000"/>
                <w:kern w:val="0"/>
                <w:sz w:val="24"/>
                <w:szCs w:val="24"/>
                <w:lang w:val="en-US" w:eastAsia="zh-CN" w:bidi="ar"/>
              </w:rPr>
              <w:t>h=120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130cm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2m </w:t>
            </w:r>
          </w:p>
          <w:p w14:paraId="3E314707">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机非隔离带地被：红花继木：</w:t>
            </w:r>
            <w:r>
              <w:rPr>
                <w:rFonts w:hint="default" w:ascii="Times New Roman" w:hAnsi="Times New Roman" w:eastAsia="宋体" w:cs="Times New Roman"/>
                <w:color w:val="000000"/>
                <w:kern w:val="0"/>
                <w:sz w:val="24"/>
                <w:szCs w:val="24"/>
                <w:lang w:val="en-US" w:eastAsia="zh-CN" w:bidi="ar"/>
              </w:rPr>
              <w:t>h=25-30</w:t>
            </w:r>
            <w:r>
              <w:rPr>
                <w:rFonts w:ascii="宋体" w:hAnsi="宋体" w:eastAsia="宋体" w:cs="宋体"/>
                <w:color w:val="000000"/>
                <w:kern w:val="0"/>
                <w:sz w:val="24"/>
                <w:szCs w:val="24"/>
                <w:lang w:val="en-US" w:eastAsia="zh-CN" w:bidi="ar"/>
              </w:rPr>
              <w:t>、变叶木：</w:t>
            </w:r>
            <w:r>
              <w:rPr>
                <w:rFonts w:hint="default" w:ascii="Times New Roman" w:hAnsi="Times New Roman" w:eastAsia="宋体" w:cs="Times New Roman"/>
                <w:color w:val="000000"/>
                <w:kern w:val="0"/>
                <w:sz w:val="24"/>
                <w:szCs w:val="24"/>
                <w:lang w:val="en-US" w:eastAsia="zh-CN" w:bidi="ar"/>
              </w:rPr>
              <w:t>h=30-40</w:t>
            </w:r>
            <w:r>
              <w:rPr>
                <w:rFonts w:ascii="宋体" w:hAnsi="宋体" w:eastAsia="宋体" w:cs="宋体"/>
                <w:color w:val="000000"/>
                <w:kern w:val="0"/>
                <w:sz w:val="24"/>
                <w:szCs w:val="24"/>
                <w:lang w:val="en-US" w:eastAsia="zh-CN" w:bidi="ar"/>
              </w:rPr>
              <w:t xml:space="preserve">，以 </w:t>
            </w:r>
            <w:r>
              <w:rPr>
                <w:rFonts w:hint="default" w:ascii="Times New Roman" w:hAnsi="Times New Roman" w:eastAsia="宋体" w:cs="Times New Roman"/>
                <w:color w:val="000000"/>
                <w:kern w:val="0"/>
                <w:sz w:val="24"/>
                <w:szCs w:val="24"/>
                <w:lang w:val="en-US" w:eastAsia="zh-CN" w:bidi="ar"/>
              </w:rPr>
              <w:t xml:space="preserve">100m </w:t>
            </w:r>
            <w:r>
              <w:rPr>
                <w:rFonts w:ascii="宋体" w:hAnsi="宋体" w:eastAsia="宋体" w:cs="宋体"/>
                <w:color w:val="000000"/>
                <w:kern w:val="0"/>
                <w:sz w:val="24"/>
                <w:szCs w:val="24"/>
                <w:lang w:val="en-US" w:eastAsia="zh-CN" w:bidi="ar"/>
              </w:rPr>
              <w:t xml:space="preserve">为标准段 </w:t>
            </w:r>
            <w:r>
              <w:rPr>
                <w:rFonts w:hint="default" w:ascii="Times New Roman" w:hAnsi="Times New Roman" w:eastAsia="宋体" w:cs="Times New Roman"/>
                <w:color w:val="000000"/>
                <w:kern w:val="0"/>
                <w:sz w:val="24"/>
                <w:szCs w:val="24"/>
                <w:lang w:val="en-US" w:eastAsia="zh-CN" w:bidi="ar"/>
              </w:rPr>
              <w:t xml:space="preserve">60m </w:t>
            </w:r>
            <w:r>
              <w:rPr>
                <w:rFonts w:ascii="宋体" w:hAnsi="宋体" w:eastAsia="宋体" w:cs="宋体"/>
                <w:color w:val="000000"/>
                <w:kern w:val="0"/>
                <w:sz w:val="24"/>
                <w:szCs w:val="24"/>
                <w:lang w:val="en-US" w:eastAsia="zh-CN" w:bidi="ar"/>
              </w:rPr>
              <w:t>红花继木，</w:t>
            </w:r>
            <w:r>
              <w:rPr>
                <w:rFonts w:hint="default" w:ascii="Times New Roman" w:hAnsi="Times New Roman" w:eastAsia="宋体" w:cs="Times New Roman"/>
                <w:color w:val="000000"/>
                <w:kern w:val="0"/>
                <w:sz w:val="24"/>
                <w:szCs w:val="24"/>
                <w:lang w:val="en-US" w:eastAsia="zh-CN" w:bidi="ar"/>
              </w:rPr>
              <w:t xml:space="preserve">40m </w:t>
            </w:r>
            <w:r>
              <w:rPr>
                <w:rFonts w:ascii="宋体" w:hAnsi="宋体" w:eastAsia="宋体" w:cs="宋体"/>
                <w:color w:val="000000"/>
                <w:kern w:val="0"/>
                <w:sz w:val="24"/>
                <w:szCs w:val="24"/>
                <w:lang w:val="en-US" w:eastAsia="zh-CN" w:bidi="ar"/>
              </w:rPr>
              <w:t xml:space="preserve">变叶木交替种植。 </w:t>
            </w:r>
          </w:p>
          <w:p w14:paraId="26100EBE">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③人非隔离带宽度：</w:t>
            </w:r>
            <w:r>
              <w:rPr>
                <w:rFonts w:hint="default" w:ascii="Times New Roman" w:hAnsi="Times New Roman" w:eastAsia="宋体" w:cs="Times New Roman"/>
                <w:color w:val="000000"/>
                <w:kern w:val="0"/>
                <w:sz w:val="24"/>
                <w:szCs w:val="24"/>
                <w:lang w:val="en-US" w:eastAsia="zh-CN" w:bidi="ar"/>
              </w:rPr>
              <w:t xml:space="preserve">3m </w:t>
            </w:r>
          </w:p>
          <w:p w14:paraId="3F25F00B">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行道树：铁力木：</w:t>
            </w:r>
            <w:r>
              <w:rPr>
                <w:rFonts w:hint="default" w:ascii="Times New Roman" w:hAnsi="Times New Roman" w:eastAsia="宋体" w:cs="Times New Roman"/>
                <w:color w:val="000000"/>
                <w:kern w:val="0"/>
                <w:sz w:val="24"/>
                <w:szCs w:val="24"/>
                <w:lang w:val="en-US" w:eastAsia="zh-CN" w:bidi="ar"/>
              </w:rPr>
              <w:t>d=16-18</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8m</w:t>
            </w:r>
          </w:p>
          <w:p w14:paraId="5E2BF04D">
            <w:pPr>
              <w:keepNext w:val="0"/>
              <w:keepLines w:val="0"/>
              <w:widowControl/>
              <w:suppressLineNumbers w:val="0"/>
              <w:ind w:firstLine="480" w:firstLineChars="200"/>
              <w:jc w:val="left"/>
              <w:rPr>
                <w:sz w:val="24"/>
                <w:szCs w:val="24"/>
              </w:rPr>
            </w:pP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号路道路绿化设计方案 </w:t>
            </w:r>
          </w:p>
          <w:p w14:paraId="0D5745BF">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道路级别：城市次干道</w:t>
            </w:r>
            <w:r>
              <w:rPr>
                <w:rFonts w:hint="eastAsia" w:ascii="宋体" w:hAnsi="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绿地率：</w:t>
            </w:r>
            <w:r>
              <w:rPr>
                <w:rFonts w:hint="default" w:ascii="Times New Roman" w:hAnsi="Times New Roman" w:eastAsia="宋体" w:cs="Times New Roman"/>
                <w:color w:val="000000"/>
                <w:kern w:val="0"/>
                <w:sz w:val="24"/>
                <w:szCs w:val="24"/>
                <w:lang w:val="en-US" w:eastAsia="zh-CN" w:bidi="ar"/>
              </w:rPr>
              <w:t xml:space="preserve">20% </w:t>
            </w:r>
          </w:p>
          <w:p w14:paraId="03331D74">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 xml:space="preserve">绿化区域 </w:t>
            </w:r>
          </w:p>
          <w:p w14:paraId="5F83F82E">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①道路红线宽度：</w:t>
            </w:r>
            <w:r>
              <w:rPr>
                <w:rFonts w:hint="default" w:ascii="Times New Roman" w:hAnsi="Times New Roman" w:eastAsia="宋体" w:cs="Times New Roman"/>
                <w:color w:val="000000"/>
                <w:kern w:val="0"/>
                <w:sz w:val="24"/>
                <w:szCs w:val="24"/>
                <w:lang w:val="en-US" w:eastAsia="zh-CN" w:bidi="ar"/>
              </w:rPr>
              <w:t xml:space="preserve">32m </w:t>
            </w:r>
          </w:p>
          <w:p w14:paraId="2673963D">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②机非隔离带宽度：</w:t>
            </w:r>
            <w:r>
              <w:rPr>
                <w:rFonts w:hint="default" w:ascii="Times New Roman" w:hAnsi="Times New Roman" w:eastAsia="宋体" w:cs="Times New Roman"/>
                <w:color w:val="000000"/>
                <w:kern w:val="0"/>
                <w:sz w:val="24"/>
                <w:szCs w:val="24"/>
                <w:lang w:val="en-US" w:eastAsia="zh-CN" w:bidi="ar"/>
              </w:rPr>
              <w:t xml:space="preserve">2.5m </w:t>
            </w:r>
          </w:p>
          <w:p w14:paraId="368292AA">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机非隔离带乔木：黄花风铃木：</w:t>
            </w:r>
            <w:r>
              <w:rPr>
                <w:rFonts w:hint="default" w:ascii="Times New Roman" w:hAnsi="Times New Roman" w:eastAsia="宋体" w:cs="Times New Roman"/>
                <w:color w:val="000000"/>
                <w:kern w:val="0"/>
                <w:sz w:val="24"/>
                <w:szCs w:val="24"/>
                <w:lang w:val="en-US" w:eastAsia="zh-CN" w:bidi="ar"/>
              </w:rPr>
              <w:t>d=15-18m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8m </w:t>
            </w:r>
          </w:p>
          <w:p w14:paraId="38A06698">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机非隔离带灌木球：叶子花球：</w:t>
            </w:r>
            <w:r>
              <w:rPr>
                <w:rFonts w:hint="default" w:ascii="Times New Roman" w:hAnsi="Times New Roman" w:eastAsia="宋体" w:cs="Times New Roman"/>
                <w:color w:val="000000"/>
                <w:kern w:val="0"/>
                <w:sz w:val="24"/>
                <w:szCs w:val="24"/>
                <w:lang w:val="en-US" w:eastAsia="zh-CN" w:bidi="ar"/>
              </w:rPr>
              <w:t>h=120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130cm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2m </w:t>
            </w:r>
          </w:p>
          <w:p w14:paraId="2F797788">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机非隔离带地被：龙船花：</w:t>
            </w:r>
            <w:r>
              <w:rPr>
                <w:rFonts w:hint="default" w:ascii="Times New Roman" w:hAnsi="Times New Roman" w:eastAsia="宋体" w:cs="Times New Roman"/>
                <w:color w:val="000000"/>
                <w:kern w:val="0"/>
                <w:sz w:val="24"/>
                <w:szCs w:val="24"/>
                <w:lang w:val="en-US" w:eastAsia="zh-CN" w:bidi="ar"/>
              </w:rPr>
              <w:t>h=20-25</w:t>
            </w:r>
            <w:r>
              <w:rPr>
                <w:rFonts w:ascii="宋体" w:hAnsi="宋体" w:eastAsia="宋体" w:cs="宋体"/>
                <w:color w:val="000000"/>
                <w:kern w:val="0"/>
                <w:sz w:val="24"/>
                <w:szCs w:val="24"/>
                <w:lang w:val="en-US" w:eastAsia="zh-CN" w:bidi="ar"/>
              </w:rPr>
              <w:t>、福建茶：</w:t>
            </w:r>
            <w:r>
              <w:rPr>
                <w:rFonts w:hint="default" w:ascii="Times New Roman" w:hAnsi="Times New Roman" w:eastAsia="宋体" w:cs="Times New Roman"/>
                <w:color w:val="000000"/>
                <w:kern w:val="0"/>
                <w:sz w:val="24"/>
                <w:szCs w:val="24"/>
                <w:lang w:val="en-US" w:eastAsia="zh-CN" w:bidi="ar"/>
              </w:rPr>
              <w:t>h=30-35</w:t>
            </w:r>
            <w:r>
              <w:rPr>
                <w:rFonts w:ascii="宋体" w:hAnsi="宋体" w:eastAsia="宋体" w:cs="宋体"/>
                <w:color w:val="000000"/>
                <w:kern w:val="0"/>
                <w:sz w:val="24"/>
                <w:szCs w:val="24"/>
                <w:lang w:val="en-US" w:eastAsia="zh-CN" w:bidi="ar"/>
              </w:rPr>
              <w:t xml:space="preserve">，以 </w:t>
            </w:r>
            <w:r>
              <w:rPr>
                <w:rFonts w:hint="default" w:ascii="Times New Roman" w:hAnsi="Times New Roman" w:eastAsia="宋体" w:cs="Times New Roman"/>
                <w:color w:val="000000"/>
                <w:kern w:val="0"/>
                <w:sz w:val="24"/>
                <w:szCs w:val="24"/>
                <w:lang w:val="en-US" w:eastAsia="zh-CN" w:bidi="ar"/>
              </w:rPr>
              <w:t xml:space="preserve">100m </w:t>
            </w:r>
            <w:r>
              <w:rPr>
                <w:rFonts w:ascii="宋体" w:hAnsi="宋体" w:eastAsia="宋体" w:cs="宋体"/>
                <w:color w:val="000000"/>
                <w:kern w:val="0"/>
                <w:sz w:val="24"/>
                <w:szCs w:val="24"/>
                <w:lang w:val="en-US" w:eastAsia="zh-CN" w:bidi="ar"/>
              </w:rPr>
              <w:t xml:space="preserve">为标准段 </w:t>
            </w:r>
            <w:r>
              <w:rPr>
                <w:rFonts w:hint="default" w:ascii="Times New Roman" w:hAnsi="Times New Roman" w:eastAsia="宋体" w:cs="Times New Roman"/>
                <w:color w:val="000000"/>
                <w:kern w:val="0"/>
                <w:sz w:val="24"/>
                <w:szCs w:val="24"/>
                <w:lang w:val="en-US" w:eastAsia="zh-CN" w:bidi="ar"/>
              </w:rPr>
              <w:t xml:space="preserve">60m </w:t>
            </w:r>
            <w:r>
              <w:rPr>
                <w:rFonts w:ascii="宋体" w:hAnsi="宋体" w:eastAsia="宋体" w:cs="宋体"/>
                <w:color w:val="000000"/>
                <w:kern w:val="0"/>
                <w:sz w:val="24"/>
                <w:szCs w:val="24"/>
                <w:lang w:val="en-US" w:eastAsia="zh-CN" w:bidi="ar"/>
              </w:rPr>
              <w:t>龙船花，</w:t>
            </w:r>
            <w:r>
              <w:rPr>
                <w:rFonts w:hint="default" w:ascii="Times New Roman" w:hAnsi="Times New Roman" w:eastAsia="宋体" w:cs="Times New Roman"/>
                <w:color w:val="000000"/>
                <w:kern w:val="0"/>
                <w:sz w:val="24"/>
                <w:szCs w:val="24"/>
                <w:lang w:val="en-US" w:eastAsia="zh-CN" w:bidi="ar"/>
              </w:rPr>
              <w:t xml:space="preserve">40m </w:t>
            </w:r>
            <w:r>
              <w:rPr>
                <w:rFonts w:ascii="宋体" w:hAnsi="宋体" w:eastAsia="宋体" w:cs="宋体"/>
                <w:color w:val="000000"/>
                <w:kern w:val="0"/>
                <w:sz w:val="24"/>
                <w:szCs w:val="24"/>
                <w:lang w:val="en-US" w:eastAsia="zh-CN" w:bidi="ar"/>
              </w:rPr>
              <w:t xml:space="preserve">福建茶交替种植。在道路端头增加时令花卉，如一串红、三色堇、虞美人等，一年三换。 </w:t>
            </w:r>
          </w:p>
          <w:p w14:paraId="690A5FE5">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③人非隔离带宽度：</w:t>
            </w:r>
            <w:r>
              <w:rPr>
                <w:rFonts w:hint="default" w:ascii="Times New Roman" w:hAnsi="Times New Roman" w:eastAsia="宋体" w:cs="Times New Roman"/>
                <w:color w:val="000000"/>
                <w:kern w:val="0"/>
                <w:sz w:val="24"/>
                <w:szCs w:val="24"/>
                <w:lang w:val="en-US" w:eastAsia="zh-CN" w:bidi="ar"/>
              </w:rPr>
              <w:t xml:space="preserve">3m </w:t>
            </w:r>
          </w:p>
          <w:p w14:paraId="657E868A">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行道树：大青树：</w:t>
            </w:r>
            <w:r>
              <w:rPr>
                <w:rFonts w:hint="default" w:ascii="Times New Roman" w:hAnsi="Times New Roman" w:eastAsia="宋体" w:cs="Times New Roman"/>
                <w:color w:val="000000"/>
                <w:kern w:val="0"/>
                <w:sz w:val="24"/>
                <w:szCs w:val="24"/>
                <w:lang w:val="en-US" w:eastAsia="zh-CN" w:bidi="ar"/>
              </w:rPr>
              <w:t>d=13-15</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8m</w:t>
            </w:r>
          </w:p>
          <w:p w14:paraId="5A3B4E99">
            <w:pPr>
              <w:keepNext w:val="0"/>
              <w:keepLines w:val="0"/>
              <w:widowControl/>
              <w:suppressLineNumbers w:val="0"/>
              <w:ind w:firstLine="480" w:firstLineChars="200"/>
              <w:jc w:val="left"/>
              <w:rPr>
                <w:sz w:val="24"/>
                <w:szCs w:val="24"/>
              </w:rPr>
            </w:pPr>
            <w:r>
              <w:rPr>
                <w:rFonts w:hint="eastAsia"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 xml:space="preserve">号路道路绿化设计方案 </w:t>
            </w:r>
          </w:p>
          <w:p w14:paraId="513A54B0">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道路级别：城市次干道</w:t>
            </w:r>
            <w:r>
              <w:rPr>
                <w:rFonts w:hint="eastAsia" w:ascii="宋体" w:hAnsi="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绿地率：</w:t>
            </w:r>
            <w:r>
              <w:rPr>
                <w:rFonts w:hint="default" w:ascii="Times New Roman" w:hAnsi="Times New Roman" w:eastAsia="宋体" w:cs="Times New Roman"/>
                <w:color w:val="000000"/>
                <w:kern w:val="0"/>
                <w:sz w:val="24"/>
                <w:szCs w:val="24"/>
                <w:lang w:val="en-US" w:eastAsia="zh-CN" w:bidi="ar"/>
              </w:rPr>
              <w:t xml:space="preserve">23% </w:t>
            </w:r>
          </w:p>
          <w:p w14:paraId="7C9F1B28">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 xml:space="preserve">绿化区域 </w:t>
            </w:r>
          </w:p>
          <w:p w14:paraId="429CBC91">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42m </w:t>
            </w:r>
            <w:r>
              <w:rPr>
                <w:rFonts w:ascii="宋体" w:hAnsi="宋体" w:eastAsia="宋体" w:cs="宋体"/>
                <w:color w:val="000000"/>
                <w:kern w:val="0"/>
                <w:sz w:val="24"/>
                <w:szCs w:val="24"/>
                <w:lang w:val="en-US" w:eastAsia="zh-CN" w:bidi="ar"/>
              </w:rPr>
              <w:t xml:space="preserve">宽道路 </w:t>
            </w:r>
          </w:p>
          <w:p w14:paraId="2B905240">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①道路红线宽度：</w:t>
            </w:r>
            <w:r>
              <w:rPr>
                <w:rFonts w:hint="default" w:ascii="Times New Roman" w:hAnsi="Times New Roman" w:eastAsia="宋体" w:cs="Times New Roman"/>
                <w:color w:val="000000"/>
                <w:kern w:val="0"/>
                <w:sz w:val="24"/>
                <w:szCs w:val="24"/>
                <w:lang w:val="en-US" w:eastAsia="zh-CN" w:bidi="ar"/>
              </w:rPr>
              <w:t xml:space="preserve">42m </w:t>
            </w:r>
          </w:p>
          <w:p w14:paraId="5A6CAA58">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②机非隔离带宽度：</w:t>
            </w:r>
            <w:r>
              <w:rPr>
                <w:rFonts w:hint="default" w:ascii="Times New Roman" w:hAnsi="Times New Roman" w:eastAsia="宋体" w:cs="Times New Roman"/>
                <w:color w:val="000000"/>
                <w:kern w:val="0"/>
                <w:sz w:val="24"/>
                <w:szCs w:val="24"/>
                <w:lang w:val="en-US" w:eastAsia="zh-CN" w:bidi="ar"/>
              </w:rPr>
              <w:t xml:space="preserve">3m </w:t>
            </w:r>
          </w:p>
          <w:p w14:paraId="13B32413">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机非隔离带乔木：凤凰木：</w:t>
            </w:r>
            <w:r>
              <w:rPr>
                <w:rFonts w:hint="default" w:ascii="Times New Roman" w:hAnsi="Times New Roman" w:eastAsia="宋体" w:cs="Times New Roman"/>
                <w:color w:val="000000"/>
                <w:kern w:val="0"/>
                <w:sz w:val="24"/>
                <w:szCs w:val="24"/>
                <w:lang w:val="en-US" w:eastAsia="zh-CN" w:bidi="ar"/>
              </w:rPr>
              <w:t>d=20-25m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8m </w:t>
            </w:r>
          </w:p>
          <w:p w14:paraId="7A675080">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机非隔离带灌木球：叶子花球：</w:t>
            </w:r>
            <w:r>
              <w:rPr>
                <w:rFonts w:hint="default" w:ascii="Times New Roman" w:hAnsi="Times New Roman" w:eastAsia="宋体" w:cs="Times New Roman"/>
                <w:color w:val="000000"/>
                <w:kern w:val="0"/>
                <w:sz w:val="24"/>
                <w:szCs w:val="24"/>
                <w:lang w:val="en-US" w:eastAsia="zh-CN" w:bidi="ar"/>
              </w:rPr>
              <w:t>h=120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130cm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2m </w:t>
            </w:r>
          </w:p>
          <w:p w14:paraId="261CDCE4">
            <w:pPr>
              <w:keepNext w:val="0"/>
              <w:keepLines w:val="0"/>
              <w:widowControl/>
              <w:suppressLineNumbers w:val="0"/>
              <w:ind w:firstLine="480" w:firstLineChars="200"/>
              <w:jc w:val="left"/>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机非隔离带地被：黄金菊：</w:t>
            </w:r>
            <w:r>
              <w:rPr>
                <w:rFonts w:hint="default" w:ascii="Times New Roman" w:hAnsi="Times New Roman" w:eastAsia="宋体" w:cs="Times New Roman"/>
                <w:color w:val="000000"/>
                <w:kern w:val="0"/>
                <w:sz w:val="24"/>
                <w:szCs w:val="24"/>
                <w:lang w:val="en-US" w:eastAsia="zh-CN" w:bidi="ar"/>
              </w:rPr>
              <w:t>h=15-20</w:t>
            </w:r>
            <w:r>
              <w:rPr>
                <w:rFonts w:ascii="宋体" w:hAnsi="宋体" w:eastAsia="宋体" w:cs="宋体"/>
                <w:color w:val="000000"/>
                <w:kern w:val="0"/>
                <w:sz w:val="24"/>
                <w:szCs w:val="24"/>
                <w:lang w:val="en-US" w:eastAsia="zh-CN" w:bidi="ar"/>
              </w:rPr>
              <w:t>、九里香：</w:t>
            </w:r>
            <w:r>
              <w:rPr>
                <w:rFonts w:hint="default" w:ascii="Times New Roman" w:hAnsi="Times New Roman" w:eastAsia="宋体" w:cs="Times New Roman"/>
                <w:color w:val="000000"/>
                <w:kern w:val="0"/>
                <w:sz w:val="24"/>
                <w:szCs w:val="24"/>
                <w:lang w:val="en-US" w:eastAsia="zh-CN" w:bidi="ar"/>
              </w:rPr>
              <w:t>h=25-30</w:t>
            </w:r>
            <w:r>
              <w:rPr>
                <w:rFonts w:ascii="宋体" w:hAnsi="宋体" w:eastAsia="宋体" w:cs="宋体"/>
                <w:color w:val="000000"/>
                <w:kern w:val="0"/>
                <w:sz w:val="24"/>
                <w:szCs w:val="24"/>
                <w:lang w:val="en-US" w:eastAsia="zh-CN" w:bidi="ar"/>
              </w:rPr>
              <w:t xml:space="preserve">，以 </w:t>
            </w:r>
            <w:r>
              <w:rPr>
                <w:rFonts w:hint="default" w:ascii="Times New Roman" w:hAnsi="Times New Roman" w:eastAsia="宋体" w:cs="Times New Roman"/>
                <w:color w:val="000000"/>
                <w:kern w:val="0"/>
                <w:sz w:val="24"/>
                <w:szCs w:val="24"/>
                <w:lang w:val="en-US" w:eastAsia="zh-CN" w:bidi="ar"/>
              </w:rPr>
              <w:t xml:space="preserve">100m </w:t>
            </w:r>
            <w:r>
              <w:rPr>
                <w:rFonts w:ascii="宋体" w:hAnsi="宋体" w:eastAsia="宋体" w:cs="宋体"/>
                <w:color w:val="000000"/>
                <w:kern w:val="0"/>
                <w:sz w:val="24"/>
                <w:szCs w:val="24"/>
                <w:lang w:val="en-US" w:eastAsia="zh-CN" w:bidi="ar"/>
              </w:rPr>
              <w:t xml:space="preserve">为标准段 </w:t>
            </w:r>
            <w:r>
              <w:rPr>
                <w:rFonts w:hint="default" w:ascii="Times New Roman" w:hAnsi="Times New Roman" w:eastAsia="宋体" w:cs="Times New Roman"/>
                <w:color w:val="000000"/>
                <w:kern w:val="0"/>
                <w:sz w:val="24"/>
                <w:szCs w:val="24"/>
                <w:lang w:val="en-US" w:eastAsia="zh-CN" w:bidi="ar"/>
              </w:rPr>
              <w:t xml:space="preserve">60m </w:t>
            </w:r>
            <w:r>
              <w:rPr>
                <w:rFonts w:ascii="宋体" w:hAnsi="宋体" w:eastAsia="宋体" w:cs="宋体"/>
                <w:color w:val="000000"/>
                <w:kern w:val="0"/>
                <w:sz w:val="24"/>
                <w:szCs w:val="24"/>
                <w:lang w:val="en-US" w:eastAsia="zh-CN" w:bidi="ar"/>
              </w:rPr>
              <w:t>黄金菊，</w:t>
            </w:r>
            <w:r>
              <w:rPr>
                <w:rFonts w:hint="default" w:ascii="Times New Roman" w:hAnsi="Times New Roman" w:eastAsia="宋体" w:cs="Times New Roman"/>
                <w:color w:val="000000"/>
                <w:kern w:val="0"/>
                <w:sz w:val="24"/>
                <w:szCs w:val="24"/>
                <w:lang w:val="en-US" w:eastAsia="zh-CN" w:bidi="ar"/>
              </w:rPr>
              <w:t xml:space="preserve">40m </w:t>
            </w:r>
            <w:r>
              <w:rPr>
                <w:rFonts w:ascii="宋体" w:hAnsi="宋体" w:eastAsia="宋体" w:cs="宋体"/>
                <w:color w:val="000000"/>
                <w:kern w:val="0"/>
                <w:sz w:val="24"/>
                <w:szCs w:val="24"/>
                <w:lang w:val="en-US" w:eastAsia="zh-CN" w:bidi="ar"/>
              </w:rPr>
              <w:t xml:space="preserve">九里香交替种植。在道路端头增加时令花卉，如一串红、三色堇、虞美人等，一年三换。 </w:t>
            </w:r>
          </w:p>
          <w:p w14:paraId="4AA91CF9">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③人非隔离带宽度：</w:t>
            </w:r>
            <w:r>
              <w:rPr>
                <w:rFonts w:hint="default" w:ascii="Times New Roman" w:hAnsi="Times New Roman" w:eastAsia="宋体" w:cs="Times New Roman"/>
                <w:color w:val="000000"/>
                <w:kern w:val="0"/>
                <w:sz w:val="24"/>
                <w:szCs w:val="24"/>
                <w:lang w:val="en-US" w:eastAsia="zh-CN" w:bidi="ar"/>
              </w:rPr>
              <w:t xml:space="preserve">4m </w:t>
            </w:r>
          </w:p>
          <w:p w14:paraId="7EC39D3B">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行道树：大王椰子：</w:t>
            </w:r>
            <w:r>
              <w:rPr>
                <w:rFonts w:hint="default" w:ascii="Times New Roman" w:hAnsi="Times New Roman" w:eastAsia="宋体" w:cs="Times New Roman"/>
                <w:color w:val="000000"/>
                <w:kern w:val="0"/>
                <w:sz w:val="24"/>
                <w:szCs w:val="24"/>
                <w:lang w:val="en-US" w:eastAsia="zh-CN" w:bidi="ar"/>
              </w:rPr>
              <w:t>d=25-30</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8m </w:t>
            </w:r>
          </w:p>
          <w:p w14:paraId="6545159E">
            <w:pPr>
              <w:keepNext w:val="0"/>
              <w:keepLines w:val="0"/>
              <w:widowControl/>
              <w:suppressLineNumbers w:val="0"/>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 xml:space="preserve">25m </w:t>
            </w:r>
            <w:r>
              <w:rPr>
                <w:rFonts w:ascii="宋体" w:hAnsi="宋体" w:eastAsia="宋体" w:cs="宋体"/>
                <w:color w:val="000000"/>
                <w:kern w:val="0"/>
                <w:sz w:val="24"/>
                <w:szCs w:val="24"/>
                <w:lang w:val="en-US" w:eastAsia="zh-CN" w:bidi="ar"/>
              </w:rPr>
              <w:t xml:space="preserve">宽道路 </w:t>
            </w:r>
          </w:p>
          <w:p w14:paraId="3F8D7C66">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①道路红线宽度：</w:t>
            </w:r>
            <w:r>
              <w:rPr>
                <w:rFonts w:hint="default" w:ascii="Times New Roman" w:hAnsi="Times New Roman" w:eastAsia="宋体" w:cs="Times New Roman"/>
                <w:color w:val="000000"/>
                <w:kern w:val="0"/>
                <w:sz w:val="24"/>
                <w:szCs w:val="24"/>
                <w:lang w:val="en-US" w:eastAsia="zh-CN" w:bidi="ar"/>
              </w:rPr>
              <w:t xml:space="preserve">25m </w:t>
            </w:r>
          </w:p>
          <w:p w14:paraId="0B158357">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②人非隔离带宽度：</w:t>
            </w:r>
            <w:r>
              <w:rPr>
                <w:rFonts w:hint="default" w:ascii="Times New Roman" w:hAnsi="Times New Roman" w:eastAsia="宋体" w:cs="Times New Roman"/>
                <w:color w:val="000000"/>
                <w:kern w:val="0"/>
                <w:sz w:val="24"/>
                <w:szCs w:val="24"/>
                <w:lang w:val="en-US" w:eastAsia="zh-CN" w:bidi="ar"/>
              </w:rPr>
              <w:t xml:space="preserve">4m </w:t>
            </w:r>
          </w:p>
          <w:p w14:paraId="7316FA6C">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行道树：大王椰子：</w:t>
            </w:r>
            <w:r>
              <w:rPr>
                <w:rFonts w:hint="default" w:ascii="Times New Roman" w:hAnsi="Times New Roman" w:eastAsia="宋体" w:cs="Times New Roman"/>
                <w:color w:val="000000"/>
                <w:kern w:val="0"/>
                <w:sz w:val="24"/>
                <w:szCs w:val="24"/>
                <w:lang w:val="en-US" w:eastAsia="zh-CN" w:bidi="ar"/>
              </w:rPr>
              <w:t>d=25-30</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8m</w:t>
            </w:r>
          </w:p>
          <w:p w14:paraId="58E92B8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）5 号路道路绿化设计方案</w:t>
            </w:r>
          </w:p>
          <w:p w14:paraId="09242AA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道路级别：城市次干道，绿地率：20% </w:t>
            </w:r>
          </w:p>
          <w:p w14:paraId="30BCC358">
            <w:pPr>
              <w:keepNext w:val="0"/>
              <w:keepLines w:val="0"/>
              <w:widowControl/>
              <w:suppressLineNumbers w:val="0"/>
              <w:spacing w:line="360" w:lineRule="auto"/>
              <w:ind w:firstLine="480" w:firstLineChars="200"/>
              <w:jc w:val="left"/>
              <w:rPr>
                <w:rFonts w:hint="eastAsia"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绿化区域</w:t>
            </w:r>
          </w:p>
          <w:p w14:paraId="4E34D55C">
            <w:pPr>
              <w:keepNext w:val="0"/>
              <w:keepLines w:val="0"/>
              <w:widowControl/>
              <w:suppressLineNumbers w:val="0"/>
              <w:spacing w:line="360" w:lineRule="auto"/>
              <w:ind w:firstLine="480" w:firstLineChars="200"/>
              <w:jc w:val="left"/>
              <w:rPr>
                <w:rFonts w:hint="default"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32m宽道路</w:t>
            </w:r>
          </w:p>
          <w:p w14:paraId="15496653">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①道路红线宽度：32m </w:t>
            </w:r>
          </w:p>
          <w:p w14:paraId="39F9EFA2">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②机非隔离带宽度：2.5m </w:t>
            </w:r>
          </w:p>
          <w:p w14:paraId="4BC24233">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机非隔离带乔木：黄花风铃木：d=,15-18，种植间距 8m </w:t>
            </w:r>
          </w:p>
          <w:p w14:paraId="56517BAE">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机非隔离带灌木球：叶子花球：h=120—130cm，种植间距 2m </w:t>
            </w:r>
          </w:p>
          <w:p w14:paraId="19F72322">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机非隔离带地被：龙船花：h=20-25、金叶假连翘：h=25-30，以 100m为标准段 60m龙船花，40m金叶假连翘交替种植。在道路端头增加时令花卉，如一串红、三色堇、虞美人等，一年三换。 </w:t>
            </w:r>
          </w:p>
          <w:p w14:paraId="3C572C78">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③人非隔离带宽度：3m </w:t>
            </w:r>
          </w:p>
          <w:p w14:paraId="198C21D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行道树：大青树：d=16-18m，种植间距 8m </w:t>
            </w:r>
          </w:p>
          <w:p w14:paraId="115DDCA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25m宽道路</w:t>
            </w:r>
          </w:p>
          <w:p w14:paraId="0BDB7ACF">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①道路红线宽度：</w:t>
            </w:r>
            <w:r>
              <w:rPr>
                <w:rFonts w:hint="default" w:ascii="Times New Roman" w:hAnsi="Times New Roman" w:eastAsia="宋体" w:cs="Times New Roman"/>
                <w:color w:val="000000"/>
                <w:kern w:val="0"/>
                <w:sz w:val="24"/>
                <w:szCs w:val="24"/>
                <w:lang w:val="en-US" w:eastAsia="zh-CN" w:bidi="ar"/>
              </w:rPr>
              <w:t xml:space="preserve">25m </w:t>
            </w:r>
          </w:p>
          <w:p w14:paraId="222B46C7">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②人非隔离带宽度：</w:t>
            </w:r>
            <w:r>
              <w:rPr>
                <w:rFonts w:hint="default" w:ascii="Times New Roman" w:hAnsi="Times New Roman" w:eastAsia="宋体" w:cs="Times New Roman"/>
                <w:color w:val="000000"/>
                <w:kern w:val="0"/>
                <w:sz w:val="24"/>
                <w:szCs w:val="24"/>
                <w:lang w:val="en-US" w:eastAsia="zh-CN" w:bidi="ar"/>
              </w:rPr>
              <w:t xml:space="preserve">2.5m </w:t>
            </w:r>
          </w:p>
          <w:p w14:paraId="03AB37E7">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行道树：大青树：</w:t>
            </w:r>
            <w:r>
              <w:rPr>
                <w:rFonts w:hint="default" w:ascii="Times New Roman" w:hAnsi="Times New Roman" w:eastAsia="宋体" w:cs="Times New Roman"/>
                <w:color w:val="000000"/>
                <w:kern w:val="0"/>
                <w:sz w:val="24"/>
                <w:szCs w:val="24"/>
                <w:lang w:val="en-US" w:eastAsia="zh-CN" w:bidi="ar"/>
              </w:rPr>
              <w:t>d=16-18m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8m</w:t>
            </w:r>
          </w:p>
          <w:p w14:paraId="72073A71">
            <w:pPr>
              <w:keepNext w:val="0"/>
              <w:keepLines w:val="0"/>
              <w:widowControl/>
              <w:suppressLineNumbers w:val="0"/>
              <w:ind w:firstLine="480" w:firstLineChars="200"/>
              <w:jc w:val="left"/>
              <w:rPr>
                <w:sz w:val="24"/>
                <w:szCs w:val="24"/>
              </w:rPr>
            </w:pPr>
            <w:r>
              <w:rPr>
                <w:rFonts w:hint="eastAsia"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 xml:space="preserve">6 </w:t>
            </w:r>
            <w:r>
              <w:rPr>
                <w:rFonts w:ascii="宋体" w:hAnsi="宋体" w:eastAsia="宋体" w:cs="宋体"/>
                <w:color w:val="000000"/>
                <w:kern w:val="0"/>
                <w:sz w:val="24"/>
                <w:szCs w:val="24"/>
                <w:lang w:val="en-US" w:eastAsia="zh-CN" w:bidi="ar"/>
              </w:rPr>
              <w:t xml:space="preserve">号路道路绿化设计方案 </w:t>
            </w:r>
          </w:p>
          <w:p w14:paraId="48E24727">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道路级别：城市次干道</w:t>
            </w:r>
            <w:r>
              <w:rPr>
                <w:rFonts w:hint="eastAsia" w:ascii="宋体" w:hAnsi="宋体" w:cs="宋体"/>
                <w:color w:val="000000"/>
                <w:kern w:val="0"/>
                <w:sz w:val="24"/>
                <w:szCs w:val="24"/>
                <w:lang w:val="en-US" w:eastAsia="zh-CN" w:bidi="ar"/>
              </w:rPr>
              <w:t>，</w:t>
            </w:r>
            <w:r>
              <w:rPr>
                <w:rFonts w:ascii="宋体" w:hAnsi="宋体" w:eastAsia="宋体" w:cs="宋体"/>
                <w:color w:val="000000"/>
                <w:kern w:val="0"/>
                <w:sz w:val="24"/>
                <w:szCs w:val="24"/>
                <w:lang w:val="en-US" w:eastAsia="zh-CN" w:bidi="ar"/>
              </w:rPr>
              <w:t>绿地率：</w:t>
            </w:r>
            <w:r>
              <w:rPr>
                <w:rFonts w:hint="default" w:ascii="Times New Roman" w:hAnsi="Times New Roman" w:eastAsia="宋体" w:cs="Times New Roman"/>
                <w:color w:val="000000"/>
                <w:kern w:val="0"/>
                <w:sz w:val="24"/>
                <w:szCs w:val="24"/>
                <w:lang w:val="en-US" w:eastAsia="zh-CN" w:bidi="ar"/>
              </w:rPr>
              <w:t xml:space="preserve">20% </w:t>
            </w:r>
          </w:p>
          <w:p w14:paraId="1BCCC875">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 xml:space="preserve">绿化区域 </w:t>
            </w:r>
          </w:p>
          <w:p w14:paraId="2D90D6FC">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①道路红线宽度：</w:t>
            </w:r>
            <w:r>
              <w:rPr>
                <w:rFonts w:hint="default" w:ascii="Times New Roman" w:hAnsi="Times New Roman" w:eastAsia="宋体" w:cs="Times New Roman"/>
                <w:color w:val="000000"/>
                <w:kern w:val="0"/>
                <w:sz w:val="24"/>
                <w:szCs w:val="24"/>
                <w:lang w:val="en-US" w:eastAsia="zh-CN" w:bidi="ar"/>
              </w:rPr>
              <w:t xml:space="preserve">32m </w:t>
            </w:r>
          </w:p>
          <w:p w14:paraId="5B53C182">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②机非隔离带宽度：</w:t>
            </w:r>
            <w:r>
              <w:rPr>
                <w:rFonts w:hint="default" w:ascii="Times New Roman" w:hAnsi="Times New Roman" w:eastAsia="宋体" w:cs="Times New Roman"/>
                <w:color w:val="000000"/>
                <w:kern w:val="0"/>
                <w:sz w:val="24"/>
                <w:szCs w:val="24"/>
                <w:lang w:val="en-US" w:eastAsia="zh-CN" w:bidi="ar"/>
              </w:rPr>
              <w:t xml:space="preserve">2.5m </w:t>
            </w:r>
          </w:p>
          <w:p w14:paraId="294BBB9C">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机非隔离带乔木：小叶榄仁：</w:t>
            </w:r>
            <w:r>
              <w:rPr>
                <w:rFonts w:hint="default" w:ascii="Times New Roman" w:hAnsi="Times New Roman" w:eastAsia="宋体" w:cs="Times New Roman"/>
                <w:color w:val="000000"/>
                <w:kern w:val="0"/>
                <w:sz w:val="24"/>
                <w:szCs w:val="24"/>
                <w:lang w:val="en-US" w:eastAsia="zh-CN" w:bidi="ar"/>
              </w:rPr>
              <w:t>d=13-15m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8m </w:t>
            </w:r>
          </w:p>
          <w:p w14:paraId="41821CA7">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机非隔离带灌木球：叶子花球：</w:t>
            </w:r>
            <w:r>
              <w:rPr>
                <w:rFonts w:hint="default" w:ascii="Times New Roman" w:hAnsi="Times New Roman" w:eastAsia="宋体" w:cs="Times New Roman"/>
                <w:color w:val="000000"/>
                <w:kern w:val="0"/>
                <w:sz w:val="24"/>
                <w:szCs w:val="24"/>
                <w:lang w:val="en-US" w:eastAsia="zh-CN" w:bidi="ar"/>
              </w:rPr>
              <w:t>h=120</w:t>
            </w:r>
            <w:r>
              <w:rPr>
                <w:rFonts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130cm</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2m </w:t>
            </w:r>
          </w:p>
          <w:p w14:paraId="2BC2AE14">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机非隔离带地被：红花继木：</w:t>
            </w:r>
            <w:r>
              <w:rPr>
                <w:rFonts w:hint="default" w:ascii="Times New Roman" w:hAnsi="Times New Roman" w:eastAsia="宋体" w:cs="Times New Roman"/>
                <w:color w:val="000000"/>
                <w:kern w:val="0"/>
                <w:sz w:val="24"/>
                <w:szCs w:val="24"/>
                <w:lang w:val="en-US" w:eastAsia="zh-CN" w:bidi="ar"/>
              </w:rPr>
              <w:t>h=15-20</w:t>
            </w:r>
            <w:r>
              <w:rPr>
                <w:rFonts w:ascii="宋体" w:hAnsi="宋体" w:eastAsia="宋体" w:cs="宋体"/>
                <w:color w:val="000000"/>
                <w:kern w:val="0"/>
                <w:sz w:val="24"/>
                <w:szCs w:val="24"/>
                <w:lang w:val="en-US" w:eastAsia="zh-CN" w:bidi="ar"/>
              </w:rPr>
              <w:t>、黄金菊：</w:t>
            </w:r>
            <w:r>
              <w:rPr>
                <w:rFonts w:hint="default" w:ascii="Times New Roman" w:hAnsi="Times New Roman" w:eastAsia="宋体" w:cs="Times New Roman"/>
                <w:color w:val="000000"/>
                <w:kern w:val="0"/>
                <w:sz w:val="24"/>
                <w:szCs w:val="24"/>
                <w:lang w:val="en-US" w:eastAsia="zh-CN" w:bidi="ar"/>
              </w:rPr>
              <w:t>h=25-30</w:t>
            </w:r>
            <w:r>
              <w:rPr>
                <w:rFonts w:ascii="宋体" w:hAnsi="宋体" w:eastAsia="宋体" w:cs="宋体"/>
                <w:color w:val="000000"/>
                <w:kern w:val="0"/>
                <w:sz w:val="24"/>
                <w:szCs w:val="24"/>
                <w:lang w:val="en-US" w:eastAsia="zh-CN" w:bidi="ar"/>
              </w:rPr>
              <w:t xml:space="preserve">，以 </w:t>
            </w:r>
            <w:r>
              <w:rPr>
                <w:rFonts w:hint="default" w:ascii="Times New Roman" w:hAnsi="Times New Roman" w:eastAsia="宋体" w:cs="Times New Roman"/>
                <w:color w:val="000000"/>
                <w:kern w:val="0"/>
                <w:sz w:val="24"/>
                <w:szCs w:val="24"/>
                <w:lang w:val="en-US" w:eastAsia="zh-CN" w:bidi="ar"/>
              </w:rPr>
              <w:t xml:space="preserve">100m </w:t>
            </w:r>
            <w:r>
              <w:rPr>
                <w:rFonts w:ascii="宋体" w:hAnsi="宋体" w:eastAsia="宋体" w:cs="宋体"/>
                <w:color w:val="000000"/>
                <w:kern w:val="0"/>
                <w:sz w:val="24"/>
                <w:szCs w:val="24"/>
                <w:lang w:val="en-US" w:eastAsia="zh-CN" w:bidi="ar"/>
              </w:rPr>
              <w:t xml:space="preserve">为标准段 </w:t>
            </w:r>
            <w:r>
              <w:rPr>
                <w:rFonts w:hint="default" w:ascii="Times New Roman" w:hAnsi="Times New Roman" w:eastAsia="宋体" w:cs="Times New Roman"/>
                <w:color w:val="000000"/>
                <w:kern w:val="0"/>
                <w:sz w:val="24"/>
                <w:szCs w:val="24"/>
                <w:lang w:val="en-US" w:eastAsia="zh-CN" w:bidi="ar"/>
              </w:rPr>
              <w:t xml:space="preserve">60m </w:t>
            </w:r>
            <w:r>
              <w:rPr>
                <w:rFonts w:ascii="宋体" w:hAnsi="宋体" w:eastAsia="宋体" w:cs="宋体"/>
                <w:color w:val="000000"/>
                <w:kern w:val="0"/>
                <w:sz w:val="24"/>
                <w:szCs w:val="24"/>
                <w:lang w:val="en-US" w:eastAsia="zh-CN" w:bidi="ar"/>
              </w:rPr>
              <w:t>红花继木，</w:t>
            </w:r>
            <w:r>
              <w:rPr>
                <w:rFonts w:hint="default" w:ascii="Times New Roman" w:hAnsi="Times New Roman" w:eastAsia="宋体" w:cs="Times New Roman"/>
                <w:color w:val="000000"/>
                <w:kern w:val="0"/>
                <w:sz w:val="24"/>
                <w:szCs w:val="24"/>
                <w:lang w:val="en-US" w:eastAsia="zh-CN" w:bidi="ar"/>
              </w:rPr>
              <w:t xml:space="preserve">40m </w:t>
            </w:r>
            <w:r>
              <w:rPr>
                <w:rFonts w:ascii="宋体" w:hAnsi="宋体" w:eastAsia="宋体" w:cs="宋体"/>
                <w:color w:val="000000"/>
                <w:kern w:val="0"/>
                <w:sz w:val="24"/>
                <w:szCs w:val="24"/>
                <w:lang w:val="en-US" w:eastAsia="zh-CN" w:bidi="ar"/>
              </w:rPr>
              <w:t xml:space="preserve">黄金菊交替种植。 </w:t>
            </w:r>
          </w:p>
          <w:p w14:paraId="3C628E6F">
            <w:pPr>
              <w:keepNext w:val="0"/>
              <w:keepLines w:val="0"/>
              <w:widowControl/>
              <w:suppressLineNumbers w:val="0"/>
              <w:ind w:firstLine="480" w:firstLineChars="200"/>
              <w:jc w:val="left"/>
              <w:rPr>
                <w:sz w:val="24"/>
                <w:szCs w:val="24"/>
              </w:rPr>
            </w:pPr>
            <w:r>
              <w:rPr>
                <w:rFonts w:ascii="宋体" w:hAnsi="宋体" w:eastAsia="宋体" w:cs="宋体"/>
                <w:color w:val="000000"/>
                <w:kern w:val="0"/>
                <w:sz w:val="24"/>
                <w:szCs w:val="24"/>
                <w:lang w:val="en-US" w:eastAsia="zh-CN" w:bidi="ar"/>
              </w:rPr>
              <w:t>③人非隔离带宽度：</w:t>
            </w:r>
            <w:r>
              <w:rPr>
                <w:rFonts w:hint="default" w:ascii="Times New Roman" w:hAnsi="Times New Roman" w:eastAsia="宋体" w:cs="Times New Roman"/>
                <w:color w:val="000000"/>
                <w:kern w:val="0"/>
                <w:sz w:val="24"/>
                <w:szCs w:val="24"/>
                <w:lang w:val="en-US" w:eastAsia="zh-CN" w:bidi="ar"/>
              </w:rPr>
              <w:t xml:space="preserve">3m </w:t>
            </w:r>
          </w:p>
          <w:p w14:paraId="6F3DD5A2">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ascii="宋体" w:hAnsi="宋体" w:eastAsia="宋体" w:cs="宋体"/>
                <w:color w:val="000000"/>
                <w:kern w:val="0"/>
                <w:sz w:val="24"/>
                <w:szCs w:val="24"/>
                <w:lang w:val="en-US" w:eastAsia="zh-CN" w:bidi="ar"/>
              </w:rPr>
              <w:t>行道树：铁力木：</w:t>
            </w:r>
            <w:r>
              <w:rPr>
                <w:rFonts w:hint="default" w:ascii="Times New Roman" w:hAnsi="Times New Roman" w:eastAsia="宋体" w:cs="Times New Roman"/>
                <w:color w:val="000000"/>
                <w:kern w:val="0"/>
                <w:sz w:val="24"/>
                <w:szCs w:val="24"/>
                <w:lang w:val="en-US" w:eastAsia="zh-CN" w:bidi="ar"/>
              </w:rPr>
              <w:t>d=16-18</w:t>
            </w:r>
            <w:r>
              <w:rPr>
                <w:rFonts w:ascii="宋体" w:hAnsi="宋体" w:eastAsia="宋体" w:cs="宋体"/>
                <w:color w:val="000000"/>
                <w:kern w:val="0"/>
                <w:sz w:val="24"/>
                <w:szCs w:val="24"/>
                <w:lang w:val="en-US" w:eastAsia="zh-CN" w:bidi="ar"/>
              </w:rPr>
              <w:t xml:space="preserve">，种植间距 </w:t>
            </w:r>
            <w:r>
              <w:rPr>
                <w:rFonts w:hint="default" w:ascii="Times New Roman" w:hAnsi="Times New Roman" w:eastAsia="宋体" w:cs="Times New Roman"/>
                <w:color w:val="000000"/>
                <w:kern w:val="0"/>
                <w:sz w:val="24"/>
                <w:szCs w:val="24"/>
                <w:lang w:val="en-US" w:eastAsia="zh-CN" w:bidi="ar"/>
              </w:rPr>
              <w:t xml:space="preserve">8m </w:t>
            </w:r>
          </w:p>
          <w:p w14:paraId="01E9605B">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）7 号路道路绿化设计方案</w:t>
            </w:r>
          </w:p>
          <w:p w14:paraId="0A6156A7">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道路级别：城市次干道，绿地率：20% </w:t>
            </w:r>
          </w:p>
          <w:p w14:paraId="370A11E6">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①道路红线宽度：40m </w:t>
            </w:r>
          </w:p>
          <w:p w14:paraId="3AD98731">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②机非隔离带宽度：3m </w:t>
            </w:r>
          </w:p>
          <w:p w14:paraId="2C6A3381">
            <w:pPr>
              <w:keepNext w:val="0"/>
              <w:keepLines w:val="0"/>
              <w:widowControl/>
              <w:suppressLineNumbers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机非隔离带乔木：凤凰木：d=12-15m，种植间距 8m </w:t>
            </w:r>
          </w:p>
          <w:p w14:paraId="25E56F09">
            <w:pPr>
              <w:keepNext w:val="0"/>
              <w:keepLines w:val="0"/>
              <w:widowControl/>
              <w:suppressLineNumbers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机非隔离带灌木球：叶子花球：h=120—130cm，种植间距 2m </w:t>
            </w:r>
          </w:p>
          <w:p w14:paraId="4B02ACD5">
            <w:pPr>
              <w:keepNext w:val="0"/>
              <w:keepLines w:val="0"/>
              <w:widowControl/>
              <w:suppressLineNumbers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机非隔离带地被：黄金菊：h=25-30、九里香：h=25-30，以 100m 为标 </w:t>
            </w:r>
          </w:p>
          <w:p w14:paraId="743EDD34">
            <w:pPr>
              <w:keepNext w:val="0"/>
              <w:keepLines w:val="0"/>
              <w:widowControl/>
              <w:suppressLineNumbers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准段 60m 黄金菊，40m 九里香交替种植。在道路端头增加时令花卉，如一串 </w:t>
            </w:r>
          </w:p>
          <w:p w14:paraId="3850456C">
            <w:pPr>
              <w:keepNext w:val="0"/>
              <w:keepLines w:val="0"/>
              <w:widowControl/>
              <w:suppressLineNumbers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红、三色堇、虞美人等，一年三换。 </w:t>
            </w:r>
          </w:p>
          <w:p w14:paraId="013DF8E8">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③人非隔离带宽度：3m </w:t>
            </w:r>
          </w:p>
          <w:p w14:paraId="2ACB96E7">
            <w:pPr>
              <w:keepNext w:val="0"/>
              <w:keepLines w:val="0"/>
              <w:widowControl/>
              <w:suppressLineNumbers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行道树：大青树：d=10-12，种植间距 8m </w:t>
            </w:r>
          </w:p>
          <w:p w14:paraId="2B0264FF">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根据不同道路断面，7 号路道路为 40 米宽路段，机动车道与非机动车道采用绿化带隔离。 </w:t>
            </w:r>
          </w:p>
          <w:p w14:paraId="745BD0D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机非隔离带树种采用凤凰木作为主要乔木树种，乔木种植间距为 8 米，行道树之间种植叶子花球。地被主要选择黄金菊、九里香两种观花观叶植物交替种植，形成高低错落有致的绿化景观。 </w:t>
            </w:r>
          </w:p>
          <w:p w14:paraId="190F4458">
            <w:pPr>
              <w:keepNext w:val="0"/>
              <w:keepLines w:val="0"/>
              <w:widowControl/>
              <w:numPr>
                <w:ilvl w:val="0"/>
                <w:numId w:val="14"/>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景观雕塑</w:t>
            </w:r>
          </w:p>
          <w:p w14:paraId="57329718">
            <w:pPr>
              <w:keepNext w:val="0"/>
              <w:keepLines w:val="0"/>
              <w:widowControl/>
              <w:numPr>
                <w:ilvl w:val="0"/>
                <w:numId w:val="15"/>
              </w:numPr>
              <w:suppressLineNumbers w:val="0"/>
              <w:ind w:firstLine="480" w:firstLineChars="200"/>
              <w:jc w:val="left"/>
              <w:rPr>
                <w:rFonts w:hint="eastAsia" w:ascii="宋体" w:hAnsi="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 xml:space="preserve">在 </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号路北端主要采用傣族特色文化元素迎宾门，南端主要采用景颇族特色文化元素迎宾门。</w:t>
            </w:r>
            <w:r>
              <w:rPr>
                <w:rFonts w:hint="default" w:ascii="Times New Roman" w:hAnsi="Times New Roman" w:eastAsia="宋体" w:cs="Times New Roman"/>
                <w:color w:val="000000"/>
                <w:kern w:val="0"/>
                <w:sz w:val="24"/>
                <w:szCs w:val="24"/>
                <w:lang w:val="en-US" w:eastAsia="zh-CN" w:bidi="ar"/>
              </w:rPr>
              <w:t xml:space="preserve">4 </w:t>
            </w:r>
            <w:r>
              <w:rPr>
                <w:rFonts w:ascii="宋体" w:hAnsi="宋体" w:eastAsia="宋体" w:cs="宋体"/>
                <w:color w:val="000000"/>
                <w:kern w:val="0"/>
                <w:sz w:val="24"/>
                <w:szCs w:val="24"/>
                <w:lang w:val="en-US" w:eastAsia="zh-CN" w:bidi="ar"/>
              </w:rPr>
              <w:t xml:space="preserve">号路整体主要采用佛塔元素的雕塑小品布置，以 </w:t>
            </w:r>
            <w:r>
              <w:rPr>
                <w:rFonts w:hint="default" w:ascii="Times New Roman" w:hAnsi="Times New Roman" w:eastAsia="宋体" w:cs="Times New Roman"/>
                <w:color w:val="000000"/>
                <w:kern w:val="0"/>
                <w:sz w:val="24"/>
                <w:szCs w:val="24"/>
                <w:lang w:val="en-US" w:eastAsia="zh-CN" w:bidi="ar"/>
              </w:rPr>
              <w:t xml:space="preserve">20m </w:t>
            </w:r>
            <w:r>
              <w:rPr>
                <w:rFonts w:ascii="宋体" w:hAnsi="宋体" w:eastAsia="宋体" w:cs="宋体"/>
                <w:color w:val="000000"/>
                <w:kern w:val="0"/>
                <w:sz w:val="24"/>
                <w:szCs w:val="24"/>
                <w:lang w:val="en-US" w:eastAsia="zh-CN" w:bidi="ar"/>
              </w:rPr>
              <w:t>间隔进行布置。</w:t>
            </w:r>
            <w:r>
              <w:rPr>
                <w:rFonts w:hint="eastAsia" w:ascii="宋体" w:hAnsi="宋体" w:cs="宋体"/>
                <w:color w:val="000000"/>
                <w:kern w:val="0"/>
                <w:sz w:val="24"/>
                <w:szCs w:val="24"/>
                <w:lang w:val="en-US" w:eastAsia="zh-CN" w:bidi="ar"/>
              </w:rPr>
              <w:t>本项目</w:t>
            </w:r>
            <w:r>
              <w:rPr>
                <w:rFonts w:ascii="宋体" w:hAnsi="宋体" w:eastAsia="宋体" w:cs="宋体"/>
                <w:color w:val="000000"/>
                <w:kern w:val="0"/>
                <w:sz w:val="24"/>
                <w:szCs w:val="24"/>
                <w:lang w:val="en-US" w:eastAsia="zh-CN" w:bidi="ar"/>
              </w:rPr>
              <w:t xml:space="preserve">只包含 </w:t>
            </w:r>
            <w:r>
              <w:rPr>
                <w:rFonts w:hint="default" w:ascii="Times New Roman" w:hAnsi="Times New Roman" w:eastAsia="宋体" w:cs="Times New Roman"/>
                <w:color w:val="000000"/>
                <w:kern w:val="0"/>
                <w:sz w:val="24"/>
                <w:szCs w:val="24"/>
                <w:lang w:val="en-US" w:eastAsia="zh-CN" w:bidi="ar"/>
              </w:rPr>
              <w:t xml:space="preserve">42m </w:t>
            </w:r>
            <w:r>
              <w:rPr>
                <w:rFonts w:ascii="宋体" w:hAnsi="宋体" w:eastAsia="宋体" w:cs="宋体"/>
                <w:color w:val="000000"/>
                <w:kern w:val="0"/>
                <w:sz w:val="24"/>
                <w:szCs w:val="24"/>
                <w:lang w:val="en-US" w:eastAsia="zh-CN" w:bidi="ar"/>
              </w:rPr>
              <w:t>宽机非隔离带内雕塑布置</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25m </w:t>
            </w:r>
            <w:r>
              <w:rPr>
                <w:rFonts w:ascii="宋体" w:hAnsi="宋体" w:eastAsia="宋体" w:cs="宋体"/>
                <w:color w:val="000000"/>
                <w:kern w:val="0"/>
                <w:sz w:val="24"/>
                <w:szCs w:val="24"/>
                <w:lang w:val="en-US" w:eastAsia="zh-CN" w:bidi="ar"/>
              </w:rPr>
              <w:t>宽道路的中央隔离带不包含在此次设计中</w:t>
            </w:r>
            <w:r>
              <w:rPr>
                <w:rFonts w:hint="eastAsia" w:ascii="宋体" w:hAnsi="宋体" w:cs="宋体"/>
                <w:color w:val="000000"/>
                <w:kern w:val="0"/>
                <w:sz w:val="24"/>
                <w:szCs w:val="24"/>
                <w:lang w:val="en-US" w:eastAsia="zh-CN" w:bidi="ar"/>
              </w:rPr>
              <w:t>。</w:t>
            </w:r>
          </w:p>
          <w:p w14:paraId="16C0BF42">
            <w:pPr>
              <w:keepNext w:val="0"/>
              <w:keepLines w:val="0"/>
              <w:widowControl/>
              <w:suppressLineNumbers w:val="0"/>
              <w:ind w:firstLine="480" w:firstLineChars="200"/>
              <w:jc w:val="left"/>
              <w:rPr>
                <w:rFonts w:hint="default" w:ascii="宋体" w:hAnsi="宋体" w:cs="宋体"/>
                <w:color w:val="000000"/>
                <w:kern w:val="0"/>
                <w:sz w:val="24"/>
                <w:szCs w:val="24"/>
                <w:lang w:val="en-US" w:eastAsia="zh-CN" w:bidi="ar"/>
              </w:rPr>
            </w:pP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号路</w:t>
            </w:r>
            <w:r>
              <w:rPr>
                <w:rFonts w:hint="default" w:ascii="Times New Roman" w:hAnsi="Times New Roman" w:eastAsia="宋体" w:cs="Times New Roman"/>
                <w:color w:val="000000"/>
                <w:kern w:val="0"/>
                <w:sz w:val="24"/>
                <w:szCs w:val="24"/>
                <w:lang w:val="en-US" w:eastAsia="zh-CN" w:bidi="ar"/>
              </w:rPr>
              <w:t xml:space="preserve">32m </w:t>
            </w:r>
            <w:r>
              <w:rPr>
                <w:rFonts w:ascii="宋体" w:hAnsi="宋体" w:eastAsia="宋体" w:cs="宋体"/>
                <w:color w:val="000000"/>
                <w:kern w:val="0"/>
                <w:sz w:val="24"/>
                <w:szCs w:val="24"/>
                <w:lang w:val="en-US" w:eastAsia="zh-CN" w:bidi="ar"/>
              </w:rPr>
              <w:t xml:space="preserve">宽机非隔离带中主要采用孔雀元素的雕塑小品布置，以 </w:t>
            </w:r>
            <w:r>
              <w:rPr>
                <w:rFonts w:hint="default" w:ascii="Times New Roman" w:hAnsi="Times New Roman" w:eastAsia="宋体" w:cs="Times New Roman"/>
                <w:color w:val="000000"/>
                <w:kern w:val="0"/>
                <w:sz w:val="24"/>
                <w:szCs w:val="24"/>
                <w:lang w:val="en-US" w:eastAsia="zh-CN" w:bidi="ar"/>
              </w:rPr>
              <w:t xml:space="preserve">20m </w:t>
            </w:r>
            <w:r>
              <w:rPr>
                <w:rFonts w:ascii="宋体" w:hAnsi="宋体" w:eastAsia="宋体" w:cs="宋体"/>
                <w:color w:val="000000"/>
                <w:kern w:val="0"/>
                <w:sz w:val="24"/>
                <w:szCs w:val="24"/>
                <w:lang w:val="en-US" w:eastAsia="zh-CN" w:bidi="ar"/>
              </w:rPr>
              <w:t>间隔进行布置</w:t>
            </w:r>
            <w:r>
              <w:rPr>
                <w:rFonts w:hint="eastAsia" w:ascii="宋体" w:hAnsi="宋体" w:cs="宋体"/>
                <w:color w:val="000000"/>
                <w:kern w:val="0"/>
                <w:sz w:val="24"/>
                <w:szCs w:val="24"/>
                <w:lang w:val="en-US" w:eastAsia="zh-CN" w:bidi="ar"/>
              </w:rPr>
              <w:t>。</w:t>
            </w:r>
          </w:p>
          <w:p w14:paraId="5C13582C">
            <w:pPr>
              <w:keepNext w:val="0"/>
              <w:keepLines w:val="0"/>
              <w:widowControl/>
              <w:suppressLineNumbers w:val="0"/>
              <w:spacing w:line="360" w:lineRule="auto"/>
              <w:ind w:firstLine="480" w:firstLineChars="200"/>
              <w:jc w:val="left"/>
              <w:rPr>
                <w:rFonts w:hint="eastAsia"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5 号路</w:t>
            </w:r>
            <w:r>
              <w:rPr>
                <w:rFonts w:hint="eastAsia" w:ascii="Times New Roman" w:hAnsi="Times New Roman" w:cs="Times New Roman"/>
                <w:color w:val="000000"/>
                <w:kern w:val="0"/>
                <w:sz w:val="24"/>
                <w:szCs w:val="24"/>
                <w:lang w:val="en-US" w:eastAsia="zh-CN" w:bidi="ar"/>
              </w:rPr>
              <w:t>32m宽</w:t>
            </w:r>
            <w:r>
              <w:rPr>
                <w:rFonts w:hint="default" w:ascii="Times New Roman" w:hAnsi="Times New Roman" w:eastAsia="宋体" w:cs="Times New Roman"/>
                <w:color w:val="000000"/>
                <w:kern w:val="0"/>
                <w:sz w:val="24"/>
                <w:szCs w:val="24"/>
                <w:lang w:val="en-US" w:eastAsia="zh-CN" w:bidi="ar"/>
              </w:rPr>
              <w:t>机非隔离带中主要采用犀鸟元素的雕塑小品布置，以 20m 间隔进行布置</w:t>
            </w:r>
            <w:r>
              <w:rPr>
                <w:rFonts w:hint="eastAsia" w:ascii="Times New Roman" w:hAnsi="Times New Roman" w:cs="Times New Roman"/>
                <w:color w:val="000000"/>
                <w:kern w:val="0"/>
                <w:sz w:val="24"/>
                <w:szCs w:val="24"/>
                <w:lang w:val="en-US" w:eastAsia="zh-CN" w:bidi="ar"/>
              </w:rPr>
              <w:t>。</w:t>
            </w:r>
          </w:p>
          <w:p w14:paraId="285ED72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7 号路机非隔离带中主要采用大象元素的雕塑小品布置，以 20m 间隔进行布置</w:t>
            </w:r>
            <w:r>
              <w:rPr>
                <w:rFonts w:hint="eastAsia" w:ascii="Times New Roman" w:hAnsi="Times New Roman" w:cs="Times New Roman"/>
                <w:color w:val="000000"/>
                <w:kern w:val="0"/>
                <w:sz w:val="24"/>
                <w:szCs w:val="24"/>
                <w:lang w:val="en-US" w:eastAsia="zh-CN" w:bidi="ar"/>
              </w:rPr>
              <w:t>。</w:t>
            </w:r>
          </w:p>
          <w:p w14:paraId="76AEF33B">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6.交通量预测</w:t>
            </w:r>
          </w:p>
          <w:p w14:paraId="555326FA">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000000"/>
                <w:kern w:val="0"/>
                <w:sz w:val="24"/>
                <w:szCs w:val="24"/>
                <w:lang w:val="en-US" w:eastAsia="zh-CN" w:bidi="ar"/>
              </w:rPr>
              <w:t>根据《芒市火车站片区主要道路建设工程可行性研究报告》预测交通量，本项目取交通需求预测的项目特征年为 2030 年</w:t>
            </w:r>
            <w:r>
              <w:rPr>
                <w:rFonts w:hint="eastAsia" w:ascii="Times New Roman" w:hAnsi="Times New Roman" w:cs="Times New Roman"/>
                <w:color w:val="000000"/>
                <w:kern w:val="0"/>
                <w:sz w:val="24"/>
                <w:szCs w:val="24"/>
                <w:lang w:val="en-US" w:eastAsia="zh-CN" w:bidi="ar"/>
              </w:rPr>
              <w:t>，</w:t>
            </w:r>
            <w:r>
              <w:rPr>
                <w:rFonts w:hint="default" w:ascii="Times New Roman" w:hAnsi="Times New Roman" w:cs="Times New Roman"/>
                <w:color w:val="auto"/>
                <w:sz w:val="24"/>
                <w:highlight w:val="none"/>
              </w:rPr>
              <w:t>本项目特征年可研预测结果见</w:t>
            </w:r>
            <w:r>
              <w:rPr>
                <w:rFonts w:hint="default" w:ascii="Times New Roman" w:hAnsi="Times New Roman" w:cs="Times New Roman"/>
                <w:color w:val="auto"/>
                <w:sz w:val="24"/>
                <w:highlight w:val="none"/>
                <w:lang w:eastAsia="zh-CN"/>
              </w:rPr>
              <w:t>表</w:t>
            </w:r>
            <w:r>
              <w:rPr>
                <w:rFonts w:hint="default" w:ascii="Times New Roman" w:hAnsi="Times New Roman" w:cs="Times New Roman"/>
                <w:color w:val="auto"/>
                <w:sz w:val="24"/>
                <w:highlight w:val="none"/>
                <w:lang w:val="en-US" w:eastAsia="zh-CN"/>
              </w:rPr>
              <w:t>1-1</w:t>
            </w:r>
            <w:r>
              <w:rPr>
                <w:rFonts w:hint="eastAsia" w:cs="Times New Roman"/>
                <w:color w:val="auto"/>
                <w:sz w:val="24"/>
                <w:highlight w:val="none"/>
                <w:lang w:val="en-US" w:eastAsia="zh-CN"/>
              </w:rPr>
              <w:t>2</w:t>
            </w:r>
          </w:p>
          <w:p w14:paraId="643C610A">
            <w:pPr>
              <w:keepNext w:val="0"/>
              <w:keepLines w:val="0"/>
              <w:widowControl/>
              <w:suppressLineNumbers w:val="0"/>
              <w:spacing w:line="360" w:lineRule="auto"/>
              <w:jc w:val="center"/>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表1-1</w:t>
            </w:r>
            <w:r>
              <w:rPr>
                <w:rFonts w:hint="eastAsia" w:cs="Times New Roman"/>
                <w:b/>
                <w:bCs/>
                <w:color w:val="auto"/>
                <w:sz w:val="24"/>
                <w:highlight w:val="none"/>
                <w:lang w:val="en-US" w:eastAsia="zh-CN"/>
              </w:rPr>
              <w:t>2</w:t>
            </w:r>
            <w:r>
              <w:rPr>
                <w:rFonts w:hint="default" w:ascii="Times New Roman" w:hAnsi="Times New Roman" w:cs="Times New Roman"/>
                <w:b/>
                <w:bCs/>
                <w:color w:val="auto"/>
                <w:sz w:val="24"/>
                <w:highlight w:val="none"/>
                <w:lang w:val="en-US" w:eastAsia="zh-CN"/>
              </w:rPr>
              <w:t xml:space="preserve"> 项目可研预测路段交通量</w:t>
            </w:r>
          </w:p>
          <w:tbl>
            <w:tblPr>
              <w:tblStyle w:val="16"/>
              <w:tblW w:w="8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6135"/>
            </w:tblGrid>
            <w:tr w14:paraId="39D2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45" w:type="dxa"/>
                  <w:vAlign w:val="center"/>
                </w:tcPr>
                <w:p w14:paraId="3895F7EB">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路段</w:t>
                  </w:r>
                </w:p>
              </w:tc>
              <w:tc>
                <w:tcPr>
                  <w:tcW w:w="6135" w:type="dxa"/>
                  <w:vAlign w:val="center"/>
                </w:tcPr>
                <w:p w14:paraId="70FF76A6">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项目特征年（2030 年）预测交通流量（pcu/h）</w:t>
                  </w:r>
                </w:p>
              </w:tc>
            </w:tr>
            <w:tr w14:paraId="2231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45" w:type="dxa"/>
                  <w:vAlign w:val="center"/>
                </w:tcPr>
                <w:p w14:paraId="2DE94EEF">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1号路</w:t>
                  </w:r>
                </w:p>
              </w:tc>
              <w:tc>
                <w:tcPr>
                  <w:tcW w:w="6135" w:type="dxa"/>
                  <w:vAlign w:val="center"/>
                </w:tcPr>
                <w:p w14:paraId="17896F3B">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1230</w:t>
                  </w:r>
                </w:p>
              </w:tc>
            </w:tr>
            <w:tr w14:paraId="67B3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045" w:type="dxa"/>
                  <w:vAlign w:val="center"/>
                </w:tcPr>
                <w:p w14:paraId="7A126FE8">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2号路</w:t>
                  </w:r>
                </w:p>
              </w:tc>
              <w:tc>
                <w:tcPr>
                  <w:tcW w:w="6135" w:type="dxa"/>
                  <w:vAlign w:val="center"/>
                </w:tcPr>
                <w:p w14:paraId="46E56EC7">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705</w:t>
                  </w:r>
                </w:p>
              </w:tc>
            </w:tr>
            <w:tr w14:paraId="76BE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045" w:type="dxa"/>
                  <w:vAlign w:val="center"/>
                </w:tcPr>
                <w:p w14:paraId="52BB661A">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3号路</w:t>
                  </w:r>
                </w:p>
              </w:tc>
              <w:tc>
                <w:tcPr>
                  <w:tcW w:w="6135" w:type="dxa"/>
                  <w:vAlign w:val="center"/>
                </w:tcPr>
                <w:p w14:paraId="0CE3B5EE">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1230</w:t>
                  </w:r>
                </w:p>
              </w:tc>
            </w:tr>
            <w:tr w14:paraId="0A6A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045" w:type="dxa"/>
                  <w:vAlign w:val="center"/>
                </w:tcPr>
                <w:p w14:paraId="0526B67F">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4号路</w:t>
                  </w:r>
                </w:p>
              </w:tc>
              <w:tc>
                <w:tcPr>
                  <w:tcW w:w="6135" w:type="dxa"/>
                  <w:vAlign w:val="center"/>
                </w:tcPr>
                <w:p w14:paraId="7894CD5D">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1535</w:t>
                  </w:r>
                </w:p>
              </w:tc>
            </w:tr>
            <w:tr w14:paraId="2B02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045" w:type="dxa"/>
                  <w:vAlign w:val="center"/>
                </w:tcPr>
                <w:p w14:paraId="5F95D481">
                  <w:pPr>
                    <w:keepNext w:val="0"/>
                    <w:keepLines w:val="0"/>
                    <w:widowControl/>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5号路</w:t>
                  </w:r>
                </w:p>
              </w:tc>
              <w:tc>
                <w:tcPr>
                  <w:tcW w:w="6135" w:type="dxa"/>
                  <w:vAlign w:val="center"/>
                </w:tcPr>
                <w:p w14:paraId="16FBC630">
                  <w:pPr>
                    <w:keepNext w:val="0"/>
                    <w:keepLines w:val="0"/>
                    <w:widowControl/>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1506</w:t>
                  </w:r>
                </w:p>
              </w:tc>
            </w:tr>
            <w:tr w14:paraId="039D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045" w:type="dxa"/>
                  <w:vAlign w:val="center"/>
                </w:tcPr>
                <w:p w14:paraId="1308FDFF">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6号路</w:t>
                  </w:r>
                </w:p>
              </w:tc>
              <w:tc>
                <w:tcPr>
                  <w:tcW w:w="6135" w:type="dxa"/>
                  <w:vAlign w:val="center"/>
                </w:tcPr>
                <w:p w14:paraId="429A8518">
                  <w:pPr>
                    <w:keepNext w:val="0"/>
                    <w:keepLines w:val="0"/>
                    <w:widowControl/>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656</w:t>
                  </w:r>
                </w:p>
              </w:tc>
            </w:tr>
            <w:tr w14:paraId="4653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045" w:type="dxa"/>
                  <w:vAlign w:val="center"/>
                </w:tcPr>
                <w:p w14:paraId="1BD6F85C">
                  <w:pPr>
                    <w:keepNext w:val="0"/>
                    <w:keepLines w:val="0"/>
                    <w:widowControl/>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7号路</w:t>
                  </w:r>
                </w:p>
              </w:tc>
              <w:tc>
                <w:tcPr>
                  <w:tcW w:w="6135" w:type="dxa"/>
                  <w:vAlign w:val="center"/>
                </w:tcPr>
                <w:p w14:paraId="6A8D92F2">
                  <w:pPr>
                    <w:keepNext w:val="0"/>
                    <w:keepLines w:val="0"/>
                    <w:widowControl/>
                    <w:suppressLineNumbers w:val="0"/>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1339</w:t>
                  </w:r>
                </w:p>
              </w:tc>
            </w:tr>
          </w:tbl>
          <w:p w14:paraId="4BE95FE0">
            <w:pPr>
              <w:keepNext w:val="0"/>
              <w:keepLines w:val="0"/>
              <w:widowControl/>
              <w:numPr>
                <w:ilvl w:val="0"/>
                <w:numId w:val="0"/>
              </w:numPr>
              <w:suppressLineNumbers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该项目道路车型比例取大型车占</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％，中型车占</w:t>
            </w:r>
            <w:r>
              <w:rPr>
                <w:rFonts w:hint="default"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％，小型车占</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％。结合项目可行性研究报告及周边道路通行情况，运行期交通量昼间16h（6:00～22:00）交通量与夜间8h（22:00～次日6:00）交通量的比例为</w:t>
            </w:r>
            <w:r>
              <w:rPr>
                <w:rFonts w:hint="default" w:ascii="Times New Roman" w:hAnsi="Times New Roman" w:cs="Times New Roman"/>
                <w:color w:val="auto"/>
                <w:sz w:val="24"/>
                <w:highlight w:val="none"/>
                <w:lang w:val="en-US" w:eastAsia="zh-CN"/>
              </w:rPr>
              <w:t>9:1</w:t>
            </w:r>
            <w:r>
              <w:rPr>
                <w:rFonts w:hint="default" w:ascii="Times New Roman" w:hAnsi="Times New Roman" w:cs="Times New Roman"/>
                <w:color w:val="auto"/>
                <w:sz w:val="24"/>
                <w:highlight w:val="none"/>
              </w:rPr>
              <w:t>；高峰小时系数采用全日流量的0.1计，换算后项目运营期特征年高峰小时交通量和各车型小时交通流量见表1-1</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w:t>
            </w:r>
          </w:p>
          <w:p w14:paraId="134AA9E4">
            <w:pPr>
              <w:keepNext w:val="0"/>
              <w:keepLines w:val="0"/>
              <w:widowControl/>
              <w:numPr>
                <w:ilvl w:val="0"/>
                <w:numId w:val="0"/>
              </w:numPr>
              <w:suppressLineNumbers w:val="0"/>
              <w:spacing w:line="360" w:lineRule="auto"/>
              <w:ind w:firstLine="482" w:firstLineChars="200"/>
              <w:jc w:val="center"/>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eastAsia="zh-CN"/>
              </w:rPr>
              <w:t>表</w:t>
            </w:r>
            <w:r>
              <w:rPr>
                <w:rFonts w:hint="default" w:ascii="Times New Roman" w:hAnsi="Times New Roman" w:cs="Times New Roman"/>
                <w:b/>
                <w:color w:val="auto"/>
                <w:sz w:val="24"/>
                <w:highlight w:val="none"/>
                <w:lang w:val="en-US" w:eastAsia="zh-CN"/>
              </w:rPr>
              <w:t>1-1</w:t>
            </w:r>
            <w:r>
              <w:rPr>
                <w:rFonts w:hint="eastAsia" w:cs="Times New Roman"/>
                <w:b/>
                <w:color w:val="auto"/>
                <w:sz w:val="24"/>
                <w:highlight w:val="none"/>
                <w:lang w:val="en-US" w:eastAsia="zh-CN"/>
              </w:rPr>
              <w:t>3 拟建道路</w:t>
            </w:r>
            <w:r>
              <w:rPr>
                <w:rFonts w:hint="default" w:ascii="Times New Roman" w:hAnsi="Times New Roman" w:cs="Times New Roman"/>
                <w:b/>
                <w:color w:val="auto"/>
                <w:sz w:val="24"/>
                <w:highlight w:val="none"/>
              </w:rPr>
              <w:t>特征年各车型小时交通量（单位：辆/h）</w:t>
            </w:r>
          </w:p>
          <w:tbl>
            <w:tblPr>
              <w:tblStyle w:val="16"/>
              <w:tblW w:w="9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900"/>
              <w:gridCol w:w="1355"/>
              <w:gridCol w:w="1589"/>
              <w:gridCol w:w="1544"/>
              <w:gridCol w:w="1705"/>
              <w:gridCol w:w="1705"/>
            </w:tblGrid>
            <w:tr w14:paraId="4B5F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283" w:hRule="atLeast"/>
              </w:trPr>
              <w:tc>
                <w:tcPr>
                  <w:tcW w:w="1186" w:type="dxa"/>
                  <w:vAlign w:val="center"/>
                </w:tcPr>
                <w:p w14:paraId="29AAC017">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道路名称</w:t>
                  </w:r>
                </w:p>
              </w:tc>
              <w:tc>
                <w:tcPr>
                  <w:tcW w:w="900" w:type="dxa"/>
                  <w:vAlign w:val="center"/>
                </w:tcPr>
                <w:p w14:paraId="19745D2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车型</w:t>
                  </w:r>
                </w:p>
              </w:tc>
              <w:tc>
                <w:tcPr>
                  <w:tcW w:w="6193" w:type="dxa"/>
                  <w:gridSpan w:val="4"/>
                  <w:vAlign w:val="center"/>
                </w:tcPr>
                <w:p w14:paraId="4964BE7E">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2030年</w:t>
                  </w:r>
                </w:p>
              </w:tc>
            </w:tr>
            <w:tr w14:paraId="492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13" w:hRule="atLeast"/>
              </w:trPr>
              <w:tc>
                <w:tcPr>
                  <w:tcW w:w="1186" w:type="dxa"/>
                  <w:vAlign w:val="center"/>
                </w:tcPr>
                <w:p w14:paraId="25CB612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900" w:type="dxa"/>
                  <w:vAlign w:val="center"/>
                </w:tcPr>
                <w:p w14:paraId="0CEDA5F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1355" w:type="dxa"/>
                  <w:vAlign w:val="center"/>
                </w:tcPr>
                <w:p w14:paraId="65608A4F">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高峰小时</w:t>
                  </w:r>
                </w:p>
              </w:tc>
              <w:tc>
                <w:tcPr>
                  <w:tcW w:w="1589" w:type="dxa"/>
                  <w:vAlign w:val="center"/>
                </w:tcPr>
                <w:p w14:paraId="3C47AA3E">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日均</w:t>
                  </w:r>
                </w:p>
              </w:tc>
              <w:tc>
                <w:tcPr>
                  <w:tcW w:w="1544" w:type="dxa"/>
                  <w:vAlign w:val="center"/>
                </w:tcPr>
                <w:p w14:paraId="15DDC777">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昼间小时</w:t>
                  </w:r>
                </w:p>
              </w:tc>
              <w:tc>
                <w:tcPr>
                  <w:tcW w:w="1705" w:type="dxa"/>
                  <w:vAlign w:val="center"/>
                </w:tcPr>
                <w:p w14:paraId="36F58FB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夜间小时</w:t>
                  </w:r>
                </w:p>
              </w:tc>
            </w:tr>
            <w:tr w14:paraId="7248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7B114E11">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1号路</w:t>
                  </w:r>
                </w:p>
              </w:tc>
              <w:tc>
                <w:tcPr>
                  <w:tcW w:w="900" w:type="dxa"/>
                  <w:vAlign w:val="center"/>
                </w:tcPr>
                <w:p w14:paraId="5C66BDE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15923F1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590</w:t>
                  </w:r>
                </w:p>
              </w:tc>
              <w:tc>
                <w:tcPr>
                  <w:tcW w:w="1589" w:type="dxa"/>
                  <w:vAlign w:val="center"/>
                </w:tcPr>
                <w:p w14:paraId="0EF7598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246</w:t>
                  </w:r>
                </w:p>
              </w:tc>
              <w:tc>
                <w:tcPr>
                  <w:tcW w:w="1544" w:type="dxa"/>
                  <w:vAlign w:val="center"/>
                </w:tcPr>
                <w:p w14:paraId="5106A85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399</w:t>
                  </w:r>
                </w:p>
              </w:tc>
              <w:tc>
                <w:tcPr>
                  <w:tcW w:w="1705" w:type="dxa"/>
                  <w:vAlign w:val="center"/>
                </w:tcPr>
                <w:p w14:paraId="30170E5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129</w:t>
                  </w:r>
                </w:p>
              </w:tc>
            </w:tr>
            <w:tr w14:paraId="1253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86" w:type="dxa"/>
                  <w:vMerge w:val="continue"/>
                  <w:vAlign w:val="center"/>
                </w:tcPr>
                <w:p w14:paraId="1435F390">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62F61EC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64CE54B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295</w:t>
                  </w:r>
                </w:p>
              </w:tc>
              <w:tc>
                <w:tcPr>
                  <w:tcW w:w="1589" w:type="dxa"/>
                  <w:vAlign w:val="center"/>
                </w:tcPr>
                <w:p w14:paraId="54B1571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123</w:t>
                  </w:r>
                </w:p>
              </w:tc>
              <w:tc>
                <w:tcPr>
                  <w:tcW w:w="1544" w:type="dxa"/>
                  <w:vAlign w:val="center"/>
                </w:tcPr>
                <w:p w14:paraId="0F060AD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199</w:t>
                  </w:r>
                </w:p>
              </w:tc>
              <w:tc>
                <w:tcPr>
                  <w:tcW w:w="1705" w:type="dxa"/>
                  <w:vAlign w:val="center"/>
                </w:tcPr>
                <w:p w14:paraId="36CB999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65</w:t>
                  </w:r>
                </w:p>
              </w:tc>
              <w:tc>
                <w:tcPr>
                  <w:tcW w:w="1705" w:type="dxa"/>
                  <w:vAlign w:val="center"/>
                </w:tcPr>
                <w:p w14:paraId="2F4B928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14:paraId="44A0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4ED0C8F7">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7586B7F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73D50C7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99</w:t>
                  </w:r>
                </w:p>
              </w:tc>
              <w:tc>
                <w:tcPr>
                  <w:tcW w:w="1589" w:type="dxa"/>
                  <w:vAlign w:val="center"/>
                </w:tcPr>
                <w:p w14:paraId="2FAC4CE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w:t>
                  </w:r>
                </w:p>
              </w:tc>
              <w:tc>
                <w:tcPr>
                  <w:tcW w:w="1544" w:type="dxa"/>
                  <w:vAlign w:val="center"/>
                </w:tcPr>
                <w:p w14:paraId="72B6048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67</w:t>
                  </w:r>
                </w:p>
              </w:tc>
              <w:tc>
                <w:tcPr>
                  <w:tcW w:w="1705" w:type="dxa"/>
                  <w:vAlign w:val="center"/>
                </w:tcPr>
                <w:p w14:paraId="1B5BF3C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w:t>
                  </w:r>
                </w:p>
              </w:tc>
            </w:tr>
            <w:tr w14:paraId="6636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6AA20194">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2号路</w:t>
                  </w:r>
                </w:p>
              </w:tc>
              <w:tc>
                <w:tcPr>
                  <w:tcW w:w="900" w:type="dxa"/>
                  <w:vAlign w:val="center"/>
                </w:tcPr>
                <w:p w14:paraId="2F4B833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599BBCE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338</w:t>
                  </w:r>
                </w:p>
              </w:tc>
              <w:tc>
                <w:tcPr>
                  <w:tcW w:w="1589" w:type="dxa"/>
                  <w:vAlign w:val="center"/>
                </w:tcPr>
                <w:p w14:paraId="63A571B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141</w:t>
                  </w:r>
                </w:p>
              </w:tc>
              <w:tc>
                <w:tcPr>
                  <w:tcW w:w="1544" w:type="dxa"/>
                  <w:vAlign w:val="center"/>
                </w:tcPr>
                <w:p w14:paraId="151B8D0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229</w:t>
                  </w:r>
                </w:p>
              </w:tc>
              <w:tc>
                <w:tcPr>
                  <w:tcW w:w="1705" w:type="dxa"/>
                  <w:vAlign w:val="center"/>
                </w:tcPr>
                <w:p w14:paraId="7D38BD3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74</w:t>
                  </w:r>
                </w:p>
              </w:tc>
            </w:tr>
            <w:tr w14:paraId="587F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71F67113">
                  <w:pPr>
                    <w:keepNext w:val="0"/>
                    <w:keepLines w:val="0"/>
                    <w:widowControl/>
                    <w:numPr>
                      <w:ilvl w:val="0"/>
                      <w:numId w:val="0"/>
                    </w:numPr>
                    <w:suppressLineNumbers w:val="0"/>
                    <w:spacing w:line="240" w:lineRule="auto"/>
                    <w:jc w:val="center"/>
                    <w:rPr>
                      <w:rFonts w:hint="eastAsia" w:cs="Times New Roman"/>
                      <w:color w:val="auto"/>
                      <w:sz w:val="21"/>
                      <w:szCs w:val="21"/>
                      <w:highlight w:val="none"/>
                      <w:vertAlign w:val="baseline"/>
                      <w:lang w:val="en-US" w:eastAsia="zh-CN"/>
                    </w:rPr>
                  </w:pPr>
                </w:p>
              </w:tc>
              <w:tc>
                <w:tcPr>
                  <w:tcW w:w="900" w:type="dxa"/>
                  <w:vAlign w:val="center"/>
                </w:tcPr>
                <w:p w14:paraId="653F663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7B7CB2C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169</w:t>
                  </w:r>
                </w:p>
              </w:tc>
              <w:tc>
                <w:tcPr>
                  <w:tcW w:w="1589" w:type="dxa"/>
                  <w:vAlign w:val="center"/>
                </w:tcPr>
                <w:p w14:paraId="718AD0C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70</w:t>
                  </w:r>
                </w:p>
              </w:tc>
              <w:tc>
                <w:tcPr>
                  <w:tcW w:w="1544" w:type="dxa"/>
                  <w:vAlign w:val="center"/>
                </w:tcPr>
                <w:p w14:paraId="46B0E62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114</w:t>
                  </w:r>
                </w:p>
              </w:tc>
              <w:tc>
                <w:tcPr>
                  <w:tcW w:w="1705" w:type="dxa"/>
                  <w:vAlign w:val="center"/>
                </w:tcPr>
                <w:p w14:paraId="41C9528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37</w:t>
                  </w:r>
                </w:p>
              </w:tc>
            </w:tr>
            <w:tr w14:paraId="6B30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CE92113">
                  <w:pPr>
                    <w:keepNext w:val="0"/>
                    <w:keepLines w:val="0"/>
                    <w:widowControl/>
                    <w:numPr>
                      <w:ilvl w:val="0"/>
                      <w:numId w:val="0"/>
                    </w:numPr>
                    <w:suppressLineNumbers w:val="0"/>
                    <w:spacing w:line="240" w:lineRule="auto"/>
                    <w:jc w:val="center"/>
                    <w:rPr>
                      <w:rFonts w:hint="eastAsia" w:cs="Times New Roman"/>
                      <w:color w:val="auto"/>
                      <w:sz w:val="21"/>
                      <w:szCs w:val="21"/>
                      <w:highlight w:val="none"/>
                      <w:vertAlign w:val="baseline"/>
                      <w:lang w:val="en-US" w:eastAsia="zh-CN"/>
                    </w:rPr>
                  </w:pPr>
                </w:p>
              </w:tc>
              <w:tc>
                <w:tcPr>
                  <w:tcW w:w="900" w:type="dxa"/>
                  <w:vAlign w:val="center"/>
                </w:tcPr>
                <w:p w14:paraId="54AFE60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366BC44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56</w:t>
                  </w:r>
                </w:p>
              </w:tc>
              <w:tc>
                <w:tcPr>
                  <w:tcW w:w="1589" w:type="dxa"/>
                  <w:vAlign w:val="center"/>
                </w:tcPr>
                <w:p w14:paraId="184C1FA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23</w:t>
                  </w:r>
                </w:p>
              </w:tc>
              <w:tc>
                <w:tcPr>
                  <w:tcW w:w="1544" w:type="dxa"/>
                  <w:vAlign w:val="center"/>
                </w:tcPr>
                <w:p w14:paraId="4BBD203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38</w:t>
                  </w:r>
                </w:p>
              </w:tc>
              <w:tc>
                <w:tcPr>
                  <w:tcW w:w="1705" w:type="dxa"/>
                  <w:vAlign w:val="center"/>
                </w:tcPr>
                <w:p w14:paraId="174F445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w:t>
                  </w:r>
                </w:p>
              </w:tc>
            </w:tr>
            <w:tr w14:paraId="48DC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3BF97389">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3号路</w:t>
                  </w:r>
                </w:p>
              </w:tc>
              <w:tc>
                <w:tcPr>
                  <w:tcW w:w="900" w:type="dxa"/>
                  <w:vAlign w:val="center"/>
                </w:tcPr>
                <w:p w14:paraId="7194794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632BB60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590</w:t>
                  </w:r>
                </w:p>
              </w:tc>
              <w:tc>
                <w:tcPr>
                  <w:tcW w:w="1589" w:type="dxa"/>
                  <w:vAlign w:val="center"/>
                </w:tcPr>
                <w:p w14:paraId="102E73C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246</w:t>
                  </w:r>
                </w:p>
              </w:tc>
              <w:tc>
                <w:tcPr>
                  <w:tcW w:w="1544" w:type="dxa"/>
                  <w:vAlign w:val="center"/>
                </w:tcPr>
                <w:p w14:paraId="14FEE8A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399</w:t>
                  </w:r>
                </w:p>
              </w:tc>
              <w:tc>
                <w:tcPr>
                  <w:tcW w:w="1705" w:type="dxa"/>
                  <w:vAlign w:val="center"/>
                </w:tcPr>
                <w:p w14:paraId="37F30C3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129</w:t>
                  </w:r>
                </w:p>
              </w:tc>
            </w:tr>
            <w:tr w14:paraId="2F99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6007C820">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38ED73B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1D0B5DA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295</w:t>
                  </w:r>
                </w:p>
              </w:tc>
              <w:tc>
                <w:tcPr>
                  <w:tcW w:w="1589" w:type="dxa"/>
                  <w:vAlign w:val="center"/>
                </w:tcPr>
                <w:p w14:paraId="449224D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123</w:t>
                  </w:r>
                </w:p>
              </w:tc>
              <w:tc>
                <w:tcPr>
                  <w:tcW w:w="1544" w:type="dxa"/>
                  <w:vAlign w:val="center"/>
                </w:tcPr>
                <w:p w14:paraId="64F7BC3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199</w:t>
                  </w:r>
                </w:p>
              </w:tc>
              <w:tc>
                <w:tcPr>
                  <w:tcW w:w="1705" w:type="dxa"/>
                  <w:vAlign w:val="center"/>
                </w:tcPr>
                <w:p w14:paraId="797C2F3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65</w:t>
                  </w:r>
                </w:p>
              </w:tc>
            </w:tr>
            <w:tr w14:paraId="185D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313F42AB">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401EC54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45ADF2E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99</w:t>
                  </w:r>
                </w:p>
              </w:tc>
              <w:tc>
                <w:tcPr>
                  <w:tcW w:w="1589" w:type="dxa"/>
                  <w:vAlign w:val="center"/>
                </w:tcPr>
                <w:p w14:paraId="1581FEE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w:t>
                  </w:r>
                </w:p>
              </w:tc>
              <w:tc>
                <w:tcPr>
                  <w:tcW w:w="1544" w:type="dxa"/>
                  <w:vAlign w:val="center"/>
                </w:tcPr>
                <w:p w14:paraId="5C26375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67</w:t>
                  </w:r>
                </w:p>
              </w:tc>
              <w:tc>
                <w:tcPr>
                  <w:tcW w:w="1705" w:type="dxa"/>
                  <w:vAlign w:val="center"/>
                </w:tcPr>
                <w:p w14:paraId="10ECA2F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w:t>
                  </w:r>
                </w:p>
              </w:tc>
            </w:tr>
            <w:tr w14:paraId="433B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69768266">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w:t>
                  </w:r>
                </w:p>
              </w:tc>
              <w:tc>
                <w:tcPr>
                  <w:tcW w:w="900" w:type="dxa"/>
                  <w:vAlign w:val="center"/>
                </w:tcPr>
                <w:p w14:paraId="3A7C626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2C4098B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737</w:t>
                  </w:r>
                </w:p>
              </w:tc>
              <w:tc>
                <w:tcPr>
                  <w:tcW w:w="1589" w:type="dxa"/>
                  <w:vAlign w:val="center"/>
                </w:tcPr>
                <w:p w14:paraId="06CAD64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307</w:t>
                  </w:r>
                </w:p>
              </w:tc>
              <w:tc>
                <w:tcPr>
                  <w:tcW w:w="1544" w:type="dxa"/>
                  <w:vAlign w:val="center"/>
                </w:tcPr>
                <w:p w14:paraId="07629E4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49</w:t>
                  </w:r>
                  <w:r>
                    <w:rPr>
                      <w:rFonts w:hint="eastAsia" w:cs="Times New Roman"/>
                      <w:color w:val="auto"/>
                      <w:sz w:val="21"/>
                      <w:szCs w:val="21"/>
                      <w:highlight w:val="none"/>
                      <w:vertAlign w:val="baseline"/>
                      <w:lang w:val="en-US" w:eastAsia="zh-CN"/>
                    </w:rPr>
                    <w:t>9</w:t>
                  </w:r>
                </w:p>
              </w:tc>
              <w:tc>
                <w:tcPr>
                  <w:tcW w:w="1705" w:type="dxa"/>
                  <w:vAlign w:val="center"/>
                </w:tcPr>
                <w:p w14:paraId="42D57F9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cs="Times New Roman"/>
                      <w:color w:val="auto"/>
                      <w:sz w:val="21"/>
                      <w:szCs w:val="21"/>
                      <w:highlight w:val="none"/>
                      <w:vertAlign w:val="baseline"/>
                      <w:lang w:val="en-US" w:eastAsia="zh-CN"/>
                    </w:rPr>
                    <w:t>61</w:t>
                  </w:r>
                </w:p>
              </w:tc>
            </w:tr>
            <w:tr w14:paraId="019E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7A434346">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7598795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6326D8C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368</w:t>
                  </w:r>
                </w:p>
              </w:tc>
              <w:tc>
                <w:tcPr>
                  <w:tcW w:w="1589" w:type="dxa"/>
                  <w:vAlign w:val="center"/>
                </w:tcPr>
                <w:p w14:paraId="04D99EF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153</w:t>
                  </w:r>
                </w:p>
              </w:tc>
              <w:tc>
                <w:tcPr>
                  <w:tcW w:w="1544" w:type="dxa"/>
                  <w:vAlign w:val="center"/>
                </w:tcPr>
                <w:p w14:paraId="4D50831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w:t>
                  </w:r>
                  <w:r>
                    <w:rPr>
                      <w:rFonts w:hint="eastAsia" w:cs="Times New Roman"/>
                      <w:color w:val="auto"/>
                      <w:sz w:val="21"/>
                      <w:szCs w:val="21"/>
                      <w:highlight w:val="none"/>
                      <w:vertAlign w:val="baseline"/>
                      <w:lang w:val="en-US" w:eastAsia="zh-CN"/>
                    </w:rPr>
                    <w:t>9</w:t>
                  </w:r>
                </w:p>
              </w:tc>
              <w:tc>
                <w:tcPr>
                  <w:tcW w:w="1705" w:type="dxa"/>
                  <w:vAlign w:val="center"/>
                </w:tcPr>
                <w:p w14:paraId="0690728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81</w:t>
                  </w:r>
                </w:p>
              </w:tc>
            </w:tr>
            <w:tr w14:paraId="7679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EC93790">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4203A28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7A2BFAD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123</w:t>
                  </w:r>
                </w:p>
              </w:tc>
              <w:tc>
                <w:tcPr>
                  <w:tcW w:w="1589" w:type="dxa"/>
                  <w:vAlign w:val="center"/>
                </w:tcPr>
                <w:p w14:paraId="1C33100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r>
                    <w:rPr>
                      <w:rFonts w:hint="eastAsia" w:cs="Times New Roman"/>
                      <w:color w:val="auto"/>
                      <w:sz w:val="21"/>
                      <w:szCs w:val="21"/>
                      <w:highlight w:val="none"/>
                      <w:vertAlign w:val="baseline"/>
                      <w:lang w:val="en-US" w:eastAsia="zh-CN"/>
                    </w:rPr>
                    <w:t>1</w:t>
                  </w:r>
                </w:p>
              </w:tc>
              <w:tc>
                <w:tcPr>
                  <w:tcW w:w="1544" w:type="dxa"/>
                  <w:vAlign w:val="center"/>
                </w:tcPr>
                <w:p w14:paraId="2491BC6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r>
                    <w:rPr>
                      <w:rFonts w:hint="eastAsia" w:cs="Times New Roman"/>
                      <w:color w:val="auto"/>
                      <w:sz w:val="21"/>
                      <w:szCs w:val="21"/>
                      <w:highlight w:val="none"/>
                      <w:vertAlign w:val="baseline"/>
                      <w:lang w:val="en-US" w:eastAsia="zh-CN"/>
                    </w:rPr>
                    <w:t>3</w:t>
                  </w:r>
                </w:p>
              </w:tc>
              <w:tc>
                <w:tcPr>
                  <w:tcW w:w="1705" w:type="dxa"/>
                  <w:vAlign w:val="center"/>
                </w:tcPr>
                <w:p w14:paraId="230FC99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r>
                    <w:rPr>
                      <w:rFonts w:hint="eastAsia" w:cs="Times New Roman"/>
                      <w:color w:val="auto"/>
                      <w:sz w:val="21"/>
                      <w:szCs w:val="21"/>
                      <w:highlight w:val="none"/>
                      <w:vertAlign w:val="baseline"/>
                      <w:lang w:val="en-US" w:eastAsia="zh-CN"/>
                    </w:rPr>
                    <w:t>7</w:t>
                  </w:r>
                </w:p>
              </w:tc>
            </w:tr>
            <w:tr w14:paraId="04A6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64D82185">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5号路</w:t>
                  </w:r>
                </w:p>
              </w:tc>
              <w:tc>
                <w:tcPr>
                  <w:tcW w:w="900" w:type="dxa"/>
                  <w:vAlign w:val="center"/>
                </w:tcPr>
                <w:p w14:paraId="393C368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4FDFF68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723</w:t>
                  </w:r>
                </w:p>
              </w:tc>
              <w:tc>
                <w:tcPr>
                  <w:tcW w:w="1589" w:type="dxa"/>
                  <w:vAlign w:val="center"/>
                </w:tcPr>
                <w:p w14:paraId="0287121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301</w:t>
                  </w:r>
                </w:p>
              </w:tc>
              <w:tc>
                <w:tcPr>
                  <w:tcW w:w="1544" w:type="dxa"/>
                  <w:vAlign w:val="center"/>
                </w:tcPr>
                <w:p w14:paraId="49D9B26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490</w:t>
                  </w:r>
                </w:p>
              </w:tc>
              <w:tc>
                <w:tcPr>
                  <w:tcW w:w="1705" w:type="dxa"/>
                  <w:vAlign w:val="center"/>
                </w:tcPr>
                <w:p w14:paraId="644E275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158</w:t>
                  </w:r>
                </w:p>
              </w:tc>
            </w:tr>
            <w:tr w14:paraId="2771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C62ACC8">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0F098A9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447B499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362</w:t>
                  </w:r>
                </w:p>
              </w:tc>
              <w:tc>
                <w:tcPr>
                  <w:tcW w:w="1589" w:type="dxa"/>
                  <w:vAlign w:val="center"/>
                </w:tcPr>
                <w:p w14:paraId="3FF1830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151</w:t>
                  </w:r>
                </w:p>
              </w:tc>
              <w:tc>
                <w:tcPr>
                  <w:tcW w:w="1544" w:type="dxa"/>
                  <w:vAlign w:val="center"/>
                </w:tcPr>
                <w:p w14:paraId="25B6956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245</w:t>
                  </w:r>
                </w:p>
              </w:tc>
              <w:tc>
                <w:tcPr>
                  <w:tcW w:w="1705" w:type="dxa"/>
                  <w:vAlign w:val="center"/>
                </w:tcPr>
                <w:p w14:paraId="3CC4C6C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79</w:t>
                  </w:r>
                </w:p>
              </w:tc>
            </w:tr>
            <w:tr w14:paraId="1C04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1183746">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653735F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27E4A51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120</w:t>
                  </w:r>
                </w:p>
              </w:tc>
              <w:tc>
                <w:tcPr>
                  <w:tcW w:w="1589" w:type="dxa"/>
                  <w:vAlign w:val="center"/>
                </w:tcPr>
                <w:p w14:paraId="3B933BC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1544" w:type="dxa"/>
                  <w:vAlign w:val="center"/>
                </w:tcPr>
                <w:p w14:paraId="7496E29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81</w:t>
                  </w:r>
                </w:p>
              </w:tc>
              <w:tc>
                <w:tcPr>
                  <w:tcW w:w="1705" w:type="dxa"/>
                  <w:vAlign w:val="center"/>
                </w:tcPr>
                <w:p w14:paraId="1E101AD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26</w:t>
                  </w:r>
                </w:p>
              </w:tc>
            </w:tr>
            <w:tr w14:paraId="7BD3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467FCDB7">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6号路</w:t>
                  </w:r>
                </w:p>
              </w:tc>
              <w:tc>
                <w:tcPr>
                  <w:tcW w:w="900" w:type="dxa"/>
                  <w:vAlign w:val="center"/>
                </w:tcPr>
                <w:p w14:paraId="4B461FD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463CE4B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315</w:t>
                  </w:r>
                </w:p>
              </w:tc>
              <w:tc>
                <w:tcPr>
                  <w:tcW w:w="1589" w:type="dxa"/>
                  <w:vAlign w:val="center"/>
                </w:tcPr>
                <w:p w14:paraId="5A43B63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131</w:t>
                  </w:r>
                </w:p>
              </w:tc>
              <w:tc>
                <w:tcPr>
                  <w:tcW w:w="1544" w:type="dxa"/>
                  <w:vAlign w:val="center"/>
                </w:tcPr>
                <w:p w14:paraId="1DABB56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213</w:t>
                  </w:r>
                </w:p>
              </w:tc>
              <w:tc>
                <w:tcPr>
                  <w:tcW w:w="1705" w:type="dxa"/>
                  <w:vAlign w:val="center"/>
                </w:tcPr>
                <w:p w14:paraId="6D70EB4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69</w:t>
                  </w:r>
                </w:p>
              </w:tc>
            </w:tr>
            <w:tr w14:paraId="25A7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646B9DAA">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6276A6F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44C984F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158</w:t>
                  </w:r>
                </w:p>
              </w:tc>
              <w:tc>
                <w:tcPr>
                  <w:tcW w:w="1589" w:type="dxa"/>
                  <w:vAlign w:val="center"/>
                </w:tcPr>
                <w:p w14:paraId="6EEC816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66</w:t>
                  </w:r>
                </w:p>
              </w:tc>
              <w:tc>
                <w:tcPr>
                  <w:tcW w:w="1544" w:type="dxa"/>
                  <w:vAlign w:val="center"/>
                </w:tcPr>
                <w:p w14:paraId="3254795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107</w:t>
                  </w:r>
                </w:p>
              </w:tc>
              <w:tc>
                <w:tcPr>
                  <w:tcW w:w="1705" w:type="dxa"/>
                  <w:vAlign w:val="center"/>
                </w:tcPr>
                <w:p w14:paraId="4D02C33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w:t>
                  </w:r>
                </w:p>
              </w:tc>
            </w:tr>
            <w:tr w14:paraId="4B8C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2371ADEB">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53E82D3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0F89A32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52</w:t>
                  </w:r>
                </w:p>
              </w:tc>
              <w:tc>
                <w:tcPr>
                  <w:tcW w:w="1589" w:type="dxa"/>
                  <w:vAlign w:val="center"/>
                </w:tcPr>
                <w:p w14:paraId="7DA812B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w:t>
                  </w:r>
                </w:p>
              </w:tc>
              <w:tc>
                <w:tcPr>
                  <w:tcW w:w="1544" w:type="dxa"/>
                  <w:vAlign w:val="center"/>
                </w:tcPr>
                <w:p w14:paraId="5F3864A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w:t>
                  </w:r>
                </w:p>
              </w:tc>
              <w:tc>
                <w:tcPr>
                  <w:tcW w:w="1705" w:type="dxa"/>
                  <w:vAlign w:val="center"/>
                </w:tcPr>
                <w:p w14:paraId="0BC5C72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w:t>
                  </w:r>
                </w:p>
              </w:tc>
            </w:tr>
            <w:tr w14:paraId="5003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742BA920">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900" w:type="dxa"/>
                  <w:vAlign w:val="center"/>
                </w:tcPr>
                <w:p w14:paraId="11CC6A7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600B20E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643</w:t>
                  </w:r>
                </w:p>
              </w:tc>
              <w:tc>
                <w:tcPr>
                  <w:tcW w:w="1589" w:type="dxa"/>
                  <w:vAlign w:val="center"/>
                </w:tcPr>
                <w:p w14:paraId="746A79C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268</w:t>
                  </w:r>
                </w:p>
              </w:tc>
              <w:tc>
                <w:tcPr>
                  <w:tcW w:w="1544" w:type="dxa"/>
                  <w:vAlign w:val="center"/>
                </w:tcPr>
                <w:p w14:paraId="09D7E78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435</w:t>
                  </w:r>
                </w:p>
              </w:tc>
              <w:tc>
                <w:tcPr>
                  <w:tcW w:w="1705" w:type="dxa"/>
                  <w:vAlign w:val="center"/>
                </w:tcPr>
                <w:p w14:paraId="6943F7C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140</w:t>
                  </w:r>
                </w:p>
              </w:tc>
            </w:tr>
            <w:tr w14:paraId="4392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28" w:hRule="atLeast"/>
              </w:trPr>
              <w:tc>
                <w:tcPr>
                  <w:tcW w:w="1186" w:type="dxa"/>
                  <w:vMerge w:val="continue"/>
                  <w:vAlign w:val="center"/>
                </w:tcPr>
                <w:p w14:paraId="5D53A5C9">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900" w:type="dxa"/>
                  <w:vAlign w:val="center"/>
                </w:tcPr>
                <w:p w14:paraId="2089DC3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7B936A8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321</w:t>
                  </w:r>
                </w:p>
              </w:tc>
              <w:tc>
                <w:tcPr>
                  <w:tcW w:w="1589" w:type="dxa"/>
                  <w:vAlign w:val="center"/>
                </w:tcPr>
                <w:p w14:paraId="3273FDC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134</w:t>
                  </w:r>
                </w:p>
              </w:tc>
              <w:tc>
                <w:tcPr>
                  <w:tcW w:w="1544" w:type="dxa"/>
                  <w:vAlign w:val="center"/>
                </w:tcPr>
                <w:p w14:paraId="135F958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217</w:t>
                  </w:r>
                </w:p>
              </w:tc>
              <w:tc>
                <w:tcPr>
                  <w:tcW w:w="1705" w:type="dxa"/>
                  <w:vAlign w:val="center"/>
                </w:tcPr>
                <w:p w14:paraId="4B743B8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74</w:t>
                  </w:r>
                </w:p>
              </w:tc>
            </w:tr>
            <w:tr w14:paraId="4DD3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62" w:hRule="atLeast"/>
              </w:trPr>
              <w:tc>
                <w:tcPr>
                  <w:tcW w:w="1186" w:type="dxa"/>
                  <w:vMerge w:val="continue"/>
                  <w:vAlign w:val="center"/>
                </w:tcPr>
                <w:p w14:paraId="7686C123">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900" w:type="dxa"/>
                  <w:vAlign w:val="center"/>
                </w:tcPr>
                <w:p w14:paraId="7208F5D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22A5B5E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107</w:t>
                  </w:r>
                </w:p>
              </w:tc>
              <w:tc>
                <w:tcPr>
                  <w:tcW w:w="1589" w:type="dxa"/>
                  <w:vAlign w:val="center"/>
                </w:tcPr>
                <w:p w14:paraId="1C2DC6D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43</w:t>
                  </w:r>
                </w:p>
              </w:tc>
              <w:tc>
                <w:tcPr>
                  <w:tcW w:w="1544" w:type="dxa"/>
                  <w:vAlign w:val="center"/>
                </w:tcPr>
                <w:p w14:paraId="3AD4397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72</w:t>
                  </w:r>
                </w:p>
              </w:tc>
              <w:tc>
                <w:tcPr>
                  <w:tcW w:w="1705" w:type="dxa"/>
                  <w:vAlign w:val="center"/>
                </w:tcPr>
                <w:p w14:paraId="0E2094E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w:t>
                  </w:r>
                </w:p>
              </w:tc>
            </w:tr>
          </w:tbl>
          <w:p w14:paraId="2FF3D6C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两条道路设计车速40km/h，设计年限10年，项目特征年 2030 年随着芒市火车站客运流量的增加、项目周边用地的开发以及机动车保有量的增加，各路段的服务水平得达到 C 以上，车流稳定，有一定延误；各路段的非机动车道的服务水平均在二级以上，服务水平较好；各路段的人行道服务水平均在二级以上，服务水平较好。</w:t>
            </w:r>
          </w:p>
          <w:p w14:paraId="21C5D08E">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7.“三场”设置</w:t>
            </w:r>
          </w:p>
          <w:p w14:paraId="2A4E8BA0">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cs="Times New Roman"/>
                <w:color w:val="0000FF"/>
                <w:sz w:val="24"/>
                <w:highlight w:val="none"/>
                <w:lang w:eastAsia="zh-CN"/>
              </w:rPr>
            </w:pPr>
            <w:r>
              <w:rPr>
                <w:rFonts w:hint="default" w:ascii="Times New Roman" w:hAnsi="Times New Roman" w:cs="Times New Roman"/>
                <w:color w:val="000000" w:themeColor="text1"/>
                <w:sz w:val="24"/>
                <w:highlight w:val="none"/>
                <w14:textFill>
                  <w14:solidFill>
                    <w14:schemeClr w14:val="tx1"/>
                  </w14:solidFill>
                </w14:textFill>
              </w:rPr>
              <w:t>项目施工“三场”主要有料场、施工场地及临时堆渣场</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284610C8">
            <w:pPr>
              <w:keepNext w:val="0"/>
              <w:keepLines w:val="0"/>
              <w:widowControl/>
              <w:numPr>
                <w:ilvl w:val="0"/>
                <w:numId w:val="16"/>
              </w:numPr>
              <w:suppressLineNumbers w:val="0"/>
              <w:spacing w:line="360" w:lineRule="auto"/>
              <w:ind w:leftChars="0" w:firstLine="480" w:firstLineChars="200"/>
              <w:jc w:val="left"/>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料场</w:t>
            </w:r>
          </w:p>
          <w:p w14:paraId="57FF543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本项目道路建设场地附近均有已经开采的、材质良好的土料场与砂石料场，可以就近取材，油料、石灰、水泥也可在当地购买，本项目涉及的沥青由于本区及领近地区无沥青场，按外运考虑。</w:t>
            </w:r>
          </w:p>
          <w:p w14:paraId="5D47B432">
            <w:pPr>
              <w:keepNext w:val="0"/>
              <w:keepLines w:val="0"/>
              <w:widowControl/>
              <w:numPr>
                <w:ilvl w:val="0"/>
                <w:numId w:val="16"/>
              </w:numPr>
              <w:suppressLineNumbers w:val="0"/>
              <w:spacing w:line="360" w:lineRule="auto"/>
              <w:ind w:left="0" w:leftChars="0"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取土、弃土场</w:t>
            </w:r>
          </w:p>
          <w:p w14:paraId="1F5A3EFF">
            <w:pPr>
              <w:keepNext w:val="0"/>
              <w:keepLines w:val="0"/>
              <w:widowControl/>
              <w:numPr>
                <w:ilvl w:val="0"/>
                <w:numId w:val="0"/>
              </w:numPr>
              <w:suppressLineNumbers w:val="0"/>
              <w:spacing w:line="360" w:lineRule="auto"/>
              <w:ind w:left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①取土场</w:t>
            </w:r>
          </w:p>
          <w:p w14:paraId="47FC3213">
            <w:pPr>
              <w:keepNext w:val="0"/>
              <w:keepLines w:val="0"/>
              <w:widowControl/>
              <w:suppressLineNumbers w:val="0"/>
              <w:spacing w:line="360" w:lineRule="auto"/>
              <w:ind w:firstLine="480" w:firstLineChars="200"/>
              <w:jc w:val="left"/>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根据可研报告资料，项目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路基垫层除块石铺垫外，还需土料填充空隙，铺垫碾压，可就地、就近采取碎屑岩风化土层及第四系低液限粘性土、碎石土层</w:t>
            </w:r>
            <w:r>
              <w:rPr>
                <w:rFonts w:hint="eastAsia" w:cs="Times New Roman"/>
                <w:color w:val="000000" w:themeColor="text1"/>
                <w:kern w:val="0"/>
                <w:sz w:val="24"/>
                <w:szCs w:val="24"/>
                <w:lang w:val="en-US" w:eastAsia="zh-CN" w:bidi="ar"/>
                <w14:textFill>
                  <w14:solidFill>
                    <w14:schemeClr w14:val="tx1"/>
                  </w14:solidFill>
                </w14:textFill>
              </w:rPr>
              <w:t>。</w:t>
            </w:r>
          </w:p>
          <w:p w14:paraId="52AFD3FF">
            <w:pPr>
              <w:keepNext w:val="0"/>
              <w:keepLines w:val="0"/>
              <w:widowControl/>
              <w:suppressLineNumbers w:val="0"/>
              <w:spacing w:line="360" w:lineRule="auto"/>
              <w:ind w:firstLine="480" w:firstLineChars="200"/>
              <w:jc w:val="left"/>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②弃土场</w:t>
            </w:r>
          </w:p>
          <w:p w14:paraId="3E5EC49A">
            <w:pPr>
              <w:keepNext w:val="0"/>
              <w:keepLines w:val="0"/>
              <w:widowControl/>
              <w:suppressLineNumbers w:val="0"/>
              <w:spacing w:line="360" w:lineRule="auto"/>
              <w:ind w:firstLine="480" w:firstLineChars="200"/>
              <w:jc w:val="left"/>
              <w:rPr>
                <w:rFonts w:hint="eastAsia" w:ascii="Times New Roman" w:hAnsi="Times New Roman"/>
                <w:kern w:val="0"/>
                <w:sz w:val="24"/>
                <w:lang w:eastAsia="zh-CN"/>
              </w:rPr>
            </w:pPr>
            <w:r>
              <w:rPr>
                <w:rFonts w:ascii="Times New Roman" w:hAnsi="Times New Roman"/>
                <w:kern w:val="0"/>
                <w:sz w:val="24"/>
              </w:rPr>
              <w:t>本工程施工中开挖土方均按照“随挖、随运、随填”的施工评价进行，因此，本工程施工中</w:t>
            </w:r>
            <w:r>
              <w:rPr>
                <w:rFonts w:hint="eastAsia" w:ascii="Times New Roman" w:hAnsi="Times New Roman"/>
                <w:kern w:val="0"/>
                <w:sz w:val="24"/>
                <w:lang w:eastAsia="zh-CN"/>
              </w:rPr>
              <w:t>弃</w:t>
            </w:r>
            <w:r>
              <w:rPr>
                <w:rFonts w:hint="eastAsia"/>
                <w:kern w:val="0"/>
                <w:sz w:val="24"/>
                <w:lang w:eastAsia="zh-CN"/>
              </w:rPr>
              <w:t>土</w:t>
            </w:r>
            <w:r>
              <w:rPr>
                <w:rFonts w:ascii="Times New Roman" w:hAnsi="Times New Roman"/>
                <w:kern w:val="0"/>
                <w:sz w:val="24"/>
              </w:rPr>
              <w:t>均直接外运</w:t>
            </w:r>
            <w:r>
              <w:rPr>
                <w:rFonts w:hint="eastAsia"/>
                <w:kern w:val="0"/>
                <w:sz w:val="24"/>
                <w:lang w:eastAsia="zh-CN"/>
              </w:rPr>
              <w:t>至合法弃土场</w:t>
            </w:r>
            <w:r>
              <w:rPr>
                <w:rFonts w:ascii="Times New Roman" w:hAnsi="Times New Roman"/>
                <w:kern w:val="0"/>
                <w:sz w:val="24"/>
              </w:rPr>
              <w:t>，不需新增</w:t>
            </w:r>
            <w:r>
              <w:rPr>
                <w:rFonts w:hint="eastAsia" w:ascii="Times New Roman" w:hAnsi="Times New Roman"/>
                <w:kern w:val="0"/>
                <w:sz w:val="24"/>
                <w:lang w:eastAsia="zh-CN"/>
              </w:rPr>
              <w:t>弃土</w:t>
            </w:r>
            <w:r>
              <w:rPr>
                <w:rFonts w:ascii="Times New Roman" w:hAnsi="Times New Roman"/>
                <w:kern w:val="0"/>
                <w:sz w:val="24"/>
              </w:rPr>
              <w:t>场</w:t>
            </w:r>
            <w:r>
              <w:rPr>
                <w:rFonts w:hint="eastAsia" w:ascii="Times New Roman" w:hAnsi="Times New Roman"/>
                <w:kern w:val="0"/>
                <w:sz w:val="24"/>
                <w:lang w:eastAsia="zh-CN"/>
              </w:rPr>
              <w:t>。</w:t>
            </w:r>
          </w:p>
          <w:p w14:paraId="08A8CA0B">
            <w:pPr>
              <w:keepNext w:val="0"/>
              <w:keepLines w:val="0"/>
              <w:widowControl/>
              <w:suppressLineNumbers w:val="0"/>
              <w:spacing w:line="360" w:lineRule="auto"/>
              <w:ind w:firstLine="480" w:firstLineChars="200"/>
              <w:jc w:val="left"/>
              <w:rPr>
                <w:rFonts w:hint="eastAsia" w:ascii="Times New Roman" w:hAnsi="Times New Roman"/>
                <w:kern w:val="0"/>
                <w:sz w:val="24"/>
                <w:lang w:val="en-US" w:eastAsia="zh-CN"/>
              </w:rPr>
            </w:pPr>
            <w:r>
              <w:rPr>
                <w:rFonts w:hint="eastAsia" w:ascii="Times New Roman" w:hAnsi="Times New Roman"/>
                <w:kern w:val="0"/>
                <w:sz w:val="24"/>
                <w:lang w:val="en-US" w:eastAsia="zh-CN"/>
              </w:rPr>
              <w:t>③临时堆土场</w:t>
            </w:r>
          </w:p>
          <w:p w14:paraId="5DE5DACF">
            <w:pPr>
              <w:keepNext w:val="0"/>
              <w:keepLines w:val="0"/>
              <w:widowControl/>
              <w:suppressLineNumbers w:val="0"/>
              <w:spacing w:line="360" w:lineRule="auto"/>
              <w:ind w:firstLine="480" w:firstLineChars="200"/>
              <w:jc w:val="left"/>
              <w:rPr>
                <w:rFonts w:hint="eastAsia" w:ascii="Times New Roman" w:hAnsi="Times New Roman"/>
                <w:kern w:val="0"/>
                <w:sz w:val="24"/>
                <w:lang w:val="en-US" w:eastAsia="zh-CN"/>
              </w:rPr>
            </w:pPr>
            <w:r>
              <w:rPr>
                <w:rFonts w:ascii="Times New Roman" w:hAnsi="Times New Roman"/>
                <w:kern w:val="0"/>
                <w:sz w:val="24"/>
              </w:rPr>
              <w:t>根据工程施工设计</w:t>
            </w:r>
            <w:r>
              <w:rPr>
                <w:rFonts w:hint="eastAsia" w:ascii="Times New Roman" w:hAnsi="Times New Roman"/>
                <w:kern w:val="0"/>
                <w:sz w:val="24"/>
                <w:lang w:eastAsia="zh-CN"/>
              </w:rPr>
              <w:t>，</w:t>
            </w:r>
            <w:r>
              <w:rPr>
                <w:rFonts w:ascii="Times New Roman" w:hAnsi="Times New Roman"/>
                <w:kern w:val="0"/>
                <w:sz w:val="24"/>
              </w:rPr>
              <w:t>开挖后需回填的土方则就近堆放在沟槽边上，不再新增土方临时堆放场地。</w:t>
            </w:r>
            <w:r>
              <w:rPr>
                <w:rFonts w:hint="eastAsia" w:ascii="Times New Roman" w:hAnsi="Times New Roman"/>
                <w:kern w:val="0"/>
                <w:sz w:val="24"/>
              </w:rPr>
              <w:t>项目回填所需的土石方从本地合法砂石料场购买。</w:t>
            </w:r>
          </w:p>
          <w:p w14:paraId="43DF47F6">
            <w:pPr>
              <w:keepNext w:val="0"/>
              <w:keepLines w:val="0"/>
              <w:widowControl/>
              <w:numPr>
                <w:ilvl w:val="0"/>
                <w:numId w:val="16"/>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施工营场地</w:t>
            </w:r>
          </w:p>
          <w:p w14:paraId="0B2C74C8">
            <w:pPr>
              <w:snapToGrid w:val="0"/>
              <w:spacing w:line="360" w:lineRule="auto"/>
              <w:ind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auto"/>
                <w:sz w:val="24"/>
                <w:highlight w:val="none"/>
              </w:rPr>
              <w:t>项目不设施工营地，施工人员租用当地民房，均不在施工场地食宿。</w:t>
            </w:r>
          </w:p>
          <w:p w14:paraId="54AA95D5">
            <w:pPr>
              <w:keepNext w:val="0"/>
              <w:keepLines w:val="0"/>
              <w:widowControl/>
              <w:numPr>
                <w:ilvl w:val="0"/>
                <w:numId w:val="17"/>
              </w:numPr>
              <w:suppressLineNumbers w:val="0"/>
              <w:spacing w:line="360" w:lineRule="auto"/>
              <w:ind w:left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施工人员</w:t>
            </w:r>
          </w:p>
          <w:p w14:paraId="67CF245F">
            <w:pPr>
              <w:spacing w:line="360" w:lineRule="auto"/>
              <w:ind w:firstLine="57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auto"/>
                <w:sz w:val="24"/>
                <w:highlight w:val="none"/>
              </w:rPr>
              <w:t>项目区施工人员共</w:t>
            </w:r>
            <w:r>
              <w:rPr>
                <w:rFonts w:hint="eastAsia" w:cs="Times New Roman"/>
                <w:color w:val="auto"/>
                <w:sz w:val="24"/>
                <w:highlight w:val="none"/>
                <w:lang w:val="en-US" w:eastAsia="zh-CN"/>
              </w:rPr>
              <w:t>40</w:t>
            </w:r>
            <w:r>
              <w:rPr>
                <w:rFonts w:hint="default" w:ascii="Times New Roman" w:hAnsi="Times New Roman" w:cs="Times New Roman"/>
                <w:color w:val="auto"/>
                <w:sz w:val="24"/>
                <w:highlight w:val="none"/>
              </w:rPr>
              <w:t>人，均</w:t>
            </w:r>
            <w:r>
              <w:rPr>
                <w:rFonts w:hint="default" w:ascii="Times New Roman" w:hAnsi="Times New Roman" w:cs="Times New Roman"/>
                <w:color w:val="auto"/>
                <w:sz w:val="24"/>
                <w:highlight w:val="none"/>
                <w:lang w:eastAsia="zh-CN"/>
              </w:rPr>
              <w:t>不</w:t>
            </w:r>
            <w:r>
              <w:rPr>
                <w:rFonts w:hint="default" w:ascii="Times New Roman" w:hAnsi="Times New Roman" w:cs="Times New Roman"/>
                <w:color w:val="auto"/>
                <w:sz w:val="24"/>
                <w:highlight w:val="none"/>
              </w:rPr>
              <w:t>在项目区内食宿。</w:t>
            </w:r>
          </w:p>
          <w:p w14:paraId="5B9D2411">
            <w:pPr>
              <w:keepNext w:val="0"/>
              <w:keepLines w:val="0"/>
              <w:widowControl/>
              <w:numPr>
                <w:ilvl w:val="0"/>
                <w:numId w:val="17"/>
              </w:numPr>
              <w:suppressLineNumbers w:val="0"/>
              <w:spacing w:line="360" w:lineRule="auto"/>
              <w:ind w:left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施工交通线路</w:t>
            </w:r>
          </w:p>
          <w:p w14:paraId="0DA58A6D">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可通过高速公路南连接线及芒那公路（勐焕路、田园大道）、杭瑞高速及乡村公路运输，拟建道路周边城市路网较完备，运输较为方便，经调运能够满足本道路建设对天然筑路材料之需要。</w:t>
            </w:r>
          </w:p>
          <w:p w14:paraId="0DE54BC8">
            <w:pPr>
              <w:keepNext w:val="0"/>
              <w:keepLines w:val="0"/>
              <w:widowControl/>
              <w:numPr>
                <w:ilvl w:val="0"/>
                <w:numId w:val="17"/>
              </w:numPr>
              <w:suppressLineNumbers w:val="0"/>
              <w:spacing w:line="360" w:lineRule="auto"/>
              <w:ind w:left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建设工期</w:t>
            </w:r>
          </w:p>
          <w:p w14:paraId="30064CC1">
            <w:pPr>
              <w:keepNext w:val="0"/>
              <w:keepLines w:val="0"/>
              <w:widowControl/>
              <w:suppressLineNumbers w:val="0"/>
              <w:spacing w:line="360" w:lineRule="auto"/>
              <w:ind w:firstLine="480" w:firstLineChars="200"/>
              <w:jc w:val="left"/>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根据建设单位部署，计划开工时间2020 年 7 月上旬——2021 年 6 月中旬</w:t>
            </w:r>
            <w:r>
              <w:rPr>
                <w:rFonts w:hint="eastAsia" w:cs="Times New Roman"/>
                <w:color w:val="000000"/>
                <w:kern w:val="0"/>
                <w:sz w:val="24"/>
                <w:szCs w:val="24"/>
                <w:lang w:val="en-US" w:eastAsia="zh-CN" w:bidi="ar"/>
              </w:rPr>
              <w:t>。</w:t>
            </w:r>
          </w:p>
          <w:p w14:paraId="20F3DB1F">
            <w:pPr>
              <w:keepNext w:val="0"/>
              <w:keepLines w:val="0"/>
              <w:widowControl/>
              <w:numPr>
                <w:ilvl w:val="0"/>
                <w:numId w:val="17"/>
              </w:numPr>
              <w:suppressLineNumbers w:val="0"/>
              <w:spacing w:line="360" w:lineRule="auto"/>
              <w:ind w:left="480" w:leftChars="200" w:firstLine="0" w:firstLineChars="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占地拆迁情况</w:t>
            </w:r>
          </w:p>
          <w:p w14:paraId="52C06387">
            <w:pPr>
              <w:keepNext w:val="0"/>
              <w:keepLines w:val="0"/>
              <w:widowControl/>
              <w:numPr>
                <w:ilvl w:val="0"/>
                <w:numId w:val="0"/>
              </w:numPr>
              <w:suppressLineNumbers w:val="0"/>
              <w:spacing w:line="360" w:lineRule="auto"/>
              <w:ind w:firstLine="480" w:firstLineChars="200"/>
              <w:jc w:val="left"/>
              <w:rPr>
                <w:rFonts w:hint="eastAsia" w:ascii="Times New Roman" w:hAnsi="Times New Roman"/>
                <w:sz w:val="24"/>
                <w:lang w:eastAsia="zh-CN"/>
              </w:rPr>
            </w:pPr>
            <w:r>
              <w:rPr>
                <w:rFonts w:hint="eastAsia" w:cs="Times New Roman"/>
                <w:color w:val="000000"/>
                <w:kern w:val="0"/>
                <w:sz w:val="24"/>
                <w:szCs w:val="24"/>
                <w:lang w:val="en-US" w:eastAsia="zh-CN" w:bidi="ar"/>
              </w:rPr>
              <w:t>根据建设单位提供的可行性研究报告等资料，项目征地面积382415m</w:t>
            </w:r>
            <w:r>
              <w:rPr>
                <w:rFonts w:hint="eastAsia" w:cs="Times New Roman"/>
                <w:color w:val="000000"/>
                <w:kern w:val="0"/>
                <w:sz w:val="24"/>
                <w:szCs w:val="24"/>
                <w:vertAlign w:val="superscript"/>
                <w:lang w:val="en-US" w:eastAsia="zh-CN" w:bidi="ar"/>
              </w:rPr>
              <w:t>2</w:t>
            </w:r>
            <w:r>
              <w:rPr>
                <w:rFonts w:hint="eastAsia" w:cs="Times New Roman"/>
                <w:color w:val="000000"/>
                <w:kern w:val="0"/>
                <w:sz w:val="24"/>
                <w:szCs w:val="24"/>
                <w:vertAlign w:val="baseline"/>
                <w:lang w:val="en-US" w:eastAsia="zh-CN" w:bidi="ar"/>
              </w:rPr>
              <w:t>，</w:t>
            </w:r>
            <w:r>
              <w:rPr>
                <w:rFonts w:hint="eastAsia" w:cs="Times New Roman"/>
                <w:color w:val="000000"/>
                <w:kern w:val="0"/>
                <w:sz w:val="24"/>
                <w:szCs w:val="24"/>
                <w:lang w:val="en-US" w:eastAsia="zh-CN" w:bidi="ar"/>
              </w:rPr>
              <w:t>1号路和5号路的位置局部涉及村庄拆迁，拆迁面积11660.8m</w:t>
            </w:r>
            <w:r>
              <w:rPr>
                <w:rFonts w:hint="eastAsia" w:cs="Times New Roman"/>
                <w:color w:val="000000"/>
                <w:kern w:val="0"/>
                <w:sz w:val="24"/>
                <w:szCs w:val="24"/>
                <w:vertAlign w:val="superscript"/>
                <w:lang w:val="en-US" w:eastAsia="zh-CN" w:bidi="ar"/>
              </w:rPr>
              <w:t>2</w:t>
            </w:r>
            <w:r>
              <w:rPr>
                <w:rFonts w:hint="eastAsia" w:cs="Times New Roman"/>
                <w:color w:val="000000"/>
                <w:kern w:val="0"/>
                <w:sz w:val="24"/>
                <w:szCs w:val="24"/>
                <w:vertAlign w:val="baseline"/>
                <w:lang w:val="en-US" w:eastAsia="zh-CN" w:bidi="ar"/>
              </w:rPr>
              <w:t>，</w:t>
            </w:r>
            <w:r>
              <w:rPr>
                <w:rFonts w:hint="eastAsia" w:ascii="Times New Roman" w:hAnsi="Times New Roman"/>
                <w:sz w:val="24"/>
              </w:rPr>
              <w:t>本项目所涉及的拆迁工作由政府部门统一规划</w:t>
            </w:r>
            <w:r>
              <w:rPr>
                <w:rFonts w:hint="eastAsia" w:ascii="Times New Roman" w:hAnsi="Times New Roman"/>
                <w:sz w:val="24"/>
                <w:lang w:eastAsia="zh-CN"/>
              </w:rPr>
              <w:t>拆除</w:t>
            </w:r>
            <w:r>
              <w:rPr>
                <w:rFonts w:hint="eastAsia" w:ascii="Times New Roman" w:hAnsi="Times New Roman"/>
                <w:sz w:val="24"/>
              </w:rPr>
              <w:t>，</w:t>
            </w:r>
            <w:r>
              <w:rPr>
                <w:rFonts w:hint="eastAsia" w:ascii="Times New Roman" w:hAnsi="Times New Roman"/>
                <w:sz w:val="24"/>
                <w:lang w:eastAsia="zh-CN"/>
              </w:rPr>
              <w:t>拆除工作不属于本项目建设内容。</w:t>
            </w:r>
          </w:p>
          <w:p w14:paraId="18363519">
            <w:pPr>
              <w:keepNext w:val="0"/>
              <w:keepLines w:val="0"/>
              <w:widowControl/>
              <w:suppressLineNumbers w:val="0"/>
              <w:ind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sz w:val="24"/>
                <w:lang w:eastAsia="zh-CN"/>
              </w:rPr>
              <w:t>项目占地面积</w:t>
            </w:r>
            <w:r>
              <w:rPr>
                <w:rFonts w:hint="default" w:ascii="Times New Roman" w:hAnsi="Times New Roman" w:eastAsia="宋体" w:cs="Times New Roman"/>
                <w:color w:val="000000"/>
                <w:kern w:val="0"/>
                <w:sz w:val="24"/>
                <w:szCs w:val="24"/>
                <w:lang w:val="en-US" w:eastAsia="zh-CN" w:bidi="ar"/>
              </w:rPr>
              <w:t>415330.2</w:t>
            </w:r>
            <w:r>
              <w:rPr>
                <w:rFonts w:hint="eastAsia"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，占地类型</w:t>
            </w:r>
            <w:r>
              <w:rPr>
                <w:rFonts w:hint="eastAsia" w:ascii="Times New Roman" w:hAnsi="Times New Roman" w:eastAsia="宋体" w:cs="Times New Roman"/>
                <w:color w:val="000000"/>
                <w:kern w:val="0"/>
                <w:sz w:val="24"/>
                <w:szCs w:val="24"/>
                <w:lang w:val="en-US" w:eastAsia="zh-CN" w:bidi="ar"/>
              </w:rPr>
              <w:t>有建设用地和农业用地，目前项目用地性质已转化为建设用地。</w:t>
            </w:r>
          </w:p>
          <w:p w14:paraId="782229E5">
            <w:pPr>
              <w:keepNext w:val="0"/>
              <w:keepLines w:val="0"/>
              <w:widowControl/>
              <w:numPr>
                <w:ilvl w:val="0"/>
                <w:numId w:val="17"/>
              </w:numPr>
              <w:suppressLineNumbers w:val="0"/>
              <w:spacing w:line="360" w:lineRule="auto"/>
              <w:ind w:left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环保投资</w:t>
            </w:r>
          </w:p>
          <w:p w14:paraId="4F6A3ED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项目总</w:t>
            </w:r>
            <w:r>
              <w:rPr>
                <w:rFonts w:hint="default" w:ascii="Times New Roman" w:hAnsi="Times New Roman" w:cs="Times New Roman"/>
                <w:color w:val="auto"/>
                <w:sz w:val="24"/>
                <w:highlight w:val="none"/>
              </w:rPr>
              <w:t>投资</w:t>
            </w:r>
            <w:r>
              <w:rPr>
                <w:rFonts w:hint="eastAsia" w:ascii="Times New Roman" w:hAnsi="Times New Roman" w:cs="Times New Roman"/>
                <w:color w:val="auto"/>
                <w:sz w:val="24"/>
                <w:highlight w:val="none"/>
                <w:lang w:val="en-US" w:eastAsia="zh-CN"/>
              </w:rPr>
              <w:t>86594.77</w:t>
            </w:r>
            <w:r>
              <w:rPr>
                <w:rFonts w:hint="default" w:ascii="Times New Roman" w:hAnsi="Times New Roman" w:cs="Times New Roman"/>
                <w:color w:val="auto"/>
                <w:sz w:val="24"/>
                <w:highlight w:val="none"/>
              </w:rPr>
              <w:t>万元，环保投资</w:t>
            </w:r>
            <w:r>
              <w:rPr>
                <w:rFonts w:hint="eastAsia" w:cs="Times New Roman"/>
                <w:color w:val="auto"/>
                <w:sz w:val="24"/>
                <w:highlight w:val="none"/>
                <w:lang w:val="en-US" w:eastAsia="zh-CN"/>
              </w:rPr>
              <w:t>5629.3</w:t>
            </w:r>
            <w:r>
              <w:rPr>
                <w:rFonts w:hint="default" w:ascii="Times New Roman" w:hAnsi="Times New Roman" w:cs="Times New Roman"/>
                <w:color w:val="auto"/>
                <w:sz w:val="24"/>
                <w:highlight w:val="none"/>
              </w:rPr>
              <w:t>万元，环保投资占总投资</w:t>
            </w:r>
            <w:r>
              <w:rPr>
                <w:rFonts w:hint="default" w:ascii="Times New Roman" w:hAnsi="Times New Roman" w:cs="Times New Roman"/>
                <w:color w:val="auto"/>
                <w:sz w:val="24"/>
                <w:highlight w:val="none"/>
                <w:lang w:val="en-US" w:eastAsia="zh-CN"/>
              </w:rPr>
              <w:t>6.</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。环保投资明细详见表1-1</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w:t>
            </w:r>
          </w:p>
          <w:p w14:paraId="237DF669">
            <w:pPr>
              <w:snapToGrid w:val="0"/>
              <w:spacing w:line="360" w:lineRule="auto"/>
              <w:ind w:firstLine="482" w:firstLineChars="200"/>
              <w:jc w:val="center"/>
              <w:rPr>
                <w:rFonts w:hint="default" w:ascii="Times New Roman" w:hAnsi="Times New Roman" w:cs="Times New Roman"/>
                <w:b/>
                <w:bCs/>
                <w:color w:val="auto"/>
                <w:sz w:val="24"/>
                <w:highlight w:val="none"/>
                <w:lang w:eastAsia="zh-CN"/>
              </w:rPr>
            </w:pPr>
          </w:p>
          <w:p w14:paraId="66DD018C">
            <w:pPr>
              <w:snapToGrid w:val="0"/>
              <w:spacing w:line="360" w:lineRule="auto"/>
              <w:ind w:firstLine="482" w:firstLineChars="200"/>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b/>
                <w:bCs/>
                <w:color w:val="auto"/>
                <w:sz w:val="24"/>
                <w:highlight w:val="none"/>
                <w:lang w:eastAsia="zh-CN"/>
              </w:rPr>
              <w:t>表</w:t>
            </w:r>
            <w:r>
              <w:rPr>
                <w:rFonts w:hint="default" w:ascii="Times New Roman" w:hAnsi="Times New Roman" w:cs="Times New Roman"/>
                <w:b/>
                <w:bCs/>
                <w:color w:val="auto"/>
                <w:sz w:val="24"/>
                <w:highlight w:val="none"/>
                <w:lang w:val="en-US" w:eastAsia="zh-CN"/>
              </w:rPr>
              <w:t>1.1</w:t>
            </w: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环境保护资金估算一览表</w:t>
            </w:r>
          </w:p>
          <w:tbl>
            <w:tblPr>
              <w:tblStyle w:val="15"/>
              <w:tblW w:w="8257" w:type="dxa"/>
              <w:jc w:val="center"/>
              <w:tblLayout w:type="fixed"/>
              <w:tblCellMar>
                <w:top w:w="0" w:type="dxa"/>
                <w:left w:w="108" w:type="dxa"/>
                <w:bottom w:w="0" w:type="dxa"/>
                <w:right w:w="108" w:type="dxa"/>
              </w:tblCellMar>
            </w:tblPr>
            <w:tblGrid>
              <w:gridCol w:w="665"/>
              <w:gridCol w:w="3237"/>
              <w:gridCol w:w="842"/>
              <w:gridCol w:w="1065"/>
              <w:gridCol w:w="2448"/>
            </w:tblGrid>
            <w:tr w14:paraId="360B3168">
              <w:tblPrEx>
                <w:tblCellMar>
                  <w:top w:w="0" w:type="dxa"/>
                  <w:left w:w="108" w:type="dxa"/>
                  <w:bottom w:w="0" w:type="dxa"/>
                  <w:right w:w="108" w:type="dxa"/>
                </w:tblCellMar>
              </w:tblPrEx>
              <w:trPr>
                <w:trHeight w:val="309"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616D613E">
                  <w:pPr>
                    <w:snapToGrid w:val="0"/>
                    <w:spacing w:line="240" w:lineRule="auto"/>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3237" w:type="dxa"/>
                  <w:tcBorders>
                    <w:top w:val="single" w:color="auto" w:sz="8" w:space="0"/>
                    <w:left w:val="nil"/>
                    <w:bottom w:val="single" w:color="auto" w:sz="8" w:space="0"/>
                    <w:right w:val="single" w:color="auto" w:sz="8" w:space="0"/>
                  </w:tcBorders>
                  <w:noWrap w:val="0"/>
                  <w:vAlign w:val="center"/>
                </w:tcPr>
                <w:p w14:paraId="49C8232C">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投资项目</w:t>
                  </w:r>
                </w:p>
              </w:tc>
              <w:tc>
                <w:tcPr>
                  <w:tcW w:w="842" w:type="dxa"/>
                  <w:tcBorders>
                    <w:top w:val="single" w:color="auto" w:sz="8" w:space="0"/>
                    <w:left w:val="nil"/>
                    <w:bottom w:val="single" w:color="auto" w:sz="8" w:space="0"/>
                    <w:right w:val="single" w:color="auto" w:sz="8" w:space="0"/>
                  </w:tcBorders>
                  <w:noWrap w:val="0"/>
                  <w:vAlign w:val="center"/>
                </w:tcPr>
                <w:p w14:paraId="1BEFFD62">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065" w:type="dxa"/>
                  <w:tcBorders>
                    <w:top w:val="single" w:color="auto" w:sz="8" w:space="0"/>
                    <w:left w:val="nil"/>
                    <w:bottom w:val="single" w:color="auto" w:sz="8" w:space="0"/>
                    <w:right w:val="single" w:color="auto" w:sz="8" w:space="0"/>
                  </w:tcBorders>
                  <w:noWrap w:val="0"/>
                  <w:vAlign w:val="center"/>
                </w:tcPr>
                <w:p w14:paraId="7C531F03">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投资</w:t>
                  </w:r>
                </w:p>
              </w:tc>
              <w:tc>
                <w:tcPr>
                  <w:tcW w:w="2448" w:type="dxa"/>
                  <w:tcBorders>
                    <w:top w:val="single" w:color="auto" w:sz="8" w:space="0"/>
                    <w:left w:val="nil"/>
                    <w:bottom w:val="single" w:color="auto" w:sz="8" w:space="0"/>
                    <w:right w:val="single" w:color="auto" w:sz="8" w:space="0"/>
                  </w:tcBorders>
                  <w:noWrap w:val="0"/>
                  <w:vAlign w:val="center"/>
                </w:tcPr>
                <w:p w14:paraId="395E5BA8">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备注</w:t>
                  </w:r>
                </w:p>
              </w:tc>
            </w:tr>
            <w:tr w14:paraId="2DD31978">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7997CD19">
                  <w:pPr>
                    <w:snapToGrid w:val="0"/>
                    <w:spacing w:line="240" w:lineRule="auto"/>
                    <w:jc w:val="center"/>
                    <w:rPr>
                      <w:rFonts w:hint="default" w:ascii="Times New Roman" w:hAnsi="Times New Roman" w:eastAsia="黑体" w:cs="Times New Roman"/>
                      <w:b/>
                      <w:bCs/>
                      <w:color w:val="auto"/>
                      <w:sz w:val="21"/>
                      <w:szCs w:val="21"/>
                      <w:highlight w:val="none"/>
                    </w:rPr>
                  </w:pPr>
                  <w:r>
                    <w:rPr>
                      <w:rFonts w:hint="default" w:ascii="Times New Roman" w:hAnsi="Times New Roman" w:cs="Times New Roman"/>
                      <w:b/>
                      <w:bCs/>
                      <w:color w:val="auto"/>
                      <w:sz w:val="21"/>
                      <w:szCs w:val="21"/>
                      <w:highlight w:val="none"/>
                    </w:rPr>
                    <w:t>一、</w:t>
                  </w:r>
                </w:p>
              </w:tc>
              <w:tc>
                <w:tcPr>
                  <w:tcW w:w="3237" w:type="dxa"/>
                  <w:tcBorders>
                    <w:top w:val="single" w:color="auto" w:sz="8" w:space="0"/>
                    <w:left w:val="nil"/>
                    <w:bottom w:val="single" w:color="auto" w:sz="8" w:space="0"/>
                    <w:right w:val="single" w:color="auto" w:sz="8" w:space="0"/>
                  </w:tcBorders>
                  <w:noWrap w:val="0"/>
                  <w:vAlign w:val="center"/>
                </w:tcPr>
                <w:p w14:paraId="163CA2FA">
                  <w:pPr>
                    <w:snapToGrid w:val="0"/>
                    <w:spacing w:line="240" w:lineRule="auto"/>
                    <w:ind w:firstLine="36" w:firstLineChars="17"/>
                    <w:rPr>
                      <w:rFonts w:hint="default" w:ascii="Times New Roman" w:hAnsi="Times New Roman" w:eastAsia="黑体" w:cs="Times New Roman"/>
                      <w:b/>
                      <w:bCs/>
                      <w:color w:val="auto"/>
                      <w:sz w:val="21"/>
                      <w:szCs w:val="21"/>
                      <w:highlight w:val="none"/>
                    </w:rPr>
                  </w:pPr>
                  <w:r>
                    <w:rPr>
                      <w:rFonts w:hint="default" w:ascii="Times New Roman" w:hAnsi="Times New Roman" w:cs="Times New Roman"/>
                      <w:b/>
                      <w:bCs/>
                      <w:color w:val="auto"/>
                      <w:sz w:val="21"/>
                      <w:szCs w:val="21"/>
                      <w:highlight w:val="none"/>
                    </w:rPr>
                    <w:t>环境污染治理投资</w:t>
                  </w:r>
                </w:p>
              </w:tc>
              <w:tc>
                <w:tcPr>
                  <w:tcW w:w="842" w:type="dxa"/>
                  <w:tcBorders>
                    <w:top w:val="single" w:color="auto" w:sz="8" w:space="0"/>
                    <w:left w:val="nil"/>
                    <w:bottom w:val="single" w:color="auto" w:sz="8" w:space="0"/>
                    <w:right w:val="single" w:color="auto" w:sz="8" w:space="0"/>
                  </w:tcBorders>
                  <w:noWrap w:val="0"/>
                  <w:vAlign w:val="center"/>
                </w:tcPr>
                <w:p w14:paraId="26893D7C">
                  <w:pPr>
                    <w:snapToGrid w:val="0"/>
                    <w:spacing w:line="240" w:lineRule="auto"/>
                    <w:jc w:val="center"/>
                    <w:rPr>
                      <w:rFonts w:hint="default" w:ascii="Times New Roman" w:hAnsi="Times New Roman" w:eastAsia="黑体" w:cs="Times New Roman"/>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3ADD1CFA">
                  <w:pPr>
                    <w:snapToGrid w:val="0"/>
                    <w:spacing w:line="240" w:lineRule="auto"/>
                    <w:jc w:val="center"/>
                    <w:rPr>
                      <w:rFonts w:hint="default" w:ascii="Times New Roman" w:hAnsi="Times New Roman" w:eastAsia="黑体" w:cs="Times New Roman"/>
                      <w:b/>
                      <w:bCs/>
                      <w:color w:val="auto"/>
                      <w:sz w:val="21"/>
                      <w:szCs w:val="21"/>
                      <w:highlight w:val="none"/>
                    </w:rPr>
                  </w:pPr>
                </w:p>
              </w:tc>
              <w:tc>
                <w:tcPr>
                  <w:tcW w:w="2448" w:type="dxa"/>
                  <w:tcBorders>
                    <w:top w:val="single" w:color="auto" w:sz="8" w:space="0"/>
                    <w:left w:val="nil"/>
                    <w:bottom w:val="single" w:color="auto" w:sz="8" w:space="0"/>
                    <w:right w:val="single" w:color="auto" w:sz="8" w:space="0"/>
                  </w:tcBorders>
                  <w:noWrap w:val="0"/>
                  <w:vAlign w:val="center"/>
                </w:tcPr>
                <w:p w14:paraId="71FDDDFC">
                  <w:pPr>
                    <w:snapToGrid w:val="0"/>
                    <w:spacing w:line="240" w:lineRule="auto"/>
                    <w:rPr>
                      <w:rFonts w:hint="default" w:ascii="Times New Roman" w:hAnsi="Times New Roman" w:eastAsia="黑体" w:cs="Times New Roman"/>
                      <w:color w:val="auto"/>
                      <w:sz w:val="21"/>
                      <w:szCs w:val="21"/>
                      <w:highlight w:val="none"/>
                    </w:rPr>
                  </w:pPr>
                </w:p>
              </w:tc>
            </w:tr>
            <w:tr w14:paraId="75C8D596">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5F877DD4">
                  <w:pPr>
                    <w:snapToGrid w:val="0"/>
                    <w:spacing w:line="240" w:lineRule="auto"/>
                    <w:ind w:firstLine="103" w:firstLineChars="49"/>
                    <w:rPr>
                      <w:rFonts w:hint="default" w:ascii="Times New Roman" w:hAnsi="Times New Roman" w:eastAsia="黑体" w:cs="Times New Roman"/>
                      <w:b/>
                      <w:bCs/>
                      <w:color w:val="auto"/>
                      <w:sz w:val="21"/>
                      <w:szCs w:val="21"/>
                      <w:highlight w:val="none"/>
                    </w:rPr>
                  </w:pPr>
                  <w:r>
                    <w:rPr>
                      <w:rFonts w:hint="default" w:ascii="Times New Roman" w:hAnsi="Times New Roman" w:cs="Times New Roman"/>
                      <w:b/>
                      <w:bCs/>
                      <w:color w:val="auto"/>
                      <w:sz w:val="21"/>
                      <w:szCs w:val="21"/>
                      <w:highlight w:val="none"/>
                    </w:rPr>
                    <w:t>1</w:t>
                  </w:r>
                </w:p>
              </w:tc>
              <w:tc>
                <w:tcPr>
                  <w:tcW w:w="3237" w:type="dxa"/>
                  <w:tcBorders>
                    <w:top w:val="single" w:color="auto" w:sz="8" w:space="0"/>
                    <w:left w:val="nil"/>
                    <w:bottom w:val="single" w:color="auto" w:sz="8" w:space="0"/>
                    <w:right w:val="single" w:color="auto" w:sz="8" w:space="0"/>
                  </w:tcBorders>
                  <w:noWrap w:val="0"/>
                  <w:vAlign w:val="center"/>
                </w:tcPr>
                <w:p w14:paraId="5074D509">
                  <w:pPr>
                    <w:snapToGrid w:val="0"/>
                    <w:spacing w:line="240" w:lineRule="auto"/>
                    <w:ind w:firstLine="36" w:firstLineChars="17"/>
                    <w:rPr>
                      <w:rFonts w:hint="default" w:ascii="Times New Roman" w:hAnsi="Times New Roman" w:eastAsia="黑体" w:cs="Times New Roman"/>
                      <w:b/>
                      <w:bCs/>
                      <w:color w:val="auto"/>
                      <w:sz w:val="21"/>
                      <w:szCs w:val="21"/>
                      <w:highlight w:val="none"/>
                    </w:rPr>
                  </w:pPr>
                  <w:r>
                    <w:rPr>
                      <w:rFonts w:hint="default" w:ascii="Times New Roman" w:hAnsi="Times New Roman" w:cs="Times New Roman"/>
                      <w:b/>
                      <w:bCs/>
                      <w:color w:val="auto"/>
                      <w:sz w:val="21"/>
                      <w:szCs w:val="21"/>
                      <w:highlight w:val="none"/>
                    </w:rPr>
                    <w:t>声环境污染治理</w:t>
                  </w:r>
                </w:p>
              </w:tc>
              <w:tc>
                <w:tcPr>
                  <w:tcW w:w="842" w:type="dxa"/>
                  <w:tcBorders>
                    <w:top w:val="single" w:color="auto" w:sz="8" w:space="0"/>
                    <w:left w:val="nil"/>
                    <w:bottom w:val="single" w:color="auto" w:sz="8" w:space="0"/>
                    <w:right w:val="single" w:color="auto" w:sz="8" w:space="0"/>
                  </w:tcBorders>
                  <w:noWrap w:val="0"/>
                  <w:vAlign w:val="center"/>
                </w:tcPr>
                <w:p w14:paraId="60581B37">
                  <w:pPr>
                    <w:snapToGrid w:val="0"/>
                    <w:spacing w:line="240" w:lineRule="auto"/>
                    <w:jc w:val="center"/>
                    <w:rPr>
                      <w:rFonts w:hint="default" w:ascii="Times New Roman" w:hAnsi="Times New Roman" w:eastAsia="黑体" w:cs="Times New Roman"/>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75EAB485">
                  <w:pPr>
                    <w:snapToGrid w:val="0"/>
                    <w:spacing w:line="240" w:lineRule="auto"/>
                    <w:jc w:val="center"/>
                    <w:rPr>
                      <w:rFonts w:hint="default" w:ascii="Times New Roman" w:hAnsi="Times New Roman" w:eastAsia="黑体" w:cs="Times New Roman"/>
                      <w:b/>
                      <w:bCs/>
                      <w:color w:val="auto"/>
                      <w:sz w:val="21"/>
                      <w:szCs w:val="21"/>
                      <w:highlight w:val="none"/>
                      <w:lang w:val="en-US" w:eastAsia="zh-CN"/>
                    </w:rPr>
                  </w:pPr>
                  <w:r>
                    <w:rPr>
                      <w:rFonts w:hint="eastAsia" w:eastAsia="黑体" w:cs="Times New Roman"/>
                      <w:b/>
                      <w:bCs/>
                      <w:color w:val="auto"/>
                      <w:sz w:val="21"/>
                      <w:szCs w:val="21"/>
                      <w:highlight w:val="none"/>
                      <w:lang w:val="en-US" w:eastAsia="zh-CN"/>
                    </w:rPr>
                    <w:t>55</w:t>
                  </w:r>
                </w:p>
              </w:tc>
              <w:tc>
                <w:tcPr>
                  <w:tcW w:w="2448" w:type="dxa"/>
                  <w:tcBorders>
                    <w:top w:val="single" w:color="auto" w:sz="8" w:space="0"/>
                    <w:left w:val="nil"/>
                    <w:bottom w:val="single" w:color="auto" w:sz="8" w:space="0"/>
                    <w:right w:val="single" w:color="auto" w:sz="8" w:space="0"/>
                  </w:tcBorders>
                  <w:noWrap w:val="0"/>
                  <w:vAlign w:val="center"/>
                </w:tcPr>
                <w:p w14:paraId="76D714FC">
                  <w:pPr>
                    <w:snapToGrid w:val="0"/>
                    <w:spacing w:line="240" w:lineRule="auto"/>
                    <w:rPr>
                      <w:rFonts w:hint="default" w:ascii="Times New Roman" w:hAnsi="Times New Roman" w:eastAsia="黑体" w:cs="Times New Roman"/>
                      <w:color w:val="auto"/>
                      <w:sz w:val="21"/>
                      <w:szCs w:val="21"/>
                      <w:highlight w:val="none"/>
                    </w:rPr>
                  </w:pPr>
                </w:p>
              </w:tc>
            </w:tr>
            <w:tr w14:paraId="4B5CCF72">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4B38E16D">
                  <w:pPr>
                    <w:snapToGrid w:val="0"/>
                    <w:spacing w:line="240" w:lineRule="auto"/>
                    <w:ind w:firstLine="102" w:firstLineChars="49"/>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3237" w:type="dxa"/>
                  <w:tcBorders>
                    <w:top w:val="single" w:color="auto" w:sz="8" w:space="0"/>
                    <w:left w:val="nil"/>
                    <w:bottom w:val="single" w:color="auto" w:sz="8" w:space="0"/>
                    <w:right w:val="single" w:color="auto" w:sz="8" w:space="0"/>
                  </w:tcBorders>
                  <w:noWrap w:val="0"/>
                  <w:vAlign w:val="center"/>
                </w:tcPr>
                <w:p w14:paraId="3BBB0D5C">
                  <w:pPr>
                    <w:snapToGrid w:val="0"/>
                    <w:spacing w:line="240" w:lineRule="auto"/>
                    <w:ind w:firstLine="35" w:firstLineChars="17"/>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简易围挡</w:t>
                  </w:r>
                </w:p>
              </w:tc>
              <w:tc>
                <w:tcPr>
                  <w:tcW w:w="842" w:type="dxa"/>
                  <w:tcBorders>
                    <w:top w:val="single" w:color="auto" w:sz="8" w:space="0"/>
                    <w:left w:val="nil"/>
                    <w:bottom w:val="single" w:color="auto" w:sz="8" w:space="0"/>
                    <w:right w:val="single" w:color="auto" w:sz="8" w:space="0"/>
                  </w:tcBorders>
                  <w:noWrap w:val="0"/>
                  <w:vAlign w:val="center"/>
                </w:tcPr>
                <w:p w14:paraId="7CD3DD7A">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6E5BD930">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50</w:t>
                  </w:r>
                </w:p>
              </w:tc>
              <w:tc>
                <w:tcPr>
                  <w:tcW w:w="2448" w:type="dxa"/>
                  <w:tcBorders>
                    <w:top w:val="single" w:color="auto" w:sz="8" w:space="0"/>
                    <w:left w:val="nil"/>
                    <w:bottom w:val="single" w:color="auto" w:sz="8" w:space="0"/>
                    <w:right w:val="single" w:color="auto" w:sz="8" w:space="0"/>
                  </w:tcBorders>
                  <w:noWrap w:val="0"/>
                  <w:vAlign w:val="center"/>
                </w:tcPr>
                <w:p w14:paraId="55DB18EF">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环评提出</w:t>
                  </w:r>
                </w:p>
              </w:tc>
            </w:tr>
            <w:tr w14:paraId="3147F99E">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3435925E">
                  <w:pPr>
                    <w:snapToGrid w:val="0"/>
                    <w:spacing w:line="240" w:lineRule="auto"/>
                    <w:ind w:firstLine="102" w:firstLineChars="49"/>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3237" w:type="dxa"/>
                  <w:tcBorders>
                    <w:top w:val="single" w:color="auto" w:sz="8" w:space="0"/>
                    <w:left w:val="nil"/>
                    <w:bottom w:val="single" w:color="auto" w:sz="8" w:space="0"/>
                    <w:right w:val="single" w:color="auto" w:sz="8" w:space="0"/>
                  </w:tcBorders>
                  <w:noWrap w:val="0"/>
                  <w:vAlign w:val="center"/>
                </w:tcPr>
                <w:p w14:paraId="7743F3DD">
                  <w:pPr>
                    <w:snapToGrid w:val="0"/>
                    <w:spacing w:line="240" w:lineRule="auto"/>
                    <w:ind w:firstLine="35" w:firstLineChars="17"/>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禁鸣、限速标志</w:t>
                  </w:r>
                </w:p>
              </w:tc>
              <w:tc>
                <w:tcPr>
                  <w:tcW w:w="842" w:type="dxa"/>
                  <w:tcBorders>
                    <w:top w:val="single" w:color="auto" w:sz="8" w:space="0"/>
                    <w:left w:val="nil"/>
                    <w:bottom w:val="single" w:color="auto" w:sz="8" w:space="0"/>
                    <w:right w:val="single" w:color="auto" w:sz="8" w:space="0"/>
                  </w:tcBorders>
                  <w:noWrap w:val="0"/>
                  <w:vAlign w:val="center"/>
                </w:tcPr>
                <w:p w14:paraId="0B590875">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3434B541">
                  <w:pPr>
                    <w:snapToGrid w:val="0"/>
                    <w:spacing w:line="240" w:lineRule="auto"/>
                    <w:jc w:val="center"/>
                    <w:rPr>
                      <w:rFonts w:hint="eastAsia"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5</w:t>
                  </w:r>
                </w:p>
              </w:tc>
              <w:tc>
                <w:tcPr>
                  <w:tcW w:w="2448" w:type="dxa"/>
                  <w:tcBorders>
                    <w:top w:val="single" w:color="auto" w:sz="8" w:space="0"/>
                    <w:left w:val="nil"/>
                    <w:bottom w:val="single" w:color="auto" w:sz="8" w:space="0"/>
                    <w:right w:val="single" w:color="auto" w:sz="8" w:space="0"/>
                  </w:tcBorders>
                  <w:noWrap w:val="0"/>
                  <w:vAlign w:val="center"/>
                </w:tcPr>
                <w:p w14:paraId="2E812DBF">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环评提出</w:t>
                  </w:r>
                </w:p>
              </w:tc>
            </w:tr>
            <w:tr w14:paraId="6F7FF0A1">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0304F8C0">
                  <w:pPr>
                    <w:snapToGrid w:val="0"/>
                    <w:spacing w:line="240" w:lineRule="auto"/>
                    <w:ind w:firstLine="103" w:firstLineChars="49"/>
                    <w:rPr>
                      <w:rFonts w:hint="default" w:ascii="Times New Roman" w:hAnsi="Times New Roman" w:eastAsia="黑体" w:cs="Times New Roman"/>
                      <w:b/>
                      <w:bCs/>
                      <w:color w:val="auto"/>
                      <w:sz w:val="21"/>
                      <w:szCs w:val="21"/>
                      <w:highlight w:val="none"/>
                    </w:rPr>
                  </w:pPr>
                  <w:r>
                    <w:rPr>
                      <w:rFonts w:hint="default" w:ascii="Times New Roman" w:hAnsi="Times New Roman" w:cs="Times New Roman"/>
                      <w:b/>
                      <w:bCs/>
                      <w:color w:val="auto"/>
                      <w:sz w:val="21"/>
                      <w:szCs w:val="21"/>
                      <w:highlight w:val="none"/>
                    </w:rPr>
                    <w:t>2</w:t>
                  </w:r>
                </w:p>
              </w:tc>
              <w:tc>
                <w:tcPr>
                  <w:tcW w:w="3237" w:type="dxa"/>
                  <w:tcBorders>
                    <w:top w:val="single" w:color="auto" w:sz="8" w:space="0"/>
                    <w:left w:val="nil"/>
                    <w:bottom w:val="single" w:color="auto" w:sz="8" w:space="0"/>
                    <w:right w:val="single" w:color="auto" w:sz="8" w:space="0"/>
                  </w:tcBorders>
                  <w:noWrap w:val="0"/>
                  <w:vAlign w:val="center"/>
                </w:tcPr>
                <w:p w14:paraId="30F03099">
                  <w:pPr>
                    <w:snapToGrid w:val="0"/>
                    <w:spacing w:line="240" w:lineRule="auto"/>
                    <w:ind w:firstLine="36" w:firstLineChars="17"/>
                    <w:rPr>
                      <w:rFonts w:hint="default" w:ascii="Times New Roman" w:hAnsi="Times New Roman" w:eastAsia="黑体" w:cs="Times New Roman"/>
                      <w:b/>
                      <w:bCs/>
                      <w:color w:val="auto"/>
                      <w:sz w:val="21"/>
                      <w:szCs w:val="21"/>
                      <w:highlight w:val="none"/>
                    </w:rPr>
                  </w:pPr>
                  <w:r>
                    <w:rPr>
                      <w:rFonts w:hint="default" w:ascii="Times New Roman" w:hAnsi="Times New Roman" w:cs="Times New Roman"/>
                      <w:b/>
                      <w:bCs/>
                      <w:color w:val="auto"/>
                      <w:sz w:val="21"/>
                      <w:szCs w:val="21"/>
                      <w:highlight w:val="none"/>
                    </w:rPr>
                    <w:t>环境空气污染治理</w:t>
                  </w:r>
                </w:p>
              </w:tc>
              <w:tc>
                <w:tcPr>
                  <w:tcW w:w="842" w:type="dxa"/>
                  <w:tcBorders>
                    <w:top w:val="single" w:color="auto" w:sz="8" w:space="0"/>
                    <w:left w:val="nil"/>
                    <w:bottom w:val="single" w:color="auto" w:sz="8" w:space="0"/>
                    <w:right w:val="single" w:color="auto" w:sz="8" w:space="0"/>
                  </w:tcBorders>
                  <w:noWrap w:val="0"/>
                  <w:vAlign w:val="center"/>
                </w:tcPr>
                <w:p w14:paraId="7C13698F">
                  <w:pPr>
                    <w:snapToGrid w:val="0"/>
                    <w:spacing w:line="240" w:lineRule="auto"/>
                    <w:jc w:val="center"/>
                    <w:rPr>
                      <w:rFonts w:hint="default" w:ascii="Times New Roman" w:hAnsi="Times New Roman" w:eastAsia="黑体" w:cs="Times New Roman"/>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534A8EC3">
                  <w:pPr>
                    <w:snapToGrid w:val="0"/>
                    <w:spacing w:line="240" w:lineRule="auto"/>
                    <w:jc w:val="center"/>
                    <w:rPr>
                      <w:rFonts w:hint="default" w:ascii="Times New Roman" w:hAnsi="Times New Roman" w:eastAsia="黑体" w:cs="Times New Roman"/>
                      <w:b/>
                      <w:bCs/>
                      <w:color w:val="auto"/>
                      <w:sz w:val="21"/>
                      <w:szCs w:val="21"/>
                      <w:highlight w:val="none"/>
                      <w:lang w:val="en-US" w:eastAsia="zh-CN"/>
                    </w:rPr>
                  </w:pPr>
                  <w:r>
                    <w:rPr>
                      <w:rFonts w:hint="eastAsia" w:eastAsia="黑体" w:cs="Times New Roman"/>
                      <w:b/>
                      <w:bCs/>
                      <w:color w:val="auto"/>
                      <w:sz w:val="21"/>
                      <w:szCs w:val="21"/>
                      <w:highlight w:val="none"/>
                      <w:lang w:val="en-US" w:eastAsia="zh-CN"/>
                    </w:rPr>
                    <w:t>15</w:t>
                  </w:r>
                </w:p>
              </w:tc>
              <w:tc>
                <w:tcPr>
                  <w:tcW w:w="2448" w:type="dxa"/>
                  <w:tcBorders>
                    <w:top w:val="single" w:color="auto" w:sz="8" w:space="0"/>
                    <w:left w:val="nil"/>
                    <w:bottom w:val="single" w:color="auto" w:sz="8" w:space="0"/>
                    <w:right w:val="single" w:color="auto" w:sz="8" w:space="0"/>
                  </w:tcBorders>
                  <w:noWrap w:val="0"/>
                  <w:vAlign w:val="center"/>
                </w:tcPr>
                <w:p w14:paraId="75481B26">
                  <w:pPr>
                    <w:snapToGrid w:val="0"/>
                    <w:spacing w:line="240" w:lineRule="auto"/>
                    <w:jc w:val="center"/>
                    <w:rPr>
                      <w:rFonts w:hint="default" w:ascii="Times New Roman" w:hAnsi="Times New Roman" w:eastAsia="黑体" w:cs="Times New Roman"/>
                      <w:color w:val="auto"/>
                      <w:sz w:val="21"/>
                      <w:szCs w:val="21"/>
                      <w:highlight w:val="none"/>
                    </w:rPr>
                  </w:pPr>
                </w:p>
              </w:tc>
            </w:tr>
            <w:tr w14:paraId="7A0FFD6C">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784923A2">
                  <w:pPr>
                    <w:snapToGrid w:val="0"/>
                    <w:spacing w:line="240" w:lineRule="auto"/>
                    <w:ind w:firstLine="102" w:firstLineChars="49"/>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3237" w:type="dxa"/>
                  <w:tcBorders>
                    <w:top w:val="single" w:color="auto" w:sz="8" w:space="0"/>
                    <w:left w:val="nil"/>
                    <w:bottom w:val="single" w:color="auto" w:sz="8" w:space="0"/>
                    <w:right w:val="single" w:color="auto" w:sz="8" w:space="0"/>
                  </w:tcBorders>
                  <w:noWrap w:val="0"/>
                  <w:vAlign w:val="center"/>
                </w:tcPr>
                <w:p w14:paraId="12324C07">
                  <w:pPr>
                    <w:snapToGrid w:val="0"/>
                    <w:spacing w:line="240" w:lineRule="auto"/>
                    <w:ind w:firstLine="35" w:firstLineChars="1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施工期</w:t>
                  </w:r>
                  <w:r>
                    <w:rPr>
                      <w:rFonts w:hint="eastAsia" w:cs="Times New Roman"/>
                      <w:color w:val="auto"/>
                      <w:sz w:val="21"/>
                      <w:szCs w:val="21"/>
                      <w:highlight w:val="none"/>
                      <w:lang w:val="en-US" w:eastAsia="zh-CN"/>
                    </w:rPr>
                    <w:t>洒水雾炮机6台</w:t>
                  </w:r>
                </w:p>
              </w:tc>
              <w:tc>
                <w:tcPr>
                  <w:tcW w:w="842" w:type="dxa"/>
                  <w:tcBorders>
                    <w:top w:val="single" w:color="auto" w:sz="8" w:space="0"/>
                    <w:left w:val="nil"/>
                    <w:bottom w:val="single" w:color="auto" w:sz="8" w:space="0"/>
                    <w:right w:val="single" w:color="auto" w:sz="8" w:space="0"/>
                  </w:tcBorders>
                  <w:noWrap w:val="0"/>
                  <w:vAlign w:val="center"/>
                </w:tcPr>
                <w:p w14:paraId="69964D92">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29DE7B93">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10</w:t>
                  </w:r>
                </w:p>
              </w:tc>
              <w:tc>
                <w:tcPr>
                  <w:tcW w:w="2448" w:type="dxa"/>
                  <w:tcBorders>
                    <w:top w:val="single" w:color="auto" w:sz="8" w:space="0"/>
                    <w:left w:val="nil"/>
                    <w:bottom w:val="single" w:color="auto" w:sz="8" w:space="0"/>
                    <w:right w:val="single" w:color="auto" w:sz="8" w:space="0"/>
                  </w:tcBorders>
                  <w:noWrap w:val="0"/>
                  <w:vAlign w:val="center"/>
                </w:tcPr>
                <w:p w14:paraId="6072DD5C">
                  <w:pPr>
                    <w:snapToGrid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cs="Times New Roman"/>
                      <w:color w:val="auto"/>
                      <w:sz w:val="21"/>
                      <w:szCs w:val="21"/>
                      <w:highlight w:val="none"/>
                    </w:rPr>
                    <w:t>环评提出</w:t>
                  </w:r>
                </w:p>
              </w:tc>
            </w:tr>
            <w:tr w14:paraId="3D2D86AF">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7BFA6853">
                  <w:pPr>
                    <w:snapToGrid w:val="0"/>
                    <w:spacing w:line="240" w:lineRule="auto"/>
                    <w:ind w:firstLine="102" w:firstLineChars="49"/>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2.2</w:t>
                  </w:r>
                </w:p>
              </w:tc>
              <w:tc>
                <w:tcPr>
                  <w:tcW w:w="3237" w:type="dxa"/>
                  <w:tcBorders>
                    <w:top w:val="single" w:color="auto" w:sz="8" w:space="0"/>
                    <w:left w:val="nil"/>
                    <w:bottom w:val="single" w:color="auto" w:sz="8" w:space="0"/>
                    <w:right w:val="single" w:color="auto" w:sz="8" w:space="0"/>
                  </w:tcBorders>
                  <w:noWrap w:val="0"/>
                  <w:vAlign w:val="center"/>
                </w:tcPr>
                <w:p w14:paraId="50C9E622">
                  <w:pPr>
                    <w:snapToGrid w:val="0"/>
                    <w:spacing w:line="240" w:lineRule="auto"/>
                    <w:ind w:firstLine="35" w:firstLineChars="17"/>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材料运输车辆覆盖篷布</w:t>
                  </w:r>
                </w:p>
              </w:tc>
              <w:tc>
                <w:tcPr>
                  <w:tcW w:w="842" w:type="dxa"/>
                  <w:tcBorders>
                    <w:top w:val="single" w:color="auto" w:sz="8" w:space="0"/>
                    <w:left w:val="nil"/>
                    <w:bottom w:val="single" w:color="auto" w:sz="8" w:space="0"/>
                    <w:right w:val="single" w:color="auto" w:sz="8" w:space="0"/>
                  </w:tcBorders>
                  <w:noWrap w:val="0"/>
                  <w:vAlign w:val="center"/>
                </w:tcPr>
                <w:p w14:paraId="6BC6CA12">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29B64855">
                  <w:pPr>
                    <w:snapToGrid w:val="0"/>
                    <w:spacing w:line="240" w:lineRule="auto"/>
                    <w:jc w:val="center"/>
                    <w:rPr>
                      <w:rFonts w:hint="eastAsia"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5</w:t>
                  </w:r>
                </w:p>
              </w:tc>
              <w:tc>
                <w:tcPr>
                  <w:tcW w:w="2448" w:type="dxa"/>
                  <w:tcBorders>
                    <w:top w:val="single" w:color="auto" w:sz="8" w:space="0"/>
                    <w:left w:val="nil"/>
                    <w:bottom w:val="single" w:color="auto" w:sz="8" w:space="0"/>
                    <w:right w:val="single" w:color="auto" w:sz="8" w:space="0"/>
                  </w:tcBorders>
                  <w:noWrap w:val="0"/>
                  <w:vAlign w:val="center"/>
                </w:tcPr>
                <w:p w14:paraId="57A8C718">
                  <w:pPr>
                    <w:snapToGrid w:val="0"/>
                    <w:spacing w:line="240" w:lineRule="auto"/>
                    <w:jc w:val="center"/>
                    <w:rPr>
                      <w:rFonts w:ascii="Times New Roman" w:hAnsi="Times New Roman" w:eastAsia="黑体" w:cs="Times New Roman"/>
                      <w:color w:val="auto"/>
                      <w:sz w:val="21"/>
                      <w:szCs w:val="21"/>
                      <w:highlight w:val="none"/>
                    </w:rPr>
                  </w:pPr>
                  <w:r>
                    <w:rPr>
                      <w:rFonts w:hint="eastAsia" w:ascii="宋体" w:hAnsi="宋体" w:cs="Times New Roman"/>
                      <w:color w:val="auto"/>
                      <w:sz w:val="21"/>
                      <w:szCs w:val="21"/>
                      <w:highlight w:val="none"/>
                    </w:rPr>
                    <w:t>环评提出</w:t>
                  </w:r>
                </w:p>
              </w:tc>
            </w:tr>
            <w:tr w14:paraId="5C65957C">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413203A8">
                  <w:pPr>
                    <w:snapToGrid w:val="0"/>
                    <w:spacing w:line="240" w:lineRule="auto"/>
                    <w:ind w:firstLine="103" w:firstLineChars="49"/>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3</w:t>
                  </w:r>
                </w:p>
              </w:tc>
              <w:tc>
                <w:tcPr>
                  <w:tcW w:w="3237" w:type="dxa"/>
                  <w:tcBorders>
                    <w:top w:val="single" w:color="auto" w:sz="8" w:space="0"/>
                    <w:left w:val="nil"/>
                    <w:bottom w:val="single" w:color="auto" w:sz="8" w:space="0"/>
                    <w:right w:val="single" w:color="auto" w:sz="8" w:space="0"/>
                  </w:tcBorders>
                  <w:noWrap w:val="0"/>
                  <w:vAlign w:val="center"/>
                </w:tcPr>
                <w:p w14:paraId="37A8CF30">
                  <w:pPr>
                    <w:snapToGrid w:val="0"/>
                    <w:spacing w:line="240" w:lineRule="auto"/>
                    <w:ind w:firstLine="36" w:firstLineChars="17"/>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地表水污染治理</w:t>
                  </w:r>
                </w:p>
              </w:tc>
              <w:tc>
                <w:tcPr>
                  <w:tcW w:w="842" w:type="dxa"/>
                  <w:tcBorders>
                    <w:top w:val="single" w:color="auto" w:sz="8" w:space="0"/>
                    <w:left w:val="nil"/>
                    <w:bottom w:val="single" w:color="auto" w:sz="8" w:space="0"/>
                    <w:right w:val="single" w:color="auto" w:sz="8" w:space="0"/>
                  </w:tcBorders>
                  <w:noWrap w:val="0"/>
                  <w:vAlign w:val="center"/>
                </w:tcPr>
                <w:p w14:paraId="2F917EB4">
                  <w:pPr>
                    <w:snapToGrid w:val="0"/>
                    <w:spacing w:line="240" w:lineRule="auto"/>
                    <w:jc w:val="center"/>
                    <w:rPr>
                      <w:rFonts w:ascii="Times New Roman" w:hAnsi="Times New Roman" w:eastAsia="黑体" w:cs="Times New Roman"/>
                      <w:b/>
                      <w:bCs/>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6CEA114C">
                  <w:pPr>
                    <w:snapToGrid w:val="0"/>
                    <w:spacing w:line="240" w:lineRule="auto"/>
                    <w:jc w:val="center"/>
                    <w:rPr>
                      <w:rFonts w:hint="default" w:ascii="Times New Roman" w:hAnsi="Times New Roman" w:eastAsia="黑体" w:cs="Times New Roman"/>
                      <w:b/>
                      <w:bCs/>
                      <w:color w:val="auto"/>
                      <w:sz w:val="21"/>
                      <w:szCs w:val="21"/>
                      <w:highlight w:val="none"/>
                      <w:lang w:val="en-US" w:eastAsia="zh-CN"/>
                    </w:rPr>
                  </w:pPr>
                  <w:r>
                    <w:rPr>
                      <w:rFonts w:hint="eastAsia" w:eastAsia="黑体" w:cs="Times New Roman"/>
                      <w:b/>
                      <w:bCs/>
                      <w:color w:val="auto"/>
                      <w:sz w:val="21"/>
                      <w:szCs w:val="21"/>
                      <w:highlight w:val="none"/>
                      <w:lang w:val="en-US" w:eastAsia="zh-CN"/>
                    </w:rPr>
                    <w:t>28</w:t>
                  </w:r>
                </w:p>
              </w:tc>
              <w:tc>
                <w:tcPr>
                  <w:tcW w:w="2448" w:type="dxa"/>
                  <w:tcBorders>
                    <w:top w:val="single" w:color="auto" w:sz="8" w:space="0"/>
                    <w:left w:val="nil"/>
                    <w:bottom w:val="single" w:color="auto" w:sz="8" w:space="0"/>
                    <w:right w:val="single" w:color="auto" w:sz="8" w:space="0"/>
                  </w:tcBorders>
                  <w:noWrap w:val="0"/>
                  <w:vAlign w:val="center"/>
                </w:tcPr>
                <w:p w14:paraId="4FA3BA3E">
                  <w:pPr>
                    <w:snapToGrid w:val="0"/>
                    <w:spacing w:line="240" w:lineRule="auto"/>
                    <w:jc w:val="center"/>
                    <w:rPr>
                      <w:rFonts w:ascii="Times New Roman" w:hAnsi="Times New Roman" w:eastAsia="黑体" w:cs="Times New Roman"/>
                      <w:color w:val="auto"/>
                      <w:sz w:val="21"/>
                      <w:szCs w:val="21"/>
                      <w:highlight w:val="none"/>
                    </w:rPr>
                  </w:pPr>
                </w:p>
              </w:tc>
            </w:tr>
            <w:tr w14:paraId="18DF8287">
              <w:tblPrEx>
                <w:tblCellMar>
                  <w:top w:w="0" w:type="dxa"/>
                  <w:left w:w="108" w:type="dxa"/>
                  <w:bottom w:w="0" w:type="dxa"/>
                  <w:right w:w="108" w:type="dxa"/>
                </w:tblCellMar>
              </w:tblPrEx>
              <w:trPr>
                <w:trHeight w:val="390"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36CD52DF">
                  <w:pPr>
                    <w:snapToGrid w:val="0"/>
                    <w:spacing w:line="240" w:lineRule="auto"/>
                    <w:ind w:firstLine="102" w:firstLineChars="49"/>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3.1</w:t>
                  </w:r>
                </w:p>
              </w:tc>
              <w:tc>
                <w:tcPr>
                  <w:tcW w:w="3237" w:type="dxa"/>
                  <w:tcBorders>
                    <w:top w:val="single" w:color="auto" w:sz="8" w:space="0"/>
                    <w:left w:val="nil"/>
                    <w:bottom w:val="single" w:color="auto" w:sz="8" w:space="0"/>
                    <w:right w:val="single" w:color="auto" w:sz="8" w:space="0"/>
                  </w:tcBorders>
                  <w:noWrap w:val="0"/>
                  <w:vAlign w:val="center"/>
                </w:tcPr>
                <w:p w14:paraId="7E514774">
                  <w:pPr>
                    <w:snapToGrid w:val="0"/>
                    <w:spacing w:line="240" w:lineRule="auto"/>
                    <w:ind w:firstLine="35" w:firstLineChars="17"/>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临时排水沟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长2km</w:t>
                  </w:r>
                  <w:r>
                    <w:rPr>
                      <w:rFonts w:hint="eastAsia" w:cs="Times New Roman"/>
                      <w:color w:val="auto"/>
                      <w:sz w:val="21"/>
                      <w:szCs w:val="21"/>
                      <w:highlight w:val="none"/>
                      <w:lang w:eastAsia="zh-CN"/>
                    </w:rPr>
                    <w:t>）</w:t>
                  </w:r>
                </w:p>
              </w:tc>
              <w:tc>
                <w:tcPr>
                  <w:tcW w:w="842" w:type="dxa"/>
                  <w:tcBorders>
                    <w:top w:val="single" w:color="auto" w:sz="8" w:space="0"/>
                    <w:left w:val="nil"/>
                    <w:bottom w:val="single" w:color="auto" w:sz="8" w:space="0"/>
                    <w:right w:val="single" w:color="auto" w:sz="8" w:space="0"/>
                  </w:tcBorders>
                  <w:noWrap w:val="0"/>
                  <w:vAlign w:val="center"/>
                </w:tcPr>
                <w:p w14:paraId="6F4E30F1">
                  <w:pPr>
                    <w:snapToGrid w:val="0"/>
                    <w:spacing w:line="240" w:lineRule="auto"/>
                    <w:jc w:val="center"/>
                    <w:rPr>
                      <w:rFonts w:ascii="Times New Roman" w:hAnsi="Times New Roman" w:eastAsia="黑体" w:cs="Times New Roman"/>
                      <w:color w:val="auto"/>
                      <w:sz w:val="21"/>
                      <w:szCs w:val="21"/>
                      <w:highlight w:val="none"/>
                    </w:rPr>
                  </w:pPr>
                  <w:r>
                    <w:rPr>
                      <w:rFonts w:hint="eastAsia"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1CF89EDC">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10</w:t>
                  </w:r>
                </w:p>
              </w:tc>
              <w:tc>
                <w:tcPr>
                  <w:tcW w:w="2448" w:type="dxa"/>
                  <w:tcBorders>
                    <w:top w:val="single" w:color="auto" w:sz="8" w:space="0"/>
                    <w:left w:val="nil"/>
                    <w:bottom w:val="single" w:color="auto" w:sz="8" w:space="0"/>
                    <w:right w:val="single" w:color="auto" w:sz="8" w:space="0"/>
                  </w:tcBorders>
                  <w:noWrap w:val="0"/>
                  <w:vAlign w:val="center"/>
                </w:tcPr>
                <w:p w14:paraId="2C2EC2A4">
                  <w:pPr>
                    <w:snapToGrid w:val="0"/>
                    <w:spacing w:line="240" w:lineRule="auto"/>
                    <w:jc w:val="center"/>
                    <w:rPr>
                      <w:rFonts w:ascii="Times New Roman" w:hAnsi="Times New Roman" w:eastAsia="黑体" w:cs="Times New Roman"/>
                      <w:color w:val="auto"/>
                      <w:sz w:val="21"/>
                      <w:szCs w:val="21"/>
                      <w:highlight w:val="none"/>
                    </w:rPr>
                  </w:pPr>
                  <w:r>
                    <w:rPr>
                      <w:rFonts w:hint="eastAsia" w:ascii="Times New Roman" w:hAnsi="Times New Roman" w:cs="Times New Roman"/>
                      <w:color w:val="auto"/>
                      <w:sz w:val="21"/>
                      <w:szCs w:val="21"/>
                      <w:highlight w:val="none"/>
                    </w:rPr>
                    <w:t>环评提出</w:t>
                  </w:r>
                </w:p>
              </w:tc>
            </w:tr>
            <w:tr w14:paraId="1F558C3D">
              <w:tblPrEx>
                <w:tblCellMar>
                  <w:top w:w="0" w:type="dxa"/>
                  <w:left w:w="108" w:type="dxa"/>
                  <w:bottom w:w="0" w:type="dxa"/>
                  <w:right w:w="108" w:type="dxa"/>
                </w:tblCellMar>
              </w:tblPrEx>
              <w:trPr>
                <w:trHeight w:val="207"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5A45A5B7">
                  <w:pPr>
                    <w:snapToGrid w:val="0"/>
                    <w:spacing w:line="240" w:lineRule="auto"/>
                    <w:ind w:firstLine="102" w:firstLineChars="4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3237" w:type="dxa"/>
                  <w:tcBorders>
                    <w:top w:val="single" w:color="auto" w:sz="8" w:space="0"/>
                    <w:left w:val="nil"/>
                    <w:bottom w:val="single" w:color="auto" w:sz="8" w:space="0"/>
                    <w:right w:val="single" w:color="auto" w:sz="8" w:space="0"/>
                  </w:tcBorders>
                  <w:noWrap w:val="0"/>
                  <w:vAlign w:val="center"/>
                </w:tcPr>
                <w:p w14:paraId="045C1978">
                  <w:pPr>
                    <w:snapToGrid w:val="0"/>
                    <w:spacing w:line="240" w:lineRule="auto"/>
                    <w:ind w:firstLine="35" w:firstLineChars="17"/>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临时</w:t>
                  </w:r>
                  <w:r>
                    <w:rPr>
                      <w:rFonts w:hint="eastAsia" w:cs="Times New Roman"/>
                      <w:color w:val="auto"/>
                      <w:sz w:val="21"/>
                      <w:szCs w:val="21"/>
                      <w:highlight w:val="none"/>
                      <w:lang w:eastAsia="zh-CN"/>
                    </w:rPr>
                    <w:t>沉砂池（</w:t>
                  </w:r>
                  <w:r>
                    <w:rPr>
                      <w:rFonts w:hint="eastAsia" w:cs="Times New Roman"/>
                      <w:color w:val="auto"/>
                      <w:sz w:val="21"/>
                      <w:szCs w:val="21"/>
                      <w:highlight w:val="none"/>
                      <w:lang w:val="en-US" w:eastAsia="zh-CN"/>
                    </w:rPr>
                    <w:t>10m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eastAsia="zh-CN"/>
                    </w:rPr>
                    <w:t>）</w:t>
                  </w:r>
                </w:p>
              </w:tc>
              <w:tc>
                <w:tcPr>
                  <w:tcW w:w="842" w:type="dxa"/>
                  <w:tcBorders>
                    <w:top w:val="single" w:color="auto" w:sz="8" w:space="0"/>
                    <w:left w:val="nil"/>
                    <w:bottom w:val="single" w:color="auto" w:sz="8" w:space="0"/>
                    <w:right w:val="single" w:color="auto" w:sz="8" w:space="0"/>
                  </w:tcBorders>
                  <w:noWrap w:val="0"/>
                  <w:vAlign w:val="center"/>
                </w:tcPr>
                <w:p w14:paraId="71F48521">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万元</w:t>
                  </w:r>
                </w:p>
              </w:tc>
              <w:tc>
                <w:tcPr>
                  <w:tcW w:w="1065" w:type="dxa"/>
                  <w:tcBorders>
                    <w:top w:val="single" w:color="auto" w:sz="8" w:space="0"/>
                    <w:left w:val="nil"/>
                    <w:bottom w:val="single" w:color="auto" w:sz="8" w:space="0"/>
                    <w:right w:val="single" w:color="auto" w:sz="8" w:space="0"/>
                  </w:tcBorders>
                  <w:noWrap w:val="0"/>
                  <w:vAlign w:val="center"/>
                </w:tcPr>
                <w:p w14:paraId="61B20256">
                  <w:pPr>
                    <w:snapToGrid w:val="0"/>
                    <w:spacing w:line="240" w:lineRule="auto"/>
                    <w:jc w:val="center"/>
                    <w:rPr>
                      <w:rFonts w:hint="default"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5</w:t>
                  </w:r>
                </w:p>
              </w:tc>
              <w:tc>
                <w:tcPr>
                  <w:tcW w:w="2448" w:type="dxa"/>
                  <w:tcBorders>
                    <w:top w:val="single" w:color="auto" w:sz="8" w:space="0"/>
                    <w:left w:val="nil"/>
                    <w:bottom w:val="single" w:color="auto" w:sz="8" w:space="0"/>
                    <w:right w:val="single" w:color="auto" w:sz="8" w:space="0"/>
                  </w:tcBorders>
                  <w:noWrap w:val="0"/>
                  <w:vAlign w:val="center"/>
                </w:tcPr>
                <w:p w14:paraId="34631B36">
                  <w:pPr>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环评提出</w:t>
                  </w:r>
                </w:p>
              </w:tc>
            </w:tr>
            <w:tr w14:paraId="50683F0E">
              <w:tblPrEx>
                <w:tblCellMar>
                  <w:top w:w="0" w:type="dxa"/>
                  <w:left w:w="108" w:type="dxa"/>
                  <w:bottom w:w="0" w:type="dxa"/>
                  <w:right w:w="108" w:type="dxa"/>
                </w:tblCellMar>
              </w:tblPrEx>
              <w:trPr>
                <w:trHeight w:val="207"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141C95E5">
                  <w:pPr>
                    <w:snapToGrid w:val="0"/>
                    <w:spacing w:line="240" w:lineRule="auto"/>
                    <w:ind w:firstLine="102" w:firstLineChars="4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3237" w:type="dxa"/>
                  <w:tcBorders>
                    <w:top w:val="single" w:color="auto" w:sz="8" w:space="0"/>
                    <w:left w:val="nil"/>
                    <w:bottom w:val="single" w:color="auto" w:sz="8" w:space="0"/>
                    <w:right w:val="single" w:color="auto" w:sz="8" w:space="0"/>
                  </w:tcBorders>
                  <w:noWrap w:val="0"/>
                  <w:vAlign w:val="center"/>
                </w:tcPr>
                <w:p w14:paraId="47AA3832">
                  <w:pPr>
                    <w:snapToGrid w:val="0"/>
                    <w:spacing w:line="240" w:lineRule="auto"/>
                    <w:ind w:firstLine="35" w:firstLineChars="17"/>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车辆冲洗系统</w:t>
                  </w:r>
                </w:p>
              </w:tc>
              <w:tc>
                <w:tcPr>
                  <w:tcW w:w="842" w:type="dxa"/>
                  <w:tcBorders>
                    <w:top w:val="single" w:color="auto" w:sz="8" w:space="0"/>
                    <w:left w:val="nil"/>
                    <w:bottom w:val="single" w:color="auto" w:sz="8" w:space="0"/>
                    <w:right w:val="single" w:color="auto" w:sz="8" w:space="0"/>
                  </w:tcBorders>
                  <w:noWrap w:val="0"/>
                  <w:vAlign w:val="center"/>
                </w:tcPr>
                <w:p w14:paraId="4D3983E4">
                  <w:pPr>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万元</w:t>
                  </w:r>
                </w:p>
              </w:tc>
              <w:tc>
                <w:tcPr>
                  <w:tcW w:w="1065" w:type="dxa"/>
                  <w:tcBorders>
                    <w:top w:val="single" w:color="auto" w:sz="8" w:space="0"/>
                    <w:left w:val="nil"/>
                    <w:bottom w:val="single" w:color="auto" w:sz="8" w:space="0"/>
                    <w:right w:val="single" w:color="auto" w:sz="8" w:space="0"/>
                  </w:tcBorders>
                  <w:noWrap w:val="0"/>
                  <w:vAlign w:val="center"/>
                </w:tcPr>
                <w:p w14:paraId="381B1A97">
                  <w:pPr>
                    <w:snapToGrid w:val="0"/>
                    <w:spacing w:line="240" w:lineRule="auto"/>
                    <w:jc w:val="center"/>
                    <w:rPr>
                      <w:rFonts w:hint="default"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3</w:t>
                  </w:r>
                </w:p>
              </w:tc>
              <w:tc>
                <w:tcPr>
                  <w:tcW w:w="2448" w:type="dxa"/>
                  <w:tcBorders>
                    <w:top w:val="single" w:color="auto" w:sz="8" w:space="0"/>
                    <w:left w:val="nil"/>
                    <w:bottom w:val="single" w:color="auto" w:sz="8" w:space="0"/>
                    <w:right w:val="single" w:color="auto" w:sz="8" w:space="0"/>
                  </w:tcBorders>
                  <w:noWrap w:val="0"/>
                  <w:vAlign w:val="center"/>
                </w:tcPr>
                <w:p w14:paraId="5FA82951">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环评提出</w:t>
                  </w:r>
                </w:p>
              </w:tc>
            </w:tr>
            <w:tr w14:paraId="090DC60C">
              <w:tblPrEx>
                <w:tblCellMar>
                  <w:top w:w="0" w:type="dxa"/>
                  <w:left w:w="108" w:type="dxa"/>
                  <w:bottom w:w="0" w:type="dxa"/>
                  <w:right w:w="108" w:type="dxa"/>
                </w:tblCellMar>
              </w:tblPrEx>
              <w:trPr>
                <w:trHeight w:val="207"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64BA9A3D">
                  <w:pPr>
                    <w:snapToGrid w:val="0"/>
                    <w:spacing w:line="240" w:lineRule="auto"/>
                    <w:ind w:firstLine="102" w:firstLineChars="49"/>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3.</w:t>
                  </w:r>
                  <w:r>
                    <w:rPr>
                      <w:rFonts w:hint="eastAsia" w:cs="Times New Roman"/>
                      <w:color w:val="auto"/>
                      <w:sz w:val="21"/>
                      <w:szCs w:val="21"/>
                      <w:highlight w:val="none"/>
                      <w:lang w:val="en-US" w:eastAsia="zh-CN"/>
                    </w:rPr>
                    <w:t>4</w:t>
                  </w:r>
                </w:p>
              </w:tc>
              <w:tc>
                <w:tcPr>
                  <w:tcW w:w="3237" w:type="dxa"/>
                  <w:tcBorders>
                    <w:top w:val="single" w:color="auto" w:sz="8" w:space="0"/>
                    <w:left w:val="nil"/>
                    <w:bottom w:val="single" w:color="auto" w:sz="8" w:space="0"/>
                    <w:right w:val="single" w:color="auto" w:sz="8" w:space="0"/>
                  </w:tcBorders>
                  <w:noWrap w:val="0"/>
                  <w:vAlign w:val="center"/>
                </w:tcPr>
                <w:p w14:paraId="3EC73C39">
                  <w:pPr>
                    <w:snapToGrid w:val="0"/>
                    <w:spacing w:line="240" w:lineRule="auto"/>
                    <w:ind w:firstLine="35" w:firstLineChars="17"/>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管道运行管理和维护</w:t>
                  </w:r>
                </w:p>
              </w:tc>
              <w:tc>
                <w:tcPr>
                  <w:tcW w:w="842" w:type="dxa"/>
                  <w:tcBorders>
                    <w:top w:val="single" w:color="auto" w:sz="8" w:space="0"/>
                    <w:left w:val="nil"/>
                    <w:bottom w:val="single" w:color="auto" w:sz="8" w:space="0"/>
                    <w:right w:val="single" w:color="auto" w:sz="8" w:space="0"/>
                  </w:tcBorders>
                  <w:noWrap w:val="0"/>
                  <w:vAlign w:val="center"/>
                </w:tcPr>
                <w:p w14:paraId="424F09E9">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14C52CD2">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10</w:t>
                  </w:r>
                </w:p>
              </w:tc>
              <w:tc>
                <w:tcPr>
                  <w:tcW w:w="2448" w:type="dxa"/>
                  <w:tcBorders>
                    <w:top w:val="single" w:color="auto" w:sz="8" w:space="0"/>
                    <w:left w:val="nil"/>
                    <w:bottom w:val="single" w:color="auto" w:sz="8" w:space="0"/>
                    <w:right w:val="single" w:color="auto" w:sz="8" w:space="0"/>
                  </w:tcBorders>
                  <w:noWrap w:val="0"/>
                  <w:vAlign w:val="center"/>
                </w:tcPr>
                <w:p w14:paraId="22FF6BEB">
                  <w:pPr>
                    <w:snapToGrid w:val="0"/>
                    <w:spacing w:line="240" w:lineRule="auto"/>
                    <w:jc w:val="center"/>
                    <w:rPr>
                      <w:rFonts w:ascii="Times New Roman" w:hAnsi="Times New Roman" w:eastAsia="黑体" w:cs="Times New Roman"/>
                      <w:color w:val="auto"/>
                      <w:sz w:val="21"/>
                      <w:szCs w:val="21"/>
                      <w:highlight w:val="none"/>
                    </w:rPr>
                  </w:pPr>
                  <w:r>
                    <w:rPr>
                      <w:rFonts w:hint="eastAsia" w:ascii="Times New Roman" w:hAnsi="Times New Roman" w:cs="Times New Roman"/>
                      <w:color w:val="auto"/>
                      <w:sz w:val="21"/>
                      <w:szCs w:val="21"/>
                      <w:highlight w:val="none"/>
                    </w:rPr>
                    <w:t>可研提出</w:t>
                  </w:r>
                </w:p>
              </w:tc>
            </w:tr>
            <w:tr w14:paraId="1F882D2C">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74F74069">
                  <w:pPr>
                    <w:snapToGrid w:val="0"/>
                    <w:spacing w:line="240" w:lineRule="auto"/>
                    <w:ind w:firstLine="103" w:firstLineChars="49"/>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4</w:t>
                  </w:r>
                </w:p>
              </w:tc>
              <w:tc>
                <w:tcPr>
                  <w:tcW w:w="3237" w:type="dxa"/>
                  <w:tcBorders>
                    <w:top w:val="single" w:color="auto" w:sz="8" w:space="0"/>
                    <w:left w:val="nil"/>
                    <w:bottom w:val="single" w:color="auto" w:sz="8" w:space="0"/>
                    <w:right w:val="single" w:color="auto" w:sz="8" w:space="0"/>
                  </w:tcBorders>
                  <w:noWrap w:val="0"/>
                  <w:vAlign w:val="center"/>
                </w:tcPr>
                <w:p w14:paraId="6454EFAD">
                  <w:pPr>
                    <w:snapToGrid w:val="0"/>
                    <w:spacing w:line="240" w:lineRule="auto"/>
                    <w:ind w:firstLine="36" w:firstLineChars="17"/>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固体废物</w:t>
                  </w:r>
                </w:p>
              </w:tc>
              <w:tc>
                <w:tcPr>
                  <w:tcW w:w="842" w:type="dxa"/>
                  <w:tcBorders>
                    <w:top w:val="single" w:color="auto" w:sz="8" w:space="0"/>
                    <w:left w:val="nil"/>
                    <w:bottom w:val="single" w:color="auto" w:sz="8" w:space="0"/>
                    <w:right w:val="single" w:color="auto" w:sz="8" w:space="0"/>
                  </w:tcBorders>
                  <w:noWrap w:val="0"/>
                  <w:vAlign w:val="center"/>
                </w:tcPr>
                <w:p w14:paraId="382D7C87">
                  <w:pPr>
                    <w:snapToGrid w:val="0"/>
                    <w:spacing w:line="240" w:lineRule="auto"/>
                    <w:jc w:val="center"/>
                    <w:rPr>
                      <w:rFonts w:ascii="Times New Roman" w:hAnsi="Times New Roman" w:eastAsia="黑体" w:cs="Times New Roman"/>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17284553">
                  <w:pPr>
                    <w:snapToGrid w:val="0"/>
                    <w:spacing w:line="240" w:lineRule="auto"/>
                    <w:jc w:val="center"/>
                    <w:rPr>
                      <w:rFonts w:hint="default" w:ascii="Times New Roman" w:hAnsi="Times New Roman" w:eastAsia="黑体" w:cs="Times New Roman"/>
                      <w:b/>
                      <w:bCs/>
                      <w:color w:val="auto"/>
                      <w:sz w:val="21"/>
                      <w:szCs w:val="21"/>
                      <w:highlight w:val="none"/>
                      <w:lang w:val="en-US" w:eastAsia="zh-CN"/>
                    </w:rPr>
                  </w:pPr>
                  <w:r>
                    <w:rPr>
                      <w:rFonts w:hint="eastAsia" w:eastAsia="黑体" w:cs="Times New Roman"/>
                      <w:b/>
                      <w:bCs/>
                      <w:color w:val="auto"/>
                      <w:sz w:val="21"/>
                      <w:szCs w:val="21"/>
                      <w:highlight w:val="none"/>
                      <w:lang w:val="en-US" w:eastAsia="zh-CN"/>
                    </w:rPr>
                    <w:t>25</w:t>
                  </w:r>
                </w:p>
              </w:tc>
              <w:tc>
                <w:tcPr>
                  <w:tcW w:w="2448" w:type="dxa"/>
                  <w:tcBorders>
                    <w:top w:val="single" w:color="auto" w:sz="8" w:space="0"/>
                    <w:left w:val="nil"/>
                    <w:bottom w:val="single" w:color="auto" w:sz="8" w:space="0"/>
                    <w:right w:val="single" w:color="auto" w:sz="8" w:space="0"/>
                  </w:tcBorders>
                  <w:noWrap w:val="0"/>
                  <w:vAlign w:val="center"/>
                </w:tcPr>
                <w:p w14:paraId="5D6679E5">
                  <w:pPr>
                    <w:snapToGrid w:val="0"/>
                    <w:spacing w:line="240" w:lineRule="auto"/>
                    <w:jc w:val="center"/>
                    <w:rPr>
                      <w:rFonts w:ascii="Times New Roman" w:hAnsi="Times New Roman" w:eastAsia="黑体" w:cs="Times New Roman"/>
                      <w:color w:val="auto"/>
                      <w:sz w:val="21"/>
                      <w:szCs w:val="21"/>
                      <w:highlight w:val="none"/>
                    </w:rPr>
                  </w:pPr>
                </w:p>
              </w:tc>
            </w:tr>
            <w:tr w14:paraId="79820330">
              <w:tblPrEx>
                <w:tblCellMar>
                  <w:top w:w="0" w:type="dxa"/>
                  <w:left w:w="108" w:type="dxa"/>
                  <w:bottom w:w="0" w:type="dxa"/>
                  <w:right w:w="108" w:type="dxa"/>
                </w:tblCellMar>
              </w:tblPrEx>
              <w:trPr>
                <w:trHeight w:val="22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66DB8E99">
                  <w:pPr>
                    <w:snapToGrid w:val="0"/>
                    <w:spacing w:line="240" w:lineRule="auto"/>
                    <w:ind w:firstLine="102" w:firstLineChars="49"/>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4.1</w:t>
                  </w:r>
                </w:p>
              </w:tc>
              <w:tc>
                <w:tcPr>
                  <w:tcW w:w="3237" w:type="dxa"/>
                  <w:tcBorders>
                    <w:top w:val="single" w:color="auto" w:sz="8" w:space="0"/>
                    <w:left w:val="nil"/>
                    <w:bottom w:val="single" w:color="auto" w:sz="8" w:space="0"/>
                    <w:right w:val="single" w:color="auto" w:sz="8" w:space="0"/>
                  </w:tcBorders>
                  <w:noWrap w:val="0"/>
                  <w:vAlign w:val="center"/>
                </w:tcPr>
                <w:p w14:paraId="478E39D3">
                  <w:pPr>
                    <w:snapToGrid w:val="0"/>
                    <w:spacing w:line="240" w:lineRule="auto"/>
                    <w:rPr>
                      <w:rFonts w:hint="eastAsia" w:ascii="Times New Roman" w:hAnsi="Times New Roman" w:eastAsia="黑体" w:cs="Times New Roman"/>
                      <w:color w:val="0000FF"/>
                      <w:sz w:val="21"/>
                      <w:szCs w:val="21"/>
                      <w:highlight w:val="none"/>
                      <w:lang w:eastAsia="zh-CN"/>
                    </w:rPr>
                  </w:pPr>
                  <w:r>
                    <w:rPr>
                      <w:rFonts w:hint="eastAsia" w:ascii="宋体" w:hAnsi="宋体" w:eastAsia="宋体" w:cs="宋体"/>
                      <w:color w:val="auto"/>
                      <w:sz w:val="21"/>
                      <w:szCs w:val="21"/>
                      <w:highlight w:val="none"/>
                      <w:lang w:eastAsia="zh-CN"/>
                    </w:rPr>
                    <w:t>弃土外运</w:t>
                  </w:r>
                </w:p>
              </w:tc>
              <w:tc>
                <w:tcPr>
                  <w:tcW w:w="842" w:type="dxa"/>
                  <w:tcBorders>
                    <w:top w:val="single" w:color="auto" w:sz="8" w:space="0"/>
                    <w:left w:val="nil"/>
                    <w:bottom w:val="single" w:color="auto" w:sz="8" w:space="0"/>
                    <w:right w:val="single" w:color="auto" w:sz="8" w:space="0"/>
                  </w:tcBorders>
                  <w:noWrap w:val="0"/>
                  <w:vAlign w:val="center"/>
                </w:tcPr>
                <w:p w14:paraId="14FDE1FB">
                  <w:pPr>
                    <w:snapToGrid w:val="0"/>
                    <w:spacing w:line="240" w:lineRule="auto"/>
                    <w:jc w:val="center"/>
                    <w:rPr>
                      <w:rFonts w:ascii="Times New Roman" w:hAnsi="Times New Roman" w:eastAsia="黑体" w:cs="Times New Roman"/>
                      <w:color w:val="0000FF"/>
                      <w:sz w:val="21"/>
                      <w:szCs w:val="21"/>
                      <w:highlight w:val="none"/>
                    </w:rPr>
                  </w:pPr>
                  <w:r>
                    <w:rPr>
                      <w:rFonts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48C5937D">
                  <w:pPr>
                    <w:snapToGrid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2448" w:type="dxa"/>
                  <w:tcBorders>
                    <w:top w:val="single" w:color="auto" w:sz="8" w:space="0"/>
                    <w:left w:val="nil"/>
                    <w:bottom w:val="single" w:color="auto" w:sz="8" w:space="0"/>
                    <w:right w:val="single" w:color="auto" w:sz="8" w:space="0"/>
                  </w:tcBorders>
                  <w:noWrap w:val="0"/>
                  <w:vAlign w:val="center"/>
                </w:tcPr>
                <w:p w14:paraId="23882D18">
                  <w:pPr>
                    <w:snapToGrid w:val="0"/>
                    <w:spacing w:line="240" w:lineRule="auto"/>
                    <w:jc w:val="center"/>
                    <w:rPr>
                      <w:rFonts w:ascii="Times New Roman" w:hAnsi="Times New Roman" w:eastAsia="黑体" w:cs="Times New Roman"/>
                      <w:color w:val="auto"/>
                      <w:sz w:val="21"/>
                      <w:szCs w:val="21"/>
                      <w:highlight w:val="none"/>
                    </w:rPr>
                  </w:pPr>
                  <w:r>
                    <w:rPr>
                      <w:rFonts w:hint="eastAsia" w:ascii="Times New Roman" w:hAnsi="Times New Roman" w:cs="Times New Roman"/>
                      <w:color w:val="auto"/>
                      <w:sz w:val="21"/>
                      <w:szCs w:val="21"/>
                      <w:highlight w:val="none"/>
                    </w:rPr>
                    <w:t>环评提出</w:t>
                  </w:r>
                </w:p>
              </w:tc>
            </w:tr>
            <w:tr w14:paraId="6E980753">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3EA3BCE6">
                  <w:pPr>
                    <w:snapToGrid w:val="0"/>
                    <w:spacing w:line="240" w:lineRule="auto"/>
                    <w:ind w:firstLine="102" w:firstLineChars="49"/>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4.2</w:t>
                  </w:r>
                </w:p>
              </w:tc>
              <w:tc>
                <w:tcPr>
                  <w:tcW w:w="3237" w:type="dxa"/>
                  <w:tcBorders>
                    <w:top w:val="single" w:color="auto" w:sz="8" w:space="0"/>
                    <w:left w:val="nil"/>
                    <w:bottom w:val="single" w:color="auto" w:sz="8" w:space="0"/>
                    <w:right w:val="single" w:color="auto" w:sz="8" w:space="0"/>
                  </w:tcBorders>
                  <w:noWrap w:val="0"/>
                  <w:vAlign w:val="center"/>
                </w:tcPr>
                <w:p w14:paraId="6551A75C">
                  <w:pPr>
                    <w:snapToGrid w:val="0"/>
                    <w:spacing w:line="240" w:lineRule="auto"/>
                    <w:rPr>
                      <w:rFonts w:ascii="Times New Roman" w:hAnsi="Times New Roman" w:eastAsia="黑体" w:cs="Times New Roman"/>
                      <w:b w:val="0"/>
                      <w:bCs w:val="0"/>
                      <w:color w:val="auto"/>
                      <w:sz w:val="21"/>
                      <w:szCs w:val="21"/>
                      <w:highlight w:val="none"/>
                    </w:rPr>
                  </w:pPr>
                  <w:r>
                    <w:rPr>
                      <w:rFonts w:ascii="Times New Roman" w:hAnsi="Times New Roman" w:cs="Times New Roman"/>
                      <w:b w:val="0"/>
                      <w:bCs w:val="0"/>
                      <w:color w:val="auto"/>
                      <w:sz w:val="21"/>
                      <w:szCs w:val="21"/>
                      <w:highlight w:val="none"/>
                    </w:rPr>
                    <w:t>分类回收垃圾桶</w:t>
                  </w:r>
                </w:p>
              </w:tc>
              <w:tc>
                <w:tcPr>
                  <w:tcW w:w="842" w:type="dxa"/>
                  <w:tcBorders>
                    <w:top w:val="single" w:color="auto" w:sz="8" w:space="0"/>
                    <w:left w:val="nil"/>
                    <w:bottom w:val="single" w:color="auto" w:sz="8" w:space="0"/>
                    <w:right w:val="single" w:color="auto" w:sz="8" w:space="0"/>
                  </w:tcBorders>
                  <w:noWrap w:val="0"/>
                  <w:vAlign w:val="center"/>
                </w:tcPr>
                <w:p w14:paraId="76AEA939">
                  <w:pPr>
                    <w:snapToGrid w:val="0"/>
                    <w:spacing w:line="240" w:lineRule="auto"/>
                    <w:jc w:val="center"/>
                    <w:rPr>
                      <w:rFonts w:ascii="Times New Roman" w:hAnsi="Times New Roman" w:eastAsia="黑体" w:cs="Times New Roman"/>
                      <w:b w:val="0"/>
                      <w:bCs w:val="0"/>
                      <w:color w:val="auto"/>
                      <w:sz w:val="21"/>
                      <w:szCs w:val="21"/>
                      <w:highlight w:val="none"/>
                    </w:rPr>
                  </w:pPr>
                  <w:r>
                    <w:rPr>
                      <w:rFonts w:ascii="Times New Roman" w:hAnsi="Times New Roman" w:cs="Times New Roman"/>
                      <w:b w:val="0"/>
                      <w:bCs w:val="0"/>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758F338D">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5</w:t>
                  </w:r>
                </w:p>
              </w:tc>
              <w:tc>
                <w:tcPr>
                  <w:tcW w:w="2448" w:type="dxa"/>
                  <w:tcBorders>
                    <w:top w:val="single" w:color="auto" w:sz="8" w:space="0"/>
                    <w:left w:val="nil"/>
                    <w:bottom w:val="single" w:color="auto" w:sz="8" w:space="0"/>
                    <w:right w:val="single" w:color="auto" w:sz="8" w:space="0"/>
                  </w:tcBorders>
                  <w:noWrap w:val="0"/>
                  <w:vAlign w:val="center"/>
                </w:tcPr>
                <w:p w14:paraId="19A7E60A">
                  <w:pPr>
                    <w:snapToGrid w:val="0"/>
                    <w:spacing w:line="240" w:lineRule="auto"/>
                    <w:jc w:val="center"/>
                    <w:rPr>
                      <w:rFonts w:ascii="Times New Roman" w:hAnsi="Times New Roman" w:eastAsia="黑体" w:cs="Times New Roman"/>
                      <w:color w:val="auto"/>
                      <w:sz w:val="21"/>
                      <w:szCs w:val="21"/>
                      <w:highlight w:val="none"/>
                    </w:rPr>
                  </w:pPr>
                  <w:r>
                    <w:rPr>
                      <w:rFonts w:hint="eastAsia" w:ascii="Times New Roman" w:hAnsi="Times New Roman" w:cs="Times New Roman"/>
                      <w:color w:val="auto"/>
                      <w:sz w:val="21"/>
                      <w:szCs w:val="21"/>
                      <w:highlight w:val="none"/>
                    </w:rPr>
                    <w:t>环评提出</w:t>
                  </w:r>
                </w:p>
              </w:tc>
            </w:tr>
            <w:tr w14:paraId="42CC662D">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3474E01A">
                  <w:pPr>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val="0"/>
                      <w:bCs w:val="0"/>
                      <w:color w:val="auto"/>
                      <w:sz w:val="21"/>
                      <w:szCs w:val="21"/>
                      <w:highlight w:val="none"/>
                      <w:lang w:val="en-US" w:eastAsia="zh-CN"/>
                    </w:rPr>
                    <w:t>4.3</w:t>
                  </w:r>
                </w:p>
              </w:tc>
              <w:tc>
                <w:tcPr>
                  <w:tcW w:w="3237" w:type="dxa"/>
                  <w:tcBorders>
                    <w:top w:val="single" w:color="auto" w:sz="8" w:space="0"/>
                    <w:left w:val="nil"/>
                    <w:bottom w:val="single" w:color="auto" w:sz="8" w:space="0"/>
                    <w:right w:val="single" w:color="auto" w:sz="8" w:space="0"/>
                  </w:tcBorders>
                  <w:noWrap w:val="0"/>
                  <w:vAlign w:val="center"/>
                </w:tcPr>
                <w:p w14:paraId="769AAF09">
                  <w:pPr>
                    <w:snapToGrid w:val="0"/>
                    <w:spacing w:line="240" w:lineRule="auto"/>
                    <w:ind w:firstLine="25" w:firstLineChars="12"/>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废沥青处置</w:t>
                  </w:r>
                </w:p>
              </w:tc>
              <w:tc>
                <w:tcPr>
                  <w:tcW w:w="842" w:type="dxa"/>
                  <w:tcBorders>
                    <w:top w:val="single" w:color="auto" w:sz="8" w:space="0"/>
                    <w:left w:val="nil"/>
                    <w:bottom w:val="single" w:color="auto" w:sz="8" w:space="0"/>
                    <w:right w:val="single" w:color="auto" w:sz="8" w:space="0"/>
                  </w:tcBorders>
                  <w:noWrap w:val="0"/>
                  <w:vAlign w:val="center"/>
                </w:tcPr>
                <w:p w14:paraId="6A277845">
                  <w:pPr>
                    <w:snapToGrid w:val="0"/>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万元</w:t>
                  </w:r>
                </w:p>
              </w:tc>
              <w:tc>
                <w:tcPr>
                  <w:tcW w:w="1065" w:type="dxa"/>
                  <w:tcBorders>
                    <w:top w:val="single" w:color="auto" w:sz="8" w:space="0"/>
                    <w:left w:val="nil"/>
                    <w:bottom w:val="single" w:color="auto" w:sz="8" w:space="0"/>
                    <w:right w:val="single" w:color="auto" w:sz="8" w:space="0"/>
                  </w:tcBorders>
                  <w:noWrap w:val="0"/>
                  <w:vAlign w:val="center"/>
                </w:tcPr>
                <w:p w14:paraId="6F4FD3D4">
                  <w:pPr>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w:t>
                  </w:r>
                </w:p>
              </w:tc>
              <w:tc>
                <w:tcPr>
                  <w:tcW w:w="2448" w:type="dxa"/>
                  <w:tcBorders>
                    <w:top w:val="single" w:color="auto" w:sz="8" w:space="0"/>
                    <w:left w:val="nil"/>
                    <w:bottom w:val="single" w:color="auto" w:sz="8" w:space="0"/>
                    <w:right w:val="single" w:color="auto" w:sz="8" w:space="0"/>
                  </w:tcBorders>
                  <w:noWrap w:val="0"/>
                  <w:vAlign w:val="center"/>
                </w:tcPr>
                <w:p w14:paraId="0AEDBF13">
                  <w:pPr>
                    <w:snapToGrid w:val="0"/>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环评提出</w:t>
                  </w:r>
                </w:p>
              </w:tc>
            </w:tr>
            <w:tr w14:paraId="506A8EE9">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03916792">
                  <w:pPr>
                    <w:snapToGrid w:val="0"/>
                    <w:spacing w:line="240" w:lineRule="auto"/>
                    <w:jc w:val="center"/>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二、</w:t>
                  </w:r>
                </w:p>
              </w:tc>
              <w:tc>
                <w:tcPr>
                  <w:tcW w:w="3237" w:type="dxa"/>
                  <w:tcBorders>
                    <w:top w:val="single" w:color="auto" w:sz="8" w:space="0"/>
                    <w:left w:val="nil"/>
                    <w:bottom w:val="single" w:color="auto" w:sz="8" w:space="0"/>
                    <w:right w:val="single" w:color="auto" w:sz="8" w:space="0"/>
                  </w:tcBorders>
                  <w:noWrap w:val="0"/>
                  <w:vAlign w:val="center"/>
                </w:tcPr>
                <w:p w14:paraId="312F90EB">
                  <w:pPr>
                    <w:snapToGrid w:val="0"/>
                    <w:spacing w:line="240" w:lineRule="auto"/>
                    <w:ind w:firstLine="25" w:firstLineChars="12"/>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生态环境保护投资</w:t>
                  </w:r>
                </w:p>
              </w:tc>
              <w:tc>
                <w:tcPr>
                  <w:tcW w:w="842" w:type="dxa"/>
                  <w:tcBorders>
                    <w:top w:val="single" w:color="auto" w:sz="8" w:space="0"/>
                    <w:left w:val="nil"/>
                    <w:bottom w:val="single" w:color="auto" w:sz="8" w:space="0"/>
                    <w:right w:val="single" w:color="auto" w:sz="8" w:space="0"/>
                  </w:tcBorders>
                  <w:noWrap w:val="0"/>
                  <w:vAlign w:val="center"/>
                </w:tcPr>
                <w:p w14:paraId="1CFE293F">
                  <w:pPr>
                    <w:snapToGrid w:val="0"/>
                    <w:spacing w:line="240" w:lineRule="auto"/>
                    <w:jc w:val="center"/>
                    <w:rPr>
                      <w:rFonts w:ascii="Times New Roman" w:hAnsi="Times New Roman" w:eastAsia="黑体" w:cs="Times New Roman"/>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434E045F">
                  <w:pPr>
                    <w:snapToGrid w:val="0"/>
                    <w:spacing w:line="240" w:lineRule="auto"/>
                    <w:jc w:val="center"/>
                    <w:rPr>
                      <w:rFonts w:hint="default" w:ascii="Times New Roman" w:hAnsi="Times New Roman" w:eastAsia="黑体" w:cs="Times New Roman"/>
                      <w:b/>
                      <w:bCs/>
                      <w:color w:val="auto"/>
                      <w:sz w:val="21"/>
                      <w:szCs w:val="21"/>
                      <w:highlight w:val="none"/>
                      <w:lang w:val="en-US" w:eastAsia="zh-CN"/>
                    </w:rPr>
                  </w:pPr>
                  <w:r>
                    <w:rPr>
                      <w:rFonts w:hint="eastAsia" w:eastAsia="黑体" w:cs="Times New Roman"/>
                      <w:b/>
                      <w:bCs/>
                      <w:color w:val="auto"/>
                      <w:sz w:val="21"/>
                      <w:szCs w:val="21"/>
                      <w:highlight w:val="none"/>
                      <w:lang w:val="en-US" w:eastAsia="zh-CN"/>
                    </w:rPr>
                    <w:t>5479.3</w:t>
                  </w:r>
                </w:p>
              </w:tc>
              <w:tc>
                <w:tcPr>
                  <w:tcW w:w="2448" w:type="dxa"/>
                  <w:tcBorders>
                    <w:top w:val="single" w:color="auto" w:sz="8" w:space="0"/>
                    <w:left w:val="nil"/>
                    <w:bottom w:val="single" w:color="auto" w:sz="8" w:space="0"/>
                    <w:right w:val="single" w:color="auto" w:sz="8" w:space="0"/>
                  </w:tcBorders>
                  <w:noWrap w:val="0"/>
                  <w:vAlign w:val="center"/>
                </w:tcPr>
                <w:p w14:paraId="0410EE48">
                  <w:pPr>
                    <w:snapToGrid w:val="0"/>
                    <w:spacing w:line="240" w:lineRule="auto"/>
                    <w:rPr>
                      <w:rFonts w:ascii="Times New Roman" w:hAnsi="Times New Roman" w:eastAsia="黑体" w:cs="Times New Roman"/>
                      <w:color w:val="auto"/>
                      <w:sz w:val="21"/>
                      <w:szCs w:val="21"/>
                      <w:highlight w:val="none"/>
                    </w:rPr>
                  </w:pPr>
                </w:p>
              </w:tc>
            </w:tr>
            <w:tr w14:paraId="053C8C77">
              <w:tblPrEx>
                <w:tblCellMar>
                  <w:top w:w="0" w:type="dxa"/>
                  <w:left w:w="108" w:type="dxa"/>
                  <w:bottom w:w="0" w:type="dxa"/>
                  <w:right w:w="108" w:type="dxa"/>
                </w:tblCellMar>
              </w:tblPrEx>
              <w:trPr>
                <w:trHeight w:val="20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2CE7C649">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1</w:t>
                  </w:r>
                </w:p>
              </w:tc>
              <w:tc>
                <w:tcPr>
                  <w:tcW w:w="3237" w:type="dxa"/>
                  <w:tcBorders>
                    <w:top w:val="single" w:color="auto" w:sz="8" w:space="0"/>
                    <w:left w:val="nil"/>
                    <w:bottom w:val="single" w:color="auto" w:sz="8" w:space="0"/>
                    <w:right w:val="single" w:color="auto" w:sz="8" w:space="0"/>
                  </w:tcBorders>
                  <w:noWrap w:val="0"/>
                  <w:vAlign w:val="center"/>
                </w:tcPr>
                <w:p w14:paraId="721ED932">
                  <w:pPr>
                    <w:snapToGrid w:val="0"/>
                    <w:spacing w:line="240" w:lineRule="auto"/>
                    <w:ind w:firstLine="25" w:firstLineChars="12"/>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绿化工程措施费</w:t>
                  </w:r>
                </w:p>
              </w:tc>
              <w:tc>
                <w:tcPr>
                  <w:tcW w:w="842" w:type="dxa"/>
                  <w:tcBorders>
                    <w:top w:val="single" w:color="auto" w:sz="8" w:space="0"/>
                    <w:left w:val="nil"/>
                    <w:bottom w:val="single" w:color="auto" w:sz="8" w:space="0"/>
                    <w:right w:val="single" w:color="auto" w:sz="8" w:space="0"/>
                  </w:tcBorders>
                  <w:noWrap w:val="0"/>
                  <w:vAlign w:val="center"/>
                </w:tcPr>
                <w:p w14:paraId="5AD9D153">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656C54CC">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5479.3</w:t>
                  </w:r>
                </w:p>
              </w:tc>
              <w:tc>
                <w:tcPr>
                  <w:tcW w:w="2448" w:type="dxa"/>
                  <w:tcBorders>
                    <w:top w:val="single" w:color="auto" w:sz="8" w:space="0"/>
                    <w:left w:val="nil"/>
                    <w:bottom w:val="single" w:color="auto" w:sz="8" w:space="0"/>
                    <w:right w:val="single" w:color="auto" w:sz="8" w:space="0"/>
                  </w:tcBorders>
                  <w:noWrap w:val="0"/>
                  <w:vAlign w:val="center"/>
                </w:tcPr>
                <w:p w14:paraId="73F0D12F">
                  <w:pPr>
                    <w:snapToGrid w:val="0"/>
                    <w:spacing w:line="240" w:lineRule="auto"/>
                    <w:jc w:val="center"/>
                    <w:rPr>
                      <w:rFonts w:ascii="宋体" w:hAnsi="宋体" w:cs="Times New Roman"/>
                      <w:color w:val="auto"/>
                      <w:sz w:val="21"/>
                      <w:szCs w:val="21"/>
                      <w:highlight w:val="none"/>
                    </w:rPr>
                  </w:pPr>
                  <w:r>
                    <w:rPr>
                      <w:rFonts w:hint="eastAsia" w:ascii="宋体" w:hAnsi="宋体" w:cs="Times New Roman"/>
                      <w:color w:val="auto"/>
                      <w:sz w:val="21"/>
                      <w:szCs w:val="21"/>
                      <w:highlight w:val="none"/>
                    </w:rPr>
                    <w:t>可研提出</w:t>
                  </w:r>
                </w:p>
              </w:tc>
            </w:tr>
            <w:tr w14:paraId="550F200F">
              <w:tblPrEx>
                <w:tblCellMar>
                  <w:top w:w="0" w:type="dxa"/>
                  <w:left w:w="108" w:type="dxa"/>
                  <w:bottom w:w="0" w:type="dxa"/>
                  <w:right w:w="108" w:type="dxa"/>
                </w:tblCellMar>
              </w:tblPrEx>
              <w:trPr>
                <w:cantSplit/>
                <w:trHeight w:val="237"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7E62BD2E">
                  <w:pPr>
                    <w:snapToGrid w:val="0"/>
                    <w:spacing w:line="240" w:lineRule="auto"/>
                    <w:jc w:val="center"/>
                    <w:rPr>
                      <w:rFonts w:ascii="Times New Roman" w:hAnsi="Times New Roman" w:eastAsia="黑体" w:cs="Times New Roman"/>
                      <w:b/>
                      <w:bCs/>
                      <w:color w:val="auto"/>
                      <w:sz w:val="21"/>
                      <w:szCs w:val="21"/>
                      <w:highlight w:val="none"/>
                    </w:rPr>
                  </w:pPr>
                  <w:r>
                    <w:rPr>
                      <w:rFonts w:hint="eastAsia" w:ascii="Times New Roman" w:hAnsi="Times New Roman" w:cs="Times New Roman"/>
                      <w:b/>
                      <w:bCs/>
                      <w:color w:val="auto"/>
                      <w:sz w:val="21"/>
                      <w:szCs w:val="21"/>
                      <w:highlight w:val="none"/>
                    </w:rPr>
                    <w:t>三</w:t>
                  </w:r>
                  <w:r>
                    <w:rPr>
                      <w:rFonts w:ascii="Times New Roman" w:hAnsi="Times New Roman" w:cs="Times New Roman"/>
                      <w:b/>
                      <w:bCs/>
                      <w:color w:val="auto"/>
                      <w:sz w:val="21"/>
                      <w:szCs w:val="21"/>
                      <w:highlight w:val="none"/>
                    </w:rPr>
                    <w:t>、</w:t>
                  </w:r>
                </w:p>
              </w:tc>
              <w:tc>
                <w:tcPr>
                  <w:tcW w:w="3237" w:type="dxa"/>
                  <w:tcBorders>
                    <w:top w:val="single" w:color="auto" w:sz="8" w:space="0"/>
                    <w:left w:val="nil"/>
                    <w:bottom w:val="single" w:color="auto" w:sz="8" w:space="0"/>
                    <w:right w:val="single" w:color="auto" w:sz="8" w:space="0"/>
                  </w:tcBorders>
                  <w:noWrap w:val="0"/>
                  <w:vAlign w:val="center"/>
                </w:tcPr>
                <w:p w14:paraId="7BDF7197">
                  <w:pPr>
                    <w:snapToGrid w:val="0"/>
                    <w:spacing w:line="240" w:lineRule="auto"/>
                    <w:ind w:firstLine="25" w:firstLineChars="12"/>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环境管理及科技投资</w:t>
                  </w:r>
                </w:p>
              </w:tc>
              <w:tc>
                <w:tcPr>
                  <w:tcW w:w="842" w:type="dxa"/>
                  <w:tcBorders>
                    <w:top w:val="single" w:color="auto" w:sz="8" w:space="0"/>
                    <w:left w:val="nil"/>
                    <w:bottom w:val="single" w:color="auto" w:sz="8" w:space="0"/>
                    <w:right w:val="single" w:color="auto" w:sz="8" w:space="0"/>
                  </w:tcBorders>
                  <w:noWrap w:val="0"/>
                  <w:vAlign w:val="center"/>
                </w:tcPr>
                <w:p w14:paraId="1415EA18">
                  <w:pPr>
                    <w:snapToGrid w:val="0"/>
                    <w:spacing w:line="240" w:lineRule="auto"/>
                    <w:jc w:val="center"/>
                    <w:rPr>
                      <w:rFonts w:ascii="Times New Roman" w:hAnsi="Times New Roman" w:eastAsia="黑体" w:cs="Times New Roman"/>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11AEE795">
                  <w:pPr>
                    <w:snapToGrid w:val="0"/>
                    <w:spacing w:line="240" w:lineRule="auto"/>
                    <w:jc w:val="center"/>
                    <w:rPr>
                      <w:rFonts w:hint="default" w:ascii="Times New Roman" w:hAnsi="Times New Roman" w:eastAsia="黑体" w:cs="Times New Roman"/>
                      <w:b/>
                      <w:bCs/>
                      <w:color w:val="auto"/>
                      <w:sz w:val="21"/>
                      <w:szCs w:val="21"/>
                      <w:highlight w:val="none"/>
                      <w:lang w:val="en-US" w:eastAsia="zh-CN"/>
                    </w:rPr>
                  </w:pPr>
                  <w:r>
                    <w:rPr>
                      <w:rFonts w:hint="eastAsia" w:eastAsia="黑体" w:cs="Times New Roman"/>
                      <w:b/>
                      <w:bCs/>
                      <w:color w:val="auto"/>
                      <w:sz w:val="21"/>
                      <w:szCs w:val="21"/>
                      <w:highlight w:val="none"/>
                      <w:lang w:val="en-US" w:eastAsia="zh-CN"/>
                    </w:rPr>
                    <w:t>27</w:t>
                  </w:r>
                </w:p>
              </w:tc>
              <w:tc>
                <w:tcPr>
                  <w:tcW w:w="2448" w:type="dxa"/>
                  <w:tcBorders>
                    <w:top w:val="single" w:color="auto" w:sz="8" w:space="0"/>
                    <w:left w:val="nil"/>
                    <w:bottom w:val="single" w:color="auto" w:sz="8" w:space="0"/>
                    <w:right w:val="single" w:color="auto" w:sz="8" w:space="0"/>
                  </w:tcBorders>
                  <w:noWrap w:val="0"/>
                  <w:vAlign w:val="center"/>
                </w:tcPr>
                <w:p w14:paraId="50A9F9C5">
                  <w:pPr>
                    <w:snapToGrid w:val="0"/>
                    <w:spacing w:line="240" w:lineRule="auto"/>
                    <w:jc w:val="center"/>
                    <w:rPr>
                      <w:rFonts w:ascii="Times New Roman" w:hAnsi="Times New Roman" w:eastAsia="黑体" w:cs="Times New Roman"/>
                      <w:color w:val="auto"/>
                      <w:sz w:val="21"/>
                      <w:szCs w:val="21"/>
                      <w:highlight w:val="none"/>
                    </w:rPr>
                  </w:pPr>
                </w:p>
              </w:tc>
            </w:tr>
            <w:tr w14:paraId="5D33DC5A">
              <w:tblPrEx>
                <w:tblCellMar>
                  <w:top w:w="0" w:type="dxa"/>
                  <w:left w:w="108" w:type="dxa"/>
                  <w:bottom w:w="0" w:type="dxa"/>
                  <w:right w:w="108" w:type="dxa"/>
                </w:tblCellMar>
              </w:tblPrEx>
              <w:trPr>
                <w:cantSplit/>
                <w:trHeight w:val="390"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00B848E4">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1</w:t>
                  </w:r>
                </w:p>
              </w:tc>
              <w:tc>
                <w:tcPr>
                  <w:tcW w:w="3237" w:type="dxa"/>
                  <w:tcBorders>
                    <w:top w:val="single" w:color="auto" w:sz="8" w:space="0"/>
                    <w:left w:val="nil"/>
                    <w:bottom w:val="single" w:color="auto" w:sz="8" w:space="0"/>
                    <w:right w:val="single" w:color="auto" w:sz="8" w:space="0"/>
                  </w:tcBorders>
                  <w:noWrap w:val="0"/>
                  <w:vAlign w:val="center"/>
                </w:tcPr>
                <w:p w14:paraId="25442B37">
                  <w:pPr>
                    <w:snapToGrid w:val="0"/>
                    <w:spacing w:line="240" w:lineRule="auto"/>
                    <w:ind w:firstLine="25" w:firstLineChars="12"/>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项目环境保护专业人员技术培训费</w:t>
                  </w:r>
                </w:p>
              </w:tc>
              <w:tc>
                <w:tcPr>
                  <w:tcW w:w="842" w:type="dxa"/>
                  <w:tcBorders>
                    <w:top w:val="single" w:color="auto" w:sz="8" w:space="0"/>
                    <w:left w:val="nil"/>
                    <w:bottom w:val="single" w:color="auto" w:sz="8" w:space="0"/>
                    <w:right w:val="single" w:color="auto" w:sz="8" w:space="0"/>
                  </w:tcBorders>
                  <w:noWrap w:val="0"/>
                  <w:vAlign w:val="center"/>
                </w:tcPr>
                <w:p w14:paraId="75D0BD98">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万元</w:t>
                  </w:r>
                </w:p>
              </w:tc>
              <w:tc>
                <w:tcPr>
                  <w:tcW w:w="1065" w:type="dxa"/>
                  <w:tcBorders>
                    <w:top w:val="single" w:color="auto" w:sz="8" w:space="0"/>
                    <w:left w:val="nil"/>
                    <w:bottom w:val="single" w:color="auto" w:sz="8" w:space="0"/>
                    <w:right w:val="single" w:color="auto" w:sz="8" w:space="0"/>
                  </w:tcBorders>
                  <w:noWrap w:val="0"/>
                  <w:vAlign w:val="center"/>
                </w:tcPr>
                <w:p w14:paraId="5EE13F78">
                  <w:pPr>
                    <w:snapToGrid w:val="0"/>
                    <w:spacing w:line="240" w:lineRule="auto"/>
                    <w:jc w:val="center"/>
                    <w:rPr>
                      <w:rFonts w:ascii="Times New Roman" w:hAnsi="Times New Roman" w:eastAsia="黑体" w:cs="Times New Roman"/>
                      <w:color w:val="auto"/>
                      <w:sz w:val="21"/>
                      <w:szCs w:val="21"/>
                      <w:highlight w:val="none"/>
                    </w:rPr>
                  </w:pPr>
                  <w:r>
                    <w:rPr>
                      <w:rFonts w:hint="eastAsia" w:cs="Times New Roman"/>
                      <w:color w:val="auto"/>
                      <w:sz w:val="21"/>
                      <w:szCs w:val="21"/>
                      <w:highlight w:val="none"/>
                      <w:lang w:val="en-US" w:eastAsia="zh-CN"/>
                    </w:rPr>
                    <w:t>2</w:t>
                  </w:r>
                  <w:r>
                    <w:rPr>
                      <w:rFonts w:ascii="Times New Roman" w:hAnsi="Times New Roman" w:cs="Times New Roman"/>
                      <w:color w:val="auto"/>
                      <w:sz w:val="21"/>
                      <w:szCs w:val="21"/>
                      <w:highlight w:val="none"/>
                    </w:rPr>
                    <w:t>.00</w:t>
                  </w:r>
                </w:p>
              </w:tc>
              <w:tc>
                <w:tcPr>
                  <w:tcW w:w="2448" w:type="dxa"/>
                  <w:tcBorders>
                    <w:top w:val="single" w:color="auto" w:sz="8" w:space="0"/>
                    <w:left w:val="nil"/>
                    <w:bottom w:val="single" w:color="auto" w:sz="8" w:space="0"/>
                    <w:right w:val="single" w:color="auto" w:sz="8" w:space="0"/>
                  </w:tcBorders>
                  <w:noWrap w:val="0"/>
                  <w:vAlign w:val="center"/>
                </w:tcPr>
                <w:p w14:paraId="6411EB99">
                  <w:pPr>
                    <w:snapToGrid w:val="0"/>
                    <w:spacing w:line="240" w:lineRule="auto"/>
                    <w:jc w:val="center"/>
                    <w:rPr>
                      <w:rFonts w:ascii="宋体" w:hAnsi="宋体" w:cs="Times New Roman"/>
                      <w:color w:val="auto"/>
                      <w:sz w:val="21"/>
                      <w:szCs w:val="21"/>
                      <w:highlight w:val="none"/>
                    </w:rPr>
                  </w:pPr>
                  <w:r>
                    <w:rPr>
                      <w:rFonts w:hint="eastAsia" w:ascii="宋体" w:hAnsi="宋体" w:cs="Times New Roman"/>
                      <w:color w:val="auto"/>
                      <w:sz w:val="21"/>
                      <w:szCs w:val="21"/>
                      <w:highlight w:val="none"/>
                    </w:rPr>
                    <w:t>环评提出</w:t>
                  </w:r>
                </w:p>
              </w:tc>
            </w:tr>
            <w:tr w14:paraId="1E48BC95">
              <w:tblPrEx>
                <w:tblCellMar>
                  <w:top w:w="0" w:type="dxa"/>
                  <w:left w:w="108" w:type="dxa"/>
                  <w:bottom w:w="0" w:type="dxa"/>
                  <w:right w:w="108" w:type="dxa"/>
                </w:tblCellMar>
              </w:tblPrEx>
              <w:trPr>
                <w:cantSplit/>
                <w:trHeight w:val="387" w:hRule="atLeast"/>
                <w:jc w:val="center"/>
              </w:trPr>
              <w:tc>
                <w:tcPr>
                  <w:tcW w:w="665" w:type="dxa"/>
                  <w:tcBorders>
                    <w:top w:val="nil"/>
                    <w:left w:val="single" w:color="auto" w:sz="8" w:space="0"/>
                    <w:bottom w:val="single" w:color="auto" w:sz="8" w:space="0"/>
                    <w:right w:val="single" w:color="auto" w:sz="8" w:space="0"/>
                  </w:tcBorders>
                  <w:noWrap w:val="0"/>
                  <w:vAlign w:val="center"/>
                </w:tcPr>
                <w:p w14:paraId="4977A4A7">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2</w:t>
                  </w:r>
                </w:p>
              </w:tc>
              <w:tc>
                <w:tcPr>
                  <w:tcW w:w="3237" w:type="dxa"/>
                  <w:tcBorders>
                    <w:top w:val="nil"/>
                    <w:left w:val="nil"/>
                    <w:bottom w:val="single" w:color="auto" w:sz="8" w:space="0"/>
                    <w:right w:val="single" w:color="auto" w:sz="8" w:space="0"/>
                  </w:tcBorders>
                  <w:noWrap w:val="0"/>
                  <w:vAlign w:val="center"/>
                </w:tcPr>
                <w:p w14:paraId="7A526637">
                  <w:pPr>
                    <w:snapToGrid w:val="0"/>
                    <w:spacing w:line="240" w:lineRule="auto"/>
                    <w:ind w:firstLine="25" w:firstLineChars="12"/>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工程环境监测费用</w:t>
                  </w:r>
                </w:p>
              </w:tc>
              <w:tc>
                <w:tcPr>
                  <w:tcW w:w="842" w:type="dxa"/>
                  <w:tcBorders>
                    <w:top w:val="single" w:color="auto" w:sz="8" w:space="0"/>
                    <w:left w:val="nil"/>
                    <w:right w:val="single" w:color="auto" w:sz="8" w:space="0"/>
                  </w:tcBorders>
                  <w:noWrap w:val="0"/>
                  <w:vAlign w:val="center"/>
                </w:tcPr>
                <w:p w14:paraId="557685B5">
                  <w:pPr>
                    <w:snapToGrid w:val="0"/>
                    <w:spacing w:line="240" w:lineRule="auto"/>
                    <w:jc w:val="center"/>
                    <w:rPr>
                      <w:rFonts w:ascii="宋体" w:hAnsi="宋体" w:cs="Times New Roman"/>
                      <w:color w:val="auto"/>
                      <w:sz w:val="21"/>
                      <w:szCs w:val="21"/>
                      <w:highlight w:val="none"/>
                    </w:rPr>
                  </w:pPr>
                  <w:r>
                    <w:rPr>
                      <w:rFonts w:hint="eastAsia" w:ascii="宋体" w:hAnsi="宋体" w:cs="Times New Roman"/>
                      <w:color w:val="auto"/>
                      <w:sz w:val="21"/>
                      <w:szCs w:val="21"/>
                      <w:highlight w:val="none"/>
                    </w:rPr>
                    <w:t>万元</w:t>
                  </w:r>
                </w:p>
              </w:tc>
              <w:tc>
                <w:tcPr>
                  <w:tcW w:w="1065" w:type="dxa"/>
                  <w:tcBorders>
                    <w:top w:val="single" w:color="auto" w:sz="8" w:space="0"/>
                    <w:left w:val="nil"/>
                    <w:right w:val="single" w:color="auto" w:sz="8" w:space="0"/>
                  </w:tcBorders>
                  <w:noWrap w:val="0"/>
                  <w:vAlign w:val="center"/>
                </w:tcPr>
                <w:p w14:paraId="2ECF8352">
                  <w:pPr>
                    <w:snapToGrid w:val="0"/>
                    <w:spacing w:line="240" w:lineRule="auto"/>
                    <w:jc w:val="center"/>
                    <w:rPr>
                      <w:rFonts w:ascii="Times New Roman" w:hAnsi="Times New Roman" w:eastAsia="黑体" w:cs="Times New Roman"/>
                      <w:color w:val="auto"/>
                      <w:sz w:val="21"/>
                      <w:szCs w:val="21"/>
                      <w:highlight w:val="none"/>
                    </w:rPr>
                  </w:pPr>
                  <w:r>
                    <w:rPr>
                      <w:rFonts w:hint="eastAsia" w:eastAsia="黑体" w:cs="Times New Roman"/>
                      <w:color w:val="auto"/>
                      <w:sz w:val="21"/>
                      <w:szCs w:val="21"/>
                      <w:highlight w:val="none"/>
                      <w:lang w:val="en-US" w:eastAsia="zh-CN"/>
                    </w:rPr>
                    <w:t>10</w:t>
                  </w:r>
                  <w:r>
                    <w:rPr>
                      <w:rFonts w:hint="eastAsia" w:ascii="Times New Roman" w:hAnsi="Times New Roman" w:eastAsia="黑体" w:cs="Times New Roman"/>
                      <w:color w:val="auto"/>
                      <w:sz w:val="21"/>
                      <w:szCs w:val="21"/>
                      <w:highlight w:val="none"/>
                    </w:rPr>
                    <w:t>.00</w:t>
                  </w:r>
                </w:p>
              </w:tc>
              <w:tc>
                <w:tcPr>
                  <w:tcW w:w="2448" w:type="dxa"/>
                  <w:tcBorders>
                    <w:top w:val="single" w:color="auto" w:sz="8" w:space="0"/>
                    <w:left w:val="nil"/>
                    <w:right w:val="single" w:color="auto" w:sz="8" w:space="0"/>
                  </w:tcBorders>
                  <w:noWrap w:val="0"/>
                  <w:vAlign w:val="center"/>
                </w:tcPr>
                <w:p w14:paraId="68B052AF">
                  <w:pPr>
                    <w:snapToGrid w:val="0"/>
                    <w:spacing w:line="240" w:lineRule="auto"/>
                    <w:jc w:val="center"/>
                    <w:rPr>
                      <w:rFonts w:ascii="宋体" w:hAnsi="宋体" w:cs="Times New Roman"/>
                      <w:color w:val="auto"/>
                      <w:sz w:val="21"/>
                      <w:szCs w:val="21"/>
                      <w:highlight w:val="none"/>
                    </w:rPr>
                  </w:pPr>
                  <w:r>
                    <w:rPr>
                      <w:rFonts w:hint="eastAsia" w:ascii="宋体" w:hAnsi="宋体" w:cs="Times New Roman"/>
                      <w:color w:val="auto"/>
                      <w:sz w:val="21"/>
                      <w:szCs w:val="21"/>
                      <w:highlight w:val="none"/>
                    </w:rPr>
                    <w:t>环评提出</w:t>
                  </w:r>
                </w:p>
              </w:tc>
            </w:tr>
            <w:tr w14:paraId="51722C60">
              <w:tblPrEx>
                <w:tblCellMar>
                  <w:top w:w="0" w:type="dxa"/>
                  <w:left w:w="108" w:type="dxa"/>
                  <w:bottom w:w="0" w:type="dxa"/>
                  <w:right w:w="108" w:type="dxa"/>
                </w:tblCellMar>
              </w:tblPrEx>
              <w:trPr>
                <w:cantSplit/>
                <w:trHeight w:val="22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35AF093A">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3</w:t>
                  </w:r>
                </w:p>
              </w:tc>
              <w:tc>
                <w:tcPr>
                  <w:tcW w:w="3237" w:type="dxa"/>
                  <w:tcBorders>
                    <w:top w:val="single" w:color="auto" w:sz="8" w:space="0"/>
                    <w:left w:val="nil"/>
                    <w:bottom w:val="single" w:color="auto" w:sz="8" w:space="0"/>
                    <w:right w:val="single" w:color="auto" w:sz="8" w:space="0"/>
                  </w:tcBorders>
                  <w:noWrap w:val="0"/>
                  <w:vAlign w:val="center"/>
                </w:tcPr>
                <w:p w14:paraId="28867CC8">
                  <w:pPr>
                    <w:snapToGrid w:val="0"/>
                    <w:spacing w:line="240" w:lineRule="auto"/>
                    <w:ind w:firstLine="25" w:firstLineChars="12"/>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环境保护设施“三同时”验收费</w:t>
                  </w:r>
                </w:p>
              </w:tc>
              <w:tc>
                <w:tcPr>
                  <w:tcW w:w="842" w:type="dxa"/>
                  <w:tcBorders>
                    <w:top w:val="single" w:color="auto" w:sz="8" w:space="0"/>
                    <w:left w:val="nil"/>
                    <w:bottom w:val="single" w:color="auto" w:sz="8" w:space="0"/>
                    <w:right w:val="single" w:color="auto" w:sz="8" w:space="0"/>
                  </w:tcBorders>
                  <w:noWrap w:val="0"/>
                  <w:vAlign w:val="center"/>
                </w:tcPr>
                <w:p w14:paraId="5DBC3A78">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万元</w:t>
                  </w:r>
                </w:p>
              </w:tc>
              <w:tc>
                <w:tcPr>
                  <w:tcW w:w="1065" w:type="dxa"/>
                  <w:tcBorders>
                    <w:top w:val="single" w:color="auto" w:sz="8" w:space="0"/>
                    <w:left w:val="nil"/>
                    <w:bottom w:val="single" w:color="auto" w:sz="8" w:space="0"/>
                    <w:right w:val="single" w:color="auto" w:sz="8" w:space="0"/>
                  </w:tcBorders>
                  <w:noWrap w:val="0"/>
                  <w:vAlign w:val="center"/>
                </w:tcPr>
                <w:p w14:paraId="20DA7AE6">
                  <w:pPr>
                    <w:snapToGrid w:val="0"/>
                    <w:spacing w:line="240" w:lineRule="auto"/>
                    <w:jc w:val="center"/>
                    <w:rPr>
                      <w:rFonts w:ascii="Times New Roman" w:hAnsi="Times New Roman" w:eastAsia="黑体" w:cs="Times New Roman"/>
                      <w:color w:val="auto"/>
                      <w:sz w:val="21"/>
                      <w:szCs w:val="21"/>
                      <w:highlight w:val="none"/>
                    </w:rPr>
                  </w:pPr>
                  <w:r>
                    <w:rPr>
                      <w:rFonts w:hint="eastAsia" w:cs="Times New Roman"/>
                      <w:color w:val="auto"/>
                      <w:sz w:val="21"/>
                      <w:szCs w:val="21"/>
                      <w:highlight w:val="none"/>
                      <w:lang w:val="en-US" w:eastAsia="zh-CN"/>
                    </w:rPr>
                    <w:t>10</w:t>
                  </w:r>
                  <w:r>
                    <w:rPr>
                      <w:rFonts w:ascii="Times New Roman" w:hAnsi="Times New Roman" w:cs="Times New Roman"/>
                      <w:color w:val="auto"/>
                      <w:sz w:val="21"/>
                      <w:szCs w:val="21"/>
                      <w:highlight w:val="none"/>
                    </w:rPr>
                    <w:t>.00</w:t>
                  </w:r>
                </w:p>
              </w:tc>
              <w:tc>
                <w:tcPr>
                  <w:tcW w:w="2448" w:type="dxa"/>
                  <w:tcBorders>
                    <w:top w:val="single" w:color="auto" w:sz="8" w:space="0"/>
                    <w:left w:val="nil"/>
                    <w:bottom w:val="single" w:color="auto" w:sz="8" w:space="0"/>
                    <w:right w:val="single" w:color="auto" w:sz="8" w:space="0"/>
                  </w:tcBorders>
                  <w:noWrap w:val="0"/>
                  <w:vAlign w:val="center"/>
                </w:tcPr>
                <w:p w14:paraId="7FCB1F38">
                  <w:pPr>
                    <w:snapToGrid w:val="0"/>
                    <w:spacing w:line="240" w:lineRule="auto"/>
                    <w:jc w:val="center"/>
                    <w:rPr>
                      <w:rFonts w:ascii="Times New Roman" w:hAnsi="Times New Roman" w:eastAsia="黑体" w:cs="Times New Roman"/>
                      <w:color w:val="auto"/>
                      <w:sz w:val="21"/>
                      <w:szCs w:val="21"/>
                      <w:highlight w:val="none"/>
                    </w:rPr>
                  </w:pPr>
                  <w:r>
                    <w:rPr>
                      <w:rFonts w:hint="eastAsia" w:ascii="Times New Roman" w:hAnsi="Times New Roman" w:cs="Times New Roman"/>
                      <w:color w:val="auto"/>
                      <w:sz w:val="21"/>
                      <w:szCs w:val="21"/>
                      <w:highlight w:val="none"/>
                    </w:rPr>
                    <w:t>环评提出</w:t>
                  </w:r>
                </w:p>
              </w:tc>
            </w:tr>
            <w:tr w14:paraId="4D42FF2A">
              <w:tblPrEx>
                <w:tblCellMar>
                  <w:top w:w="0" w:type="dxa"/>
                  <w:left w:w="108" w:type="dxa"/>
                  <w:bottom w:w="0" w:type="dxa"/>
                  <w:right w:w="108" w:type="dxa"/>
                </w:tblCellMar>
              </w:tblPrEx>
              <w:trPr>
                <w:cantSplit/>
                <w:trHeight w:val="222"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6FB7DFF6">
                  <w:pPr>
                    <w:snapToGrid w:val="0"/>
                    <w:spacing w:line="240" w:lineRule="auto"/>
                    <w:jc w:val="center"/>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4</w:t>
                  </w:r>
                </w:p>
              </w:tc>
              <w:tc>
                <w:tcPr>
                  <w:tcW w:w="3237" w:type="dxa"/>
                  <w:tcBorders>
                    <w:top w:val="single" w:color="auto" w:sz="8" w:space="0"/>
                    <w:left w:val="nil"/>
                    <w:bottom w:val="single" w:color="auto" w:sz="8" w:space="0"/>
                    <w:right w:val="single" w:color="auto" w:sz="8" w:space="0"/>
                  </w:tcBorders>
                  <w:noWrap w:val="0"/>
                  <w:vAlign w:val="center"/>
                </w:tcPr>
                <w:p w14:paraId="0ACB34E4">
                  <w:pPr>
                    <w:snapToGrid w:val="0"/>
                    <w:spacing w:line="240" w:lineRule="auto"/>
                    <w:ind w:firstLine="25" w:firstLineChars="12"/>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事故应急预案费</w:t>
                  </w:r>
                </w:p>
              </w:tc>
              <w:tc>
                <w:tcPr>
                  <w:tcW w:w="842" w:type="dxa"/>
                  <w:tcBorders>
                    <w:top w:val="single" w:color="auto" w:sz="8" w:space="0"/>
                    <w:left w:val="nil"/>
                    <w:bottom w:val="single" w:color="auto" w:sz="8" w:space="0"/>
                    <w:right w:val="single" w:color="auto" w:sz="8" w:space="0"/>
                  </w:tcBorders>
                  <w:noWrap w:val="0"/>
                  <w:vAlign w:val="center"/>
                </w:tcPr>
                <w:p w14:paraId="39F04618">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万元</w:t>
                  </w:r>
                </w:p>
              </w:tc>
              <w:tc>
                <w:tcPr>
                  <w:tcW w:w="1065" w:type="dxa"/>
                  <w:tcBorders>
                    <w:top w:val="single" w:color="auto" w:sz="8" w:space="0"/>
                    <w:left w:val="nil"/>
                    <w:bottom w:val="single" w:color="auto" w:sz="8" w:space="0"/>
                    <w:right w:val="single" w:color="auto" w:sz="8" w:space="0"/>
                  </w:tcBorders>
                  <w:noWrap w:val="0"/>
                  <w:vAlign w:val="center"/>
                </w:tcPr>
                <w:p w14:paraId="740F73FD">
                  <w:pPr>
                    <w:snapToGrid w:val="0"/>
                    <w:spacing w:line="240" w:lineRule="auto"/>
                    <w:jc w:val="center"/>
                    <w:rPr>
                      <w:rFonts w:ascii="Times New Roman" w:hAnsi="Times New Roman" w:eastAsia="黑体" w:cs="Times New Roman"/>
                      <w:color w:val="auto"/>
                      <w:sz w:val="21"/>
                      <w:szCs w:val="21"/>
                      <w:highlight w:val="none"/>
                    </w:rPr>
                  </w:pPr>
                  <w:r>
                    <w:rPr>
                      <w:rFonts w:ascii="Times New Roman" w:hAnsi="Times New Roman" w:cs="Times New Roman"/>
                      <w:color w:val="auto"/>
                      <w:sz w:val="21"/>
                      <w:szCs w:val="21"/>
                      <w:highlight w:val="none"/>
                    </w:rPr>
                    <w:t>5.00</w:t>
                  </w:r>
                </w:p>
              </w:tc>
              <w:tc>
                <w:tcPr>
                  <w:tcW w:w="2448" w:type="dxa"/>
                  <w:tcBorders>
                    <w:top w:val="single" w:color="auto" w:sz="8" w:space="0"/>
                    <w:left w:val="nil"/>
                    <w:bottom w:val="single" w:color="auto" w:sz="8" w:space="0"/>
                    <w:right w:val="single" w:color="auto" w:sz="8" w:space="0"/>
                  </w:tcBorders>
                  <w:noWrap w:val="0"/>
                  <w:vAlign w:val="center"/>
                </w:tcPr>
                <w:p w14:paraId="131002C5">
                  <w:pPr>
                    <w:snapToGrid w:val="0"/>
                    <w:spacing w:line="240" w:lineRule="auto"/>
                    <w:jc w:val="center"/>
                    <w:rPr>
                      <w:rFonts w:ascii="Times New Roman" w:hAnsi="Times New Roman" w:eastAsia="黑体" w:cs="Times New Roman"/>
                      <w:color w:val="auto"/>
                      <w:sz w:val="21"/>
                      <w:szCs w:val="21"/>
                      <w:highlight w:val="none"/>
                    </w:rPr>
                  </w:pPr>
                  <w:r>
                    <w:rPr>
                      <w:rFonts w:hint="eastAsia" w:ascii="Times New Roman" w:hAnsi="Times New Roman" w:cs="Times New Roman"/>
                      <w:color w:val="auto"/>
                      <w:sz w:val="21"/>
                      <w:szCs w:val="21"/>
                      <w:highlight w:val="none"/>
                    </w:rPr>
                    <w:t>环评提出</w:t>
                  </w:r>
                </w:p>
              </w:tc>
            </w:tr>
            <w:tr w14:paraId="1746005C">
              <w:tblPrEx>
                <w:tblCellMar>
                  <w:top w:w="0" w:type="dxa"/>
                  <w:left w:w="108" w:type="dxa"/>
                  <w:bottom w:w="0" w:type="dxa"/>
                  <w:right w:w="108" w:type="dxa"/>
                </w:tblCellMar>
              </w:tblPrEx>
              <w:trPr>
                <w:cantSplit/>
                <w:trHeight w:val="214" w:hRule="atLeast"/>
                <w:jc w:val="center"/>
              </w:trPr>
              <w:tc>
                <w:tcPr>
                  <w:tcW w:w="665" w:type="dxa"/>
                  <w:tcBorders>
                    <w:top w:val="single" w:color="auto" w:sz="8" w:space="0"/>
                    <w:left w:val="single" w:color="auto" w:sz="8" w:space="0"/>
                    <w:bottom w:val="single" w:color="auto" w:sz="8" w:space="0"/>
                    <w:right w:val="single" w:color="auto" w:sz="8" w:space="0"/>
                  </w:tcBorders>
                  <w:noWrap w:val="0"/>
                  <w:vAlign w:val="center"/>
                </w:tcPr>
                <w:p w14:paraId="686161F9">
                  <w:pPr>
                    <w:snapToGrid w:val="0"/>
                    <w:spacing w:line="240" w:lineRule="auto"/>
                    <w:jc w:val="center"/>
                    <w:rPr>
                      <w:rFonts w:ascii="Times New Roman" w:hAnsi="Times New Roman" w:eastAsia="黑体" w:cs="Times New Roman"/>
                      <w:b/>
                      <w:bCs/>
                      <w:color w:val="auto"/>
                      <w:sz w:val="21"/>
                      <w:szCs w:val="21"/>
                      <w:highlight w:val="none"/>
                    </w:rPr>
                  </w:pPr>
                </w:p>
              </w:tc>
              <w:tc>
                <w:tcPr>
                  <w:tcW w:w="3237" w:type="dxa"/>
                  <w:tcBorders>
                    <w:top w:val="single" w:color="auto" w:sz="8" w:space="0"/>
                    <w:left w:val="nil"/>
                    <w:bottom w:val="single" w:color="auto" w:sz="8" w:space="0"/>
                    <w:right w:val="single" w:color="auto" w:sz="8" w:space="0"/>
                  </w:tcBorders>
                  <w:noWrap w:val="0"/>
                  <w:vAlign w:val="center"/>
                </w:tcPr>
                <w:p w14:paraId="4C6422E3">
                  <w:pPr>
                    <w:snapToGrid w:val="0"/>
                    <w:spacing w:line="240" w:lineRule="auto"/>
                    <w:ind w:firstLine="25" w:firstLineChars="12"/>
                    <w:jc w:val="center"/>
                    <w:rPr>
                      <w:rFonts w:ascii="Times New Roman" w:hAnsi="Times New Roman" w:eastAsia="黑体" w:cs="Times New Roman"/>
                      <w:b/>
                      <w:bCs/>
                      <w:color w:val="auto"/>
                      <w:sz w:val="21"/>
                      <w:szCs w:val="21"/>
                      <w:highlight w:val="none"/>
                    </w:rPr>
                  </w:pPr>
                  <w:r>
                    <w:rPr>
                      <w:rFonts w:ascii="Times New Roman" w:hAnsi="Times New Roman" w:cs="Times New Roman"/>
                      <w:b/>
                      <w:bCs/>
                      <w:color w:val="auto"/>
                      <w:sz w:val="21"/>
                      <w:szCs w:val="21"/>
                      <w:highlight w:val="none"/>
                    </w:rPr>
                    <w:t>合  计</w:t>
                  </w:r>
                </w:p>
              </w:tc>
              <w:tc>
                <w:tcPr>
                  <w:tcW w:w="842" w:type="dxa"/>
                  <w:tcBorders>
                    <w:top w:val="single" w:color="auto" w:sz="8" w:space="0"/>
                    <w:left w:val="nil"/>
                    <w:bottom w:val="single" w:color="auto" w:sz="8" w:space="0"/>
                    <w:right w:val="single" w:color="auto" w:sz="8" w:space="0"/>
                  </w:tcBorders>
                  <w:noWrap w:val="0"/>
                  <w:vAlign w:val="center"/>
                </w:tcPr>
                <w:p w14:paraId="39E78AA3">
                  <w:pPr>
                    <w:snapToGrid w:val="0"/>
                    <w:spacing w:line="240" w:lineRule="auto"/>
                    <w:jc w:val="center"/>
                    <w:rPr>
                      <w:rFonts w:ascii="Times New Roman" w:hAnsi="Times New Roman" w:eastAsia="黑体" w:cs="Times New Roman"/>
                      <w:color w:val="auto"/>
                      <w:sz w:val="21"/>
                      <w:szCs w:val="21"/>
                      <w:highlight w:val="none"/>
                    </w:rPr>
                  </w:pPr>
                </w:p>
              </w:tc>
              <w:tc>
                <w:tcPr>
                  <w:tcW w:w="1065" w:type="dxa"/>
                  <w:tcBorders>
                    <w:top w:val="single" w:color="auto" w:sz="8" w:space="0"/>
                    <w:left w:val="nil"/>
                    <w:bottom w:val="single" w:color="auto" w:sz="8" w:space="0"/>
                    <w:right w:val="single" w:color="auto" w:sz="8" w:space="0"/>
                  </w:tcBorders>
                  <w:noWrap w:val="0"/>
                  <w:vAlign w:val="center"/>
                </w:tcPr>
                <w:p w14:paraId="63F6E781">
                  <w:pPr>
                    <w:snapToGrid w:val="0"/>
                    <w:spacing w:line="240" w:lineRule="auto"/>
                    <w:jc w:val="center"/>
                    <w:rPr>
                      <w:rFonts w:hint="default" w:ascii="Times New Roman" w:hAnsi="Times New Roman" w:eastAsia="黑体" w:cs="Times New Roman"/>
                      <w:b/>
                      <w:bCs/>
                      <w:color w:val="auto"/>
                      <w:sz w:val="21"/>
                      <w:szCs w:val="21"/>
                      <w:highlight w:val="none"/>
                      <w:lang w:val="en-US" w:eastAsia="zh-CN"/>
                    </w:rPr>
                  </w:pPr>
                  <w:r>
                    <w:rPr>
                      <w:rFonts w:hint="eastAsia" w:eastAsia="黑体" w:cs="Times New Roman"/>
                      <w:b/>
                      <w:bCs/>
                      <w:color w:val="auto"/>
                      <w:sz w:val="21"/>
                      <w:szCs w:val="21"/>
                      <w:highlight w:val="none"/>
                      <w:lang w:val="en-US" w:eastAsia="zh-CN"/>
                    </w:rPr>
                    <w:t>5629.3</w:t>
                  </w:r>
                </w:p>
              </w:tc>
              <w:tc>
                <w:tcPr>
                  <w:tcW w:w="2448" w:type="dxa"/>
                  <w:tcBorders>
                    <w:top w:val="single" w:color="auto" w:sz="8" w:space="0"/>
                    <w:left w:val="nil"/>
                    <w:bottom w:val="single" w:color="auto" w:sz="8" w:space="0"/>
                    <w:right w:val="single" w:color="auto" w:sz="8" w:space="0"/>
                  </w:tcBorders>
                  <w:noWrap w:val="0"/>
                  <w:vAlign w:val="center"/>
                </w:tcPr>
                <w:p w14:paraId="1740555A">
                  <w:pPr>
                    <w:snapToGrid w:val="0"/>
                    <w:spacing w:line="240" w:lineRule="auto"/>
                    <w:jc w:val="center"/>
                    <w:rPr>
                      <w:rFonts w:hint="eastAsia" w:ascii="Times New Roman" w:hAnsi="Times New Roman" w:eastAsia="黑体" w:cs="Times New Roman"/>
                      <w:color w:val="auto"/>
                      <w:sz w:val="21"/>
                      <w:szCs w:val="21"/>
                      <w:highlight w:val="none"/>
                      <w:lang w:eastAsia="zh-CN"/>
                    </w:rPr>
                  </w:pPr>
                </w:p>
              </w:tc>
            </w:tr>
          </w:tbl>
          <w:p w14:paraId="739274D3">
            <w:pPr>
              <w:snapToGrid w:val="0"/>
              <w:spacing w:line="360" w:lineRule="auto"/>
              <w:ind w:firstLine="482" w:firstLineChars="200"/>
              <w:jc w:val="center"/>
              <w:rPr>
                <w:rFonts w:hint="default" w:ascii="Times New Roman" w:hAnsi="Times New Roman" w:cs="Times New Roman"/>
                <w:b/>
                <w:bCs/>
                <w:color w:val="auto"/>
                <w:sz w:val="24"/>
                <w:highlight w:val="none"/>
                <w:lang w:eastAsia="zh-CN"/>
              </w:rPr>
            </w:pPr>
          </w:p>
          <w:p w14:paraId="252FE4FA">
            <w:pPr>
              <w:keepNext w:val="0"/>
              <w:keepLines w:val="0"/>
              <w:widowControl/>
              <w:numPr>
                <w:ilvl w:val="0"/>
                <w:numId w:val="0"/>
              </w:numPr>
              <w:suppressLineNumbers w:val="0"/>
              <w:spacing w:line="360" w:lineRule="auto"/>
              <w:ind w:leftChars="0"/>
              <w:jc w:val="left"/>
              <w:rPr>
                <w:rFonts w:hint="default" w:ascii="宋体" w:hAnsi="宋体" w:eastAsia="宋体" w:cs="宋体"/>
                <w:color w:val="000000"/>
                <w:kern w:val="0"/>
                <w:sz w:val="24"/>
                <w:szCs w:val="24"/>
                <w:lang w:val="en-US" w:eastAsia="zh-CN" w:bidi="ar"/>
              </w:rPr>
            </w:pPr>
          </w:p>
        </w:tc>
      </w:tr>
      <w:tr w14:paraId="1FF4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trPr>
        <w:tc>
          <w:tcPr>
            <w:tcW w:w="8540" w:type="dxa"/>
          </w:tcPr>
          <w:p w14:paraId="73773638">
            <w:pPr>
              <w:keepNext w:val="0"/>
              <w:keepLines w:val="0"/>
              <w:widowControl/>
              <w:suppressLineNumbers w:val="0"/>
              <w:spacing w:line="360" w:lineRule="auto"/>
              <w:jc w:val="left"/>
              <w:rPr>
                <w:rFonts w:hint="eastAsia" w:ascii="宋体" w:hAnsi="宋体" w:eastAsia="宋体" w:cs="宋体"/>
                <w:b/>
                <w:bCs/>
                <w:color w:val="000000"/>
                <w:kern w:val="0"/>
                <w:sz w:val="24"/>
                <w:szCs w:val="24"/>
                <w:vertAlign w:val="baseline"/>
                <w:lang w:val="en-US" w:eastAsia="zh-CN" w:bidi="ar"/>
              </w:rPr>
            </w:pPr>
            <w:r>
              <w:rPr>
                <w:rFonts w:hint="eastAsia" w:ascii="宋体" w:hAnsi="宋体" w:eastAsia="宋体" w:cs="宋体"/>
                <w:b/>
                <w:bCs/>
                <w:color w:val="000000"/>
                <w:kern w:val="0"/>
                <w:sz w:val="24"/>
                <w:szCs w:val="24"/>
                <w:vertAlign w:val="baseline"/>
                <w:lang w:val="en-US" w:eastAsia="zh-CN" w:bidi="ar"/>
              </w:rPr>
              <w:t>与本项目有关的原有污染情况及主要环境问题</w:t>
            </w:r>
          </w:p>
          <w:p w14:paraId="3C77D59A">
            <w:pPr>
              <w:keepNext w:val="0"/>
              <w:keepLines w:val="0"/>
              <w:widowControl/>
              <w:numPr>
                <w:ilvl w:val="0"/>
                <w:numId w:val="0"/>
              </w:numPr>
              <w:suppressLineNumbers w:val="0"/>
              <w:spacing w:line="360" w:lineRule="auto"/>
              <w:ind w:leftChars="0" w:firstLine="480" w:firstLineChars="20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本项目为芒市火车站片区道路建设项目，项目是新建项目，无原有污染情况，项目占地范围内用地主要以村庄建设用地和农林用到为主，项目用地范围内不存在遗留的环境问题。</w:t>
            </w:r>
          </w:p>
        </w:tc>
      </w:tr>
    </w:tbl>
    <w:p w14:paraId="314CE33F">
      <w:pPr>
        <w:rPr>
          <w:color w:val="auto"/>
          <w:sz w:val="24"/>
          <w:highlight w:val="none"/>
        </w:rPr>
      </w:pPr>
      <w:r>
        <w:rPr>
          <w:color w:val="auto"/>
          <w:sz w:val="24"/>
          <w:highlight w:val="none"/>
        </w:rPr>
        <w:br w:type="page"/>
      </w:r>
    </w:p>
    <w:p w14:paraId="25B4732C">
      <w:pPr>
        <w:pStyle w:val="3"/>
        <w:bidi w:val="0"/>
        <w:rPr>
          <w:rFonts w:hint="default" w:ascii="宋体" w:hAnsi="宋体" w:eastAsia="宋体" w:cs="宋体"/>
          <w:b w:val="0"/>
          <w:bCs w:val="0"/>
          <w:color w:val="000000"/>
          <w:kern w:val="0"/>
          <w:sz w:val="28"/>
          <w:szCs w:val="28"/>
          <w:vertAlign w:val="baseline"/>
          <w:lang w:val="en-US" w:eastAsia="zh-CN" w:bidi="ar"/>
        </w:rPr>
      </w:pPr>
      <w:r>
        <w:rPr>
          <w:rFonts w:hint="eastAsia"/>
          <w:color w:val="auto"/>
          <w:sz w:val="28"/>
          <w:szCs w:val="28"/>
          <w:highlight w:val="none"/>
          <w:lang w:eastAsia="zh-CN"/>
        </w:rPr>
        <w:t>表二、</w:t>
      </w:r>
      <w:r>
        <w:rPr>
          <w:sz w:val="28"/>
          <w:szCs w:val="28"/>
        </w:rPr>
        <w:t>建设项目所在地自然环境社会环境简况</w:t>
      </w:r>
    </w:p>
    <w:tbl>
      <w:tblPr>
        <w:tblStyle w:val="1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14:paraId="4EF9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9" w:hRule="atLeast"/>
        </w:trPr>
        <w:tc>
          <w:tcPr>
            <w:tcW w:w="8520" w:type="dxa"/>
          </w:tcPr>
          <w:p w14:paraId="1D4E3143">
            <w:pPr>
              <w:bidi w:val="0"/>
              <w:rPr>
                <w:rFonts w:hint="default"/>
                <w:sz w:val="24"/>
                <w:szCs w:val="24"/>
                <w:lang w:eastAsia="zh-CN"/>
              </w:rPr>
            </w:pPr>
            <w:r>
              <w:rPr>
                <w:rFonts w:hint="default"/>
                <w:b/>
                <w:bCs/>
                <w:sz w:val="24"/>
                <w:szCs w:val="24"/>
              </w:rPr>
              <w:t>自然环境简况(地形、地貌、地质、气候、气象、水文、植被、生物多样性等)</w:t>
            </w:r>
            <w:r>
              <w:rPr>
                <w:rFonts w:hint="default"/>
                <w:b/>
                <w:bCs/>
                <w:sz w:val="24"/>
                <w:szCs w:val="24"/>
                <w:lang w:eastAsia="zh-CN"/>
              </w:rPr>
              <w:t>：</w:t>
            </w:r>
          </w:p>
          <w:p w14:paraId="6EDDB6D2">
            <w:pPr>
              <w:numPr>
                <w:ilvl w:val="0"/>
                <w:numId w:val="18"/>
              </w:numPr>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地理位置</w:t>
            </w:r>
          </w:p>
          <w:p w14:paraId="0925D43E">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芒市位于北纬 24°05’—98°44 ’之间的中国西南边陲亚热带地区。地处云南省西部，</w:t>
            </w:r>
            <w:r>
              <w:rPr>
                <w:rFonts w:hint="eastAsia" w:cs="Times New Roman"/>
                <w:color w:val="000000"/>
                <w:kern w:val="0"/>
                <w:sz w:val="24"/>
                <w:szCs w:val="24"/>
                <w:lang w:val="en-US" w:eastAsia="zh-CN" w:bidi="ar"/>
              </w:rPr>
              <w:t>德宏傣族景颇族自治州</w:t>
            </w:r>
            <w:r>
              <w:rPr>
                <w:rFonts w:hint="default" w:ascii="Times New Roman" w:hAnsi="Times New Roman" w:eastAsia="宋体" w:cs="Times New Roman"/>
                <w:color w:val="000000"/>
                <w:kern w:val="0"/>
                <w:sz w:val="24"/>
                <w:szCs w:val="24"/>
                <w:lang w:val="en-US" w:eastAsia="zh-CN" w:bidi="ar"/>
              </w:rPr>
              <w:t xml:space="preserve">东南部，为州府所在地，总面积 2987平方公里。东、东北邻龙陵县，西南接瑞丽市，西、西北连陇川县、梁河县，南与缅甸交界。国境线长 68 .23 公里。芒市由 320 国道与昆明连接，芒市对外航班直飞昆明。陆距省会昆明 675 公里，空距 460 公里。 </w:t>
            </w:r>
          </w:p>
          <w:p w14:paraId="3F1DA0E1">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芒市火车站位于德宏州芒市中心城区的西北部方向，是整个德宏州以及芒市的重要交通枢纽。</w:t>
            </w:r>
            <w:r>
              <w:rPr>
                <w:rFonts w:hint="default" w:ascii="Times New Roman" w:hAnsi="Times New Roman" w:cs="Times New Roman"/>
                <w:b w:val="0"/>
                <w:bCs/>
                <w:color w:val="auto"/>
                <w:sz w:val="24"/>
                <w:highlight w:val="none"/>
                <w:lang w:eastAsia="zh-CN"/>
              </w:rPr>
              <w:t>本项目</w:t>
            </w:r>
            <w:r>
              <w:rPr>
                <w:rFonts w:hint="default" w:ascii="Times New Roman" w:hAnsi="Times New Roman" w:eastAsia="宋体" w:cs="Times New Roman"/>
                <w:color w:val="000000"/>
                <w:kern w:val="0"/>
                <w:sz w:val="24"/>
                <w:szCs w:val="24"/>
                <w:lang w:val="en-US" w:eastAsia="zh-CN" w:bidi="ar"/>
              </w:rPr>
              <w:t>1 号路，起于田园大道，止于 7 号路，全长 807.824m，红线宽 40m；2 号路，起于田园大道，止于 7 号路，全长 807.129m，红线宽 32m；3 号路，起于田园大道，止于 5 号路，全长 1228.227m、红线宽 32m；4 号路，起于田园大道，止于 7 号路，其中合并段长 145m，宽 42m，二分段，北侧长 672.268m，南侧长 672.138m，两段红线宽均为 25m；5 号路，起于田园大道，止于 3 号路，全长 2286.292m，其中宽 32m 段长 1503.75m，宽 25m 段长 782.542m；6号路，起于田园大道，止于 7 号路，长 807.129m、红线宽 32m；7 号路，起于</w:t>
            </w:r>
            <w:r>
              <w:rPr>
                <w:rFonts w:hint="eastAsia" w:cs="Times New Roman"/>
                <w:color w:val="000000"/>
                <w:kern w:val="0"/>
                <w:sz w:val="24"/>
                <w:szCs w:val="24"/>
                <w:lang w:val="en-US" w:eastAsia="zh-CN" w:bidi="ar"/>
              </w:rPr>
              <w:t>高速公路南连接线</w:t>
            </w:r>
            <w:r>
              <w:rPr>
                <w:rFonts w:hint="default" w:ascii="Times New Roman" w:hAnsi="Times New Roman" w:eastAsia="宋体" w:cs="Times New Roman"/>
                <w:color w:val="000000"/>
                <w:kern w:val="0"/>
                <w:sz w:val="24"/>
                <w:szCs w:val="24"/>
                <w:lang w:val="en-US" w:eastAsia="zh-CN" w:bidi="ar"/>
              </w:rPr>
              <w:t xml:space="preserve">，止于 </w:t>
            </w: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号路，全长 4616.468m，红线宽 40m。</w:t>
            </w:r>
          </w:p>
          <w:p w14:paraId="0C83709B">
            <w:pPr>
              <w:keepNext w:val="0"/>
              <w:keepLines w:val="0"/>
              <w:widowControl/>
              <w:numPr>
                <w:ilvl w:val="0"/>
                <w:numId w:val="18"/>
              </w:numPr>
              <w:suppressLineNumbers w:val="0"/>
              <w:spacing w:line="360" w:lineRule="auto"/>
              <w:ind w:left="0" w:leftChars="0" w:firstLine="0" w:firstLineChars="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地形地貌及地质特征</w:t>
            </w:r>
          </w:p>
          <w:p w14:paraId="68F77251">
            <w:pPr>
              <w:keepNext w:val="0"/>
              <w:keepLines w:val="0"/>
              <w:widowControl/>
              <w:numPr>
                <w:ilvl w:val="0"/>
                <w:numId w:val="19"/>
              </w:numPr>
              <w:suppressLineNumbers w:val="0"/>
              <w:spacing w:line="360" w:lineRule="auto"/>
              <w:ind w:leftChars="0" w:firstLine="480" w:firstLineChars="200"/>
              <w:jc w:val="left"/>
              <w:rPr>
                <w:rFonts w:hint="default" w:ascii="Times New Roman" w:hAnsi="Times New Roman" w:eastAsia="宋体" w:cs="Times New Roman"/>
                <w:b w:val="0"/>
                <w:bCs/>
                <w:color w:val="auto"/>
                <w:kern w:val="0"/>
                <w:sz w:val="24"/>
                <w:highlight w:val="none"/>
                <w:lang w:val="en-US" w:eastAsia="zh-CN"/>
              </w:rPr>
            </w:pPr>
            <w:r>
              <w:rPr>
                <w:rFonts w:hint="default" w:ascii="Times New Roman" w:hAnsi="Times New Roman" w:eastAsia="宋体" w:cs="Times New Roman"/>
                <w:b w:val="0"/>
                <w:bCs/>
                <w:color w:val="auto"/>
                <w:kern w:val="0"/>
                <w:sz w:val="24"/>
                <w:highlight w:val="none"/>
                <w:lang w:val="en-US" w:eastAsia="zh-CN"/>
              </w:rPr>
              <w:t>地形、地貌</w:t>
            </w:r>
          </w:p>
          <w:p w14:paraId="6192135C">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芒市地区属山前河谷冲积扇，冲积扇西部为潞西山间盆地（潞西坝），该盆地长轴呈北东向南西展布，不规则状，盆地长轴方向约 26.50km，宽 6-8km。盆地地形平坦，海拔标高 860-900 米，芒市大河由北东向南西蜿蜒流经盆地中部，纵坡向小于 3%，河流两侧树枝状支流水系发育，盆地西部及南部第三系分布面积较大，形成冲沟，原野缓丘地形，海拔一般 850-1000 米。盆地外围为中等切割中山地形，东部和西部水岭海拔标高分别为2100-2400米和 1800-2200 米，相对高差 900-1500 米。</w:t>
            </w:r>
          </w:p>
          <w:p w14:paraId="5EBFFB8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芒市冲积扇南北长，东西宽，并由东向西缓倾，场区位于冲积扇向西倾末端，地形平坦开阔。冲积扇范围，由南向北依次有银秀河、板过河、南喊河等“三河”由东向西呈扇形展布，汇入芒市大河，芒市冲积扇之成因乃与“三河”有关，其“三河”出露基岩多为硅质石灰岩，石英砂岩，花岗岩，花岗片麻岩，板岩等，此乃是场区沉积物之主要来源。</w:t>
            </w:r>
          </w:p>
          <w:p w14:paraId="5275705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道路沿线所在区域现状为农田和空地，地形由东向西逐渐平缓，地面高程在 867~891m 之间，建设区域总体地势高差约 20m，拟建道路沿线坡度基本处于＜5％的坡度下，适宜开发建设。</w:t>
            </w:r>
          </w:p>
          <w:p w14:paraId="53185127">
            <w:pPr>
              <w:keepNext w:val="0"/>
              <w:keepLines w:val="0"/>
              <w:widowControl/>
              <w:numPr>
                <w:ilvl w:val="0"/>
                <w:numId w:val="19"/>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地质、地震</w:t>
            </w:r>
          </w:p>
          <w:p w14:paraId="5EF1C2D9">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①地质结构</w:t>
            </w:r>
          </w:p>
          <w:p w14:paraId="4494C15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本区域位于青、藏、滇、缅、印尼“歹”字型构造西支中段与三江经向构造带中南段及南岭纬向构造带西延</w:t>
            </w:r>
            <w:r>
              <w:rPr>
                <w:rFonts w:hint="eastAsia" w:cs="Times New Roman"/>
                <w:color w:val="000000"/>
                <w:kern w:val="0"/>
                <w:sz w:val="24"/>
                <w:szCs w:val="24"/>
                <w:lang w:val="en-US" w:eastAsia="zh-CN" w:bidi="ar"/>
              </w:rPr>
              <w:t>部分</w:t>
            </w:r>
            <w:r>
              <w:rPr>
                <w:rFonts w:hint="default" w:ascii="Times New Roman" w:hAnsi="Times New Roman" w:eastAsia="宋体" w:cs="Times New Roman"/>
                <w:color w:val="000000"/>
                <w:kern w:val="0"/>
                <w:sz w:val="24"/>
                <w:szCs w:val="24"/>
                <w:lang w:val="en-US" w:eastAsia="zh-CN" w:bidi="ar"/>
              </w:rPr>
              <w:t>的复合部位。地质构造比较复杂，褶皱、断裂构造形迹相当发育。在漫长的地质历史中，在多次不同方向主压应力作用下，形成了多方向、不同力学性质的构造形迹，分别归属于不同的构造体系。</w:t>
            </w:r>
          </w:p>
          <w:p w14:paraId="29CEAAC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项目区处于“歹”字型构造在该区三个构造带之一——芒市“入”字型构造带，位于 F95 勐力——帮瓦断裂的东南侧，根据云南省住房和城乡建设厅颁布的《云南省山地城镇岩土工程导则》（试行），该断裂为全新世活动断裂。在全新地质时期（一万年）内有过地震活动或者近期正在活动，在今后一百年可能继续活动，故判定为发震断裂。该断裂距离场地＜5.00KM。根据《建筑抗震设计规范》2016 版 GB 50011-2010.3.10.3 条对上部结构乘以相对的增大系数。</w:t>
            </w:r>
          </w:p>
          <w:p w14:paraId="18511D1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②地震</w:t>
            </w:r>
          </w:p>
          <w:p w14:paraId="0FD854D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本项目场地为冲洪积盆地，存在液化砂土。按《建筑抗震设计规范》（GB50011—2010）2016 版第 4.1.1 条，场地属抗震不利地段。项目位于芒市芒赛村，根据《中国地震动参数区划图》（GB18306—2015）表 C.25（续），地震烈度为Ⅷ度，峰值加速度值为 0.30g，反应谱特征周期值 0.45s。</w:t>
            </w:r>
          </w:p>
          <w:p w14:paraId="75BAD135">
            <w:pPr>
              <w:keepNext w:val="0"/>
              <w:keepLines w:val="0"/>
              <w:widowControl/>
              <w:numPr>
                <w:ilvl w:val="0"/>
                <w:numId w:val="18"/>
              </w:numPr>
              <w:suppressLineNumbers w:val="0"/>
              <w:spacing w:line="360" w:lineRule="auto"/>
              <w:ind w:left="0" w:leftChars="0" w:firstLine="0" w:firstLineChars="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气候、气象</w:t>
            </w:r>
          </w:p>
          <w:p w14:paraId="416A036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芒市地处低纬高原，热量丰富，气候温和，属南亚热带季风气候，具有夏长冬短、干湿分明、冬无严寒、夏无酷暑，日照时间长、雨量充沛、冬季多雾等特点。年平均气温19.6℃，最热月（6月）平均气温24.1℃，最冷月（1月）平均气温12.3℃，极端最高气温36.2℃（1960年4月29日），极端最低气温-0.6℃（1963年1月5日），年积温7170℃。年平均降水量1654.6㎜，年最多降水量2294.4㎜（2001年），年最少降水量1177.3㎜（2006年），雨季（5～10月）降水量占全年降水量的89%，年平均降雨日数170天，一日最大降水量158.3㎜（2002年10月25日）。日照时数2252.9小时，蒸发量1723.6㎜，无霜期315天。</w:t>
            </w:r>
          </w:p>
          <w:p w14:paraId="66DC412C">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本项目地处南亚热带夏雨季风气候区，多年平均气温 19.5℃，最冷月平均气温 12.2℃，最热月平均气温 23.7℃，极端高温 36.2℃，年平均降雨量1647.5 毫米，每年六月至十月为雨季，雨季降雨量占全年总降雨量的 75.0%，对基础工程施工较为不利，每年十一月至次年五月为旱季，旱季降雨量占全年总降雨量的 7.0%，对基础工程施工较为有利。</w:t>
            </w:r>
          </w:p>
          <w:p w14:paraId="0BEE10DE">
            <w:pPr>
              <w:keepNext w:val="0"/>
              <w:keepLines w:val="0"/>
              <w:widowControl/>
              <w:numPr>
                <w:ilvl w:val="0"/>
                <w:numId w:val="18"/>
              </w:numPr>
              <w:suppressLineNumbers w:val="0"/>
              <w:spacing w:line="360" w:lineRule="auto"/>
              <w:ind w:left="0" w:leftChars="0" w:firstLine="0" w:firstLineChars="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水文</w:t>
            </w:r>
          </w:p>
          <w:p w14:paraId="03D13E6F">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芒市水系主要有“三江四河”。三江：大盈江、瑞丽江（陇川江）、怒江；四河：芒市河、南畹河、户撒河、芒东河（萝卜坝河）。芒市年平均总产水量31.8亿立方米，其中地表水23.11亿立方米，地下水8.69亿立方米。</w:t>
            </w:r>
          </w:p>
          <w:p w14:paraId="4831CEEE">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项目区主要水体为芒市河，发源于龙陵县荆竹坪乡和芒市象滚塘乡诸山溪，至木康以下进入芒市坝，至遮放坝尾弄坎与龙江汇合成瑞丽江。河长102.1km，流域面积 1830.5km2。该河位于拟建场地西北侧，距离场地约 15.0～750.00m，距离拟建场地较远，对工程建设影响较小。</w:t>
            </w:r>
          </w:p>
          <w:p w14:paraId="1DF4FD0E">
            <w:pPr>
              <w:keepNext w:val="0"/>
              <w:keepLines w:val="0"/>
              <w:widowControl/>
              <w:numPr>
                <w:ilvl w:val="0"/>
                <w:numId w:val="18"/>
              </w:numPr>
              <w:suppressLineNumbers w:val="0"/>
              <w:spacing w:line="360" w:lineRule="auto"/>
              <w:ind w:left="0" w:leftChars="0" w:firstLine="0" w:firstLineChars="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土壤、植被</w:t>
            </w:r>
          </w:p>
          <w:p w14:paraId="778F2051">
            <w:pPr>
              <w:keepNext w:val="0"/>
              <w:keepLines w:val="0"/>
              <w:widowControl/>
              <w:numPr>
                <w:ilvl w:val="0"/>
                <w:numId w:val="0"/>
              </w:numPr>
              <w:suppressLineNumbers w:val="0"/>
              <w:spacing w:line="360" w:lineRule="auto"/>
              <w:ind w:left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（1）土壤</w:t>
            </w:r>
          </w:p>
          <w:p w14:paraId="58EF775C">
            <w:pPr>
              <w:autoSpaceDE w:val="0"/>
              <w:autoSpaceDN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sz w:val="24"/>
              </w:rPr>
              <w:t>芒市土壤因气候、生物、地质、地形等的相互作用，造成芒市境内土壤类型多。目前，芒市共有9个土类，16个亚类，35个土属，58个土种。其中：砖红壤性红壤面积260.2万亩，占总面积的58.1%，主要分布在海拔150米以下的山地、坝区阶地和低丘。红壤面积78.8万亩，占总面积的17.6%，主要分布在海拔1500m-2000m之间山地。黄壤面积26万亩，占总面积的5.8%，主要分布在</w:t>
            </w:r>
            <w:r>
              <w:rPr>
                <w:rFonts w:hint="eastAsia" w:cs="Times New Roman"/>
                <w:sz w:val="24"/>
                <w:lang w:eastAsia="zh-CN"/>
              </w:rPr>
              <w:t>海拔</w:t>
            </w:r>
            <w:r>
              <w:rPr>
                <w:rFonts w:hint="default" w:ascii="Times New Roman" w:hAnsi="Times New Roman" w:cs="Times New Roman"/>
                <w:sz w:val="24"/>
              </w:rPr>
              <w:t>2000m-2600m之间山地。棕壤面积1.8万亩，占总面积的0.4%。主要分布在海拔2630m-2889m之间山地，土壤发育慢，矿质风化程度低，含砾砂多，保水保肥力差。石灰岩面积30万亩，占总面积的6.7%。分布零散不成带域，主要在勐嘎镇，东山乡的部分地区，质地较粘细，保水保肥力强。紫色土面积7.6万亩，占总面积的1.7%。主要分布在三台山乡、法帕镇的部分地区，土质偏粘，保水保肥力强，冲积土面积2.4万亩，占总面积的0.5%。主要分布在芒市大河流两岸的河漫滩平地上，质地砂性，保水保肥力差。沼泽土面积1123亩，占总面积的0.03%。主要分布在芒市、芒里的部分地区，土壤质地粘细含水多。砖红壤、红壤、黄壤、棕壤成土母岩主要由粗粘结晶、花岗岩、变质岩、砂岩、砂岩质和玄武岩等岩石风化物提供，其理化性能为容易风化，质地疏松，机构松散，持水力较弱，植被受破坏后，易产生水土流失。农业灌溉需水量大</w:t>
            </w:r>
            <w:r>
              <w:rPr>
                <w:rFonts w:hint="default" w:ascii="Times New Roman" w:hAnsi="Times New Roman" w:cs="Times New Roman"/>
                <w:bCs/>
                <w:sz w:val="24"/>
              </w:rPr>
              <w:t>。</w:t>
            </w:r>
          </w:p>
          <w:p w14:paraId="2922A2FD">
            <w:pPr>
              <w:autoSpaceDE w:val="0"/>
              <w:autoSpaceDN w:val="0"/>
              <w:spacing w:line="360" w:lineRule="auto"/>
              <w:ind w:firstLine="480" w:firstLineChars="200"/>
              <w:rPr>
                <w:rFonts w:hint="default" w:ascii="Times New Roman" w:hAnsi="Times New Roman" w:cs="Times New Roman" w:eastAsiaTheme="minorEastAsia"/>
                <w:bCs/>
                <w:sz w:val="24"/>
                <w:lang w:eastAsia="zh-CN"/>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2</w:t>
            </w:r>
            <w:r>
              <w:rPr>
                <w:rFonts w:hint="default" w:ascii="Times New Roman" w:hAnsi="Times New Roman" w:cs="Times New Roman"/>
                <w:bCs/>
                <w:sz w:val="24"/>
                <w:lang w:eastAsia="zh-CN"/>
              </w:rPr>
              <w:t>）植被</w:t>
            </w:r>
          </w:p>
          <w:p w14:paraId="7064221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芒市地处亚热带地区，终年丰富的热量和充沛的降雨量形成了复杂的植被类型。全市森林覆盖率达到 62.8%以上</w:t>
            </w:r>
            <w:r>
              <w:rPr>
                <w:rFonts w:hint="default"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4"/>
                <w:szCs w:val="24"/>
                <w:lang w:val="en-US" w:eastAsia="zh-CN" w:bidi="ar"/>
              </w:rPr>
              <w:t>据1999年高等植物调查统计，全市高等植物257科，2564种。属国家级重点保护植物39种，其中国家Ⅰ级保护植物4种，国家Ⅱ级保护植物17种，国家Ⅲ级保护植物18种，省级重点保护植物19种，其中省Ⅱ级保护植物5种，省Ⅲ级保护植物14种。红豆杉主要分布在风平镇的平河等高寒山区，合果木主要分布在中山乡，桫椤在芒海镇帕压山的一片桫椤树群，占地约400亩，平均树高4米以上，平均胸径约10厘米以上。</w:t>
            </w:r>
          </w:p>
          <w:p w14:paraId="25525DF5">
            <w:pPr>
              <w:keepNext w:val="0"/>
              <w:keepLines w:val="0"/>
              <w:widowControl/>
              <w:numPr>
                <w:ilvl w:val="0"/>
                <w:numId w:val="18"/>
              </w:numPr>
              <w:suppressLineNumbers w:val="0"/>
              <w:spacing w:line="360" w:lineRule="auto"/>
              <w:ind w:left="0" w:leftChars="0" w:firstLine="0" w:firstLineChars="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名胜古迹和历史文物</w:t>
            </w:r>
          </w:p>
          <w:p w14:paraId="72F818B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kern w:val="0"/>
                <w:sz w:val="24"/>
                <w:szCs w:val="24"/>
                <w:lang w:val="en-US" w:eastAsia="zh-CN" w:bidi="ar"/>
              </w:rPr>
              <w:t>本项目工程建设地点为芒市中心城区西北部，根据调查，本项目区域内没有国家、省、市级重点保护的稀有野生动植物种群，用地范围内没有已发现的文物古迹，</w:t>
            </w:r>
            <w:r>
              <w:rPr>
                <w:rFonts w:hint="default" w:ascii="Times New Roman" w:hAnsi="Times New Roman" w:eastAsia="宋体" w:cs="Times New Roman"/>
                <w:color w:val="auto"/>
                <w:sz w:val="24"/>
                <w:szCs w:val="24"/>
                <w:highlight w:val="none"/>
              </w:rPr>
              <w:t>所在地周边不涉及自然保护区、风景名胜区等特殊保护对象。</w:t>
            </w:r>
          </w:p>
        </w:tc>
      </w:tr>
    </w:tbl>
    <w:p w14:paraId="0B8AFF7E">
      <w:pPr>
        <w:rPr>
          <w:rFonts w:hint="eastAsia"/>
          <w:color w:val="auto"/>
          <w:sz w:val="24"/>
          <w:highlight w:val="none"/>
          <w:lang w:eastAsia="zh-CN"/>
        </w:rPr>
      </w:pPr>
      <w:r>
        <w:rPr>
          <w:rFonts w:hint="eastAsia"/>
          <w:color w:val="auto"/>
          <w:sz w:val="24"/>
          <w:highlight w:val="none"/>
          <w:lang w:eastAsia="zh-CN"/>
        </w:rPr>
        <w:br w:type="page"/>
      </w:r>
    </w:p>
    <w:p w14:paraId="0D80C757">
      <w:pPr>
        <w:pStyle w:val="3"/>
        <w:bidi w:val="0"/>
        <w:rPr>
          <w:rFonts w:hint="eastAsia"/>
          <w:sz w:val="28"/>
          <w:szCs w:val="28"/>
          <w:lang w:eastAsia="zh-CN"/>
        </w:rPr>
      </w:pPr>
      <w:r>
        <w:rPr>
          <w:rFonts w:hint="eastAsia"/>
          <w:sz w:val="28"/>
          <w:szCs w:val="28"/>
          <w:lang w:eastAsia="zh-CN"/>
        </w:rPr>
        <w:t>表三、环境质量状况</w:t>
      </w:r>
    </w:p>
    <w:tbl>
      <w:tblPr>
        <w:tblStyle w:val="16"/>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0"/>
      </w:tblGrid>
      <w:tr w14:paraId="3EE0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7" w:hRule="atLeast"/>
        </w:trPr>
        <w:tc>
          <w:tcPr>
            <w:tcW w:w="8540" w:type="dxa"/>
          </w:tcPr>
          <w:p w14:paraId="19BDA552">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建设项目所在区域环境质量现状及主要环境问题(环境空气、地面水、地下水、声环境、生态环境等)</w:t>
            </w:r>
          </w:p>
          <w:p w14:paraId="2390CA14">
            <w:pPr>
              <w:numPr>
                <w:ilvl w:val="0"/>
                <w:numId w:val="20"/>
              </w:numPr>
              <w:adjustRightInd w:val="0"/>
              <w:snapToGrid w:val="0"/>
              <w:spacing w:line="360" w:lineRule="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环境空气质量现状</w:t>
            </w:r>
          </w:p>
          <w:p w14:paraId="0E507D18">
            <w:pPr>
              <w:spacing w:line="360" w:lineRule="auto"/>
              <w:ind w:firstLine="480"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color w:val="auto"/>
                <w:sz w:val="24"/>
                <w:highlight w:val="none"/>
              </w:rPr>
              <w:t>（1）环境空气现状调查</w:t>
            </w:r>
          </w:p>
          <w:p w14:paraId="359A8C4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评价区范围内没有大中型工业污染源，</w:t>
            </w:r>
            <w:r>
              <w:rPr>
                <w:rFonts w:hint="default" w:ascii="Times New Roman" w:hAnsi="Times New Roman" w:cs="Times New Roman"/>
                <w:color w:val="auto"/>
                <w:sz w:val="24"/>
                <w:highlight w:val="none"/>
              </w:rPr>
              <w:t>环境空气的现状主要污染源来源于已有道路行车产生的汽车尾气和周边施工场地及道路扬尘。</w:t>
            </w:r>
          </w:p>
          <w:p w14:paraId="30A1D8EB">
            <w:pPr>
              <w:numPr>
                <w:ilvl w:val="0"/>
                <w:numId w:val="0"/>
              </w:numPr>
              <w:snapToGrid w:val="0"/>
              <w:spacing w:line="360" w:lineRule="auto"/>
              <w:ind w:leftChars="20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环境空气现状评价</w:t>
            </w:r>
          </w:p>
          <w:p w14:paraId="5F44EE21">
            <w:pPr>
              <w:numPr>
                <w:ilvl w:val="0"/>
                <w:numId w:val="0"/>
              </w:numPr>
              <w:snapToGrid w:val="0"/>
              <w:spacing w:line="360" w:lineRule="auto"/>
              <w:ind w:left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①评价标准</w:t>
            </w:r>
          </w:p>
          <w:p w14:paraId="735D9007">
            <w:pPr>
              <w:keepNext w:val="0"/>
              <w:keepLines w:val="0"/>
              <w:widowControl/>
              <w:suppressLineNumbers w:val="0"/>
              <w:spacing w:line="360" w:lineRule="auto"/>
              <w:ind w:firstLine="480" w:firstLineChars="200"/>
              <w:jc w:val="left"/>
              <w:rPr>
                <w:rFonts w:hint="default" w:ascii="Times New Roman" w:hAnsi="Times New Roman" w:cs="Times New Roman"/>
                <w:snapToGrid w:val="0"/>
                <w:color w:val="auto"/>
                <w:kern w:val="0"/>
                <w:sz w:val="24"/>
                <w:highlight w:val="none"/>
                <w:lang w:eastAsia="zh-CN"/>
              </w:rPr>
            </w:pPr>
            <w:r>
              <w:rPr>
                <w:rFonts w:hint="default" w:ascii="Times New Roman" w:hAnsi="Times New Roman" w:eastAsia="宋体" w:cs="Times New Roman"/>
                <w:color w:val="000000"/>
                <w:kern w:val="0"/>
                <w:sz w:val="24"/>
                <w:szCs w:val="24"/>
                <w:lang w:val="en-US" w:eastAsia="zh-CN" w:bidi="ar"/>
              </w:rPr>
              <w:t>根据《芒市火车站片区控制性详细规划》，项目拟建道路周边涵盖了一/二类居住用地、商业/商住混合用地、交通场站用地等，属于二类功能区，执行</w:t>
            </w:r>
            <w:r>
              <w:rPr>
                <w:rFonts w:hint="default" w:ascii="Times New Roman" w:hAnsi="Times New Roman" w:cs="Times New Roman"/>
                <w:snapToGrid w:val="0"/>
                <w:color w:val="auto"/>
                <w:kern w:val="0"/>
                <w:sz w:val="24"/>
                <w:highlight w:val="none"/>
              </w:rPr>
              <w:t>《环境空气质量标准》（GB3095-2012）二级标准</w:t>
            </w:r>
            <w:r>
              <w:rPr>
                <w:rFonts w:hint="default" w:ascii="Times New Roman" w:hAnsi="Times New Roman" w:cs="Times New Roman"/>
                <w:snapToGrid w:val="0"/>
                <w:color w:val="auto"/>
                <w:kern w:val="0"/>
                <w:sz w:val="24"/>
                <w:highlight w:val="none"/>
                <w:lang w:eastAsia="zh-CN"/>
              </w:rPr>
              <w:t>。</w:t>
            </w:r>
          </w:p>
          <w:p w14:paraId="1B96454E">
            <w:pPr>
              <w:keepNext w:val="0"/>
              <w:keepLines w:val="0"/>
              <w:widowControl/>
              <w:suppressLineNumbers w:val="0"/>
              <w:spacing w:line="360" w:lineRule="auto"/>
              <w:ind w:firstLine="480" w:firstLineChars="200"/>
              <w:jc w:val="left"/>
              <w:rPr>
                <w:rFonts w:hint="default" w:ascii="Times New Roman" w:hAnsi="Times New Roman" w:cs="Times New Roman"/>
                <w:snapToGrid w:val="0"/>
                <w:color w:val="auto"/>
                <w:kern w:val="0"/>
                <w:sz w:val="24"/>
                <w:highlight w:val="none"/>
                <w:lang w:eastAsia="zh-CN"/>
              </w:rPr>
            </w:pPr>
            <w:r>
              <w:rPr>
                <w:rFonts w:hint="default" w:ascii="Times New Roman" w:hAnsi="Times New Roman" w:cs="Times New Roman"/>
                <w:snapToGrid w:val="0"/>
                <w:color w:val="auto"/>
                <w:kern w:val="0"/>
                <w:sz w:val="24"/>
                <w:highlight w:val="none"/>
                <w:lang w:eastAsia="zh-CN"/>
              </w:rPr>
              <w:t>②芒市环境空气质量评价</w:t>
            </w:r>
          </w:p>
          <w:p w14:paraId="5DA8EBA3">
            <w:pPr>
              <w:keepNext w:val="0"/>
              <w:keepLines w:val="0"/>
              <w:widowControl/>
              <w:suppressLineNumbers w:val="0"/>
              <w:spacing w:line="360" w:lineRule="auto"/>
              <w:ind w:firstLine="480" w:firstLineChars="200"/>
              <w:jc w:val="left"/>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val="en-US" w:eastAsia="zh-CN"/>
              </w:rPr>
              <w:t>根据《德宏州2018年环境质量状况公报》，芒市空气质量优天数179天，空气质量良天数159天，轻度污染天数21天，中度污染天数1天，无中毒污染和严重污染天数。各指标监测数据如下表所示</w:t>
            </w:r>
          </w:p>
          <w:p w14:paraId="0F9366EB">
            <w:pPr>
              <w:keepNext w:val="0"/>
              <w:keepLines w:val="0"/>
              <w:widowControl/>
              <w:suppressLineNumbers w:val="0"/>
              <w:spacing w:line="360" w:lineRule="auto"/>
              <w:ind w:firstLine="482" w:firstLineChars="200"/>
              <w:jc w:val="center"/>
              <w:rPr>
                <w:rFonts w:hint="default" w:ascii="Times New Roman" w:hAnsi="Times New Roman" w:eastAsia="宋体" w:cs="Times New Roman"/>
                <w:b/>
                <w:bCs/>
                <w:snapToGrid w:val="0"/>
                <w:color w:val="auto"/>
                <w:kern w:val="0"/>
                <w:sz w:val="24"/>
                <w:highlight w:val="none"/>
                <w:lang w:val="en-US" w:eastAsia="zh-CN"/>
              </w:rPr>
            </w:pPr>
            <w:r>
              <w:rPr>
                <w:rFonts w:hint="default" w:ascii="Times New Roman" w:hAnsi="Times New Roman" w:eastAsia="宋体" w:cs="Times New Roman"/>
                <w:b/>
                <w:bCs/>
                <w:snapToGrid w:val="0"/>
                <w:color w:val="auto"/>
                <w:kern w:val="0"/>
                <w:sz w:val="24"/>
                <w:highlight w:val="none"/>
                <w:lang w:val="en-US" w:eastAsia="zh-CN"/>
              </w:rPr>
              <w:t>表3-1 2018年芒市</w:t>
            </w:r>
            <w:r>
              <w:rPr>
                <w:rFonts w:hint="default" w:ascii="Times New Roman" w:hAnsi="Times New Roman" w:eastAsia="宋体" w:cs="Times New Roman"/>
                <w:b/>
                <w:bCs/>
                <w:color w:val="auto"/>
                <w:sz w:val="24"/>
                <w:highlight w:val="none"/>
              </w:rPr>
              <w:t>环境空气质量监测指标达标情况</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2309"/>
              <w:gridCol w:w="2385"/>
              <w:gridCol w:w="1541"/>
            </w:tblGrid>
            <w:tr w14:paraId="4A78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342613F">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监测指标</w:t>
                  </w:r>
                </w:p>
              </w:tc>
              <w:tc>
                <w:tcPr>
                  <w:tcW w:w="2309" w:type="dxa"/>
                  <w:vAlign w:val="center"/>
                </w:tcPr>
                <w:p w14:paraId="653538DB">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年均浓度（μg/m</w:t>
                  </w:r>
                  <w:r>
                    <w:rPr>
                      <w:rFonts w:hint="default" w:ascii="Times New Roman" w:hAnsi="Times New Roman" w:eastAsia="宋体" w:cs="Times New Roman"/>
                      <w:b/>
                      <w:bCs/>
                      <w:snapToGrid w:val="0"/>
                      <w:color w:val="auto"/>
                      <w:kern w:val="0"/>
                      <w:sz w:val="21"/>
                      <w:szCs w:val="21"/>
                      <w:highlight w:val="none"/>
                      <w:vertAlign w:val="superscript"/>
                    </w:rPr>
                    <w:t>3</w:t>
                  </w:r>
                  <w:r>
                    <w:rPr>
                      <w:rFonts w:hint="default" w:ascii="Times New Roman" w:hAnsi="Times New Roman" w:eastAsia="宋体" w:cs="Times New Roman"/>
                      <w:b/>
                      <w:bCs/>
                      <w:snapToGrid w:val="0"/>
                      <w:color w:val="auto"/>
                      <w:kern w:val="0"/>
                      <w:sz w:val="21"/>
                      <w:szCs w:val="21"/>
                      <w:highlight w:val="none"/>
                    </w:rPr>
                    <w:t>）</w:t>
                  </w:r>
                </w:p>
              </w:tc>
              <w:tc>
                <w:tcPr>
                  <w:tcW w:w="2385" w:type="dxa"/>
                  <w:vAlign w:val="center"/>
                </w:tcPr>
                <w:p w14:paraId="0D39972E">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二级标准（μg/m</w:t>
                  </w:r>
                  <w:r>
                    <w:rPr>
                      <w:rFonts w:hint="default" w:ascii="Times New Roman" w:hAnsi="Times New Roman" w:eastAsia="宋体" w:cs="Times New Roman"/>
                      <w:b/>
                      <w:bCs/>
                      <w:snapToGrid w:val="0"/>
                      <w:color w:val="auto"/>
                      <w:kern w:val="0"/>
                      <w:sz w:val="21"/>
                      <w:szCs w:val="21"/>
                      <w:highlight w:val="none"/>
                      <w:vertAlign w:val="superscript"/>
                    </w:rPr>
                    <w:t>3</w:t>
                  </w:r>
                  <w:r>
                    <w:rPr>
                      <w:rFonts w:hint="default" w:ascii="Times New Roman" w:hAnsi="Times New Roman" w:eastAsia="宋体" w:cs="Times New Roman"/>
                      <w:b/>
                      <w:bCs/>
                      <w:snapToGrid w:val="0"/>
                      <w:color w:val="auto"/>
                      <w:kern w:val="0"/>
                      <w:sz w:val="21"/>
                      <w:szCs w:val="21"/>
                      <w:highlight w:val="none"/>
                    </w:rPr>
                    <w:t>）</w:t>
                  </w:r>
                </w:p>
              </w:tc>
              <w:tc>
                <w:tcPr>
                  <w:tcW w:w="1541" w:type="dxa"/>
                  <w:vAlign w:val="center"/>
                </w:tcPr>
                <w:p w14:paraId="609EFC56">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达标情况</w:t>
                  </w:r>
                </w:p>
              </w:tc>
            </w:tr>
            <w:tr w14:paraId="3DEA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11CC4887">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二氧化硫（</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w:t>
                  </w:r>
                </w:p>
              </w:tc>
              <w:tc>
                <w:tcPr>
                  <w:tcW w:w="2309" w:type="dxa"/>
                  <w:vAlign w:val="center"/>
                </w:tcPr>
                <w:p w14:paraId="41E68E10">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15</w:t>
                  </w:r>
                </w:p>
              </w:tc>
              <w:tc>
                <w:tcPr>
                  <w:tcW w:w="2385" w:type="dxa"/>
                  <w:vAlign w:val="center"/>
                </w:tcPr>
                <w:p w14:paraId="123CA146">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60</w:t>
                  </w:r>
                </w:p>
              </w:tc>
              <w:tc>
                <w:tcPr>
                  <w:tcW w:w="1541" w:type="dxa"/>
                  <w:vAlign w:val="center"/>
                </w:tcPr>
                <w:p w14:paraId="017BE863">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30B2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5B415F1">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二氧化氮（</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snapToGrid w:val="0"/>
                      <w:color w:val="auto"/>
                      <w:kern w:val="0"/>
                      <w:sz w:val="21"/>
                      <w:szCs w:val="21"/>
                      <w:highlight w:val="none"/>
                    </w:rPr>
                    <w:t>）</w:t>
                  </w:r>
                </w:p>
              </w:tc>
              <w:tc>
                <w:tcPr>
                  <w:tcW w:w="2309" w:type="dxa"/>
                  <w:vAlign w:val="center"/>
                </w:tcPr>
                <w:p w14:paraId="28F9D997">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22</w:t>
                  </w:r>
                </w:p>
              </w:tc>
              <w:tc>
                <w:tcPr>
                  <w:tcW w:w="2385" w:type="dxa"/>
                  <w:vAlign w:val="center"/>
                </w:tcPr>
                <w:p w14:paraId="4D5AD95C">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40</w:t>
                  </w:r>
                </w:p>
              </w:tc>
              <w:tc>
                <w:tcPr>
                  <w:tcW w:w="1541" w:type="dxa"/>
                  <w:vAlign w:val="center"/>
                </w:tcPr>
                <w:p w14:paraId="416A353B">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1580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5DA7567">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可吸入颗粒物（PM</w:t>
                  </w:r>
                  <w:r>
                    <w:rPr>
                      <w:rFonts w:hint="default" w:ascii="Times New Roman" w:hAnsi="Times New Roman" w:eastAsia="宋体" w:cs="Times New Roman"/>
                      <w:snapToGrid w:val="0"/>
                      <w:color w:val="auto"/>
                      <w:kern w:val="0"/>
                      <w:sz w:val="21"/>
                      <w:szCs w:val="21"/>
                      <w:highlight w:val="none"/>
                      <w:vertAlign w:val="subscript"/>
                    </w:rPr>
                    <w:t>10</w:t>
                  </w:r>
                  <w:r>
                    <w:rPr>
                      <w:rFonts w:hint="default" w:ascii="Times New Roman" w:hAnsi="Times New Roman" w:eastAsia="宋体" w:cs="Times New Roman"/>
                      <w:snapToGrid w:val="0"/>
                      <w:color w:val="auto"/>
                      <w:kern w:val="0"/>
                      <w:sz w:val="21"/>
                      <w:szCs w:val="21"/>
                      <w:highlight w:val="none"/>
                    </w:rPr>
                    <w:t>）</w:t>
                  </w:r>
                </w:p>
              </w:tc>
              <w:tc>
                <w:tcPr>
                  <w:tcW w:w="2309" w:type="dxa"/>
                  <w:vAlign w:val="center"/>
                </w:tcPr>
                <w:p w14:paraId="0AA7FC5B">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53</w:t>
                  </w:r>
                </w:p>
              </w:tc>
              <w:tc>
                <w:tcPr>
                  <w:tcW w:w="2385" w:type="dxa"/>
                  <w:vAlign w:val="center"/>
                </w:tcPr>
                <w:p w14:paraId="7B76E59C">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70</w:t>
                  </w:r>
                </w:p>
              </w:tc>
              <w:tc>
                <w:tcPr>
                  <w:tcW w:w="1541" w:type="dxa"/>
                  <w:vAlign w:val="center"/>
                </w:tcPr>
                <w:p w14:paraId="7B785EDE">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0804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4FCEA02">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细颗粒物（PM</w:t>
                  </w:r>
                  <w:r>
                    <w:rPr>
                      <w:rFonts w:hint="default" w:ascii="Times New Roman" w:hAnsi="Times New Roman" w:eastAsia="宋体" w:cs="Times New Roman"/>
                      <w:snapToGrid w:val="0"/>
                      <w:color w:val="auto"/>
                      <w:kern w:val="0"/>
                      <w:sz w:val="21"/>
                      <w:szCs w:val="21"/>
                      <w:highlight w:val="none"/>
                      <w:vertAlign w:val="subscript"/>
                    </w:rPr>
                    <w:t>2.5</w:t>
                  </w:r>
                  <w:r>
                    <w:rPr>
                      <w:rFonts w:hint="default" w:ascii="Times New Roman" w:hAnsi="Times New Roman" w:eastAsia="宋体" w:cs="Times New Roman"/>
                      <w:snapToGrid w:val="0"/>
                      <w:color w:val="auto"/>
                      <w:kern w:val="0"/>
                      <w:sz w:val="21"/>
                      <w:szCs w:val="21"/>
                      <w:highlight w:val="none"/>
                    </w:rPr>
                    <w:t>）</w:t>
                  </w:r>
                </w:p>
              </w:tc>
              <w:tc>
                <w:tcPr>
                  <w:tcW w:w="2309" w:type="dxa"/>
                  <w:vAlign w:val="center"/>
                </w:tcPr>
                <w:p w14:paraId="5DF25C36">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34</w:t>
                  </w:r>
                </w:p>
              </w:tc>
              <w:tc>
                <w:tcPr>
                  <w:tcW w:w="2385" w:type="dxa"/>
                  <w:vAlign w:val="center"/>
                </w:tcPr>
                <w:p w14:paraId="49E1D858">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35</w:t>
                  </w:r>
                </w:p>
              </w:tc>
              <w:tc>
                <w:tcPr>
                  <w:tcW w:w="1541" w:type="dxa"/>
                  <w:vAlign w:val="center"/>
                </w:tcPr>
                <w:p w14:paraId="519451D2">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386B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69D602D">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CO</w:t>
                  </w:r>
                </w:p>
              </w:tc>
              <w:tc>
                <w:tcPr>
                  <w:tcW w:w="2309" w:type="dxa"/>
                  <w:vAlign w:val="center"/>
                </w:tcPr>
                <w:p w14:paraId="65CB429B">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0.7</w:t>
                  </w:r>
                  <w:r>
                    <w:rPr>
                      <w:rFonts w:hint="default" w:ascii="Times New Roman" w:hAnsi="Times New Roman" w:eastAsia="宋体" w:cs="Times New Roman"/>
                      <w:snapToGrid w:val="0"/>
                      <w:color w:val="auto"/>
                      <w:kern w:val="0"/>
                      <w:sz w:val="21"/>
                      <w:szCs w:val="21"/>
                      <w:highlight w:val="none"/>
                    </w:rPr>
                    <w:t>mg/m</w:t>
                  </w:r>
                  <w:r>
                    <w:rPr>
                      <w:rFonts w:hint="default" w:ascii="Times New Roman" w:hAnsi="Times New Roman" w:eastAsia="宋体" w:cs="Times New Roman"/>
                      <w:snapToGrid w:val="0"/>
                      <w:color w:val="auto"/>
                      <w:kern w:val="0"/>
                      <w:sz w:val="21"/>
                      <w:szCs w:val="21"/>
                      <w:highlight w:val="none"/>
                      <w:vertAlign w:val="superscript"/>
                    </w:rPr>
                    <w:t>3</w:t>
                  </w:r>
                </w:p>
              </w:tc>
              <w:tc>
                <w:tcPr>
                  <w:tcW w:w="2385" w:type="dxa"/>
                  <w:vAlign w:val="center"/>
                </w:tcPr>
                <w:p w14:paraId="081F5D39">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4mg/m</w:t>
                  </w:r>
                  <w:r>
                    <w:rPr>
                      <w:rFonts w:hint="default" w:ascii="Times New Roman" w:hAnsi="Times New Roman" w:eastAsia="宋体" w:cs="Times New Roman"/>
                      <w:snapToGrid w:val="0"/>
                      <w:color w:val="auto"/>
                      <w:kern w:val="0"/>
                      <w:sz w:val="21"/>
                      <w:szCs w:val="21"/>
                      <w:highlight w:val="none"/>
                      <w:vertAlign w:val="superscript"/>
                    </w:rPr>
                    <w:t>3</w:t>
                  </w:r>
                </w:p>
              </w:tc>
              <w:tc>
                <w:tcPr>
                  <w:tcW w:w="1541" w:type="dxa"/>
                  <w:vAlign w:val="center"/>
                </w:tcPr>
                <w:p w14:paraId="22317389">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147E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426593B6">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O</w:t>
                  </w:r>
                  <w:r>
                    <w:rPr>
                      <w:rFonts w:hint="default" w:ascii="Times New Roman" w:hAnsi="Times New Roman" w:eastAsia="宋体" w:cs="Times New Roman"/>
                      <w:snapToGrid w:val="0"/>
                      <w:color w:val="auto"/>
                      <w:kern w:val="0"/>
                      <w:sz w:val="21"/>
                      <w:szCs w:val="21"/>
                      <w:highlight w:val="none"/>
                      <w:vertAlign w:val="subscript"/>
                    </w:rPr>
                    <w:t>3</w:t>
                  </w:r>
                </w:p>
              </w:tc>
              <w:tc>
                <w:tcPr>
                  <w:tcW w:w="2309" w:type="dxa"/>
                  <w:vAlign w:val="center"/>
                </w:tcPr>
                <w:p w14:paraId="6B152FB9">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80</w:t>
                  </w:r>
                </w:p>
              </w:tc>
              <w:tc>
                <w:tcPr>
                  <w:tcW w:w="2385" w:type="dxa"/>
                  <w:vAlign w:val="center"/>
                </w:tcPr>
                <w:p w14:paraId="34AA4737">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160</w:t>
                  </w:r>
                </w:p>
              </w:tc>
              <w:tc>
                <w:tcPr>
                  <w:tcW w:w="1541" w:type="dxa"/>
                  <w:vAlign w:val="center"/>
                </w:tcPr>
                <w:p w14:paraId="144E4938">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bl>
          <w:p w14:paraId="62DD1F3A">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eastAsia="宋体" w:cs="Times New Roman"/>
                <w:color w:val="000000"/>
                <w:kern w:val="0"/>
                <w:sz w:val="24"/>
                <w:szCs w:val="24"/>
                <w:lang w:val="en-US" w:eastAsia="zh-CN" w:bidi="ar"/>
              </w:rPr>
              <w:t>由上表可知：各指标浓度满足</w:t>
            </w:r>
            <w:r>
              <w:rPr>
                <w:rFonts w:hint="default" w:ascii="Times New Roman" w:hAnsi="Times New Roman" w:cs="Times New Roman"/>
                <w:color w:val="auto"/>
                <w:sz w:val="24"/>
                <w:highlight w:val="none"/>
              </w:rPr>
              <w:t>《环境空气质量标准》（GB3095-2012）</w:t>
            </w:r>
            <w:r>
              <w:rPr>
                <w:rFonts w:hint="default" w:ascii="Times New Roman" w:hAnsi="Times New Roman" w:cs="Times New Roman"/>
                <w:color w:val="auto"/>
                <w:sz w:val="24"/>
                <w:highlight w:val="none"/>
                <w:lang w:eastAsia="zh-CN"/>
              </w:rPr>
              <w:t>中</w:t>
            </w:r>
            <w:r>
              <w:rPr>
                <w:rFonts w:hint="default" w:ascii="Times New Roman" w:hAnsi="Times New Roman" w:eastAsia="宋体" w:cs="Times New Roman"/>
                <w:color w:val="000000"/>
                <w:kern w:val="0"/>
                <w:sz w:val="24"/>
                <w:szCs w:val="24"/>
                <w:lang w:val="en-US" w:eastAsia="zh-CN" w:bidi="ar"/>
              </w:rPr>
              <w:t>二级标准的要求，</w:t>
            </w:r>
            <w:r>
              <w:rPr>
                <w:rFonts w:hint="eastAsia" w:cs="Times New Roman"/>
                <w:color w:val="000000"/>
                <w:kern w:val="0"/>
                <w:sz w:val="24"/>
                <w:szCs w:val="24"/>
                <w:lang w:val="en-US" w:eastAsia="zh-CN" w:bidi="ar"/>
              </w:rPr>
              <w:t>项目位于芒市西北部，属于达标区，区域内</w:t>
            </w:r>
            <w:r>
              <w:rPr>
                <w:rFonts w:hint="default" w:ascii="Times New Roman" w:hAnsi="Times New Roman" w:cs="Times New Roman"/>
                <w:color w:val="auto"/>
                <w:sz w:val="24"/>
                <w:highlight w:val="none"/>
              </w:rPr>
              <w:t>环境空气质量良好。</w:t>
            </w:r>
          </w:p>
          <w:p w14:paraId="7581D166">
            <w:pPr>
              <w:keepNext w:val="0"/>
              <w:keepLines w:val="0"/>
              <w:widowControl/>
              <w:numPr>
                <w:ilvl w:val="0"/>
                <w:numId w:val="20"/>
              </w:numPr>
              <w:suppressLineNumbers w:val="0"/>
              <w:spacing w:line="360" w:lineRule="auto"/>
              <w:ind w:left="0" w:leftChars="0" w:firstLine="0" w:firstLineChars="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地表水环境质量现状</w:t>
            </w:r>
          </w:p>
          <w:p w14:paraId="49F95454">
            <w:pPr>
              <w:spacing w:line="360" w:lineRule="auto"/>
              <w:ind w:firstLine="480" w:firstLineChars="200"/>
              <w:rPr>
                <w:rFonts w:hint="default" w:ascii="Times New Roman" w:hAnsi="Times New Roman" w:cs="Times New Roman"/>
                <w:sz w:val="24"/>
                <w:szCs w:val="24"/>
              </w:rPr>
            </w:pPr>
            <w:r>
              <w:rPr>
                <w:rFonts w:hint="default" w:ascii="Times New Roman" w:hAnsi="Times New Roman" w:eastAsia="宋体" w:cs="Times New Roman"/>
                <w:b w:val="0"/>
                <w:bCs w:val="0"/>
                <w:color w:val="auto"/>
                <w:sz w:val="24"/>
                <w:highlight w:val="none"/>
                <w:lang w:val="en-US" w:eastAsia="zh-CN"/>
              </w:rPr>
              <w:t>本项目地表水主体为</w:t>
            </w:r>
            <w:r>
              <w:rPr>
                <w:rFonts w:hint="default" w:ascii="Times New Roman" w:hAnsi="Times New Roman" w:eastAsia="宋体" w:cs="Times New Roman"/>
                <w:color w:val="000000"/>
                <w:kern w:val="0"/>
                <w:sz w:val="24"/>
                <w:szCs w:val="24"/>
                <w:lang w:val="en-US" w:eastAsia="zh-CN" w:bidi="ar"/>
              </w:rPr>
              <w:t>拟建场地西北侧约</w:t>
            </w:r>
            <w:r>
              <w:rPr>
                <w:rFonts w:hint="eastAsia" w:cs="Times New Roman"/>
                <w:color w:val="000000"/>
                <w:kern w:val="0"/>
                <w:sz w:val="24"/>
                <w:szCs w:val="24"/>
                <w:lang w:val="en-US" w:eastAsia="zh-CN" w:bidi="ar"/>
              </w:rPr>
              <w:t>710</w:t>
            </w:r>
            <w:r>
              <w:rPr>
                <w:rFonts w:hint="default" w:ascii="Times New Roman" w:hAnsi="Times New Roman" w:eastAsia="宋体" w:cs="Times New Roman"/>
                <w:color w:val="000000"/>
                <w:kern w:val="0"/>
                <w:sz w:val="24"/>
                <w:szCs w:val="24"/>
                <w:lang w:val="en-US" w:eastAsia="zh-CN" w:bidi="ar"/>
              </w:rPr>
              <w:t>m的芒市大河，</w:t>
            </w:r>
            <w:r>
              <w:rPr>
                <w:rFonts w:hint="default" w:ascii="Times New Roman" w:hAnsi="Times New Roman" w:cs="Times New Roman"/>
                <w:bCs/>
                <w:sz w:val="24"/>
              </w:rPr>
              <w:t>跨越地表水主要</w:t>
            </w:r>
            <w:r>
              <w:rPr>
                <w:rFonts w:hint="default" w:ascii="Times New Roman" w:hAnsi="Times New Roman" w:eastAsia="宋体" w:cs="Times New Roman"/>
                <w:color w:val="000000"/>
                <w:kern w:val="0"/>
                <w:sz w:val="24"/>
                <w:szCs w:val="24"/>
                <w:lang w:val="en-US" w:eastAsia="zh-CN" w:bidi="ar"/>
              </w:rPr>
              <w:t>有澡地河、板过河、芒辛河、广沙河及大量灌溉沟渠等水系，</w:t>
            </w:r>
            <w:r>
              <w:rPr>
                <w:rFonts w:hint="default" w:ascii="Times New Roman" w:hAnsi="Times New Roman" w:cs="Times New Roman"/>
                <w:bCs/>
                <w:sz w:val="24"/>
              </w:rPr>
              <w:t>其跨越的河流均为芒市大河支流。芒市大河</w:t>
            </w:r>
            <w:r>
              <w:rPr>
                <w:rFonts w:hint="default" w:ascii="Times New Roman" w:hAnsi="Times New Roman" w:cs="Times New Roman"/>
                <w:sz w:val="24"/>
              </w:rPr>
              <w:t>为瑞丽江一级支流，属伊洛瓦底江水系。</w:t>
            </w:r>
            <w:r>
              <w:rPr>
                <w:rFonts w:hint="default" w:ascii="Times New Roman" w:hAnsi="Times New Roman" w:cs="Times New Roman"/>
                <w:sz w:val="24"/>
                <w:szCs w:val="24"/>
              </w:rPr>
              <w:t>根据</w:t>
            </w:r>
            <w:r>
              <w:rPr>
                <w:rFonts w:hint="default" w:ascii="Times New Roman" w:hAnsi="Times New Roman" w:cs="Times New Roman"/>
                <w:sz w:val="24"/>
              </w:rPr>
              <w:t>《云南省地表水环境功能区划（2010~2020）》，</w:t>
            </w:r>
            <w:r>
              <w:rPr>
                <w:rFonts w:hint="default" w:ascii="Times New Roman" w:hAnsi="Times New Roman" w:cs="Times New Roman"/>
                <w:sz w:val="24"/>
                <w:szCs w:val="24"/>
              </w:rPr>
              <w:t>属“木康断面～入瑞丽江口</w:t>
            </w:r>
            <w:r>
              <w:rPr>
                <w:rFonts w:hint="default" w:ascii="Times New Roman" w:hAnsi="Times New Roman" w:cs="Times New Roman"/>
                <w:kern w:val="0"/>
                <w:sz w:val="24"/>
              </w:rPr>
              <w:t>”河段，水环境功能为农业用水、工业用水，为Ⅲ类水质，</w:t>
            </w:r>
            <w:r>
              <w:rPr>
                <w:rFonts w:hint="default" w:ascii="Times New Roman" w:hAnsi="Times New Roman" w:cs="Times New Roman"/>
                <w:sz w:val="24"/>
                <w:szCs w:val="24"/>
              </w:rPr>
              <w:t>执行《地表水环境质量标准》（GB3838-2002）Ⅲ类水体标准</w:t>
            </w:r>
            <w:r>
              <w:rPr>
                <w:rFonts w:hint="default" w:ascii="Times New Roman" w:hAnsi="Times New Roman" w:cs="Times New Roman"/>
                <w:sz w:val="24"/>
                <w:szCs w:val="24"/>
                <w:lang w:eastAsia="zh-CN"/>
              </w:rPr>
              <w:t>。根据</w:t>
            </w:r>
            <w:r>
              <w:rPr>
                <w:rFonts w:hint="default" w:ascii="Times New Roman" w:hAnsi="Times New Roman" w:eastAsia="宋体" w:cs="Times New Roman"/>
                <w:snapToGrid w:val="0"/>
                <w:color w:val="auto"/>
                <w:kern w:val="0"/>
                <w:sz w:val="24"/>
                <w:highlight w:val="none"/>
                <w:lang w:val="en-US" w:eastAsia="zh-CN"/>
              </w:rPr>
              <w:t>《德宏州2018年环境质量状况公报》，</w:t>
            </w:r>
            <w:r>
              <w:rPr>
                <w:rFonts w:hint="default" w:ascii="Times New Roman" w:hAnsi="Times New Roman" w:cs="Times New Roman"/>
                <w:sz w:val="24"/>
                <w:szCs w:val="24"/>
              </w:rPr>
              <w:t>芒市</w:t>
            </w:r>
            <w:r>
              <w:rPr>
                <w:rFonts w:hint="default" w:ascii="Times New Roman" w:hAnsi="Times New Roman" w:cs="Times New Roman"/>
                <w:sz w:val="24"/>
                <w:szCs w:val="24"/>
                <w:lang w:eastAsia="zh-CN"/>
              </w:rPr>
              <w:t>大</w:t>
            </w:r>
            <w:r>
              <w:rPr>
                <w:rFonts w:hint="default" w:ascii="Times New Roman" w:hAnsi="Times New Roman" w:cs="Times New Roman"/>
                <w:sz w:val="24"/>
                <w:szCs w:val="24"/>
              </w:rPr>
              <w:t>河木康断面水质现状为</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ROMAN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w:t>
            </w:r>
            <w:r>
              <w:rPr>
                <w:rFonts w:hint="default" w:ascii="Times New Roman" w:hAnsi="Times New Roman" w:cs="Times New Roman"/>
                <w:sz w:val="24"/>
                <w:szCs w:val="24"/>
              </w:rPr>
              <w:fldChar w:fldCharType="end"/>
            </w:r>
            <w:r>
              <w:rPr>
                <w:rFonts w:hint="default" w:ascii="Times New Roman" w:hAnsi="Times New Roman" w:cs="Times New Roman"/>
                <w:sz w:val="24"/>
                <w:szCs w:val="24"/>
              </w:rPr>
              <w:t>类，且项目区周边无较大的工业污染源分布，水质状况良好，能满足《地表水环境质量标准》（GB3838-2002）标准中的</w:t>
            </w:r>
            <w:r>
              <w:rPr>
                <w:rFonts w:hint="default" w:ascii="Times New Roman" w:hAnsi="Times New Roman" w:cs="Times New Roman"/>
                <w:kern w:val="0"/>
                <w:sz w:val="24"/>
              </w:rPr>
              <w:t>Ⅲ</w:t>
            </w:r>
            <w:r>
              <w:rPr>
                <w:rFonts w:hint="default" w:ascii="Times New Roman" w:hAnsi="Times New Roman" w:cs="Times New Roman"/>
                <w:sz w:val="24"/>
                <w:szCs w:val="24"/>
              </w:rPr>
              <w:t>类水质标准。</w:t>
            </w:r>
          </w:p>
          <w:p w14:paraId="3D139DB9">
            <w:pPr>
              <w:numPr>
                <w:ilvl w:val="0"/>
                <w:numId w:val="20"/>
              </w:numPr>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声环境质量现状</w:t>
            </w:r>
          </w:p>
          <w:p w14:paraId="34DE489A">
            <w:pPr>
              <w:spacing w:line="360" w:lineRule="auto"/>
              <w:ind w:firstLine="460" w:firstLineChars="192"/>
              <w:outlineLvl w:val="0"/>
              <w:rPr>
                <w:rFonts w:hint="default" w:ascii="Times New Roman" w:hAnsi="Times New Roman" w:cs="Times New Roman"/>
                <w:sz w:val="24"/>
                <w:lang w:eastAsia="zh-CN"/>
              </w:rPr>
            </w:pPr>
            <w:r>
              <w:rPr>
                <w:rFonts w:hint="default" w:ascii="Times New Roman" w:hAnsi="Times New Roman" w:eastAsia="宋体" w:cs="Times New Roman"/>
                <w:b w:val="0"/>
                <w:bCs w:val="0"/>
                <w:sz w:val="24"/>
                <w:szCs w:val="24"/>
                <w:lang w:val="en-US" w:eastAsia="zh-CN"/>
              </w:rPr>
              <w:t>本项目位于芒市中心城区西</w:t>
            </w:r>
            <w:r>
              <w:rPr>
                <w:rFonts w:hint="eastAsia" w:cs="Times New Roman"/>
                <w:b w:val="0"/>
                <w:bCs w:val="0"/>
                <w:sz w:val="24"/>
                <w:szCs w:val="24"/>
                <w:lang w:val="en-US" w:eastAsia="zh-CN"/>
              </w:rPr>
              <w:t>北</w:t>
            </w:r>
            <w:r>
              <w:rPr>
                <w:rFonts w:hint="default" w:ascii="Times New Roman" w:hAnsi="Times New Roman" w:eastAsia="宋体" w:cs="Times New Roman"/>
                <w:b w:val="0"/>
                <w:bCs w:val="0"/>
                <w:sz w:val="24"/>
                <w:szCs w:val="24"/>
                <w:lang w:val="en-US" w:eastAsia="zh-CN"/>
              </w:rPr>
              <w:t>部，</w:t>
            </w:r>
            <w:r>
              <w:rPr>
                <w:rFonts w:hint="default" w:ascii="Times New Roman" w:hAnsi="Times New Roman" w:eastAsia="宋体" w:cs="Times New Roman"/>
                <w:color w:val="000000"/>
                <w:kern w:val="0"/>
                <w:sz w:val="24"/>
                <w:szCs w:val="24"/>
                <w:lang w:val="en-US" w:eastAsia="zh-CN" w:bidi="ar"/>
              </w:rPr>
              <w:t>根据《芒市火车站片区控制性详细规划》，项目拟建道路周边涵盖了一/二类居住用地、商业/商住混合用地、交通场站用地等，</w:t>
            </w:r>
            <w:r>
              <w:rPr>
                <w:rFonts w:hint="default" w:ascii="Times New Roman" w:hAnsi="Times New Roman" w:cs="Times New Roman"/>
                <w:sz w:val="24"/>
              </w:rPr>
              <w:t>该区按城市区域声环境质量功能区划为2类区</w:t>
            </w:r>
            <w:r>
              <w:rPr>
                <w:rFonts w:hint="default" w:ascii="Times New Roman" w:hAnsi="Times New Roman" w:cs="Times New Roman"/>
                <w:sz w:val="24"/>
                <w:lang w:eastAsia="zh-CN"/>
              </w:rPr>
              <w:t>。据调查，周边无其他较大噪声源，</w:t>
            </w:r>
            <w:r>
              <w:rPr>
                <w:rFonts w:hint="default" w:ascii="Times New Roman" w:hAnsi="Times New Roman" w:cs="Times New Roman"/>
                <w:sz w:val="24"/>
              </w:rPr>
              <w:t>区域声环境质量可达《声环境质量标准》（GB3096-2008）2类标准，可以满足声环境质量的要求</w:t>
            </w:r>
            <w:r>
              <w:rPr>
                <w:rFonts w:hint="default" w:ascii="Times New Roman" w:hAnsi="Times New Roman" w:cs="Times New Roman"/>
                <w:sz w:val="24"/>
                <w:lang w:eastAsia="zh-CN"/>
              </w:rPr>
              <w:t>。</w:t>
            </w:r>
          </w:p>
          <w:p w14:paraId="6801B2AF">
            <w:pPr>
              <w:numPr>
                <w:ilvl w:val="0"/>
                <w:numId w:val="20"/>
              </w:numPr>
              <w:spacing w:line="360" w:lineRule="auto"/>
              <w:ind w:left="0" w:leftChars="0" w:firstLine="0" w:firstLineChars="0"/>
              <w:outlineLvl w:val="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生态环境质量现状</w:t>
            </w:r>
          </w:p>
          <w:p w14:paraId="5EF7EF4A">
            <w:pPr>
              <w:pStyle w:val="19"/>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szCs w:val="24"/>
                <w:highlight w:val="none"/>
                <w:lang w:val="en-US" w:eastAsia="zh-CN"/>
              </w:rPr>
              <w:t>项目所在区域由于人为干扰较严重，植被以农作物为主，本项目为新建项目，据实地调查，场址内属农作物、灌草等。</w:t>
            </w:r>
            <w:r>
              <w:rPr>
                <w:rFonts w:hint="default" w:ascii="Times New Roman" w:hAnsi="Times New Roman" w:cs="Times New Roman"/>
                <w:color w:val="auto"/>
                <w:highlight w:val="none"/>
              </w:rPr>
              <w:t>项目区未发现古树名木、国家和省级重点保护野生植物，不涉及自然保护区、森林公园、湿地公园及风景名胜区。</w:t>
            </w:r>
          </w:p>
          <w:p w14:paraId="43E52C44">
            <w:pPr>
              <w:pStyle w:val="19"/>
              <w:spacing w:line="360" w:lineRule="auto"/>
              <w:ind w:firstLine="48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评价区分布的动物种类很少，种群数量也较小，且为常见、伴人种类。无大型野生哺乳动物、鸟类、爬行类分布</w:t>
            </w:r>
            <w:r>
              <w:rPr>
                <w:rFonts w:hint="default" w:ascii="Times New Roman" w:hAnsi="Times New Roman" w:cs="Times New Roman"/>
                <w:color w:val="auto"/>
                <w:sz w:val="24"/>
                <w:highlight w:val="none"/>
                <w:lang w:eastAsia="zh-CN"/>
              </w:rPr>
              <w:t>。</w:t>
            </w:r>
            <w:r>
              <w:rPr>
                <w:rFonts w:hint="default" w:ascii="Times New Roman" w:hAnsi="Times New Roman" w:cs="Times New Roman"/>
                <w:sz w:val="24"/>
              </w:rPr>
              <w:t>动物种类主要为小型鸟类、兽类和常见两栖类，如麻雀、田鼠、蛙类等。经</w:t>
            </w:r>
            <w:r>
              <w:rPr>
                <w:rFonts w:hint="default" w:ascii="Times New Roman" w:hAnsi="Times New Roman" w:cs="Times New Roman"/>
                <w:sz w:val="24"/>
                <w:lang w:eastAsia="zh-CN"/>
              </w:rPr>
              <w:t>调查</w:t>
            </w:r>
            <w:r>
              <w:rPr>
                <w:rFonts w:hint="default" w:ascii="Times New Roman" w:hAnsi="Times New Roman" w:cs="Times New Roman"/>
                <w:sz w:val="24"/>
              </w:rPr>
              <w:t>，评价区内未发现珍稀濒危、重点保护野生动植物和地域性特有种分布。</w:t>
            </w:r>
          </w:p>
        </w:tc>
      </w:tr>
      <w:tr w14:paraId="584F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8540" w:type="dxa"/>
          </w:tcPr>
          <w:p w14:paraId="66D95C8E">
            <w:pPr>
              <w:adjustRightInd w:val="0"/>
              <w:snapToGrid w:val="0"/>
              <w:spacing w:line="336"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项目周边环境及主要环境保护目标（列出名单及保护级别）：</w:t>
            </w:r>
          </w:p>
          <w:p w14:paraId="757AA3B9">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根据项目区的自然生态环境现状，本项目的主要环境保护目标为：</w:t>
            </w:r>
          </w:p>
          <w:p w14:paraId="407BD667">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1、水环境：地表水芒市大河、</w:t>
            </w:r>
            <w:r>
              <w:rPr>
                <w:rFonts w:hint="default" w:ascii="Times New Roman" w:hAnsi="Times New Roman" w:cs="Times New Roman"/>
                <w:sz w:val="24"/>
              </w:rPr>
              <w:t>广沙河、板过河、藻地河</w:t>
            </w:r>
            <w:r>
              <w:rPr>
                <w:rFonts w:hint="eastAsia" w:cs="Times New Roman"/>
                <w:sz w:val="24"/>
                <w:lang w:eastAsia="zh-CN"/>
              </w:rPr>
              <w:t>、芒辛河</w:t>
            </w:r>
            <w:r>
              <w:rPr>
                <w:rFonts w:hint="default" w:ascii="Times New Roman" w:hAnsi="Times New Roman" w:cs="Times New Roman"/>
                <w:sz w:val="24"/>
                <w:szCs w:val="24"/>
              </w:rPr>
              <w:t>的水质按《地表水环境质量标准》（GB3838-2002）Ⅲ类标准要求进行保护，不因本项目而降低质量级别。</w:t>
            </w:r>
          </w:p>
          <w:p w14:paraId="33E37D7D">
            <w:pPr>
              <w:spacing w:line="360" w:lineRule="auto"/>
              <w:ind w:firstLine="464" w:firstLineChars="200"/>
              <w:rPr>
                <w:rFonts w:hint="default" w:ascii="Times New Roman" w:hAnsi="Times New Roman" w:cs="Times New Roman"/>
                <w:sz w:val="24"/>
                <w:szCs w:val="24"/>
              </w:rPr>
            </w:pPr>
            <w:r>
              <w:rPr>
                <w:rFonts w:hint="default" w:ascii="Times New Roman" w:hAnsi="Times New Roman" w:cs="Times New Roman"/>
                <w:spacing w:val="-4"/>
                <w:sz w:val="24"/>
                <w:szCs w:val="24"/>
              </w:rPr>
              <w:t>2、</w:t>
            </w:r>
            <w:r>
              <w:rPr>
                <w:rFonts w:hint="default" w:ascii="Times New Roman" w:hAnsi="Times New Roman" w:cs="Times New Roman"/>
                <w:sz w:val="24"/>
                <w:szCs w:val="24"/>
              </w:rPr>
              <w:t>声环境：按《声环境质量标准》（GB3096-2008）2类标准进行控制，保护区域声环境质量，不因本项目而降低区域声环境质量级别。</w:t>
            </w:r>
          </w:p>
          <w:p w14:paraId="7E1DD0E1">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3、大气环境：按《环境空气质量标准》（</w:t>
            </w:r>
            <w:r>
              <w:rPr>
                <w:rFonts w:hint="default" w:ascii="Times New Roman" w:hAnsi="Times New Roman" w:cs="Times New Roman"/>
                <w:sz w:val="24"/>
              </w:rPr>
              <w:t>GB3095-2012</w:t>
            </w:r>
            <w:r>
              <w:rPr>
                <w:rFonts w:hint="default" w:ascii="Times New Roman" w:hAnsi="Times New Roman" w:cs="Times New Roman"/>
                <w:sz w:val="24"/>
                <w:szCs w:val="24"/>
              </w:rPr>
              <w:t>）二级标准进行控制，保护区域大气环境质量，不因本项目而降低质量级别。</w:t>
            </w:r>
          </w:p>
          <w:p w14:paraId="0CD0DCB0">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4、社会环境：保证道路车辆正常通行。</w:t>
            </w:r>
          </w:p>
          <w:p w14:paraId="53577693">
            <w:pPr>
              <w:spacing w:line="360" w:lineRule="auto"/>
              <w:ind w:firstLine="482" w:firstLineChars="200"/>
              <w:jc w:val="center"/>
              <w:rPr>
                <w:rFonts w:hint="default" w:ascii="Times New Roman" w:hAnsi="Times New Roman"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表3-2 项目区主要环境保护目标</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497"/>
              <w:gridCol w:w="1622"/>
              <w:gridCol w:w="1622"/>
              <w:gridCol w:w="1839"/>
            </w:tblGrid>
            <w:tr w14:paraId="4C69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34" w:type="dxa"/>
                  <w:vAlign w:val="center"/>
                </w:tcPr>
                <w:p w14:paraId="05B7DF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保护因素</w:t>
                  </w:r>
                </w:p>
              </w:tc>
              <w:tc>
                <w:tcPr>
                  <w:tcW w:w="1497" w:type="dxa"/>
                  <w:vAlign w:val="center"/>
                </w:tcPr>
                <w:p w14:paraId="78D566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保护目标名</w:t>
                  </w:r>
                </w:p>
              </w:tc>
              <w:tc>
                <w:tcPr>
                  <w:tcW w:w="1622" w:type="dxa"/>
                  <w:vAlign w:val="center"/>
                </w:tcPr>
                <w:p w14:paraId="222C0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与项目位置关系</w:t>
                  </w:r>
                </w:p>
              </w:tc>
              <w:tc>
                <w:tcPr>
                  <w:tcW w:w="1622" w:type="dxa"/>
                  <w:vAlign w:val="center"/>
                </w:tcPr>
                <w:p w14:paraId="399F8D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距离（m）</w:t>
                  </w:r>
                </w:p>
              </w:tc>
              <w:tc>
                <w:tcPr>
                  <w:tcW w:w="1839" w:type="dxa"/>
                  <w:vAlign w:val="center"/>
                </w:tcPr>
                <w:p w14:paraId="20F24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保护要求</w:t>
                  </w:r>
                </w:p>
              </w:tc>
            </w:tr>
            <w:tr w14:paraId="5CA2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34" w:type="dxa"/>
                  <w:vMerge w:val="restart"/>
                  <w:vAlign w:val="center"/>
                </w:tcPr>
                <w:p w14:paraId="3FA30A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地表水</w:t>
                  </w:r>
                </w:p>
              </w:tc>
              <w:tc>
                <w:tcPr>
                  <w:tcW w:w="1497" w:type="dxa"/>
                  <w:vAlign w:val="center"/>
                </w:tcPr>
                <w:p w14:paraId="024ECE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芒市大河</w:t>
                  </w:r>
                </w:p>
              </w:tc>
              <w:tc>
                <w:tcPr>
                  <w:tcW w:w="1622" w:type="dxa"/>
                  <w:vAlign w:val="center"/>
                </w:tcPr>
                <w:p w14:paraId="563BF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东南侧</w:t>
                  </w:r>
                  <w:r>
                    <w:rPr>
                      <w:rFonts w:hint="eastAsia" w:cs="Times New Roman"/>
                      <w:sz w:val="21"/>
                      <w:szCs w:val="21"/>
                      <w:vertAlign w:val="baseline"/>
                      <w:lang w:val="en-US" w:eastAsia="zh-CN"/>
                    </w:rPr>
                    <w:t xml:space="preserve"> </w:t>
                  </w:r>
                </w:p>
              </w:tc>
              <w:tc>
                <w:tcPr>
                  <w:tcW w:w="1622" w:type="dxa"/>
                  <w:vAlign w:val="center"/>
                </w:tcPr>
                <w:p w14:paraId="2AD31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710</w:t>
                  </w:r>
                </w:p>
              </w:tc>
              <w:tc>
                <w:tcPr>
                  <w:tcW w:w="1839" w:type="dxa"/>
                  <w:vMerge w:val="restart"/>
                  <w:vAlign w:val="center"/>
                </w:tcPr>
                <w:p w14:paraId="4F61F6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地表水按《地表水环境质量标准》（GB3838-2002）</w:t>
                  </w:r>
                  <w:r>
                    <w:rPr>
                      <w:rFonts w:hint="default" w:ascii="Times New Roman" w:hAnsi="Times New Roman" w:cs="Times New Roman"/>
                      <w:kern w:val="0"/>
                      <w:sz w:val="21"/>
                      <w:szCs w:val="21"/>
                    </w:rPr>
                    <w:t>Ⅲ</w:t>
                  </w:r>
                  <w:r>
                    <w:rPr>
                      <w:rFonts w:hint="default" w:ascii="Times New Roman" w:hAnsi="Times New Roman" w:cs="Times New Roman"/>
                      <w:sz w:val="21"/>
                      <w:szCs w:val="21"/>
                    </w:rPr>
                    <w:t>类标准进行保护</w:t>
                  </w:r>
                </w:p>
              </w:tc>
            </w:tr>
            <w:tr w14:paraId="6CA3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34" w:type="dxa"/>
                  <w:vMerge w:val="continue"/>
                  <w:vAlign w:val="center"/>
                </w:tcPr>
                <w:p w14:paraId="20825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0AE25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澡地河</w:t>
                  </w:r>
                </w:p>
              </w:tc>
              <w:tc>
                <w:tcPr>
                  <w:tcW w:w="3244" w:type="dxa"/>
                  <w:gridSpan w:val="2"/>
                  <w:vAlign w:val="center"/>
                </w:tcPr>
                <w:p w14:paraId="702CD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横跨</w:t>
                  </w:r>
                </w:p>
              </w:tc>
              <w:tc>
                <w:tcPr>
                  <w:tcW w:w="1839" w:type="dxa"/>
                  <w:vMerge w:val="continue"/>
                  <w:vAlign w:val="center"/>
                </w:tcPr>
                <w:p w14:paraId="1E3E0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14:paraId="1805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34" w:type="dxa"/>
                  <w:vMerge w:val="continue"/>
                  <w:vAlign w:val="center"/>
                </w:tcPr>
                <w:p w14:paraId="669979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276C5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板过河</w:t>
                  </w:r>
                </w:p>
              </w:tc>
              <w:tc>
                <w:tcPr>
                  <w:tcW w:w="3244" w:type="dxa"/>
                  <w:gridSpan w:val="2"/>
                  <w:vAlign w:val="center"/>
                </w:tcPr>
                <w:p w14:paraId="7E62C1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横跨</w:t>
                  </w:r>
                </w:p>
              </w:tc>
              <w:tc>
                <w:tcPr>
                  <w:tcW w:w="1839" w:type="dxa"/>
                  <w:vMerge w:val="continue"/>
                  <w:vAlign w:val="center"/>
                </w:tcPr>
                <w:p w14:paraId="3A3FE5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14:paraId="4D19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734" w:type="dxa"/>
                  <w:vMerge w:val="continue"/>
                  <w:vAlign w:val="center"/>
                </w:tcPr>
                <w:p w14:paraId="78BF0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771EE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芒辛河</w:t>
                  </w:r>
                </w:p>
              </w:tc>
              <w:tc>
                <w:tcPr>
                  <w:tcW w:w="3244" w:type="dxa"/>
                  <w:gridSpan w:val="2"/>
                  <w:vAlign w:val="center"/>
                </w:tcPr>
                <w:p w14:paraId="6A4E9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横跨</w:t>
                  </w:r>
                </w:p>
              </w:tc>
              <w:tc>
                <w:tcPr>
                  <w:tcW w:w="1839" w:type="dxa"/>
                  <w:vMerge w:val="continue"/>
                  <w:vAlign w:val="center"/>
                </w:tcPr>
                <w:p w14:paraId="3B9FF0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14:paraId="5EBA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734" w:type="dxa"/>
                  <w:vMerge w:val="continue"/>
                  <w:vAlign w:val="center"/>
                </w:tcPr>
                <w:p w14:paraId="579B60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33E6FE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广沙河</w:t>
                  </w:r>
                </w:p>
              </w:tc>
              <w:tc>
                <w:tcPr>
                  <w:tcW w:w="3244" w:type="dxa"/>
                  <w:gridSpan w:val="2"/>
                  <w:vAlign w:val="center"/>
                </w:tcPr>
                <w:p w14:paraId="7085BB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横跨</w:t>
                  </w:r>
                </w:p>
              </w:tc>
              <w:tc>
                <w:tcPr>
                  <w:tcW w:w="1839" w:type="dxa"/>
                  <w:vMerge w:val="continue"/>
                  <w:vAlign w:val="center"/>
                </w:tcPr>
                <w:p w14:paraId="27CB2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14:paraId="75CC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34" w:type="dxa"/>
                  <w:vMerge w:val="restart"/>
                  <w:vAlign w:val="center"/>
                </w:tcPr>
                <w:p w14:paraId="12681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大气及声环境</w:t>
                  </w:r>
                </w:p>
              </w:tc>
              <w:tc>
                <w:tcPr>
                  <w:tcW w:w="1497" w:type="dxa"/>
                  <w:vAlign w:val="center"/>
                </w:tcPr>
                <w:p w14:paraId="20107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芒烘村（约205户，1080人）</w:t>
                  </w:r>
                </w:p>
              </w:tc>
              <w:tc>
                <w:tcPr>
                  <w:tcW w:w="1622" w:type="dxa"/>
                  <w:vAlign w:val="center"/>
                </w:tcPr>
                <w:p w14:paraId="6B2F92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西南侧</w:t>
                  </w:r>
                  <w:r>
                    <w:rPr>
                      <w:rFonts w:hint="eastAsia" w:cs="Times New Roman"/>
                      <w:sz w:val="21"/>
                      <w:szCs w:val="21"/>
                      <w:vertAlign w:val="baseline"/>
                      <w:lang w:val="en-US" w:eastAsia="zh-CN"/>
                    </w:rPr>
                    <w:t xml:space="preserve"> </w:t>
                  </w:r>
                </w:p>
              </w:tc>
              <w:tc>
                <w:tcPr>
                  <w:tcW w:w="1622" w:type="dxa"/>
                  <w:vAlign w:val="center"/>
                </w:tcPr>
                <w:p w14:paraId="346A49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150</w:t>
                  </w:r>
                </w:p>
              </w:tc>
              <w:tc>
                <w:tcPr>
                  <w:tcW w:w="1839" w:type="dxa"/>
                  <w:vMerge w:val="restart"/>
                  <w:vAlign w:val="center"/>
                </w:tcPr>
                <w:p w14:paraId="4DD8F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rPr>
                    <w:t>空气环境按《环境空气质量标准》（GB3095-2012）二级标准进行保护；声环境按《声环境质量标准》（GB309 6-2008）2类</w:t>
                  </w:r>
                  <w:r>
                    <w:rPr>
                      <w:rFonts w:hint="eastAsia" w:cs="Times New Roman"/>
                      <w:kern w:val="0"/>
                      <w:sz w:val="21"/>
                      <w:szCs w:val="21"/>
                      <w:lang w:eastAsia="zh-CN"/>
                    </w:rPr>
                    <w:t>和</w:t>
                  </w:r>
                  <w:r>
                    <w:rPr>
                      <w:rFonts w:hint="eastAsia" w:cs="Times New Roman"/>
                      <w:kern w:val="0"/>
                      <w:sz w:val="21"/>
                      <w:szCs w:val="21"/>
                      <w:lang w:val="en-US" w:eastAsia="zh-CN"/>
                    </w:rPr>
                    <w:t>4a类</w:t>
                  </w:r>
                  <w:r>
                    <w:rPr>
                      <w:rFonts w:hint="default" w:ascii="Times New Roman" w:hAnsi="Times New Roman" w:cs="Times New Roman"/>
                      <w:kern w:val="0"/>
                      <w:sz w:val="21"/>
                      <w:szCs w:val="21"/>
                    </w:rPr>
                    <w:t>标准进行保护</w:t>
                  </w:r>
                </w:p>
              </w:tc>
            </w:tr>
            <w:tr w14:paraId="79D2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34" w:type="dxa"/>
                  <w:vMerge w:val="continue"/>
                  <w:vAlign w:val="center"/>
                </w:tcPr>
                <w:p w14:paraId="5DE58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22904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拉院村（约385户，1819人）</w:t>
                  </w:r>
                </w:p>
              </w:tc>
              <w:tc>
                <w:tcPr>
                  <w:tcW w:w="1622" w:type="dxa"/>
                  <w:vAlign w:val="center"/>
                </w:tcPr>
                <w:p w14:paraId="73E9F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西侧</w:t>
                  </w:r>
                  <w:r>
                    <w:rPr>
                      <w:rFonts w:hint="eastAsia" w:cs="Times New Roman"/>
                      <w:sz w:val="21"/>
                      <w:szCs w:val="21"/>
                      <w:vertAlign w:val="baseline"/>
                      <w:lang w:val="en-US" w:eastAsia="zh-CN"/>
                    </w:rPr>
                    <w:t xml:space="preserve"> </w:t>
                  </w:r>
                </w:p>
              </w:tc>
              <w:tc>
                <w:tcPr>
                  <w:tcW w:w="1622" w:type="dxa"/>
                  <w:vAlign w:val="center"/>
                </w:tcPr>
                <w:p w14:paraId="739AB6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紧邻</w:t>
                  </w:r>
                </w:p>
              </w:tc>
              <w:tc>
                <w:tcPr>
                  <w:tcW w:w="1839" w:type="dxa"/>
                  <w:vMerge w:val="continue"/>
                  <w:vAlign w:val="center"/>
                </w:tcPr>
                <w:p w14:paraId="0CBF9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14:paraId="19B0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34" w:type="dxa"/>
                  <w:vMerge w:val="continue"/>
                  <w:vAlign w:val="center"/>
                </w:tcPr>
                <w:p w14:paraId="61823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59D72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芒掌村（约538户，2176人）</w:t>
                  </w:r>
                </w:p>
              </w:tc>
              <w:tc>
                <w:tcPr>
                  <w:tcW w:w="1622" w:type="dxa"/>
                  <w:vAlign w:val="center"/>
                </w:tcPr>
                <w:p w14:paraId="380D60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西北侧</w:t>
                  </w:r>
                  <w:r>
                    <w:rPr>
                      <w:rFonts w:hint="eastAsia" w:cs="Times New Roman"/>
                      <w:sz w:val="21"/>
                      <w:szCs w:val="21"/>
                      <w:vertAlign w:val="baseline"/>
                      <w:lang w:val="en-US" w:eastAsia="zh-CN"/>
                    </w:rPr>
                    <w:t xml:space="preserve"> </w:t>
                  </w:r>
                </w:p>
              </w:tc>
              <w:tc>
                <w:tcPr>
                  <w:tcW w:w="1622" w:type="dxa"/>
                  <w:vAlign w:val="center"/>
                </w:tcPr>
                <w:p w14:paraId="34A65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紧邻</w:t>
                  </w:r>
                </w:p>
              </w:tc>
              <w:tc>
                <w:tcPr>
                  <w:tcW w:w="1839" w:type="dxa"/>
                  <w:vMerge w:val="continue"/>
                  <w:vAlign w:val="center"/>
                </w:tcPr>
                <w:p w14:paraId="15AA6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14:paraId="1546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34" w:type="dxa"/>
                  <w:vMerge w:val="continue"/>
                  <w:vAlign w:val="center"/>
                </w:tcPr>
                <w:p w14:paraId="5E61F6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32CC0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芒赛村（</w:t>
                  </w:r>
                  <w:r>
                    <w:rPr>
                      <w:rFonts w:hint="eastAsia" w:cs="Times New Roman"/>
                      <w:sz w:val="21"/>
                      <w:szCs w:val="21"/>
                      <w:vertAlign w:val="baseline"/>
                      <w:lang w:val="en-US" w:eastAsia="zh-CN"/>
                    </w:rPr>
                    <w:t>约1657户，8262人</w:t>
                  </w:r>
                  <w:r>
                    <w:rPr>
                      <w:rFonts w:hint="default" w:ascii="Times New Roman" w:hAnsi="Times New Roman" w:cs="Times New Roman"/>
                      <w:sz w:val="21"/>
                      <w:szCs w:val="21"/>
                      <w:vertAlign w:val="baseline"/>
                      <w:lang w:val="en-US" w:eastAsia="zh-CN"/>
                    </w:rPr>
                    <w:t>）</w:t>
                  </w:r>
                </w:p>
              </w:tc>
              <w:tc>
                <w:tcPr>
                  <w:tcW w:w="1622" w:type="dxa"/>
                  <w:vAlign w:val="center"/>
                </w:tcPr>
                <w:p w14:paraId="31C17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西北侧</w:t>
                  </w:r>
                  <w:r>
                    <w:rPr>
                      <w:rFonts w:hint="eastAsia" w:cs="Times New Roman"/>
                      <w:sz w:val="21"/>
                      <w:szCs w:val="21"/>
                      <w:vertAlign w:val="baseline"/>
                      <w:lang w:val="en-US" w:eastAsia="zh-CN"/>
                    </w:rPr>
                    <w:t xml:space="preserve"> </w:t>
                  </w:r>
                </w:p>
              </w:tc>
              <w:tc>
                <w:tcPr>
                  <w:tcW w:w="1622" w:type="dxa"/>
                  <w:vAlign w:val="center"/>
                </w:tcPr>
                <w:p w14:paraId="691225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紧邻</w:t>
                  </w:r>
                </w:p>
              </w:tc>
              <w:tc>
                <w:tcPr>
                  <w:tcW w:w="1839" w:type="dxa"/>
                  <w:vMerge w:val="continue"/>
                  <w:vAlign w:val="center"/>
                </w:tcPr>
                <w:p w14:paraId="14E5C7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14:paraId="73CE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34" w:type="dxa"/>
                  <w:vMerge w:val="continue"/>
                  <w:vAlign w:val="center"/>
                </w:tcPr>
                <w:p w14:paraId="1B1BAE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497" w:type="dxa"/>
                  <w:vAlign w:val="center"/>
                </w:tcPr>
                <w:p w14:paraId="5C15B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w:t>
                  </w:r>
                  <w:r>
                    <w:rPr>
                      <w:rFonts w:hint="eastAsia" w:cs="Times New Roman"/>
                      <w:sz w:val="21"/>
                      <w:szCs w:val="21"/>
                      <w:vertAlign w:val="baseline"/>
                      <w:lang w:val="en-US" w:eastAsia="zh-CN"/>
                    </w:rPr>
                    <w:t>乃</w:t>
                  </w:r>
                  <w:r>
                    <w:rPr>
                      <w:rFonts w:hint="default" w:ascii="Times New Roman" w:hAnsi="Times New Roman" w:cs="Times New Roman"/>
                      <w:sz w:val="21"/>
                      <w:szCs w:val="21"/>
                      <w:vertAlign w:val="baseline"/>
                      <w:lang w:val="en-US" w:eastAsia="zh-CN"/>
                    </w:rPr>
                    <w:t>村（约110户，426人）</w:t>
                  </w:r>
                </w:p>
              </w:tc>
              <w:tc>
                <w:tcPr>
                  <w:tcW w:w="1622" w:type="dxa"/>
                  <w:vAlign w:val="center"/>
                </w:tcPr>
                <w:p w14:paraId="7B40E8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北侧</w:t>
                  </w:r>
                  <w:r>
                    <w:rPr>
                      <w:rFonts w:hint="eastAsia" w:cs="Times New Roman"/>
                      <w:sz w:val="21"/>
                      <w:szCs w:val="21"/>
                      <w:vertAlign w:val="baseline"/>
                      <w:lang w:val="en-US" w:eastAsia="zh-CN"/>
                    </w:rPr>
                    <w:t xml:space="preserve"> </w:t>
                  </w:r>
                </w:p>
              </w:tc>
              <w:tc>
                <w:tcPr>
                  <w:tcW w:w="1622" w:type="dxa"/>
                  <w:vAlign w:val="center"/>
                </w:tcPr>
                <w:p w14:paraId="30D4C6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70</w:t>
                  </w:r>
                </w:p>
              </w:tc>
              <w:tc>
                <w:tcPr>
                  <w:tcW w:w="1839" w:type="dxa"/>
                  <w:vMerge w:val="continue"/>
                  <w:vAlign w:val="center"/>
                </w:tcPr>
                <w:p w14:paraId="74F2C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bl>
          <w:p w14:paraId="3C941216">
            <w:pPr>
              <w:adjustRightInd w:val="0"/>
              <w:snapToGrid w:val="0"/>
              <w:spacing w:line="336" w:lineRule="auto"/>
              <w:rPr>
                <w:rFonts w:hint="default" w:ascii="Times New Roman" w:hAnsi="Times New Roman" w:cs="Times New Roman"/>
                <w:b/>
                <w:color w:val="auto"/>
                <w:sz w:val="24"/>
                <w:highlight w:val="none"/>
                <w:lang w:val="en-US" w:eastAsia="zh-CN"/>
              </w:rPr>
            </w:pPr>
          </w:p>
        </w:tc>
      </w:tr>
    </w:tbl>
    <w:p w14:paraId="3B83B66E">
      <w:pPr>
        <w:rPr>
          <w:rFonts w:hint="eastAsia"/>
          <w:b/>
          <w:bCs/>
          <w:color w:val="auto"/>
          <w:sz w:val="28"/>
          <w:szCs w:val="28"/>
          <w:highlight w:val="none"/>
          <w:lang w:eastAsia="zh-CN"/>
        </w:rPr>
      </w:pPr>
      <w:r>
        <w:rPr>
          <w:rFonts w:hint="eastAsia"/>
          <w:b/>
          <w:bCs/>
          <w:color w:val="auto"/>
          <w:sz w:val="28"/>
          <w:szCs w:val="28"/>
          <w:highlight w:val="none"/>
          <w:lang w:eastAsia="zh-CN"/>
        </w:rPr>
        <w:br w:type="page"/>
      </w:r>
    </w:p>
    <w:p w14:paraId="19FA4D1A">
      <w:pPr>
        <w:pStyle w:val="3"/>
        <w:bidi w:val="0"/>
        <w:rPr>
          <w:rFonts w:hint="default"/>
          <w:vertAlign w:val="baseline"/>
          <w:lang w:val="en-US" w:eastAsia="zh-CN"/>
        </w:rPr>
      </w:pPr>
      <w:r>
        <w:rPr>
          <w:rFonts w:hint="eastAsia"/>
          <w:lang w:val="en-US" w:eastAsia="zh-CN"/>
        </w:rPr>
        <w:t>表四、评价适用标准</w:t>
      </w:r>
    </w:p>
    <w:tbl>
      <w:tblPr>
        <w:tblStyle w:val="16"/>
        <w:tblW w:w="8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102"/>
      </w:tblGrid>
      <w:tr w14:paraId="64EB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3" w:hRule="atLeast"/>
        </w:trPr>
        <w:tc>
          <w:tcPr>
            <w:tcW w:w="450" w:type="dxa"/>
            <w:vAlign w:val="center"/>
          </w:tcPr>
          <w:p w14:paraId="0034E1EA">
            <w:pPr>
              <w:pStyle w:val="3"/>
              <w:bidi w:val="0"/>
              <w:spacing w:line="360" w:lineRule="auto"/>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环境质量标准</w:t>
            </w:r>
          </w:p>
        </w:tc>
        <w:tc>
          <w:tcPr>
            <w:tcW w:w="8102" w:type="dxa"/>
          </w:tcPr>
          <w:p w14:paraId="5398B425">
            <w:pPr>
              <w:pStyle w:val="3"/>
              <w:numPr>
                <w:ilvl w:val="0"/>
                <w:numId w:val="21"/>
              </w:numPr>
              <w:bidi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环境空气</w:t>
            </w:r>
          </w:p>
          <w:p w14:paraId="7FAB241C">
            <w:pPr>
              <w:spacing w:line="360" w:lineRule="auto"/>
              <w:ind w:firstLine="480" w:firstLineChars="200"/>
              <w:jc w:val="left"/>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color w:val="000000"/>
                <w:kern w:val="0"/>
                <w:sz w:val="24"/>
                <w:szCs w:val="24"/>
                <w:lang w:val="en-US" w:eastAsia="zh-CN" w:bidi="ar"/>
              </w:rPr>
              <w:t>项目位于芒市中心城区西布火车站片区，根据《芒市火车站片区控制性详细规划》，项目拟建道路周边涵盖了一/二类居住用地、商业/商住混合用地、交通场站用地等，属于二类功能区，执行</w:t>
            </w:r>
            <w:r>
              <w:rPr>
                <w:rFonts w:hint="default" w:ascii="Times New Roman" w:hAnsi="Times New Roman" w:eastAsia="宋体" w:cs="Times New Roman"/>
                <w:snapToGrid w:val="0"/>
                <w:color w:val="auto"/>
                <w:kern w:val="0"/>
                <w:sz w:val="24"/>
                <w:szCs w:val="24"/>
                <w:highlight w:val="none"/>
              </w:rPr>
              <w:t>《环境空气质量标准》（GB3095-2012）二级标准</w:t>
            </w:r>
            <w:r>
              <w:rPr>
                <w:rFonts w:hint="default"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val="en-US" w:eastAsia="zh-CN"/>
              </w:rPr>
              <w:t>标准值见表4-1</w:t>
            </w:r>
          </w:p>
          <w:p w14:paraId="77B9B4A8">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sz w:val="24"/>
                <w:szCs w:val="24"/>
              </w:rPr>
              <w:t xml:space="preserve">表4-1  </w:t>
            </w:r>
            <w:r>
              <w:rPr>
                <w:rFonts w:hint="default" w:ascii="Times New Roman" w:hAnsi="Times New Roman" w:eastAsia="宋体" w:cs="Times New Roman"/>
                <w:b/>
                <w:bCs/>
                <w:sz w:val="24"/>
                <w:szCs w:val="24"/>
              </w:rPr>
              <w:t>《环境空气质量标准》（GB3095-2012）二级标准</w:t>
            </w:r>
          </w:p>
          <w:tbl>
            <w:tblPr>
              <w:tblStyle w:val="15"/>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077"/>
              <w:gridCol w:w="1466"/>
              <w:gridCol w:w="1417"/>
              <w:gridCol w:w="2060"/>
            </w:tblGrid>
            <w:tr w14:paraId="6F81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Align w:val="center"/>
                </w:tcPr>
                <w:p w14:paraId="19C366B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077" w:type="dxa"/>
                  <w:vAlign w:val="center"/>
                </w:tcPr>
                <w:p w14:paraId="4344B08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污染物项目</w:t>
                  </w:r>
                </w:p>
              </w:tc>
              <w:tc>
                <w:tcPr>
                  <w:tcW w:w="1466" w:type="dxa"/>
                  <w:vAlign w:val="center"/>
                </w:tcPr>
                <w:p w14:paraId="41160C1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平均时间</w:t>
                  </w:r>
                </w:p>
              </w:tc>
              <w:tc>
                <w:tcPr>
                  <w:tcW w:w="1417" w:type="dxa"/>
                  <w:vAlign w:val="center"/>
                </w:tcPr>
                <w:p w14:paraId="3FEF96B3">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浓度限值</w:t>
                  </w:r>
                </w:p>
              </w:tc>
              <w:tc>
                <w:tcPr>
                  <w:tcW w:w="2060" w:type="dxa"/>
                  <w:vAlign w:val="center"/>
                </w:tcPr>
                <w:p w14:paraId="0E4C3D6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r>
            <w:tr w14:paraId="22B4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restart"/>
                  <w:vAlign w:val="center"/>
                </w:tcPr>
                <w:p w14:paraId="7F3C463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77" w:type="dxa"/>
                  <w:vMerge w:val="restart"/>
                  <w:vAlign w:val="center"/>
                </w:tcPr>
                <w:p w14:paraId="465FC43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二氧化硫（SO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466" w:type="dxa"/>
                  <w:vAlign w:val="center"/>
                </w:tcPr>
                <w:p w14:paraId="10650D1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2AB62786">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2060" w:type="dxa"/>
                  <w:vMerge w:val="restart"/>
                  <w:vAlign w:val="center"/>
                </w:tcPr>
                <w:p w14:paraId="20AFC515">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2BED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continue"/>
                  <w:vAlign w:val="center"/>
                </w:tcPr>
                <w:p w14:paraId="7B729B2A">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5A2068F7">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46BF0AB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4EA1CDD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2060" w:type="dxa"/>
                  <w:vMerge w:val="continue"/>
                  <w:vAlign w:val="center"/>
                </w:tcPr>
                <w:p w14:paraId="29096E39">
                  <w:pPr>
                    <w:adjustRightInd w:val="0"/>
                    <w:snapToGrid w:val="0"/>
                    <w:spacing w:line="240" w:lineRule="auto"/>
                    <w:jc w:val="center"/>
                    <w:rPr>
                      <w:rFonts w:hint="default" w:ascii="Times New Roman" w:hAnsi="Times New Roman" w:eastAsia="宋体" w:cs="Times New Roman"/>
                      <w:sz w:val="21"/>
                      <w:szCs w:val="21"/>
                    </w:rPr>
                  </w:pPr>
                </w:p>
              </w:tc>
            </w:tr>
            <w:tr w14:paraId="51D4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continue"/>
                  <w:vAlign w:val="center"/>
                </w:tcPr>
                <w:p w14:paraId="1D7E419D">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4F95C92A">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77BD698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417" w:type="dxa"/>
                  <w:vAlign w:val="center"/>
                </w:tcPr>
                <w:p w14:paraId="4F3482C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2060" w:type="dxa"/>
                  <w:vMerge w:val="continue"/>
                  <w:vAlign w:val="center"/>
                </w:tcPr>
                <w:p w14:paraId="43F9F970">
                  <w:pPr>
                    <w:adjustRightInd w:val="0"/>
                    <w:snapToGrid w:val="0"/>
                    <w:spacing w:line="240" w:lineRule="auto"/>
                    <w:jc w:val="center"/>
                    <w:rPr>
                      <w:rFonts w:hint="default" w:ascii="Times New Roman" w:hAnsi="Times New Roman" w:eastAsia="宋体" w:cs="Times New Roman"/>
                      <w:sz w:val="21"/>
                      <w:szCs w:val="21"/>
                    </w:rPr>
                  </w:pPr>
                </w:p>
              </w:tc>
            </w:tr>
            <w:tr w14:paraId="7F14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restart"/>
                  <w:vAlign w:val="center"/>
                </w:tcPr>
                <w:p w14:paraId="57A5928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77" w:type="dxa"/>
                  <w:vMerge w:val="restart"/>
                  <w:vAlign w:val="center"/>
                </w:tcPr>
                <w:p w14:paraId="68ED062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氮氧化物（NO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466" w:type="dxa"/>
                  <w:vAlign w:val="center"/>
                </w:tcPr>
                <w:p w14:paraId="0345F80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251E2436">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2060" w:type="dxa"/>
                  <w:vMerge w:val="continue"/>
                  <w:vAlign w:val="center"/>
                </w:tcPr>
                <w:p w14:paraId="0752109C">
                  <w:pPr>
                    <w:adjustRightInd w:val="0"/>
                    <w:snapToGrid w:val="0"/>
                    <w:spacing w:line="240" w:lineRule="auto"/>
                    <w:jc w:val="center"/>
                    <w:rPr>
                      <w:rFonts w:hint="default" w:ascii="Times New Roman" w:hAnsi="Times New Roman" w:eastAsia="宋体" w:cs="Times New Roman"/>
                      <w:sz w:val="21"/>
                      <w:szCs w:val="21"/>
                    </w:rPr>
                  </w:pPr>
                </w:p>
              </w:tc>
            </w:tr>
            <w:tr w14:paraId="655B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continue"/>
                  <w:vAlign w:val="center"/>
                </w:tcPr>
                <w:p w14:paraId="077967D0">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08E59A0A">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603E7E4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6B86C5AF">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2060" w:type="dxa"/>
                  <w:vMerge w:val="continue"/>
                  <w:vAlign w:val="center"/>
                </w:tcPr>
                <w:p w14:paraId="79F8E04A">
                  <w:pPr>
                    <w:adjustRightInd w:val="0"/>
                    <w:snapToGrid w:val="0"/>
                    <w:spacing w:line="240" w:lineRule="auto"/>
                    <w:jc w:val="center"/>
                    <w:rPr>
                      <w:rFonts w:hint="default" w:ascii="Times New Roman" w:hAnsi="Times New Roman" w:eastAsia="宋体" w:cs="Times New Roman"/>
                      <w:sz w:val="21"/>
                      <w:szCs w:val="21"/>
                    </w:rPr>
                  </w:pPr>
                </w:p>
              </w:tc>
            </w:tr>
            <w:tr w14:paraId="6EF2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continue"/>
                  <w:vAlign w:val="center"/>
                </w:tcPr>
                <w:p w14:paraId="10C01618">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42ED24C5">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5D26CF1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417" w:type="dxa"/>
                  <w:vAlign w:val="center"/>
                </w:tcPr>
                <w:p w14:paraId="2134F833">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2060" w:type="dxa"/>
                  <w:vMerge w:val="continue"/>
                  <w:vAlign w:val="center"/>
                </w:tcPr>
                <w:p w14:paraId="1E4DD2F0">
                  <w:pPr>
                    <w:adjustRightInd w:val="0"/>
                    <w:snapToGrid w:val="0"/>
                    <w:spacing w:line="240" w:lineRule="auto"/>
                    <w:jc w:val="center"/>
                    <w:rPr>
                      <w:rFonts w:hint="default" w:ascii="Times New Roman" w:hAnsi="Times New Roman" w:eastAsia="宋体" w:cs="Times New Roman"/>
                      <w:sz w:val="21"/>
                      <w:szCs w:val="21"/>
                    </w:rPr>
                  </w:pPr>
                </w:p>
              </w:tc>
            </w:tr>
            <w:tr w14:paraId="4CAB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restart"/>
                  <w:vAlign w:val="center"/>
                </w:tcPr>
                <w:p w14:paraId="643763C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77" w:type="dxa"/>
                  <w:vMerge w:val="restart"/>
                  <w:vAlign w:val="center"/>
                </w:tcPr>
                <w:p w14:paraId="6C2CDA00">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颗粒物（PM</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w:t>
                  </w:r>
                </w:p>
              </w:tc>
              <w:tc>
                <w:tcPr>
                  <w:tcW w:w="1466" w:type="dxa"/>
                  <w:vAlign w:val="center"/>
                </w:tcPr>
                <w:p w14:paraId="7A45B8B3">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7AF70865">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2060" w:type="dxa"/>
                  <w:vMerge w:val="continue"/>
                  <w:vAlign w:val="center"/>
                </w:tcPr>
                <w:p w14:paraId="0C04E93F">
                  <w:pPr>
                    <w:adjustRightInd w:val="0"/>
                    <w:snapToGrid w:val="0"/>
                    <w:spacing w:line="240" w:lineRule="auto"/>
                    <w:jc w:val="center"/>
                    <w:rPr>
                      <w:rFonts w:hint="default" w:ascii="Times New Roman" w:hAnsi="Times New Roman" w:eastAsia="宋体" w:cs="Times New Roman"/>
                      <w:sz w:val="21"/>
                      <w:szCs w:val="21"/>
                    </w:rPr>
                  </w:pPr>
                </w:p>
              </w:tc>
            </w:tr>
            <w:tr w14:paraId="74A1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continue"/>
                  <w:vAlign w:val="center"/>
                </w:tcPr>
                <w:p w14:paraId="2A00C5FE">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25FBE225">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3563004F">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6D53C03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2060" w:type="dxa"/>
                  <w:vMerge w:val="continue"/>
                  <w:vAlign w:val="center"/>
                </w:tcPr>
                <w:p w14:paraId="3755DFF6">
                  <w:pPr>
                    <w:adjustRightInd w:val="0"/>
                    <w:snapToGrid w:val="0"/>
                    <w:spacing w:line="240" w:lineRule="auto"/>
                    <w:jc w:val="center"/>
                    <w:rPr>
                      <w:rFonts w:hint="default" w:ascii="Times New Roman" w:hAnsi="Times New Roman" w:eastAsia="宋体" w:cs="Times New Roman"/>
                      <w:sz w:val="21"/>
                      <w:szCs w:val="21"/>
                    </w:rPr>
                  </w:pPr>
                </w:p>
              </w:tc>
            </w:tr>
            <w:tr w14:paraId="7011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restart"/>
                  <w:vAlign w:val="center"/>
                </w:tcPr>
                <w:p w14:paraId="3B45FAE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77" w:type="dxa"/>
                  <w:vMerge w:val="restart"/>
                  <w:vAlign w:val="center"/>
                </w:tcPr>
                <w:p w14:paraId="6A9C16C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颗粒物（PM</w:t>
                  </w:r>
                  <w:r>
                    <w:rPr>
                      <w:rFonts w:hint="default" w:ascii="Times New Roman" w:hAnsi="Times New Roman" w:eastAsia="宋体" w:cs="Times New Roman"/>
                      <w:sz w:val="21"/>
                      <w:szCs w:val="21"/>
                      <w:vertAlign w:val="subscript"/>
                    </w:rPr>
                    <w:t>2.5</w:t>
                  </w:r>
                  <w:r>
                    <w:rPr>
                      <w:rFonts w:hint="default" w:ascii="Times New Roman" w:hAnsi="Times New Roman" w:eastAsia="宋体" w:cs="Times New Roman"/>
                      <w:sz w:val="21"/>
                      <w:szCs w:val="21"/>
                    </w:rPr>
                    <w:t>）</w:t>
                  </w:r>
                </w:p>
              </w:tc>
              <w:tc>
                <w:tcPr>
                  <w:tcW w:w="1466" w:type="dxa"/>
                  <w:vAlign w:val="center"/>
                </w:tcPr>
                <w:p w14:paraId="6AB0F3F1">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45158F6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2060" w:type="dxa"/>
                  <w:vMerge w:val="continue"/>
                  <w:vAlign w:val="center"/>
                </w:tcPr>
                <w:p w14:paraId="727087B0">
                  <w:pPr>
                    <w:adjustRightInd w:val="0"/>
                    <w:snapToGrid w:val="0"/>
                    <w:spacing w:line="240" w:lineRule="auto"/>
                    <w:jc w:val="center"/>
                    <w:rPr>
                      <w:rFonts w:hint="default" w:ascii="Times New Roman" w:hAnsi="Times New Roman" w:eastAsia="宋体" w:cs="Times New Roman"/>
                      <w:sz w:val="21"/>
                      <w:szCs w:val="21"/>
                    </w:rPr>
                  </w:pPr>
                </w:p>
              </w:tc>
            </w:tr>
            <w:tr w14:paraId="0736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continue"/>
                  <w:vAlign w:val="center"/>
                </w:tcPr>
                <w:p w14:paraId="1C8F49FD">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50A1C73A">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464814D3">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0CE4AF8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2060" w:type="dxa"/>
                  <w:vMerge w:val="continue"/>
                  <w:vAlign w:val="center"/>
                </w:tcPr>
                <w:p w14:paraId="562A6880">
                  <w:pPr>
                    <w:adjustRightInd w:val="0"/>
                    <w:snapToGrid w:val="0"/>
                    <w:spacing w:line="240" w:lineRule="auto"/>
                    <w:jc w:val="center"/>
                    <w:rPr>
                      <w:rFonts w:hint="default" w:ascii="Times New Roman" w:hAnsi="Times New Roman" w:eastAsia="宋体" w:cs="Times New Roman"/>
                      <w:sz w:val="21"/>
                      <w:szCs w:val="21"/>
                    </w:rPr>
                  </w:pPr>
                </w:p>
              </w:tc>
            </w:tr>
            <w:tr w14:paraId="53F3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restart"/>
                  <w:vAlign w:val="center"/>
                </w:tcPr>
                <w:p w14:paraId="026BDCF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77" w:type="dxa"/>
                  <w:vMerge w:val="restart"/>
                  <w:vAlign w:val="center"/>
                </w:tcPr>
                <w:p w14:paraId="771EFEE0">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总悬浮颗粒物（TSP）</w:t>
                  </w:r>
                </w:p>
              </w:tc>
              <w:tc>
                <w:tcPr>
                  <w:tcW w:w="1466" w:type="dxa"/>
                  <w:vAlign w:val="center"/>
                </w:tcPr>
                <w:p w14:paraId="21F86EC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0B2F906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2060" w:type="dxa"/>
                  <w:vMerge w:val="continue"/>
                  <w:vAlign w:val="center"/>
                </w:tcPr>
                <w:p w14:paraId="637F2210">
                  <w:pPr>
                    <w:adjustRightInd w:val="0"/>
                    <w:snapToGrid w:val="0"/>
                    <w:spacing w:line="240" w:lineRule="auto"/>
                    <w:jc w:val="center"/>
                    <w:rPr>
                      <w:rFonts w:hint="default" w:ascii="Times New Roman" w:hAnsi="Times New Roman" w:eastAsia="宋体" w:cs="Times New Roman"/>
                      <w:sz w:val="21"/>
                      <w:szCs w:val="21"/>
                    </w:rPr>
                  </w:pPr>
                </w:p>
              </w:tc>
            </w:tr>
            <w:tr w14:paraId="0FDA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continue"/>
                  <w:vAlign w:val="center"/>
                </w:tcPr>
                <w:p w14:paraId="620CEFFD">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76531025">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11857D3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557E4B9F">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2060" w:type="dxa"/>
                  <w:vMerge w:val="continue"/>
                  <w:vAlign w:val="center"/>
                </w:tcPr>
                <w:p w14:paraId="53C3947C">
                  <w:pPr>
                    <w:adjustRightInd w:val="0"/>
                    <w:snapToGrid w:val="0"/>
                    <w:spacing w:line="240" w:lineRule="auto"/>
                    <w:jc w:val="center"/>
                    <w:rPr>
                      <w:rFonts w:hint="default" w:ascii="Times New Roman" w:hAnsi="Times New Roman" w:eastAsia="宋体" w:cs="Times New Roman"/>
                      <w:sz w:val="21"/>
                      <w:szCs w:val="21"/>
                    </w:rPr>
                  </w:pPr>
                </w:p>
              </w:tc>
            </w:tr>
            <w:tr w14:paraId="4CD5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8" w:type="dxa"/>
                  <w:vMerge w:val="restart"/>
                  <w:vAlign w:val="center"/>
                </w:tcPr>
                <w:p w14:paraId="098B3A11">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77" w:type="dxa"/>
                  <w:vMerge w:val="restart"/>
                  <w:vAlign w:val="center"/>
                </w:tcPr>
                <w:p w14:paraId="20DCD26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一氧化碳（CO）</w:t>
                  </w:r>
                </w:p>
              </w:tc>
              <w:tc>
                <w:tcPr>
                  <w:tcW w:w="1466" w:type="dxa"/>
                  <w:vAlign w:val="center"/>
                </w:tcPr>
                <w:p w14:paraId="59E4FFB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188B6EB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60" w:type="dxa"/>
                  <w:vMerge w:val="restart"/>
                  <w:vAlign w:val="center"/>
                </w:tcPr>
                <w:p w14:paraId="245D6D8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A18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488E7E48">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7344F5C2">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1A773835">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417" w:type="dxa"/>
                  <w:vAlign w:val="center"/>
                </w:tcPr>
                <w:p w14:paraId="608B07C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060" w:type="dxa"/>
                  <w:vMerge w:val="continue"/>
                  <w:vAlign w:val="center"/>
                </w:tcPr>
                <w:p w14:paraId="4A272F1F">
                  <w:pPr>
                    <w:adjustRightInd w:val="0"/>
                    <w:snapToGrid w:val="0"/>
                    <w:spacing w:line="240" w:lineRule="auto"/>
                    <w:jc w:val="center"/>
                    <w:rPr>
                      <w:rFonts w:hint="default" w:ascii="Times New Roman" w:hAnsi="Times New Roman" w:eastAsia="宋体" w:cs="Times New Roman"/>
                      <w:sz w:val="21"/>
                      <w:szCs w:val="21"/>
                    </w:rPr>
                  </w:pPr>
                </w:p>
              </w:tc>
            </w:tr>
          </w:tbl>
          <w:p w14:paraId="7ABA8487">
            <w:pPr>
              <w:keepNext w:val="0"/>
              <w:keepLines w:val="0"/>
              <w:widowControl/>
              <w:numPr>
                <w:ilvl w:val="0"/>
                <w:numId w:val="21"/>
              </w:numPr>
              <w:suppressLineNumbers w:val="0"/>
              <w:spacing w:line="360" w:lineRule="auto"/>
              <w:ind w:left="0" w:leftChars="0" w:firstLine="0" w:firstLineChars="0"/>
              <w:jc w:val="left"/>
              <w:rPr>
                <w:rFonts w:hint="default" w:ascii="Times New Roman" w:hAnsi="Times New Roman" w:eastAsia="宋体" w:cs="Times New Roman"/>
                <w:b/>
                <w:bCs/>
                <w:snapToGrid w:val="0"/>
                <w:color w:val="auto"/>
                <w:kern w:val="0"/>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水环境</w:t>
            </w:r>
          </w:p>
          <w:p w14:paraId="59FECA61">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本项目地表水主体为</w:t>
            </w:r>
            <w:r>
              <w:rPr>
                <w:rFonts w:hint="default" w:ascii="Times New Roman" w:hAnsi="Times New Roman" w:eastAsia="宋体" w:cs="Times New Roman"/>
                <w:color w:val="000000"/>
                <w:kern w:val="0"/>
                <w:sz w:val="24"/>
                <w:szCs w:val="24"/>
                <w:lang w:val="en-US" w:eastAsia="zh-CN" w:bidi="ar"/>
              </w:rPr>
              <w:t>拟建场地</w:t>
            </w:r>
            <w:r>
              <w:rPr>
                <w:rFonts w:hint="eastAsia" w:cs="Times New Roman"/>
                <w:color w:val="000000"/>
                <w:kern w:val="0"/>
                <w:sz w:val="24"/>
                <w:szCs w:val="24"/>
                <w:lang w:val="en-US" w:eastAsia="zh-CN" w:bidi="ar"/>
              </w:rPr>
              <w:t>东南</w:t>
            </w:r>
            <w:r>
              <w:rPr>
                <w:rFonts w:hint="default" w:ascii="Times New Roman" w:hAnsi="Times New Roman" w:eastAsia="宋体" w:cs="Times New Roman"/>
                <w:color w:val="000000"/>
                <w:kern w:val="0"/>
                <w:sz w:val="24"/>
                <w:szCs w:val="24"/>
                <w:lang w:val="en-US" w:eastAsia="zh-CN" w:bidi="ar"/>
              </w:rPr>
              <w:t xml:space="preserve">侧约 </w:t>
            </w:r>
            <w:r>
              <w:rPr>
                <w:rFonts w:hint="eastAsia" w:cs="Times New Roman"/>
                <w:color w:val="000000"/>
                <w:kern w:val="0"/>
                <w:sz w:val="24"/>
                <w:szCs w:val="24"/>
                <w:lang w:val="en-US" w:eastAsia="zh-CN" w:bidi="ar"/>
              </w:rPr>
              <w:t>710</w:t>
            </w:r>
            <w:r>
              <w:rPr>
                <w:rFonts w:hint="default" w:ascii="Times New Roman" w:hAnsi="Times New Roman" w:eastAsia="宋体" w:cs="Times New Roman"/>
                <w:color w:val="000000"/>
                <w:kern w:val="0"/>
                <w:sz w:val="24"/>
                <w:szCs w:val="24"/>
                <w:lang w:val="en-US" w:eastAsia="zh-CN" w:bidi="ar"/>
              </w:rPr>
              <w:t>m的芒市大河，</w:t>
            </w:r>
            <w:r>
              <w:rPr>
                <w:rFonts w:hint="default" w:ascii="Times New Roman" w:hAnsi="Times New Roman" w:eastAsia="宋体" w:cs="Times New Roman"/>
                <w:bCs/>
                <w:sz w:val="24"/>
                <w:szCs w:val="24"/>
              </w:rPr>
              <w:t>跨越地表水主要</w:t>
            </w:r>
            <w:r>
              <w:rPr>
                <w:rFonts w:hint="default" w:ascii="Times New Roman" w:hAnsi="Times New Roman" w:eastAsia="宋体" w:cs="Times New Roman"/>
                <w:color w:val="000000"/>
                <w:kern w:val="0"/>
                <w:sz w:val="24"/>
                <w:szCs w:val="24"/>
                <w:lang w:val="en-US" w:eastAsia="zh-CN" w:bidi="ar"/>
              </w:rPr>
              <w:t>有澡地河、板过河、芒辛河、广沙河及大量灌溉沟渠等水系，</w:t>
            </w:r>
            <w:r>
              <w:rPr>
                <w:rFonts w:hint="default" w:ascii="Times New Roman" w:hAnsi="Times New Roman" w:eastAsia="宋体" w:cs="Times New Roman"/>
                <w:bCs/>
                <w:sz w:val="24"/>
                <w:szCs w:val="24"/>
              </w:rPr>
              <w:t>其跨越的河流均为芒市大河支流。芒市大河</w:t>
            </w:r>
            <w:r>
              <w:rPr>
                <w:rFonts w:hint="default" w:ascii="Times New Roman" w:hAnsi="Times New Roman" w:eastAsia="宋体" w:cs="Times New Roman"/>
                <w:sz w:val="24"/>
                <w:szCs w:val="24"/>
              </w:rPr>
              <w:t>为瑞丽江一级支流，属伊洛瓦底江水系。根据《云南省地表水环境功能区划（2010~2020）》，属“木康断面～入瑞丽江口</w:t>
            </w:r>
            <w:r>
              <w:rPr>
                <w:rFonts w:hint="default" w:ascii="Times New Roman" w:hAnsi="Times New Roman" w:eastAsia="宋体" w:cs="Times New Roman"/>
                <w:kern w:val="0"/>
                <w:sz w:val="24"/>
                <w:szCs w:val="24"/>
              </w:rPr>
              <w:t>”河段，水环境功能为农业用水、工业用水，为Ⅲ类水质，</w:t>
            </w:r>
            <w:r>
              <w:rPr>
                <w:rFonts w:hint="default" w:ascii="Times New Roman" w:hAnsi="Times New Roman" w:eastAsia="宋体" w:cs="Times New Roman"/>
                <w:sz w:val="24"/>
                <w:szCs w:val="24"/>
              </w:rPr>
              <w:t>执行《地表水环境质量标准》（GB3838-2002）Ⅲ类水体标准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具体指标见表4-2</w:t>
            </w:r>
          </w:p>
          <w:p w14:paraId="03B59118">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表4-2 </w:t>
            </w:r>
            <w:r>
              <w:rPr>
                <w:rFonts w:hint="default" w:ascii="Times New Roman" w:hAnsi="Times New Roman" w:eastAsia="宋体" w:cs="Times New Roman"/>
                <w:b/>
                <w:bCs/>
                <w:sz w:val="24"/>
                <w:szCs w:val="24"/>
              </w:rPr>
              <w:t>地表水环境质量标准  单位：mg/L</w:t>
            </w:r>
          </w:p>
          <w:tbl>
            <w:tblPr>
              <w:tblStyle w:val="15"/>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2095"/>
              <w:gridCol w:w="1731"/>
              <w:gridCol w:w="2984"/>
            </w:tblGrid>
            <w:tr w14:paraId="398C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blHeader/>
                <w:jc w:val="center"/>
              </w:trPr>
              <w:tc>
                <w:tcPr>
                  <w:tcW w:w="1048" w:type="dxa"/>
                  <w:vAlign w:val="center"/>
                </w:tcPr>
                <w:p w14:paraId="5845F07F">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095" w:type="dxa"/>
                  <w:vAlign w:val="center"/>
                </w:tcPr>
                <w:p w14:paraId="554E0ED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参数</w:t>
                  </w:r>
                </w:p>
              </w:tc>
              <w:tc>
                <w:tcPr>
                  <w:tcW w:w="1731" w:type="dxa"/>
                  <w:vAlign w:val="center"/>
                </w:tcPr>
                <w:p w14:paraId="4B0C94D1">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Ⅲ</w:t>
                  </w:r>
                  <w:r>
                    <w:rPr>
                      <w:rFonts w:hint="default" w:ascii="Times New Roman" w:hAnsi="Times New Roman" w:eastAsia="宋体" w:cs="Times New Roman"/>
                      <w:sz w:val="21"/>
                      <w:szCs w:val="21"/>
                    </w:rPr>
                    <w:t>类标准值</w:t>
                  </w:r>
                </w:p>
              </w:tc>
              <w:tc>
                <w:tcPr>
                  <w:tcW w:w="2984" w:type="dxa"/>
                  <w:vAlign w:val="center"/>
                </w:tcPr>
                <w:p w14:paraId="120A793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标准来源</w:t>
                  </w:r>
                </w:p>
              </w:tc>
            </w:tr>
            <w:tr w14:paraId="0E23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5DFF5EE0">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95" w:type="dxa"/>
                  <w:vAlign w:val="center"/>
                </w:tcPr>
                <w:p w14:paraId="52FC500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1731" w:type="dxa"/>
                  <w:vAlign w:val="center"/>
                </w:tcPr>
                <w:p w14:paraId="56C936E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2984" w:type="dxa"/>
                  <w:vMerge w:val="restart"/>
                  <w:vAlign w:val="center"/>
                </w:tcPr>
                <w:p w14:paraId="2269638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w:t>
                  </w:r>
                  <w:r>
                    <w:rPr>
                      <w:rFonts w:hint="default" w:ascii="Times New Roman" w:hAnsi="Times New Roman" w:eastAsia="宋体" w:cs="Times New Roman"/>
                      <w:kern w:val="0"/>
                      <w:sz w:val="21"/>
                      <w:szCs w:val="21"/>
                    </w:rPr>
                    <w:t>Ⅲ</w:t>
                  </w:r>
                  <w:r>
                    <w:rPr>
                      <w:rFonts w:hint="default" w:ascii="Times New Roman" w:hAnsi="Times New Roman" w:eastAsia="宋体" w:cs="Times New Roman"/>
                      <w:sz w:val="21"/>
                      <w:szCs w:val="21"/>
                    </w:rPr>
                    <w:t>类水质标准</w:t>
                  </w:r>
                </w:p>
              </w:tc>
            </w:tr>
            <w:tr w14:paraId="5804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5E75A27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95" w:type="dxa"/>
                  <w:vAlign w:val="center"/>
                </w:tcPr>
                <w:p w14:paraId="0D9E478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DO</w:t>
                  </w:r>
                </w:p>
              </w:tc>
              <w:tc>
                <w:tcPr>
                  <w:tcW w:w="1731" w:type="dxa"/>
                  <w:vAlign w:val="center"/>
                </w:tcPr>
                <w:p w14:paraId="3196DE37">
                  <w:pPr>
                    <w:adjustRightInd w:val="0"/>
                    <w:snapToGrid w:val="0"/>
                    <w:spacing w:line="240" w:lineRule="auto"/>
                    <w:jc w:val="center"/>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rPr>
                    <w:t>≥5</w:t>
                  </w:r>
                </w:p>
              </w:tc>
              <w:tc>
                <w:tcPr>
                  <w:tcW w:w="2984" w:type="dxa"/>
                  <w:vMerge w:val="continue"/>
                  <w:vAlign w:val="center"/>
                </w:tcPr>
                <w:p w14:paraId="7B1517EA">
                  <w:pPr>
                    <w:adjustRightInd w:val="0"/>
                    <w:snapToGrid w:val="0"/>
                    <w:spacing w:line="240" w:lineRule="auto"/>
                    <w:jc w:val="center"/>
                    <w:rPr>
                      <w:rFonts w:hint="default" w:ascii="Times New Roman" w:hAnsi="Times New Roman" w:eastAsia="宋体" w:cs="Times New Roman"/>
                      <w:sz w:val="21"/>
                      <w:szCs w:val="21"/>
                    </w:rPr>
                  </w:pPr>
                </w:p>
              </w:tc>
            </w:tr>
            <w:tr w14:paraId="4844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10BA7FA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95" w:type="dxa"/>
                  <w:vAlign w:val="center"/>
                </w:tcPr>
                <w:p w14:paraId="595FD0A8">
                  <w:pPr>
                    <w:adjustRightInd w:val="0"/>
                    <w:snapToGrid w:val="0"/>
                    <w:spacing w:line="240" w:lineRule="auto"/>
                    <w:jc w:val="center"/>
                    <w:rPr>
                      <w:rFonts w:hint="default" w:ascii="Times New Roman" w:hAnsi="Times New Roman" w:eastAsia="宋体" w:cs="Times New Roman"/>
                      <w:sz w:val="21"/>
                      <w:szCs w:val="21"/>
                      <w:vertAlign w:val="subscript"/>
                    </w:rPr>
                  </w:pPr>
                  <w:r>
                    <w:rPr>
                      <w:rFonts w:hint="default" w:ascii="Times New Roman" w:hAnsi="Times New Roman" w:eastAsia="宋体" w:cs="Times New Roman"/>
                      <w:sz w:val="21"/>
                      <w:szCs w:val="21"/>
                    </w:rPr>
                    <w:t>COD</w:t>
                  </w:r>
                </w:p>
              </w:tc>
              <w:tc>
                <w:tcPr>
                  <w:tcW w:w="1731" w:type="dxa"/>
                  <w:vAlign w:val="center"/>
                </w:tcPr>
                <w:p w14:paraId="2C2DD76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GB"/>
                    </w:rPr>
                    <w:t>≤20</w:t>
                  </w:r>
                </w:p>
              </w:tc>
              <w:tc>
                <w:tcPr>
                  <w:tcW w:w="2984" w:type="dxa"/>
                  <w:vMerge w:val="continue"/>
                  <w:vAlign w:val="center"/>
                </w:tcPr>
                <w:p w14:paraId="3191BE85">
                  <w:pPr>
                    <w:adjustRightInd w:val="0"/>
                    <w:snapToGrid w:val="0"/>
                    <w:spacing w:line="240" w:lineRule="auto"/>
                    <w:jc w:val="center"/>
                    <w:rPr>
                      <w:rFonts w:hint="default" w:ascii="Times New Roman" w:hAnsi="Times New Roman" w:eastAsia="宋体" w:cs="Times New Roman"/>
                      <w:sz w:val="21"/>
                      <w:szCs w:val="21"/>
                    </w:rPr>
                  </w:pPr>
                </w:p>
              </w:tc>
            </w:tr>
            <w:tr w14:paraId="2516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1796971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95" w:type="dxa"/>
                  <w:vAlign w:val="center"/>
                </w:tcPr>
                <w:p w14:paraId="282DE23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731" w:type="dxa"/>
                  <w:vAlign w:val="center"/>
                </w:tcPr>
                <w:p w14:paraId="2497B39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GB"/>
                    </w:rPr>
                    <w:t>≤</w:t>
                  </w:r>
                  <w:r>
                    <w:rPr>
                      <w:rFonts w:hint="default" w:ascii="Times New Roman" w:hAnsi="Times New Roman" w:eastAsia="宋体" w:cs="Times New Roman"/>
                      <w:sz w:val="21"/>
                      <w:szCs w:val="21"/>
                    </w:rPr>
                    <w:t>4</w:t>
                  </w:r>
                </w:p>
              </w:tc>
              <w:tc>
                <w:tcPr>
                  <w:tcW w:w="2984" w:type="dxa"/>
                  <w:vMerge w:val="continue"/>
                  <w:vAlign w:val="center"/>
                </w:tcPr>
                <w:p w14:paraId="4D83DBF5">
                  <w:pPr>
                    <w:adjustRightInd w:val="0"/>
                    <w:snapToGrid w:val="0"/>
                    <w:spacing w:line="240" w:lineRule="auto"/>
                    <w:jc w:val="center"/>
                    <w:rPr>
                      <w:rFonts w:hint="default" w:ascii="Times New Roman" w:hAnsi="Times New Roman" w:eastAsia="宋体" w:cs="Times New Roman"/>
                      <w:sz w:val="21"/>
                      <w:szCs w:val="21"/>
                    </w:rPr>
                  </w:pPr>
                </w:p>
              </w:tc>
            </w:tr>
            <w:tr w14:paraId="4D3C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66A45AC6">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95" w:type="dxa"/>
                  <w:vAlign w:val="center"/>
                </w:tcPr>
                <w:p w14:paraId="41127BF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1731" w:type="dxa"/>
                  <w:vAlign w:val="center"/>
                </w:tcPr>
                <w:p w14:paraId="06B375D7">
                  <w:pPr>
                    <w:adjustRightInd w:val="0"/>
                    <w:snapToGrid w:val="0"/>
                    <w:spacing w:line="240" w:lineRule="auto"/>
                    <w:jc w:val="center"/>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lang w:val="en-GB"/>
                    </w:rPr>
                    <w:t>≤</w:t>
                  </w:r>
                  <w:r>
                    <w:rPr>
                      <w:rFonts w:hint="default" w:ascii="Times New Roman" w:hAnsi="Times New Roman" w:eastAsia="宋体" w:cs="Times New Roman"/>
                      <w:sz w:val="21"/>
                      <w:szCs w:val="21"/>
                    </w:rPr>
                    <w:t>0.2（湖、库0.05）</w:t>
                  </w:r>
                </w:p>
              </w:tc>
              <w:tc>
                <w:tcPr>
                  <w:tcW w:w="2984" w:type="dxa"/>
                  <w:vMerge w:val="continue"/>
                  <w:vAlign w:val="center"/>
                </w:tcPr>
                <w:p w14:paraId="4E469B26">
                  <w:pPr>
                    <w:adjustRightInd w:val="0"/>
                    <w:snapToGrid w:val="0"/>
                    <w:spacing w:line="240" w:lineRule="auto"/>
                    <w:jc w:val="center"/>
                    <w:rPr>
                      <w:rFonts w:hint="default" w:ascii="Times New Roman" w:hAnsi="Times New Roman" w:eastAsia="宋体" w:cs="Times New Roman"/>
                      <w:sz w:val="21"/>
                      <w:szCs w:val="21"/>
                    </w:rPr>
                  </w:pPr>
                </w:p>
              </w:tc>
            </w:tr>
            <w:tr w14:paraId="51D6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6421D4CF">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95" w:type="dxa"/>
                  <w:vAlign w:val="center"/>
                </w:tcPr>
                <w:p w14:paraId="51D25B6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1731" w:type="dxa"/>
                  <w:vAlign w:val="center"/>
                </w:tcPr>
                <w:p w14:paraId="6F4368E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984" w:type="dxa"/>
                  <w:vMerge w:val="continue"/>
                  <w:vAlign w:val="center"/>
                </w:tcPr>
                <w:p w14:paraId="34DC1076">
                  <w:pPr>
                    <w:adjustRightInd w:val="0"/>
                    <w:snapToGrid w:val="0"/>
                    <w:spacing w:line="240" w:lineRule="auto"/>
                    <w:jc w:val="center"/>
                    <w:rPr>
                      <w:rFonts w:hint="default" w:ascii="Times New Roman" w:hAnsi="Times New Roman" w:eastAsia="宋体" w:cs="Times New Roman"/>
                      <w:sz w:val="21"/>
                      <w:szCs w:val="21"/>
                    </w:rPr>
                  </w:pPr>
                </w:p>
              </w:tc>
            </w:tr>
            <w:tr w14:paraId="63B4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58298246">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095" w:type="dxa"/>
                  <w:vAlign w:val="center"/>
                </w:tcPr>
                <w:p w14:paraId="7436775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1731" w:type="dxa"/>
                  <w:vAlign w:val="center"/>
                </w:tcPr>
                <w:p w14:paraId="5AD7AA5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984" w:type="dxa"/>
                  <w:vMerge w:val="continue"/>
                  <w:vAlign w:val="center"/>
                </w:tcPr>
                <w:p w14:paraId="7938694C">
                  <w:pPr>
                    <w:adjustRightInd w:val="0"/>
                    <w:snapToGrid w:val="0"/>
                    <w:spacing w:line="240" w:lineRule="auto"/>
                    <w:jc w:val="center"/>
                    <w:rPr>
                      <w:rFonts w:hint="default" w:ascii="Times New Roman" w:hAnsi="Times New Roman" w:eastAsia="宋体" w:cs="Times New Roman"/>
                      <w:sz w:val="21"/>
                      <w:szCs w:val="21"/>
                    </w:rPr>
                  </w:pPr>
                </w:p>
              </w:tc>
            </w:tr>
            <w:tr w14:paraId="194D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48" w:type="dxa"/>
                  <w:vAlign w:val="center"/>
                </w:tcPr>
                <w:p w14:paraId="4DB597F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095" w:type="dxa"/>
                  <w:vAlign w:val="center"/>
                </w:tcPr>
                <w:p w14:paraId="4740DFF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731" w:type="dxa"/>
                  <w:vAlign w:val="center"/>
                </w:tcPr>
                <w:p w14:paraId="08C54B2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2984" w:type="dxa"/>
                  <w:vMerge w:val="continue"/>
                  <w:vAlign w:val="center"/>
                </w:tcPr>
                <w:p w14:paraId="55A692A4">
                  <w:pPr>
                    <w:adjustRightInd w:val="0"/>
                    <w:snapToGrid w:val="0"/>
                    <w:spacing w:line="240" w:lineRule="auto"/>
                    <w:jc w:val="center"/>
                    <w:rPr>
                      <w:rFonts w:hint="default" w:ascii="Times New Roman" w:hAnsi="Times New Roman" w:eastAsia="宋体" w:cs="Times New Roman"/>
                      <w:sz w:val="21"/>
                      <w:szCs w:val="21"/>
                    </w:rPr>
                  </w:pPr>
                </w:p>
              </w:tc>
            </w:tr>
            <w:tr w14:paraId="7864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048" w:type="dxa"/>
                  <w:vAlign w:val="center"/>
                </w:tcPr>
                <w:p w14:paraId="76CAB8B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095" w:type="dxa"/>
                  <w:vAlign w:val="center"/>
                </w:tcPr>
                <w:p w14:paraId="29CBB62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粪大肠菌群</w:t>
                  </w:r>
                </w:p>
              </w:tc>
              <w:tc>
                <w:tcPr>
                  <w:tcW w:w="1731" w:type="dxa"/>
                  <w:vAlign w:val="center"/>
                </w:tcPr>
                <w:p w14:paraId="3E431171">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w:t>
                  </w:r>
                </w:p>
              </w:tc>
              <w:tc>
                <w:tcPr>
                  <w:tcW w:w="2984" w:type="dxa"/>
                  <w:vMerge w:val="continue"/>
                  <w:vAlign w:val="center"/>
                </w:tcPr>
                <w:p w14:paraId="3B7C3A46">
                  <w:pPr>
                    <w:adjustRightInd w:val="0"/>
                    <w:snapToGrid w:val="0"/>
                    <w:spacing w:line="240" w:lineRule="auto"/>
                    <w:jc w:val="center"/>
                    <w:rPr>
                      <w:rFonts w:hint="default" w:ascii="Times New Roman" w:hAnsi="Times New Roman" w:eastAsia="宋体" w:cs="Times New Roman"/>
                      <w:sz w:val="21"/>
                      <w:szCs w:val="21"/>
                    </w:rPr>
                  </w:pPr>
                </w:p>
              </w:tc>
            </w:tr>
          </w:tbl>
          <w:p w14:paraId="1B0727BC">
            <w:pPr>
              <w:numPr>
                <w:ilvl w:val="0"/>
                <w:numId w:val="21"/>
              </w:numPr>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声环境</w:t>
            </w:r>
          </w:p>
          <w:p w14:paraId="44D7E590">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lang w:val="en-US" w:eastAsia="zh-CN"/>
              </w:rPr>
              <w:t>本项目位于芒市中心城区西</w:t>
            </w:r>
            <w:r>
              <w:rPr>
                <w:rFonts w:hint="eastAsia" w:cs="Times New Roman"/>
                <w:b w:val="0"/>
                <w:bCs w:val="0"/>
                <w:sz w:val="24"/>
                <w:szCs w:val="24"/>
                <w:lang w:val="en-US" w:eastAsia="zh-CN"/>
              </w:rPr>
              <w:t>北</w:t>
            </w:r>
            <w:r>
              <w:rPr>
                <w:rFonts w:hint="default" w:ascii="Times New Roman" w:hAnsi="Times New Roman" w:eastAsia="宋体" w:cs="Times New Roman"/>
                <w:b w:val="0"/>
                <w:bCs w:val="0"/>
                <w:sz w:val="24"/>
                <w:szCs w:val="24"/>
                <w:lang w:val="en-US" w:eastAsia="zh-CN"/>
              </w:rPr>
              <w:t>部，</w:t>
            </w:r>
            <w:r>
              <w:rPr>
                <w:rFonts w:hint="default" w:ascii="Times New Roman" w:hAnsi="Times New Roman" w:eastAsia="宋体" w:cs="Times New Roman"/>
                <w:color w:val="000000"/>
                <w:kern w:val="0"/>
                <w:sz w:val="24"/>
                <w:szCs w:val="24"/>
                <w:lang w:val="en-US" w:eastAsia="zh-CN" w:bidi="ar"/>
              </w:rPr>
              <w:t>根据《芒市火车站片区控制性详细规划》，项目拟建道路周边涵盖了一/二类居住用地、商业/商住混合用地、交通场站用地等，</w:t>
            </w:r>
            <w:r>
              <w:rPr>
                <w:rFonts w:hint="default" w:ascii="Times New Roman" w:hAnsi="Times New Roman" w:eastAsia="宋体" w:cs="Times New Roman"/>
                <w:sz w:val="24"/>
                <w:szCs w:val="24"/>
              </w:rPr>
              <w:t>该区按城市区域声环境质量功能区划为2类区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道路两侧35±5m范围内执行《声环境质量标准》（GB3096-2008）4a类标准，35±5m范围以外的区域声环境执行《声环境质量标准》（GB3096-2008）2类标准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 xml:space="preserve">  </w:t>
            </w:r>
          </w:p>
          <w:p w14:paraId="4B4E0C8F">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4"/>
                <w:highlight w:val="none"/>
              </w:rPr>
            </w:pPr>
            <w:r>
              <w:rPr>
                <w:rFonts w:hint="default" w:ascii="Times New Roman" w:hAnsi="Times New Roman" w:eastAsia="宋体" w:cs="Times New Roman"/>
                <w:color w:val="auto"/>
                <w:sz w:val="24"/>
                <w:szCs w:val="24"/>
                <w:highlight w:val="none"/>
              </w:rPr>
              <w:t>评价区声环境质量标准按不同功能区划执行《声环境质量标准》（GB3096-2008）2类和4a类标准，标准限值详见表4-3。</w:t>
            </w:r>
          </w:p>
          <w:p w14:paraId="70A9BE1E">
            <w:pPr>
              <w:adjustRightInd w:val="0"/>
              <w:snapToGrid w:val="0"/>
              <w:spacing w:line="360" w:lineRule="auto"/>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表4-3  声环境质量标准限值  单位：dB(A)</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84"/>
              <w:gridCol w:w="1431"/>
              <w:gridCol w:w="1344"/>
              <w:gridCol w:w="1319"/>
            </w:tblGrid>
            <w:tr w14:paraId="1E9BE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84" w:type="dxa"/>
                  <w:noWrap w:val="0"/>
                  <w:vAlign w:val="top"/>
                </w:tcPr>
                <w:p w14:paraId="57D6387E">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适用区域</w:t>
                  </w:r>
                </w:p>
              </w:tc>
              <w:tc>
                <w:tcPr>
                  <w:tcW w:w="1431" w:type="dxa"/>
                  <w:noWrap w:val="0"/>
                  <w:vAlign w:val="top"/>
                </w:tcPr>
                <w:p w14:paraId="212DEC84">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344" w:type="dxa"/>
                  <w:noWrap w:val="0"/>
                  <w:vAlign w:val="top"/>
                </w:tcPr>
                <w:p w14:paraId="142BA10D">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319" w:type="dxa"/>
                  <w:noWrap w:val="0"/>
                  <w:vAlign w:val="top"/>
                </w:tcPr>
                <w:p w14:paraId="625715EB">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0B1DC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84" w:type="dxa"/>
                  <w:noWrap w:val="0"/>
                  <w:vAlign w:val="top"/>
                </w:tcPr>
                <w:p w14:paraId="64371AF2">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道路红线35m范围外</w:t>
                  </w:r>
                </w:p>
              </w:tc>
              <w:tc>
                <w:tcPr>
                  <w:tcW w:w="1431" w:type="dxa"/>
                  <w:noWrap w:val="0"/>
                  <w:vAlign w:val="top"/>
                </w:tcPr>
                <w:p w14:paraId="7DB54810">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2类标准</w:t>
                  </w:r>
                </w:p>
              </w:tc>
              <w:tc>
                <w:tcPr>
                  <w:tcW w:w="1344" w:type="dxa"/>
                  <w:noWrap w:val="0"/>
                  <w:vAlign w:val="top"/>
                </w:tcPr>
                <w:p w14:paraId="24FD9814">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19" w:type="dxa"/>
                  <w:noWrap w:val="0"/>
                  <w:vAlign w:val="top"/>
                </w:tcPr>
                <w:p w14:paraId="5A50B6F2">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14:paraId="60A94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84" w:type="dxa"/>
                  <w:noWrap w:val="0"/>
                  <w:vAlign w:val="top"/>
                </w:tcPr>
                <w:p w14:paraId="3561845E">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道路红线35m以内区域</w:t>
                  </w:r>
                </w:p>
              </w:tc>
              <w:tc>
                <w:tcPr>
                  <w:tcW w:w="1431" w:type="dxa"/>
                  <w:noWrap w:val="0"/>
                  <w:vAlign w:val="top"/>
                </w:tcPr>
                <w:p w14:paraId="65FFF7F7">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4a类标准</w:t>
                  </w:r>
                </w:p>
              </w:tc>
              <w:tc>
                <w:tcPr>
                  <w:tcW w:w="1344" w:type="dxa"/>
                  <w:noWrap w:val="0"/>
                  <w:vAlign w:val="top"/>
                </w:tcPr>
                <w:p w14:paraId="38127A25">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319" w:type="dxa"/>
                  <w:noWrap w:val="0"/>
                  <w:vAlign w:val="top"/>
                </w:tcPr>
                <w:p w14:paraId="105F02D0">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14:paraId="4E2D3E23">
            <w:pPr>
              <w:numPr>
                <w:ilvl w:val="0"/>
                <w:numId w:val="0"/>
              </w:numPr>
              <w:spacing w:line="360" w:lineRule="auto"/>
              <w:ind w:leftChars="0"/>
              <w:rPr>
                <w:rFonts w:hint="default" w:ascii="Times New Roman" w:hAnsi="Times New Roman" w:eastAsia="宋体" w:cs="Times New Roman"/>
                <w:sz w:val="24"/>
                <w:szCs w:val="24"/>
                <w:lang w:val="en-US" w:eastAsia="zh-CN"/>
              </w:rPr>
            </w:pPr>
          </w:p>
        </w:tc>
      </w:tr>
      <w:tr w14:paraId="1A9A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dxa"/>
            <w:vAlign w:val="center"/>
          </w:tcPr>
          <w:p w14:paraId="113125E6">
            <w:pPr>
              <w:pStyle w:val="3"/>
              <w:bidi w:val="0"/>
              <w:spacing w:line="360" w:lineRule="auto"/>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污染物排放标准</w:t>
            </w:r>
          </w:p>
        </w:tc>
        <w:tc>
          <w:tcPr>
            <w:tcW w:w="8102" w:type="dxa"/>
          </w:tcPr>
          <w:p w14:paraId="7ECA7C35">
            <w:pPr>
              <w:pStyle w:val="3"/>
              <w:numPr>
                <w:ilvl w:val="0"/>
                <w:numId w:val="22"/>
              </w:numPr>
              <w:bidi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p w14:paraId="1BA7597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项目路线设计为沥青混凝土路面，</w:t>
            </w:r>
            <w:r>
              <w:rPr>
                <w:rFonts w:hint="default" w:ascii="Times New Roman" w:hAnsi="Times New Roman" w:eastAsia="宋体" w:cs="Times New Roman"/>
                <w:color w:val="000000"/>
                <w:kern w:val="0"/>
                <w:sz w:val="24"/>
                <w:szCs w:val="24"/>
                <w:lang w:val="en-US" w:eastAsia="zh-CN" w:bidi="ar"/>
              </w:rPr>
              <w:t>在沥青混凝土运输、摊铺过程中产生大量沥青油烟，</w:t>
            </w:r>
            <w:r>
              <w:rPr>
                <w:rFonts w:hint="default" w:ascii="Times New Roman" w:hAnsi="Times New Roman" w:eastAsia="宋体" w:cs="Times New Roman"/>
                <w:color w:val="auto"/>
                <w:sz w:val="24"/>
                <w:szCs w:val="24"/>
                <w:highlight w:val="none"/>
              </w:rPr>
              <w:t>施工期执行《大气污染物综合排放标准》（GB16297-1996）表2中无组织排放监控浓度限值，标准见表4-4。</w:t>
            </w:r>
          </w:p>
          <w:p w14:paraId="494668AA">
            <w:pPr>
              <w:snapToGrid w:val="0"/>
              <w:spacing w:line="360" w:lineRule="auto"/>
              <w:ind w:firstLine="602" w:firstLineChars="250"/>
              <w:jc w:val="center"/>
              <w:rPr>
                <w:rFonts w:hint="default" w:ascii="Times New Roman" w:hAnsi="Times New Roman" w:eastAsia="宋体" w:cs="Times New Roman"/>
                <w:b/>
                <w:bCs/>
                <w:color w:val="auto"/>
                <w:sz w:val="24"/>
                <w:szCs w:val="24"/>
                <w:highlight w:val="none"/>
                <w:vertAlign w:val="superscript"/>
              </w:rPr>
            </w:pPr>
            <w:r>
              <w:rPr>
                <w:rFonts w:hint="default" w:ascii="Times New Roman" w:hAnsi="Times New Roman" w:eastAsia="宋体" w:cs="Times New Roman"/>
                <w:b/>
                <w:bCs/>
                <w:color w:val="auto"/>
                <w:sz w:val="24"/>
                <w:szCs w:val="24"/>
                <w:highlight w:val="none"/>
              </w:rPr>
              <w:t>表4-4  大气污染物综合排放标准  单位：mg/m</w:t>
            </w:r>
            <w:r>
              <w:rPr>
                <w:rFonts w:hint="default" w:ascii="Times New Roman" w:hAnsi="Times New Roman" w:eastAsia="宋体" w:cs="Times New Roman"/>
                <w:b/>
                <w:bCs/>
                <w:color w:val="auto"/>
                <w:sz w:val="24"/>
                <w:szCs w:val="24"/>
                <w:highlight w:val="none"/>
                <w:vertAlign w:val="superscript"/>
              </w:rPr>
              <w:t>3</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2227"/>
              <w:gridCol w:w="1526"/>
              <w:gridCol w:w="2777"/>
            </w:tblGrid>
            <w:tr w14:paraId="0EDD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68" w:type="dxa"/>
                  <w:noWrap w:val="0"/>
                  <w:vAlign w:val="center"/>
                </w:tcPr>
                <w:p w14:paraId="1B432325">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227" w:type="dxa"/>
                  <w:noWrap w:val="0"/>
                  <w:vAlign w:val="center"/>
                </w:tcPr>
                <w:p w14:paraId="49D673CC">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施工内容</w:t>
                  </w:r>
                </w:p>
              </w:tc>
              <w:tc>
                <w:tcPr>
                  <w:tcW w:w="1526" w:type="dxa"/>
                  <w:noWrap w:val="0"/>
                  <w:vAlign w:val="center"/>
                </w:tcPr>
                <w:p w14:paraId="6A2C6A2E">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最高允许排放浓度</w:t>
                  </w:r>
                </w:p>
              </w:tc>
              <w:tc>
                <w:tcPr>
                  <w:tcW w:w="2777" w:type="dxa"/>
                  <w:noWrap w:val="0"/>
                  <w:vAlign w:val="center"/>
                </w:tcPr>
                <w:p w14:paraId="2D0C2EBD">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无组织排放监控浓度限值</w:t>
                  </w:r>
                </w:p>
              </w:tc>
            </w:tr>
            <w:tr w14:paraId="0C04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68" w:type="dxa"/>
                  <w:noWrap w:val="0"/>
                  <w:vAlign w:val="center"/>
                </w:tcPr>
                <w:p w14:paraId="40DFEB3C">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227" w:type="dxa"/>
                  <w:noWrap w:val="0"/>
                  <w:vAlign w:val="center"/>
                </w:tcPr>
                <w:p w14:paraId="42705D4F">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路基开挖、土地平整等</w:t>
                  </w:r>
                </w:p>
              </w:tc>
              <w:tc>
                <w:tcPr>
                  <w:tcW w:w="1526" w:type="dxa"/>
                  <w:noWrap w:val="0"/>
                  <w:vAlign w:val="center"/>
                </w:tcPr>
                <w:p w14:paraId="490F6DE1">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777" w:type="dxa"/>
                  <w:noWrap w:val="0"/>
                  <w:vAlign w:val="center"/>
                </w:tcPr>
                <w:p w14:paraId="5A830D07">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566A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68" w:type="dxa"/>
                  <w:noWrap w:val="0"/>
                  <w:vAlign w:val="center"/>
                </w:tcPr>
                <w:p w14:paraId="347CB719">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沥青烟</w:t>
                  </w:r>
                </w:p>
              </w:tc>
              <w:tc>
                <w:tcPr>
                  <w:tcW w:w="2227" w:type="dxa"/>
                  <w:noWrap w:val="0"/>
                  <w:vAlign w:val="center"/>
                </w:tcPr>
                <w:p w14:paraId="4258208D">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路面铺设</w:t>
                  </w:r>
                  <w:r>
                    <w:rPr>
                      <w:rFonts w:hint="default" w:ascii="Times New Roman" w:hAnsi="Times New Roman" w:eastAsia="宋体" w:cs="Times New Roman"/>
                      <w:color w:val="auto"/>
                      <w:sz w:val="21"/>
                      <w:szCs w:val="21"/>
                      <w:highlight w:val="none"/>
                      <w:lang w:eastAsia="zh-CN"/>
                    </w:rPr>
                    <w:t>、沥青运输等</w:t>
                  </w:r>
                </w:p>
              </w:tc>
              <w:tc>
                <w:tcPr>
                  <w:tcW w:w="1526" w:type="dxa"/>
                  <w:noWrap w:val="0"/>
                  <w:vAlign w:val="center"/>
                </w:tcPr>
                <w:p w14:paraId="12B51158">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777" w:type="dxa"/>
                  <w:noWrap w:val="0"/>
                  <w:vAlign w:val="center"/>
                </w:tcPr>
                <w:p w14:paraId="0EC48BF6">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生产设备不得有明显的无组织排放存在</w:t>
                  </w:r>
                </w:p>
              </w:tc>
            </w:tr>
          </w:tbl>
          <w:p w14:paraId="4AA1A2D8">
            <w:pPr>
              <w:numPr>
                <w:ilvl w:val="0"/>
                <w:numId w:val="22"/>
              </w:numPr>
              <w:spacing w:line="360" w:lineRule="auto"/>
              <w:ind w:left="0" w:leftChars="0" w:firstLine="0" w:firstLineChars="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废水</w:t>
            </w:r>
          </w:p>
          <w:p w14:paraId="63829EA1">
            <w:pPr>
              <w:snapToGrid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cs="Times New Roman"/>
                <w:color w:val="auto"/>
                <w:sz w:val="24"/>
                <w:highlight w:val="none"/>
              </w:rPr>
              <w:t>项目区内不设置施工营地，员工不在项目区内食宿，同时项目区不设置厕所，厕所依托于项目周边村庄厕所；项目施工期将施工废水进行沉淀处理后用于施工场地洒水降尘，无废水外排。故不</w:t>
            </w:r>
            <w:r>
              <w:rPr>
                <w:rFonts w:hint="eastAsia" w:cs="Times New Roman"/>
                <w:color w:val="auto"/>
                <w:sz w:val="24"/>
                <w:highlight w:val="none"/>
                <w:lang w:eastAsia="zh-CN"/>
              </w:rPr>
              <w:t>设</w:t>
            </w:r>
            <w:r>
              <w:rPr>
                <w:rFonts w:hint="default" w:ascii="Times New Roman" w:hAnsi="Times New Roman" w:cs="Times New Roman"/>
                <w:color w:val="auto"/>
                <w:sz w:val="24"/>
                <w:highlight w:val="none"/>
              </w:rPr>
              <w:t>污水排放标准。</w:t>
            </w:r>
          </w:p>
          <w:p w14:paraId="6111AAA4">
            <w:pPr>
              <w:numPr>
                <w:ilvl w:val="0"/>
                <w:numId w:val="22"/>
              </w:numPr>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14:paraId="4C4BBD4D">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道路施工期噪声执行《建筑施工场界环境噪声排放标准》GB 12523-2011），标准限值详见表4-5。</w:t>
            </w:r>
          </w:p>
          <w:p w14:paraId="4737D9DA">
            <w:pPr>
              <w:snapToGrid w:val="0"/>
              <w:spacing w:line="36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表4-5   建筑施工场界环境噪声排放标准</w:t>
            </w:r>
          </w:p>
          <w:tbl>
            <w:tblPr>
              <w:tblStyle w:val="15"/>
              <w:tblW w:w="0" w:type="auto"/>
              <w:jc w:val="center"/>
              <w:tblLayout w:type="fixed"/>
              <w:tblCellMar>
                <w:top w:w="0" w:type="dxa"/>
                <w:left w:w="108" w:type="dxa"/>
                <w:bottom w:w="0" w:type="dxa"/>
                <w:right w:w="108" w:type="dxa"/>
              </w:tblCellMar>
            </w:tblPr>
            <w:tblGrid>
              <w:gridCol w:w="2615"/>
              <w:gridCol w:w="2626"/>
              <w:gridCol w:w="2438"/>
            </w:tblGrid>
            <w:tr w14:paraId="1AC6A8A1">
              <w:tblPrEx>
                <w:tblCellMar>
                  <w:top w:w="0" w:type="dxa"/>
                  <w:left w:w="108" w:type="dxa"/>
                  <w:bottom w:w="0" w:type="dxa"/>
                  <w:right w:w="108" w:type="dxa"/>
                </w:tblCellMar>
              </w:tblPrEx>
              <w:trPr>
                <w:trHeight w:val="399" w:hRule="exact"/>
                <w:jc w:val="center"/>
              </w:trPr>
              <w:tc>
                <w:tcPr>
                  <w:tcW w:w="261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B9DE988">
                  <w:pPr>
                    <w:spacing w:line="240" w:lineRule="auto"/>
                    <w:ind w:left="121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时段</w:t>
                  </w:r>
                </w:p>
              </w:tc>
              <w:tc>
                <w:tcPr>
                  <w:tcW w:w="262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B0477E5">
                  <w:pPr>
                    <w:spacing w:line="240" w:lineRule="auto"/>
                    <w:ind w:left="1211"/>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DFF7920">
                  <w:pPr>
                    <w:spacing w:line="240" w:lineRule="auto"/>
                    <w:ind w:left="110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05B60311">
              <w:tblPrEx>
                <w:tblCellMar>
                  <w:top w:w="0" w:type="dxa"/>
                  <w:left w:w="108" w:type="dxa"/>
                  <w:bottom w:w="0" w:type="dxa"/>
                  <w:right w:w="108" w:type="dxa"/>
                </w:tblCellMar>
              </w:tblPrEx>
              <w:trPr>
                <w:trHeight w:val="344" w:hRule="exact"/>
                <w:jc w:val="center"/>
              </w:trPr>
              <w:tc>
                <w:tcPr>
                  <w:tcW w:w="261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606FFA5">
                  <w:pPr>
                    <w:spacing w:line="240" w:lineRule="auto"/>
                    <w:ind w:left="566"/>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 dB（A）</w:t>
                  </w:r>
                </w:p>
              </w:tc>
              <w:tc>
                <w:tcPr>
                  <w:tcW w:w="262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E873157">
                  <w:pPr>
                    <w:spacing w:line="240" w:lineRule="auto"/>
                    <w:ind w:left="1316"/>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243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50BB67A">
                  <w:pPr>
                    <w:spacing w:line="240" w:lineRule="auto"/>
                    <w:ind w:left="121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14:paraId="2A7F2B1B">
            <w:pPr>
              <w:numPr>
                <w:ilvl w:val="0"/>
                <w:numId w:val="22"/>
              </w:numPr>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14:paraId="736EEA70">
            <w:pPr>
              <w:numPr>
                <w:ilvl w:val="0"/>
                <w:numId w:val="0"/>
              </w:numPr>
              <w:spacing w:line="360" w:lineRule="auto"/>
              <w:ind w:leftChars="0" w:firstLine="480"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color w:val="auto"/>
                <w:sz w:val="24"/>
                <w:szCs w:val="24"/>
                <w:highlight w:val="none"/>
              </w:rPr>
              <w:t>施工期路面开挖土方、施工人员产生生活垃圾等固废执行《一般工业固体废弃物贮存、处置场污染控制标准》（GB18599-2001）。</w:t>
            </w:r>
          </w:p>
        </w:tc>
      </w:tr>
      <w:tr w14:paraId="3435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dxa"/>
            <w:vAlign w:val="center"/>
          </w:tcPr>
          <w:p w14:paraId="3D728191">
            <w:pPr>
              <w:pStyle w:val="3"/>
              <w:bidi w:val="0"/>
              <w:spacing w:line="360" w:lineRule="auto"/>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总量控制指标</w:t>
            </w:r>
          </w:p>
        </w:tc>
        <w:tc>
          <w:tcPr>
            <w:tcW w:w="8102" w:type="dxa"/>
          </w:tcPr>
          <w:p w14:paraId="428D2D74">
            <w:pPr>
              <w:spacing w:line="360" w:lineRule="auto"/>
              <w:textAlignment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总量建议控制指标：</w:t>
            </w:r>
          </w:p>
          <w:p w14:paraId="2BF1D067">
            <w:pPr>
              <w:spacing w:line="360" w:lineRule="auto"/>
              <w:ind w:firstLine="480" w:firstLineChars="200"/>
              <w:textAlignment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rPr>
              <w:t>本项目产生的污染物主要集中在施工期，为暂时性。</w:t>
            </w:r>
            <w:r>
              <w:rPr>
                <w:rFonts w:hint="default" w:ascii="Times New Roman" w:hAnsi="Times New Roman" w:eastAsia="宋体" w:cs="Times New Roman"/>
                <w:sz w:val="24"/>
                <w:szCs w:val="24"/>
                <w:lang w:eastAsia="zh-CN"/>
              </w:rPr>
              <w:t>营运期</w:t>
            </w:r>
            <w:r>
              <w:rPr>
                <w:rFonts w:hint="default" w:ascii="Times New Roman" w:hAnsi="Times New Roman" w:eastAsia="宋体" w:cs="Times New Roman"/>
                <w:sz w:val="24"/>
                <w:szCs w:val="24"/>
              </w:rPr>
              <w:t>污染主要汽车尾气造成的大气污染以及交通噪声，本项目不专门设置总量控制指标。</w:t>
            </w:r>
          </w:p>
        </w:tc>
      </w:tr>
    </w:tbl>
    <w:p w14:paraId="3FEADE69">
      <w:pPr>
        <w:rPr>
          <w:rFonts w:hint="eastAsia"/>
          <w:b/>
          <w:bCs/>
          <w:color w:val="auto"/>
          <w:sz w:val="28"/>
          <w:szCs w:val="28"/>
          <w:highlight w:val="none"/>
          <w:lang w:eastAsia="zh-CN"/>
        </w:rPr>
      </w:pPr>
      <w:r>
        <w:rPr>
          <w:rFonts w:hint="eastAsia"/>
          <w:b/>
          <w:bCs/>
          <w:color w:val="auto"/>
          <w:sz w:val="28"/>
          <w:szCs w:val="28"/>
          <w:highlight w:val="none"/>
          <w:lang w:eastAsia="zh-CN"/>
        </w:rPr>
        <w:br w:type="page"/>
      </w:r>
    </w:p>
    <w:p w14:paraId="32816144">
      <w:pPr>
        <w:pStyle w:val="3"/>
        <w:bidi w:val="0"/>
        <w:rPr>
          <w:rFonts w:hint="eastAsia"/>
          <w:vertAlign w:val="baseline"/>
          <w:lang w:val="en-US" w:eastAsia="zh-CN"/>
        </w:rPr>
      </w:pPr>
      <w:bookmarkStart w:id="0" w:name="_Toc10383"/>
      <w:bookmarkStart w:id="1" w:name="_Toc10726"/>
      <w:bookmarkStart w:id="2" w:name="_Toc27096"/>
      <w:bookmarkStart w:id="3" w:name="_Toc19058"/>
      <w:bookmarkStart w:id="4" w:name="_Toc10133"/>
      <w:bookmarkStart w:id="5" w:name="_Toc7115"/>
      <w:r>
        <w:rPr>
          <w:rFonts w:hint="eastAsia"/>
          <w:lang w:val="en-US" w:eastAsia="zh-CN"/>
        </w:rPr>
        <w:t>表五、建设项目工程分析</w:t>
      </w:r>
    </w:p>
    <w:tbl>
      <w:tblPr>
        <w:tblStyle w:val="16"/>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14:paraId="0109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4" w:hRule="atLeast"/>
        </w:trPr>
        <w:tc>
          <w:tcPr>
            <w:tcW w:w="8580" w:type="dxa"/>
          </w:tcPr>
          <w:p w14:paraId="5C11ED82">
            <w:pPr>
              <w:pStyle w:val="3"/>
              <w:bidi w:val="0"/>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工艺流程简述：</w:t>
            </w:r>
          </w:p>
          <w:p w14:paraId="71C610A5">
            <w:pPr>
              <w:numPr>
                <w:ilvl w:val="0"/>
                <w:numId w:val="23"/>
              </w:numPr>
              <w:spacing w:line="360" w:lineRule="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施工期</w:t>
            </w:r>
          </w:p>
          <w:p w14:paraId="06082D5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zCs w:val="24"/>
              </w:rPr>
              <w:t>本项目施工期主要包括</w:t>
            </w:r>
            <w:r>
              <w:rPr>
                <w:rFonts w:hint="default" w:ascii="Times New Roman" w:hAnsi="Times New Roman" w:cs="Times New Roman"/>
                <w:sz w:val="24"/>
              </w:rPr>
              <w:t>土石方的挖掘、</w:t>
            </w:r>
            <w:r>
              <w:rPr>
                <w:rFonts w:hint="default" w:ascii="Times New Roman" w:hAnsi="Times New Roman" w:cs="Times New Roman"/>
                <w:kern w:val="0"/>
                <w:sz w:val="24"/>
              </w:rPr>
              <w:t>路基修筑、</w:t>
            </w:r>
            <w:r>
              <w:rPr>
                <w:rFonts w:hint="default" w:ascii="Times New Roman" w:hAnsi="Times New Roman" w:cs="Times New Roman"/>
                <w:sz w:val="24"/>
              </w:rPr>
              <w:t>施工机械运作、建筑材料的运输和装卸、路面铺设。施工期污染主要包括</w:t>
            </w:r>
            <w:r>
              <w:rPr>
                <w:rFonts w:hint="default" w:ascii="Times New Roman" w:hAnsi="Times New Roman" w:cs="Times New Roman"/>
                <w:bCs/>
                <w:sz w:val="24"/>
              </w:rPr>
              <w:t>施工中产生的废水、废气、噪声及固体废弃物</w:t>
            </w:r>
            <w:r>
              <w:rPr>
                <w:rFonts w:hint="default" w:ascii="Times New Roman" w:hAnsi="Times New Roman" w:cs="Times New Roman"/>
                <w:sz w:val="24"/>
              </w:rPr>
              <w:t>等。</w:t>
            </w:r>
          </w:p>
          <w:p w14:paraId="6D2C748A">
            <w:pPr>
              <w:spacing w:line="360" w:lineRule="auto"/>
              <w:ind w:firstLine="420" w:firstLineChars="200"/>
              <w:rPr>
                <w:rFonts w:hint="default" w:ascii="Times New Roman" w:hAnsi="Times New Roman" w:cs="Times New Roman"/>
              </w:rPr>
            </w:pPr>
            <w:r>
              <w:rPr>
                <w:rFonts w:hint="default" w:ascii="Times New Roman" w:hAnsi="Times New Roman" w:cs="Times New Roman"/>
                <w:sz w:val="21"/>
              </w:rPr>
              <mc:AlternateContent>
                <mc:Choice Requires="wpg">
                  <w:drawing>
                    <wp:anchor distT="0" distB="0" distL="114300" distR="114300" simplePos="0" relativeHeight="251662336" behindDoc="0" locked="0" layoutInCell="1" allowOverlap="1">
                      <wp:simplePos x="0" y="0"/>
                      <wp:positionH relativeFrom="column">
                        <wp:posOffset>43180</wp:posOffset>
                      </wp:positionH>
                      <wp:positionV relativeFrom="paragraph">
                        <wp:posOffset>853440</wp:posOffset>
                      </wp:positionV>
                      <wp:extent cx="5203190" cy="2378710"/>
                      <wp:effectExtent l="6350" t="0" r="10160" b="2540"/>
                      <wp:wrapNone/>
                      <wp:docPr id="2" name="组合 2"/>
                      <wp:cNvGraphicFramePr/>
                      <a:graphic xmlns:a="http://schemas.openxmlformats.org/drawingml/2006/main">
                        <a:graphicData uri="http://schemas.microsoft.com/office/word/2010/wordprocessingGroup">
                          <wpg:wgp>
                            <wpg:cNvGrpSpPr/>
                            <wpg:grpSpPr>
                              <a:xfrm>
                                <a:off x="0" y="0"/>
                                <a:ext cx="5203128" cy="2378856"/>
                                <a:chOff x="1989" y="21270"/>
                                <a:chExt cx="9489" cy="4221"/>
                              </a:xfrm>
                            </wpg:grpSpPr>
                            <wps:wsp>
                              <wps:cNvPr id="23" name="矩形 2"/>
                              <wps:cNvSpPr/>
                              <wps:spPr>
                                <a:xfrm>
                                  <a:off x="1989" y="23037"/>
                                  <a:ext cx="1517" cy="1141"/>
                                </a:xfrm>
                                <a:prstGeom prst="rect">
                                  <a:avLst/>
                                </a:prstGeom>
                              </wps:spPr>
                              <wps:style>
                                <a:lnRef idx="2">
                                  <a:schemeClr val="dk1"/>
                                </a:lnRef>
                                <a:fillRef idx="1">
                                  <a:schemeClr val="lt1"/>
                                </a:fillRef>
                                <a:effectRef idx="0">
                                  <a:schemeClr val="dk1"/>
                                </a:effectRef>
                                <a:fontRef idx="minor">
                                  <a:schemeClr val="dk1"/>
                                </a:fontRef>
                              </wps:style>
                              <wps:txbx>
                                <w:txbxContent>
                                  <w:p w14:paraId="4B7CBCBB">
                                    <w:pPr>
                                      <w:spacing w:line="240" w:lineRule="auto"/>
                                      <w:jc w:val="both"/>
                                      <w:rPr>
                                        <w:rFonts w:hint="eastAsia" w:eastAsiaTheme="minorEastAsia"/>
                                        <w:sz w:val="21"/>
                                        <w:szCs w:val="21"/>
                                        <w:lang w:eastAsia="zh-CN"/>
                                      </w:rPr>
                                    </w:pPr>
                                    <w:r>
                                      <w:rPr>
                                        <w:rFonts w:hint="eastAsia"/>
                                        <w:sz w:val="21"/>
                                        <w:szCs w:val="21"/>
                                        <w:lang w:eastAsia="zh-CN"/>
                                      </w:rPr>
                                      <w:t>路基开挖及填充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直接箭头连接符 3"/>
                              <wps:cNvCnPr/>
                              <wps:spPr>
                                <a:xfrm>
                                  <a:off x="3489" y="23598"/>
                                  <a:ext cx="466" cy="7"/>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7" name="矩形 5"/>
                              <wps:cNvSpPr/>
                              <wps:spPr>
                                <a:xfrm>
                                  <a:off x="3972" y="22818"/>
                                  <a:ext cx="1170" cy="1272"/>
                                </a:xfrm>
                                <a:prstGeom prst="rect">
                                  <a:avLst/>
                                </a:prstGeom>
                              </wps:spPr>
                              <wps:style>
                                <a:lnRef idx="2">
                                  <a:schemeClr val="dk1"/>
                                </a:lnRef>
                                <a:fillRef idx="1">
                                  <a:schemeClr val="lt1"/>
                                </a:fillRef>
                                <a:effectRef idx="0">
                                  <a:schemeClr val="dk1"/>
                                </a:effectRef>
                                <a:fontRef idx="minor">
                                  <a:schemeClr val="dk1"/>
                                </a:fontRef>
                              </wps:style>
                              <wps:txbx>
                                <w:txbxContent>
                                  <w:p w14:paraId="05854373">
                                    <w:pPr>
                                      <w:spacing w:line="240" w:lineRule="auto"/>
                                      <w:jc w:val="center"/>
                                      <w:rPr>
                                        <w:rFonts w:hint="default" w:eastAsiaTheme="minorEastAsia"/>
                                        <w:sz w:val="21"/>
                                        <w:szCs w:val="21"/>
                                        <w:lang w:val="en-US" w:eastAsia="zh-CN"/>
                                      </w:rPr>
                                    </w:pPr>
                                    <w:r>
                                      <w:rPr>
                                        <w:rFonts w:hint="eastAsia"/>
                                        <w:sz w:val="21"/>
                                        <w:szCs w:val="21"/>
                                        <w:lang w:eastAsia="zh-CN"/>
                                      </w:rPr>
                                      <w:t>路基</w:t>
                                    </w:r>
                                    <w:r>
                                      <w:rPr>
                                        <w:rFonts w:hint="eastAsia"/>
                                        <w:sz w:val="21"/>
                                        <w:szCs w:val="21"/>
                                        <w:lang w:val="en-US" w:eastAsia="zh-CN"/>
                                      </w:rPr>
                                      <w:t>及桥涵工程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6"/>
                              <wps:cNvCnPr/>
                              <wps:spPr>
                                <a:xfrm>
                                  <a:off x="5315" y="23573"/>
                                  <a:ext cx="435" cy="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6" name="矩形 7"/>
                              <wps:cNvSpPr/>
                              <wps:spPr>
                                <a:xfrm>
                                  <a:off x="5683" y="22957"/>
                                  <a:ext cx="1020" cy="1064"/>
                                </a:xfrm>
                                <a:prstGeom prst="rect">
                                  <a:avLst/>
                                </a:prstGeom>
                              </wps:spPr>
                              <wps:style>
                                <a:lnRef idx="2">
                                  <a:schemeClr val="dk1"/>
                                </a:lnRef>
                                <a:fillRef idx="1">
                                  <a:schemeClr val="lt1"/>
                                </a:fillRef>
                                <a:effectRef idx="0">
                                  <a:schemeClr val="dk1"/>
                                </a:effectRef>
                                <a:fontRef idx="minor">
                                  <a:schemeClr val="dk1"/>
                                </a:fontRef>
                              </wps:style>
                              <wps:txbx>
                                <w:txbxContent>
                                  <w:p w14:paraId="5EBB3F7C">
                                    <w:pPr>
                                      <w:spacing w:line="240" w:lineRule="auto"/>
                                      <w:jc w:val="center"/>
                                      <w:rPr>
                                        <w:rFonts w:hint="eastAsia" w:eastAsiaTheme="minorEastAsia"/>
                                        <w:lang w:eastAsia="zh-CN"/>
                                      </w:rPr>
                                    </w:pPr>
                                    <w:r>
                                      <w:rPr>
                                        <w:rFonts w:hint="eastAsia"/>
                                        <w:sz w:val="21"/>
                                        <w:szCs w:val="21"/>
                                        <w:lang w:eastAsia="zh-CN"/>
                                      </w:rPr>
                                      <w:t>管线工程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直接箭头连接符 8"/>
                              <wps:cNvCnPr/>
                              <wps:spPr>
                                <a:xfrm>
                                  <a:off x="6754" y="23524"/>
                                  <a:ext cx="405" cy="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8" name="矩形 9"/>
                              <wps:cNvSpPr/>
                              <wps:spPr>
                                <a:xfrm>
                                  <a:off x="7110" y="23007"/>
                                  <a:ext cx="1084" cy="1020"/>
                                </a:xfrm>
                                <a:prstGeom prst="rect">
                                  <a:avLst/>
                                </a:prstGeom>
                              </wps:spPr>
                              <wps:style>
                                <a:lnRef idx="2">
                                  <a:schemeClr val="dk1"/>
                                </a:lnRef>
                                <a:fillRef idx="1">
                                  <a:schemeClr val="lt1"/>
                                </a:fillRef>
                                <a:effectRef idx="0">
                                  <a:schemeClr val="dk1"/>
                                </a:effectRef>
                                <a:fontRef idx="minor">
                                  <a:schemeClr val="dk1"/>
                                </a:fontRef>
                              </wps:style>
                              <wps:txbx>
                                <w:txbxContent>
                                  <w:p w14:paraId="0766BEF4">
                                    <w:pPr>
                                      <w:spacing w:line="240" w:lineRule="auto"/>
                                      <w:jc w:val="center"/>
                                      <w:rPr>
                                        <w:rFonts w:hint="eastAsia"/>
                                        <w:sz w:val="21"/>
                                        <w:szCs w:val="21"/>
                                        <w:lang w:eastAsia="zh-CN"/>
                                      </w:rPr>
                                    </w:pPr>
                                    <w:r>
                                      <w:rPr>
                                        <w:rFonts w:hint="eastAsia"/>
                                        <w:sz w:val="21"/>
                                        <w:szCs w:val="21"/>
                                        <w:lang w:eastAsia="zh-CN"/>
                                      </w:rPr>
                                      <w:t>路面</w:t>
                                    </w:r>
                                  </w:p>
                                  <w:p w14:paraId="2CAFD19C">
                                    <w:pPr>
                                      <w:spacing w:line="240" w:lineRule="auto"/>
                                      <w:jc w:val="center"/>
                                      <w:rPr>
                                        <w:rFonts w:hint="eastAsia" w:eastAsiaTheme="minorEastAsia"/>
                                        <w:lang w:eastAsia="zh-CN"/>
                                      </w:rPr>
                                    </w:pPr>
                                    <w:r>
                                      <w:rPr>
                                        <w:rFonts w:hint="eastAsia"/>
                                        <w:sz w:val="21"/>
                                        <w:szCs w:val="21"/>
                                        <w:lang w:eastAsia="zh-CN"/>
                                      </w:rPr>
                                      <w:t>工程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直接箭头连接符 10"/>
                              <wps:cNvCnPr/>
                              <wps:spPr>
                                <a:xfrm>
                                  <a:off x="8160" y="23550"/>
                                  <a:ext cx="420" cy="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0" name="矩形 11"/>
                              <wps:cNvSpPr/>
                              <wps:spPr>
                                <a:xfrm>
                                  <a:off x="8512" y="23025"/>
                                  <a:ext cx="1025" cy="881"/>
                                </a:xfrm>
                                <a:prstGeom prst="rect">
                                  <a:avLst/>
                                </a:prstGeom>
                              </wps:spPr>
                              <wps:style>
                                <a:lnRef idx="2">
                                  <a:schemeClr val="dk1"/>
                                </a:lnRef>
                                <a:fillRef idx="1">
                                  <a:schemeClr val="lt1"/>
                                </a:fillRef>
                                <a:effectRef idx="0">
                                  <a:schemeClr val="dk1"/>
                                </a:effectRef>
                                <a:fontRef idx="minor">
                                  <a:schemeClr val="dk1"/>
                                </a:fontRef>
                              </wps:style>
                              <wps:txbx>
                                <w:txbxContent>
                                  <w:p w14:paraId="485553B6">
                                    <w:pPr>
                                      <w:jc w:val="center"/>
                                      <w:rPr>
                                        <w:rFonts w:hint="eastAsia" w:eastAsiaTheme="minorEastAsia"/>
                                        <w:sz w:val="21"/>
                                        <w:szCs w:val="21"/>
                                        <w:lang w:eastAsia="zh-CN"/>
                                      </w:rPr>
                                    </w:pPr>
                                    <w:r>
                                      <w:rPr>
                                        <w:rFonts w:hint="eastAsia"/>
                                        <w:sz w:val="21"/>
                                        <w:szCs w:val="21"/>
                                        <w:lang w:eastAsia="zh-CN"/>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直接箭头连接符 12"/>
                              <wps:cNvCnPr>
                                <a:stCxn id="11" idx="3"/>
                              </wps:cNvCnPr>
                              <wps:spPr>
                                <a:xfrm>
                                  <a:off x="9536" y="23550"/>
                                  <a:ext cx="420" cy="7"/>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2" name="矩形 13"/>
                              <wps:cNvSpPr/>
                              <wps:spPr>
                                <a:xfrm>
                                  <a:off x="9926" y="23010"/>
                                  <a:ext cx="1320" cy="1064"/>
                                </a:xfrm>
                                <a:prstGeom prst="rect">
                                  <a:avLst/>
                                </a:prstGeom>
                              </wps:spPr>
                              <wps:style>
                                <a:lnRef idx="2">
                                  <a:schemeClr val="dk1"/>
                                </a:lnRef>
                                <a:fillRef idx="1">
                                  <a:schemeClr val="lt1"/>
                                </a:fillRef>
                                <a:effectRef idx="0">
                                  <a:schemeClr val="dk1"/>
                                </a:effectRef>
                                <a:fontRef idx="minor">
                                  <a:schemeClr val="dk1"/>
                                </a:fontRef>
                              </wps:style>
                              <wps:txbx>
                                <w:txbxContent>
                                  <w:p w14:paraId="0ED9DEED">
                                    <w:pPr>
                                      <w:spacing w:line="240" w:lineRule="auto"/>
                                      <w:jc w:val="center"/>
                                      <w:rPr>
                                        <w:rFonts w:hint="eastAsia" w:eastAsiaTheme="minorEastAsia"/>
                                        <w:lang w:eastAsia="zh-CN"/>
                                      </w:rPr>
                                    </w:pPr>
                                    <w:r>
                                      <w:rPr>
                                        <w:rFonts w:hint="eastAsia"/>
                                        <w:sz w:val="21"/>
                                        <w:szCs w:val="21"/>
                                        <w:lang w:eastAsia="zh-CN"/>
                                      </w:rPr>
                                      <w:t>道路建成运营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直接箭头连接符 15"/>
                              <wps:cNvCnPr/>
                              <wps:spPr>
                                <a:xfrm flipV="1">
                                  <a:off x="2771" y="22755"/>
                                  <a:ext cx="0" cy="300"/>
                                </a:xfrm>
                                <a:prstGeom prst="straightConnector1">
                                  <a:avLst/>
                                </a:prstGeom>
                                <a:ln>
                                  <a:solidFill>
                                    <a:schemeClr val="tx1"/>
                                  </a:solidFill>
                                  <a:prstDash val="sys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文本框 19"/>
                              <wps:cNvSpPr txBox="1"/>
                              <wps:spPr>
                                <a:xfrm>
                                  <a:off x="2041" y="21522"/>
                                  <a:ext cx="1467" cy="123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C2DD93">
                                    <w:pPr>
                                      <w:spacing w:line="240" w:lineRule="auto"/>
                                      <w:rPr>
                                        <w:rFonts w:hint="eastAsia" w:eastAsiaTheme="minorEastAsia"/>
                                        <w:sz w:val="21"/>
                                        <w:szCs w:val="21"/>
                                        <w:lang w:eastAsia="zh-CN"/>
                                      </w:rPr>
                                    </w:pPr>
                                    <w:r>
                                      <w:rPr>
                                        <w:rFonts w:hint="eastAsia"/>
                                        <w:sz w:val="21"/>
                                        <w:szCs w:val="21"/>
                                        <w:lang w:eastAsia="zh-CN"/>
                                      </w:rPr>
                                      <w:t>扬尘、废水、噪声、土石方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箭头连接符 20"/>
                              <wps:cNvCnPr/>
                              <wps:spPr>
                                <a:xfrm flipV="1">
                                  <a:off x="4591" y="22497"/>
                                  <a:ext cx="3" cy="270"/>
                                </a:xfrm>
                                <a:prstGeom prst="straightConnector1">
                                  <a:avLst/>
                                </a:prstGeom>
                                <a:ln>
                                  <a:solidFill>
                                    <a:schemeClr val="tx1"/>
                                  </a:solidFill>
                                  <a:prstDash val="sys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文本框 21"/>
                              <wps:cNvSpPr txBox="1"/>
                              <wps:spPr>
                                <a:xfrm>
                                  <a:off x="3894" y="21270"/>
                                  <a:ext cx="1415" cy="126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5B1F834">
                                    <w:pPr>
                                      <w:spacing w:line="240" w:lineRule="auto"/>
                                      <w:rPr>
                                        <w:rFonts w:hint="eastAsia" w:eastAsiaTheme="minorEastAsia"/>
                                        <w:lang w:eastAsia="zh-CN"/>
                                      </w:rPr>
                                    </w:pPr>
                                    <w:r>
                                      <w:rPr>
                                        <w:rFonts w:hint="eastAsia"/>
                                        <w:sz w:val="21"/>
                                        <w:szCs w:val="21"/>
                                        <w:lang w:eastAsia="zh-CN"/>
                                      </w:rPr>
                                      <w:t>扬尘、噪声、土石</w:t>
                                    </w:r>
                                    <w:r>
                                      <w:rPr>
                                        <w:rFonts w:hint="eastAsia"/>
                                        <w:lang w:eastAsia="zh-CN"/>
                                      </w:rPr>
                                      <w:t>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22"/>
                              <wps:cNvCnPr>
                                <a:stCxn id="5" idx="2"/>
                              </wps:cNvCnPr>
                              <wps:spPr>
                                <a:xfrm>
                                  <a:off x="4556" y="24090"/>
                                  <a:ext cx="4" cy="375"/>
                                </a:xfrm>
                                <a:prstGeom prst="straightConnector1">
                                  <a:avLst/>
                                </a:prstGeom>
                                <a:ln>
                                  <a:solidFill>
                                    <a:schemeClr val="tx1"/>
                                  </a:solidFill>
                                  <a:prstDash val="sys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文本框 23"/>
                              <wps:cNvSpPr txBox="1"/>
                              <wps:spPr>
                                <a:xfrm>
                                  <a:off x="3783" y="24463"/>
                                  <a:ext cx="1672" cy="102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86EBF1B">
                                    <w:pPr>
                                      <w:spacing w:line="240" w:lineRule="auto"/>
                                      <w:rPr>
                                        <w:rFonts w:hint="eastAsia" w:eastAsiaTheme="minorEastAsia"/>
                                        <w:sz w:val="21"/>
                                        <w:szCs w:val="21"/>
                                        <w:lang w:eastAsia="zh-CN"/>
                                      </w:rPr>
                                    </w:pPr>
                                    <w:r>
                                      <w:rPr>
                                        <w:rFonts w:hint="eastAsia"/>
                                        <w:sz w:val="21"/>
                                        <w:szCs w:val="21"/>
                                        <w:lang w:eastAsia="zh-CN"/>
                                      </w:rPr>
                                      <w:t>植被破坏、水土流失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直接箭头连接符 24"/>
                              <wps:cNvCnPr/>
                              <wps:spPr>
                                <a:xfrm flipV="1">
                                  <a:off x="6158" y="22649"/>
                                  <a:ext cx="3" cy="24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1" name="文本框 25"/>
                              <wps:cNvSpPr txBox="1"/>
                              <wps:spPr>
                                <a:xfrm>
                                  <a:off x="5372" y="21311"/>
                                  <a:ext cx="1465" cy="127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B4A297">
                                    <w:pPr>
                                      <w:spacing w:line="240" w:lineRule="auto"/>
                                      <w:rPr>
                                        <w:rFonts w:hint="eastAsia" w:eastAsiaTheme="minorEastAsia"/>
                                        <w:lang w:eastAsia="zh-CN"/>
                                      </w:rPr>
                                    </w:pPr>
                                    <w:r>
                                      <w:rPr>
                                        <w:rFonts w:hint="eastAsia"/>
                                        <w:sz w:val="21"/>
                                        <w:szCs w:val="21"/>
                                        <w:lang w:eastAsia="zh-CN"/>
                                      </w:rPr>
                                      <w:t>扬尘、噪声、土</w:t>
                                    </w:r>
                                    <w:r>
                                      <w:rPr>
                                        <w:rFonts w:hint="eastAsia"/>
                                        <w:lang w:eastAsia="zh-CN"/>
                                      </w:rPr>
                                      <w:t>石方</w:t>
                                    </w:r>
                                  </w:p>
                                  <w:p w14:paraId="2EE00A7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直接箭头连接符 4"/>
                              <wps:cNvCnPr>
                                <a:stCxn id="9" idx="0"/>
                              </wps:cNvCnPr>
                              <wps:spPr>
                                <a:xfrm flipV="1">
                                  <a:off x="7496" y="22765"/>
                                  <a:ext cx="4" cy="27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3" name="文本框 14"/>
                              <wps:cNvSpPr txBox="1"/>
                              <wps:spPr>
                                <a:xfrm>
                                  <a:off x="6810" y="21473"/>
                                  <a:ext cx="1292" cy="124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A3FB13">
                                    <w:pPr>
                                      <w:spacing w:line="240" w:lineRule="auto"/>
                                      <w:rPr>
                                        <w:rFonts w:hint="eastAsia" w:eastAsiaTheme="minorEastAsia"/>
                                        <w:sz w:val="21"/>
                                        <w:szCs w:val="21"/>
                                        <w:lang w:eastAsia="zh-CN"/>
                                      </w:rPr>
                                    </w:pPr>
                                    <w:r>
                                      <w:rPr>
                                        <w:rFonts w:hint="eastAsia"/>
                                        <w:sz w:val="21"/>
                                        <w:szCs w:val="21"/>
                                        <w:lang w:eastAsia="zh-CN"/>
                                      </w:rPr>
                                      <w:t>扬尘、噪声、土石方</w:t>
                                    </w:r>
                                  </w:p>
                                  <w:p w14:paraId="0EFD55A8"/>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17"/>
                              <wps:cNvSpPr txBox="1"/>
                              <wps:spPr>
                                <a:xfrm>
                                  <a:off x="6616" y="24419"/>
                                  <a:ext cx="1958" cy="6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EA6452B">
                                    <w:pPr>
                                      <w:spacing w:line="240" w:lineRule="auto"/>
                                      <w:rPr>
                                        <w:rFonts w:hint="eastAsia" w:eastAsiaTheme="minorEastAsia"/>
                                        <w:sz w:val="21"/>
                                        <w:szCs w:val="21"/>
                                        <w:lang w:eastAsia="zh-CN"/>
                                      </w:rPr>
                                    </w:pPr>
                                    <w:r>
                                      <w:rPr>
                                        <w:rFonts w:hint="eastAsia"/>
                                        <w:sz w:val="21"/>
                                        <w:szCs w:val="21"/>
                                        <w:lang w:eastAsia="zh-CN"/>
                                      </w:rPr>
                                      <w:t>沥青烟、废水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26"/>
                              <wps:cNvCnPr>
                                <a:stCxn id="9" idx="2"/>
                              </wps:cNvCnPr>
                              <wps:spPr>
                                <a:xfrm>
                                  <a:off x="7496" y="24060"/>
                                  <a:ext cx="4" cy="35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6" name="直接箭头连接符 28"/>
                              <wps:cNvCnPr>
                                <a:stCxn id="11" idx="0"/>
                              </wps:cNvCnPr>
                              <wps:spPr>
                                <a:xfrm flipV="1">
                                  <a:off x="8981" y="22735"/>
                                  <a:ext cx="4" cy="29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7" name="文本框 29"/>
                              <wps:cNvSpPr txBox="1"/>
                              <wps:spPr>
                                <a:xfrm>
                                  <a:off x="8430" y="22021"/>
                                  <a:ext cx="1083" cy="6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95432E">
                                    <w:pPr>
                                      <w:jc w:val="center"/>
                                      <w:rPr>
                                        <w:rFonts w:hint="eastAsia" w:eastAsiaTheme="minorEastAsia"/>
                                        <w:lang w:eastAsia="zh-CN"/>
                                      </w:rPr>
                                    </w:pPr>
                                    <w:r>
                                      <w:rPr>
                                        <w:rFonts w:hint="eastAsia"/>
                                        <w:lang w:eastAsia="zh-CN"/>
                                      </w:rPr>
                                      <w:t>扬尘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直接箭头连接符 31"/>
                              <wps:cNvCnPr>
                                <a:stCxn id="13" idx="0"/>
                              </wps:cNvCnPr>
                              <wps:spPr>
                                <a:xfrm flipV="1">
                                  <a:off x="10586" y="22705"/>
                                  <a:ext cx="4" cy="30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32"/>
                              <wps:cNvSpPr txBox="1"/>
                              <wps:spPr>
                                <a:xfrm>
                                  <a:off x="9812" y="21844"/>
                                  <a:ext cx="1666" cy="84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AB37EE">
                                    <w:pPr>
                                      <w:spacing w:line="240" w:lineRule="auto"/>
                                      <w:rPr>
                                        <w:rFonts w:hint="eastAsia" w:eastAsiaTheme="minorEastAsia"/>
                                        <w:sz w:val="21"/>
                                        <w:szCs w:val="21"/>
                                        <w:lang w:eastAsia="zh-CN"/>
                                      </w:rPr>
                                    </w:pPr>
                                    <w:r>
                                      <w:rPr>
                                        <w:rFonts w:hint="eastAsia"/>
                                        <w:sz w:val="21"/>
                                        <w:szCs w:val="21"/>
                                        <w:lang w:eastAsia="zh-CN"/>
                                      </w:rPr>
                                      <w:t>废气、噪声、固废、废水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4pt;margin-top:67.2pt;height:187.3pt;width:409.7pt;z-index:251662336;mso-width-relative:page;mso-height-relative:page;" coordorigin="1989,21270" coordsize="9489,4221" o:gfxdata="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">
                      <o:lock v:ext="edit" aspectratio="f"/>
                      <v:rect id="矩形 2" o:spid="_x0000_s1026" o:spt="1" style="position:absolute;left:1989;top:23037;height:1141;width:1517;v-text-anchor:middle;" fillcolor="#FFFFFF [3201]" filled="t" stroked="t" coordsize="21600,21600" o:gfxdata="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Klbr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4B7CBCBB">
                              <w:pPr>
                                <w:spacing w:line="240" w:lineRule="auto"/>
                                <w:jc w:val="both"/>
                                <w:rPr>
                                  <w:rFonts w:hint="eastAsia" w:eastAsiaTheme="minorEastAsia"/>
                                  <w:sz w:val="21"/>
                                  <w:szCs w:val="21"/>
                                  <w:lang w:eastAsia="zh-CN"/>
                                </w:rPr>
                              </w:pPr>
                              <w:r>
                                <w:rPr>
                                  <w:rFonts w:hint="eastAsia"/>
                                  <w:sz w:val="21"/>
                                  <w:szCs w:val="21"/>
                                  <w:lang w:eastAsia="zh-CN"/>
                                </w:rPr>
                                <w:t>路基开挖及填充</w:t>
                              </w:r>
                            </w:p>
                          </w:txbxContent>
                        </v:textbox>
                      </v:rect>
                      <v:shape id="直接箭头连接符 3" o:spid="_x0000_s1026" o:spt="32" type="#_x0000_t32" style="position:absolute;left:3489;top:23598;height:7;width:466;" filled="f" stroked="t" coordsize="21600,21600" o:gfxdata="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yscb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rect id="矩形 5" o:spid="_x0000_s1026" o:spt="1" style="position:absolute;left:3972;top:22818;height:1272;width:1170;v-text-anchor:middle;" fillcolor="#FFFFFF [3201]" filled="t" stroked="t" coordsize="21600,21600" o:gfxdata="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oxarsAAADa&#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14:paraId="05854373">
                              <w:pPr>
                                <w:spacing w:line="240" w:lineRule="auto"/>
                                <w:jc w:val="center"/>
                                <w:rPr>
                                  <w:rFonts w:hint="default" w:eastAsiaTheme="minorEastAsia"/>
                                  <w:sz w:val="21"/>
                                  <w:szCs w:val="21"/>
                                  <w:lang w:val="en-US" w:eastAsia="zh-CN"/>
                                </w:rPr>
                              </w:pPr>
                              <w:r>
                                <w:rPr>
                                  <w:rFonts w:hint="eastAsia"/>
                                  <w:sz w:val="21"/>
                                  <w:szCs w:val="21"/>
                                  <w:lang w:eastAsia="zh-CN"/>
                                </w:rPr>
                                <w:t>路基</w:t>
                              </w:r>
                              <w:r>
                                <w:rPr>
                                  <w:rFonts w:hint="eastAsia"/>
                                  <w:sz w:val="21"/>
                                  <w:szCs w:val="21"/>
                                  <w:lang w:val="en-US" w:eastAsia="zh-CN"/>
                                </w:rPr>
                                <w:t>及桥涵工程</w:t>
                              </w:r>
                            </w:p>
                          </w:txbxContent>
                        </v:textbox>
                      </v:rect>
                      <v:shape id="直接箭头连接符 6" o:spid="_x0000_s1026" o:spt="32" type="#_x0000_t32" style="position:absolute;left:5315;top:23573;height:0;width:435;" filled="f" stroked="t" coordsize="21600,21600" o:gfxdata="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2AJ6r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rect id="矩形 7" o:spid="_x0000_s1026" o:spt="1" style="position:absolute;left:5683;top:22957;height:1064;width:1020;v-text-anchor:middle;" fillcolor="#FFFFFF [3201]" filled="t" stroked="t" coordsize="21600,21600" o:gfxdata="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d9XO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14:paraId="5EBB3F7C">
                              <w:pPr>
                                <w:spacing w:line="240" w:lineRule="auto"/>
                                <w:jc w:val="center"/>
                                <w:rPr>
                                  <w:rFonts w:hint="eastAsia" w:eastAsiaTheme="minorEastAsia"/>
                                  <w:lang w:eastAsia="zh-CN"/>
                                </w:rPr>
                              </w:pPr>
                              <w:r>
                                <w:rPr>
                                  <w:rFonts w:hint="eastAsia"/>
                                  <w:sz w:val="21"/>
                                  <w:szCs w:val="21"/>
                                  <w:lang w:eastAsia="zh-CN"/>
                                </w:rPr>
                                <w:t>管线工程</w:t>
                              </w:r>
                            </w:p>
                          </w:txbxContent>
                        </v:textbox>
                      </v:rect>
                      <v:shape id="直接箭头连接符 8" o:spid="_x0000_s1026" o:spt="32" type="#_x0000_t32" style="position:absolute;left:6754;top:23524;height:0;width:405;" filled="f" stroked="t" coordsize="21600,21600" o:gfxdata="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4yBr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rect id="矩形 9" o:spid="_x0000_s1026" o:spt="1" style="position:absolute;left:7110;top:23007;height:1020;width:1084;v-text-anchor:middle;" fillcolor="#FFFFFF [3201]" filled="t" stroked="t" coordsize="21600,21600" o:gfxdata="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OxJq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14:paraId="0766BEF4">
                              <w:pPr>
                                <w:spacing w:line="240" w:lineRule="auto"/>
                                <w:jc w:val="center"/>
                                <w:rPr>
                                  <w:rFonts w:hint="eastAsia"/>
                                  <w:sz w:val="21"/>
                                  <w:szCs w:val="21"/>
                                  <w:lang w:eastAsia="zh-CN"/>
                                </w:rPr>
                              </w:pPr>
                              <w:r>
                                <w:rPr>
                                  <w:rFonts w:hint="eastAsia"/>
                                  <w:sz w:val="21"/>
                                  <w:szCs w:val="21"/>
                                  <w:lang w:eastAsia="zh-CN"/>
                                </w:rPr>
                                <w:t>路面</w:t>
                              </w:r>
                            </w:p>
                            <w:p w14:paraId="2CAFD19C">
                              <w:pPr>
                                <w:spacing w:line="240" w:lineRule="auto"/>
                                <w:jc w:val="center"/>
                                <w:rPr>
                                  <w:rFonts w:hint="eastAsia" w:eastAsiaTheme="minorEastAsia"/>
                                  <w:lang w:eastAsia="zh-CN"/>
                                </w:rPr>
                              </w:pPr>
                              <w:r>
                                <w:rPr>
                                  <w:rFonts w:hint="eastAsia"/>
                                  <w:sz w:val="21"/>
                                  <w:szCs w:val="21"/>
                                  <w:lang w:eastAsia="zh-CN"/>
                                </w:rPr>
                                <w:t>工程</w:t>
                              </w:r>
                            </w:p>
                          </w:txbxContent>
                        </v:textbox>
                      </v:rect>
                      <v:shape id="直接箭头连接符 10" o:spid="_x0000_s1026" o:spt="32" type="#_x0000_t32" style="position:absolute;left:8160;top:23550;height:0;width:420;" filled="f" stroked="t" coordsize="21600,21600" o:gfxdata="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tA++8AAAA&#10;2w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rect id="矩形 11" o:spid="_x0000_s1026" o:spt="1" style="position:absolute;left:8512;top:23025;height:881;width:1025;v-text-anchor:middle;" fillcolor="#FFFFFF [3201]" filled="t" stroked="t" coordsize="21600,21600" o:gfxdata="UEsDBAoAAAAAAIdO4kAAAAAAAAAAAAAAAAAEAAAAZHJzL1BLAwQUAAAACACHTuJA8yFeQbkAAADb&#10;AAAADwAAAGRycy9kb3ducmV2LnhtbEVPy4rCMBTdC/5DuMLsNOkM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hXkG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14:paraId="485553B6">
                              <w:pPr>
                                <w:jc w:val="center"/>
                                <w:rPr>
                                  <w:rFonts w:hint="eastAsia" w:eastAsiaTheme="minorEastAsia"/>
                                  <w:sz w:val="21"/>
                                  <w:szCs w:val="21"/>
                                  <w:lang w:eastAsia="zh-CN"/>
                                </w:rPr>
                              </w:pPr>
                              <w:r>
                                <w:rPr>
                                  <w:rFonts w:hint="eastAsia"/>
                                  <w:sz w:val="21"/>
                                  <w:szCs w:val="21"/>
                                  <w:lang w:eastAsia="zh-CN"/>
                                </w:rPr>
                                <w:t>绿化</w:t>
                              </w:r>
                            </w:p>
                          </w:txbxContent>
                        </v:textbox>
                      </v:rect>
                      <v:shape id="直接箭头连接符 12" o:spid="_x0000_s1026" o:spt="32" type="#_x0000_t32" style="position:absolute;left:9536;top:23550;height:7;width:420;" filled="f" stroked="t" coordsize="21600,21600" o:gfxdata="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CmTS8AAAA&#10;2w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rect id="矩形 13" o:spid="_x0000_s1026" o:spt="1" style="position:absolute;left:9926;top:23010;height:1064;width:1320;v-text-anchor:middle;" fillcolor="#FFFFFF [3201]" filled="t" stroked="t" coordsize="21600,21600" o:gfxdata="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2Wt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0ED9DEED">
                              <w:pPr>
                                <w:spacing w:line="240" w:lineRule="auto"/>
                                <w:jc w:val="center"/>
                                <w:rPr>
                                  <w:rFonts w:hint="eastAsia" w:eastAsiaTheme="minorEastAsia"/>
                                  <w:lang w:eastAsia="zh-CN"/>
                                </w:rPr>
                              </w:pPr>
                              <w:r>
                                <w:rPr>
                                  <w:rFonts w:hint="eastAsia"/>
                                  <w:sz w:val="21"/>
                                  <w:szCs w:val="21"/>
                                  <w:lang w:eastAsia="zh-CN"/>
                                </w:rPr>
                                <w:t>道路建成运营</w:t>
                              </w:r>
                            </w:p>
                          </w:txbxContent>
                        </v:textbox>
                      </v:rect>
                      <v:shape id="直接箭头连接符 15" o:spid="_x0000_s1026" o:spt="32" type="#_x0000_t32" style="position:absolute;left:2771;top:22755;flip:y;height:300;width:0;" filled="f" stroked="t" coordsize="21600,21600" o:gfxdata="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c7&#10;98EAAADbAAAADwAAAAAAAAABACAAAAAiAAAAZHJzL2Rvd25yZXYueG1sUEsBAhQAFAAAAAgAh07i&#10;QDMvBZ47AAAAOQAAABAAAAAAAAAAAQAgAAAAEAEAAGRycy9zaGFwZXhtbC54bWxQSwUGAAAAAAYA&#10;BgBbAQAAugMAAAAA&#10;">
                        <v:fill on="f" focussize="0,0"/>
                        <v:stroke weight="0.5pt" color="#000000 [3213]" miterlimit="8" joinstyle="miter" dashstyle="3 1" endarrow="block"/>
                        <v:imagedata o:title=""/>
                        <o:lock v:ext="edit" aspectratio="f"/>
                      </v:shape>
                      <v:shape id="文本框 19" o:spid="_x0000_s1026" o:spt="202" type="#_x0000_t202" style="position:absolute;left:2041;top:21522;height:1234;width:1467;" fillcolor="#FFFFFF [3201]" filled="t" stroked="f" coordsize="21600,21600" o:gfxdata="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JVT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7C2DD93">
                              <w:pPr>
                                <w:spacing w:line="240" w:lineRule="auto"/>
                                <w:rPr>
                                  <w:rFonts w:hint="eastAsia" w:eastAsiaTheme="minorEastAsia"/>
                                  <w:sz w:val="21"/>
                                  <w:szCs w:val="21"/>
                                  <w:lang w:eastAsia="zh-CN"/>
                                </w:rPr>
                              </w:pPr>
                              <w:r>
                                <w:rPr>
                                  <w:rFonts w:hint="eastAsia"/>
                                  <w:sz w:val="21"/>
                                  <w:szCs w:val="21"/>
                                  <w:lang w:eastAsia="zh-CN"/>
                                </w:rPr>
                                <w:t>扬尘、废水、噪声、土石方</w:t>
                              </w:r>
                            </w:p>
                          </w:txbxContent>
                        </v:textbox>
                      </v:shape>
                      <v:shape id="直接箭头连接符 20" o:spid="_x0000_s1026" o:spt="32" type="#_x0000_t32" style="position:absolute;left:4591;top:22497;flip:y;height:270;width:3;" filled="f" stroked="t" coordsize="21600,21600" o:gfxdata="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GQAb&#10;wAAAANsAAAAPAAAAAAAAAAEAIAAAACIAAABkcnMvZG93bnJldi54bWxQSwECFAAUAAAACACHTuJA&#10;My8FnjsAAAA5AAAAEAAAAAAAAAABACAAAAAPAQAAZHJzL3NoYXBleG1sLnhtbFBLBQYAAAAABgAG&#10;AFsBAAC5AwAAAAA=&#10;">
                        <v:fill on="f" focussize="0,0"/>
                        <v:stroke weight="0.5pt" color="#000000 [3213]" miterlimit="8" joinstyle="miter" dashstyle="3 1" endarrow="block"/>
                        <v:imagedata o:title=""/>
                        <o:lock v:ext="edit" aspectratio="f"/>
                      </v:shape>
                      <v:shape id="文本框 21" o:spid="_x0000_s1026" o:spt="202" type="#_x0000_t202" style="position:absolute;left:3894;top:21270;height:1260;width:1415;" fillcolor="#FFFFFF [3212]"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5B1F834">
                              <w:pPr>
                                <w:spacing w:line="240" w:lineRule="auto"/>
                                <w:rPr>
                                  <w:rFonts w:hint="eastAsia" w:eastAsiaTheme="minorEastAsia"/>
                                  <w:lang w:eastAsia="zh-CN"/>
                                </w:rPr>
                              </w:pPr>
                              <w:r>
                                <w:rPr>
                                  <w:rFonts w:hint="eastAsia"/>
                                  <w:sz w:val="21"/>
                                  <w:szCs w:val="21"/>
                                  <w:lang w:eastAsia="zh-CN"/>
                                </w:rPr>
                                <w:t>扬尘、噪声、土石</w:t>
                              </w:r>
                              <w:r>
                                <w:rPr>
                                  <w:rFonts w:hint="eastAsia"/>
                                  <w:lang w:eastAsia="zh-CN"/>
                                </w:rPr>
                                <w:t>方</w:t>
                              </w:r>
                            </w:p>
                          </w:txbxContent>
                        </v:textbox>
                      </v:shape>
                      <v:shape id="直接箭头连接符 22" o:spid="_x0000_s1026" o:spt="32" type="#_x0000_t32" style="position:absolute;left:4556;top:24090;height:375;width:4;" filled="f" stroked="t" coordsize="21600,21600" o:gfxdata="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NTAZ7UAAADbAAAADwAA&#10;AAAAAAABACAAAAAiAAAAZHJzL2Rvd25yZXYueG1sUEsBAhQAFAAAAAgAh07iQDMvBZ47AAAAOQAA&#10;ABAAAAAAAAAAAQAgAAAABAEAAGRycy9zaGFwZXhtbC54bWxQSwUGAAAAAAYABgBbAQAArgMAAAAA&#10;">
                        <v:fill on="f" focussize="0,0"/>
                        <v:stroke weight="0.5pt" color="#000000 [3213]" miterlimit="8" joinstyle="miter" dashstyle="3 1" endarrow="block"/>
                        <v:imagedata o:title=""/>
                        <o:lock v:ext="edit" aspectratio="f"/>
                      </v:shape>
                      <v:shape id="文本框 23" o:spid="_x0000_s1026" o:spt="202" type="#_x0000_t202" style="position:absolute;left:3783;top:24463;height:1028;width:1672;" fillcolor="#FFFFFF [3201]" filled="t" stroked="f" coordsize="21600,21600" o:gfxdata="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9fS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486EBF1B">
                              <w:pPr>
                                <w:spacing w:line="240" w:lineRule="auto"/>
                                <w:rPr>
                                  <w:rFonts w:hint="eastAsia" w:eastAsiaTheme="minorEastAsia"/>
                                  <w:sz w:val="21"/>
                                  <w:szCs w:val="21"/>
                                  <w:lang w:eastAsia="zh-CN"/>
                                </w:rPr>
                              </w:pPr>
                              <w:r>
                                <w:rPr>
                                  <w:rFonts w:hint="eastAsia"/>
                                  <w:sz w:val="21"/>
                                  <w:szCs w:val="21"/>
                                  <w:lang w:eastAsia="zh-CN"/>
                                </w:rPr>
                                <w:t>植被破坏、水土流失</w:t>
                              </w:r>
                            </w:p>
                          </w:txbxContent>
                        </v:textbox>
                      </v:shape>
                      <v:shape id="直接箭头连接符 24" o:spid="_x0000_s1026" o:spt="32" type="#_x0000_t32" style="position:absolute;left:6158;top:22649;flip:y;height:240;width:3;" filled="f" stroked="t" coordsize="21600,21600" o:gfxdata="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6Tom8AAAA&#10;2wAAAA8AAAAAAAAAAQAgAAAAIgAAAGRycy9kb3ducmV2LnhtbFBLAQIUABQAAAAIAIdO4kAzLwWe&#10;OwAAADkAAAAQAAAAAAAAAAEAIAAAAAsBAABkcnMvc2hhcGV4bWwueG1sUEsFBgAAAAAGAAYAWwEA&#10;ALUDAAAAAA==&#10;">
                        <v:fill on="f" focussize="0,0"/>
                        <v:stroke weight="0.5pt" color="#000000 [3213]" miterlimit="8" joinstyle="miter" dashstyle="3 1" endarrow="block"/>
                        <v:imagedata o:title=""/>
                        <o:lock v:ext="edit" aspectratio="f"/>
                      </v:shape>
                      <v:shape id="文本框 25" o:spid="_x0000_s1026" o:spt="202" type="#_x0000_t202" style="position:absolute;left:5372;top:21311;height:1273;width:1465;" fillcolor="#FFFFFF [3201]" filled="t" stroked="f" coordsize="21600,21600" o:gfxdata="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PID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2DB4A297">
                              <w:pPr>
                                <w:spacing w:line="240" w:lineRule="auto"/>
                                <w:rPr>
                                  <w:rFonts w:hint="eastAsia" w:eastAsiaTheme="minorEastAsia"/>
                                  <w:lang w:eastAsia="zh-CN"/>
                                </w:rPr>
                              </w:pPr>
                              <w:r>
                                <w:rPr>
                                  <w:rFonts w:hint="eastAsia"/>
                                  <w:sz w:val="21"/>
                                  <w:szCs w:val="21"/>
                                  <w:lang w:eastAsia="zh-CN"/>
                                </w:rPr>
                                <w:t>扬尘、噪声、土</w:t>
                              </w:r>
                              <w:r>
                                <w:rPr>
                                  <w:rFonts w:hint="eastAsia"/>
                                  <w:lang w:eastAsia="zh-CN"/>
                                </w:rPr>
                                <w:t>石方</w:t>
                              </w:r>
                            </w:p>
                            <w:p w14:paraId="2EE00A74"/>
                          </w:txbxContent>
                        </v:textbox>
                      </v:shape>
                      <v:shape id="直接箭头连接符 4" o:spid="_x0000_s1026" o:spt="32" type="#_x0000_t32" style="position:absolute;left:7496;top:22765;flip:y;height:275;width:4;" filled="f" stroked="t" coordsize="21600,21600" o:gfxdata="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R1&#10;ZcEAAADbAAAADwAAAAAAAAABACAAAAAiAAAAZHJzL2Rvd25yZXYueG1sUEsBAhQAFAAAAAgAh07i&#10;QDMvBZ47AAAAOQAAABAAAAAAAAAAAQAgAAAAEAEAAGRycy9zaGFwZXhtbC54bWxQSwUGAAAAAAYA&#10;BgBbAQAAugMAAAAA&#10;">
                        <v:fill on="f" focussize="0,0"/>
                        <v:stroke weight="0.5pt" color="#000000 [3213]" miterlimit="8" joinstyle="miter" dashstyle="3 1" endarrow="block"/>
                        <v:imagedata o:title=""/>
                        <o:lock v:ext="edit" aspectratio="f"/>
                      </v:shape>
                      <v:shape id="文本框 14" o:spid="_x0000_s1026" o:spt="202" type="#_x0000_t202" style="position:absolute;left:6810;top:21473;height:1243;width:1292;" fillcolor="#FFFFFF [3201]"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56A3FB13">
                              <w:pPr>
                                <w:spacing w:line="240" w:lineRule="auto"/>
                                <w:rPr>
                                  <w:rFonts w:hint="eastAsia" w:eastAsiaTheme="minorEastAsia"/>
                                  <w:sz w:val="21"/>
                                  <w:szCs w:val="21"/>
                                  <w:lang w:eastAsia="zh-CN"/>
                                </w:rPr>
                              </w:pPr>
                              <w:r>
                                <w:rPr>
                                  <w:rFonts w:hint="eastAsia"/>
                                  <w:sz w:val="21"/>
                                  <w:szCs w:val="21"/>
                                  <w:lang w:eastAsia="zh-CN"/>
                                </w:rPr>
                                <w:t>扬尘、噪声、土石方</w:t>
                              </w:r>
                            </w:p>
                            <w:p w14:paraId="0EFD55A8"/>
                          </w:txbxContent>
                        </v:textbox>
                      </v:shape>
                      <v:shape id="文本框 17" o:spid="_x0000_s1026" o:spt="202" type="#_x0000_t202" style="position:absolute;left:6616;top:24419;height:648;width:1958;" fillcolor="#FFFFFF [3201]"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4EA6452B">
                              <w:pPr>
                                <w:spacing w:line="240" w:lineRule="auto"/>
                                <w:rPr>
                                  <w:rFonts w:hint="eastAsia" w:eastAsiaTheme="minorEastAsia"/>
                                  <w:sz w:val="21"/>
                                  <w:szCs w:val="21"/>
                                  <w:lang w:eastAsia="zh-CN"/>
                                </w:rPr>
                              </w:pPr>
                              <w:r>
                                <w:rPr>
                                  <w:rFonts w:hint="eastAsia"/>
                                  <w:sz w:val="21"/>
                                  <w:szCs w:val="21"/>
                                  <w:lang w:eastAsia="zh-CN"/>
                                </w:rPr>
                                <w:t>沥青烟、废水</w:t>
                              </w:r>
                            </w:p>
                          </w:txbxContent>
                        </v:textbox>
                      </v:shape>
                      <v:shape id="直接箭头连接符 26" o:spid="_x0000_s1026" o:spt="32" type="#_x0000_t32" style="position:absolute;left:7496;top:24060;height:355;width:4;" filled="f" stroked="t" coordsize="21600,21600" o:gfxdata="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MchLsAAADb&#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v:imagedata o:title=""/>
                        <o:lock v:ext="edit" aspectratio="f"/>
                      </v:shape>
                      <v:shape id="直接箭头连接符 28" o:spid="_x0000_s1026" o:spt="32" type="#_x0000_t32" style="position:absolute;left:8981;top:22735;flip:y;height:290;width:4;" filled="f" stroked="t" coordsize="21600,21600" o:gfxdata="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3Nm&#10;wAAAANsAAAAPAAAAAAAAAAEAIAAAACIAAABkcnMvZG93bnJldi54bWxQSwECFAAUAAAACACHTuJA&#10;My8FnjsAAAA5AAAAEAAAAAAAAAABACAAAAAPAQAAZHJzL3NoYXBleG1sLnhtbFBLBQYAAAAABgAG&#10;AFsBAAC5AwAAAAA=&#10;">
                        <v:fill on="f" focussize="0,0"/>
                        <v:stroke weight="0.5pt" color="#000000 [3213]" miterlimit="8" joinstyle="miter" dashstyle="3 1" endarrow="block"/>
                        <v:imagedata o:title=""/>
                        <o:lock v:ext="edit" aspectratio="f"/>
                      </v:shape>
                      <v:shape id="文本框 29" o:spid="_x0000_s1026" o:spt="202" type="#_x0000_t202" style="position:absolute;left:8430;top:22021;height:633;width:1083;" fillcolor="#FFFFFF [3201]" filled="t" stroked="f" coordsize="21600,21600" o:gfxdata="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Hd+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495432E">
                              <w:pPr>
                                <w:jc w:val="center"/>
                                <w:rPr>
                                  <w:rFonts w:hint="eastAsia" w:eastAsiaTheme="minorEastAsia"/>
                                  <w:lang w:eastAsia="zh-CN"/>
                                </w:rPr>
                              </w:pPr>
                              <w:r>
                                <w:rPr>
                                  <w:rFonts w:hint="eastAsia"/>
                                  <w:lang w:eastAsia="zh-CN"/>
                                </w:rPr>
                                <w:t>扬尘</w:t>
                              </w:r>
                            </w:p>
                          </w:txbxContent>
                        </v:textbox>
                      </v:shape>
                      <v:shape id="直接箭头连接符 31" o:spid="_x0000_s1026" o:spt="32" type="#_x0000_t32" style="position:absolute;left:10586;top:22705;flip:y;height:305;width:4;" filled="f" stroked="t" coordsize="21600,21600" o:gfxdata="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MQo+8AAAA&#10;2wAAAA8AAAAAAAAAAQAgAAAAIgAAAGRycy9kb3ducmV2LnhtbFBLAQIUABQAAAAIAIdO4kAzLwWe&#10;OwAAADkAAAAQAAAAAAAAAAEAIAAAAAsBAABkcnMvc2hhcGV4bWwueG1sUEsFBgAAAAAGAAYAWwEA&#10;ALUDAAAAAA==&#10;">
                        <v:fill on="f" focussize="0,0"/>
                        <v:stroke weight="0.5pt" color="#000000 [3213]" miterlimit="8" joinstyle="miter" dashstyle="3 1" endarrow="block"/>
                        <v:imagedata o:title=""/>
                        <o:lock v:ext="edit" aspectratio="f"/>
                      </v:shape>
                      <v:shape id="文本框 32" o:spid="_x0000_s1026" o:spt="202" type="#_x0000_t202" style="position:absolute;left:9812;top:21844;height:844;width:1666;" fillcolor="#FFFFFF [3201]" filled="t" stroked="f" coordsize="21600,21600" o:gfxdata="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LD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FAB37EE">
                              <w:pPr>
                                <w:spacing w:line="240" w:lineRule="auto"/>
                                <w:rPr>
                                  <w:rFonts w:hint="eastAsia" w:eastAsiaTheme="minorEastAsia"/>
                                  <w:sz w:val="21"/>
                                  <w:szCs w:val="21"/>
                                  <w:lang w:eastAsia="zh-CN"/>
                                </w:rPr>
                              </w:pPr>
                              <w:r>
                                <w:rPr>
                                  <w:rFonts w:hint="eastAsia"/>
                                  <w:sz w:val="21"/>
                                  <w:szCs w:val="21"/>
                                  <w:lang w:eastAsia="zh-CN"/>
                                </w:rPr>
                                <w:t>废气、噪声、固废、废水</w:t>
                              </w:r>
                            </w:p>
                          </w:txbxContent>
                        </v:textbox>
                      </v:shape>
                    </v:group>
                  </w:pict>
                </mc:Fallback>
              </mc:AlternateContent>
            </w:r>
            <w:r>
              <w:rPr>
                <w:rFonts w:hint="default" w:ascii="Times New Roman" w:hAnsi="Times New Roman" w:cs="Times New Roman"/>
                <w:sz w:val="24"/>
                <w:szCs w:val="24"/>
              </w:rPr>
              <w:t>施工顺序：清除表土或软基处理－压实土路基－填筑风化岩土－填筑中粗砂－水泥稳定石屑基层－砌筑路缘石－浇筑沥青混凝土面层。施工工艺流程图及产污环节图见图5-1。</w:t>
            </w:r>
          </w:p>
          <w:p w14:paraId="247736E4">
            <w:pPr>
              <w:spacing w:line="360" w:lineRule="auto"/>
              <w:jc w:val="center"/>
              <w:rPr>
                <w:rFonts w:hint="default" w:ascii="Times New Roman" w:hAnsi="Times New Roman" w:cs="Times New Roman"/>
                <w:b/>
                <w:sz w:val="24"/>
                <w:szCs w:val="24"/>
              </w:rPr>
            </w:pPr>
          </w:p>
          <w:p w14:paraId="5AA79F98">
            <w:pPr>
              <w:spacing w:line="360" w:lineRule="auto"/>
              <w:jc w:val="center"/>
              <w:rPr>
                <w:rFonts w:hint="default" w:ascii="Times New Roman" w:hAnsi="Times New Roman" w:cs="Times New Roman"/>
                <w:b/>
                <w:sz w:val="24"/>
                <w:szCs w:val="24"/>
              </w:rPr>
            </w:pPr>
          </w:p>
          <w:p w14:paraId="0C6B24D8">
            <w:pPr>
              <w:spacing w:line="360" w:lineRule="auto"/>
              <w:jc w:val="center"/>
              <w:rPr>
                <w:rFonts w:hint="default" w:ascii="Times New Roman" w:hAnsi="Times New Roman" w:cs="Times New Roman"/>
                <w:b/>
                <w:sz w:val="24"/>
                <w:szCs w:val="24"/>
              </w:rPr>
            </w:pPr>
          </w:p>
          <w:p w14:paraId="7EDF5114">
            <w:pPr>
              <w:spacing w:line="360" w:lineRule="auto"/>
              <w:jc w:val="center"/>
              <w:rPr>
                <w:rFonts w:hint="default" w:ascii="Times New Roman" w:hAnsi="Times New Roman" w:cs="Times New Roman"/>
                <w:b/>
                <w:sz w:val="24"/>
                <w:szCs w:val="24"/>
              </w:rPr>
            </w:pPr>
          </w:p>
          <w:p w14:paraId="344F27F4">
            <w:pPr>
              <w:spacing w:line="360" w:lineRule="auto"/>
              <w:jc w:val="center"/>
              <w:rPr>
                <w:rFonts w:hint="default" w:ascii="Times New Roman" w:hAnsi="Times New Roman" w:cs="Times New Roman"/>
                <w:b/>
                <w:sz w:val="24"/>
                <w:szCs w:val="24"/>
              </w:rPr>
            </w:pPr>
          </w:p>
          <w:p w14:paraId="4B8D7E59">
            <w:pPr>
              <w:spacing w:line="360" w:lineRule="auto"/>
              <w:jc w:val="center"/>
              <w:rPr>
                <w:rFonts w:hint="default" w:ascii="Times New Roman" w:hAnsi="Times New Roman" w:cs="Times New Roman"/>
                <w:b/>
                <w:sz w:val="24"/>
                <w:szCs w:val="24"/>
              </w:rPr>
            </w:pPr>
          </w:p>
          <w:p w14:paraId="4F795590">
            <w:pPr>
              <w:spacing w:line="360" w:lineRule="auto"/>
              <w:jc w:val="both"/>
              <w:rPr>
                <w:rFonts w:hint="default" w:ascii="Times New Roman" w:hAnsi="Times New Roman" w:cs="Times New Roman"/>
                <w:b/>
                <w:sz w:val="24"/>
                <w:szCs w:val="24"/>
              </w:rPr>
            </w:pPr>
          </w:p>
          <w:p w14:paraId="651A2DBE">
            <w:pPr>
              <w:spacing w:line="360" w:lineRule="auto"/>
              <w:jc w:val="center"/>
              <w:rPr>
                <w:rFonts w:hint="default" w:ascii="Times New Roman" w:hAnsi="Times New Roman" w:cs="Times New Roman"/>
                <w:b/>
                <w:sz w:val="24"/>
                <w:szCs w:val="24"/>
              </w:rPr>
            </w:pPr>
          </w:p>
          <w:p w14:paraId="4BB3402E">
            <w:pPr>
              <w:spacing w:line="360" w:lineRule="auto"/>
              <w:jc w:val="center"/>
              <w:rPr>
                <w:rFonts w:hint="eastAsia" w:cs="Times New Roman"/>
                <w:b/>
                <w:sz w:val="24"/>
                <w:szCs w:val="24"/>
                <w:lang w:val="en-US" w:eastAsia="zh-CN"/>
              </w:rPr>
            </w:pPr>
            <w:r>
              <w:rPr>
                <w:rFonts w:hint="default" w:ascii="Times New Roman" w:hAnsi="Times New Roman" w:cs="Times New Roman"/>
                <w:b/>
                <w:sz w:val="24"/>
                <w:szCs w:val="24"/>
              </w:rPr>
              <w:t>图5-1  项目施工工艺流程图</w:t>
            </w:r>
          </w:p>
          <w:p w14:paraId="07E32C65">
            <w:pPr>
              <w:numPr>
                <w:ilvl w:val="0"/>
                <w:numId w:val="24"/>
              </w:numPr>
              <w:spacing w:line="360" w:lineRule="auto"/>
              <w:ind w:firstLine="482" w:firstLineChars="200"/>
              <w:jc w:val="both"/>
              <w:rPr>
                <w:rFonts w:hint="eastAsia" w:cs="Times New Roman"/>
                <w:b/>
                <w:sz w:val="24"/>
                <w:szCs w:val="24"/>
                <w:lang w:val="en-US" w:eastAsia="zh-CN"/>
              </w:rPr>
            </w:pPr>
            <w:r>
              <w:rPr>
                <w:rFonts w:hint="default" w:ascii="Times New Roman" w:hAnsi="Times New Roman" w:cs="Times New Roman"/>
                <w:b/>
                <w:sz w:val="24"/>
                <w:szCs w:val="24"/>
                <w:lang w:val="en-US" w:eastAsia="zh-CN"/>
              </w:rPr>
              <w:t>路基</w:t>
            </w:r>
            <w:r>
              <w:rPr>
                <w:rFonts w:hint="eastAsia" w:cs="Times New Roman"/>
                <w:b/>
                <w:sz w:val="24"/>
                <w:szCs w:val="24"/>
                <w:lang w:val="en-US" w:eastAsia="zh-CN"/>
              </w:rPr>
              <w:t>及桥涵工程</w:t>
            </w:r>
          </w:p>
          <w:p w14:paraId="489986F8">
            <w:pPr>
              <w:numPr>
                <w:ilvl w:val="0"/>
                <w:numId w:val="0"/>
              </w:numPr>
              <w:spacing w:line="360" w:lineRule="auto"/>
              <w:ind w:firstLine="480" w:firstLineChars="200"/>
              <w:jc w:val="both"/>
              <w:rPr>
                <w:rFonts w:hint="default" w:cs="Times New Roman"/>
                <w:b w:val="0"/>
                <w:bCs/>
                <w:sz w:val="24"/>
                <w:szCs w:val="24"/>
                <w:lang w:val="en-US" w:eastAsia="zh-CN"/>
              </w:rPr>
            </w:pPr>
            <w:r>
              <w:rPr>
                <w:rFonts w:hint="eastAsia" w:cs="Times New Roman"/>
                <w:b w:val="0"/>
                <w:bCs/>
                <w:sz w:val="24"/>
                <w:szCs w:val="24"/>
                <w:lang w:val="en-US" w:eastAsia="zh-CN"/>
              </w:rPr>
              <w:t>（1）路基</w:t>
            </w:r>
          </w:p>
          <w:p w14:paraId="2B35F5AB">
            <w:pPr>
              <w:numPr>
                <w:ilvl w:val="0"/>
                <w:numId w:val="0"/>
              </w:num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填方路基采用逐层填筑，分层压实的方法施工。施工工序为：挖除树根、排除地表水→清除表层淤泥、杂草→平地机、推土机整平→压路机压实→路基填筑。</w:t>
            </w:r>
          </w:p>
          <w:p w14:paraId="30EE177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作业段与现状道路衔接时，将旧路边坡表面松土草皮清除，然后将旧路基分层破除，自上而下逐层开挖台阶，开挖一阶及时回填一阶，台阶高 1m，宽 2m 并向内倾 3%坡度。当老路堤高度小于 2m 时，老路堤坡面处理后，可直接填筑新路堤。</w:t>
            </w:r>
          </w:p>
          <w:p w14:paraId="717F4B2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填料要求采用碎石土或透水性土，回填土应分层填筑并严格控制含水量，分层松铺厚度不大于 15cm，应严格控制台背后填土压实度。</w:t>
            </w:r>
          </w:p>
          <w:p w14:paraId="186FA159">
            <w:pPr>
              <w:keepNext w:val="0"/>
              <w:keepLines w:val="0"/>
              <w:widowControl/>
              <w:numPr>
                <w:ilvl w:val="0"/>
                <w:numId w:val="15"/>
              </w:numPr>
              <w:suppressLineNumbers w:val="0"/>
              <w:spacing w:line="360" w:lineRule="auto"/>
              <w:ind w:left="0" w:leftChars="0" w:firstLine="480" w:firstLineChars="20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桥涵工程</w:t>
            </w:r>
          </w:p>
          <w:p w14:paraId="35917C6C">
            <w:pPr>
              <w:keepNext w:val="0"/>
              <w:keepLines w:val="0"/>
              <w:widowControl/>
              <w:numPr>
                <w:ilvl w:val="0"/>
                <w:numId w:val="0"/>
              </w:numPr>
              <w:suppressLineNumbers w:val="0"/>
              <w:spacing w:line="360" w:lineRule="auto"/>
              <w:ind w:firstLine="480" w:firstLineChars="200"/>
              <w:jc w:val="both"/>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桥梁结构桥面铺装由钢筋混凝土铺装、防水层、沥青混凝土铺装三层组成。桥面横坡2.0%，桥面排水采用纵排和横排结合方式。道路中央绿化带及路侧绿化带均在桥上布设，行车道与人行道与道路一致。</w:t>
            </w:r>
          </w:p>
          <w:p w14:paraId="67D238FB">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管线综合工程</w:t>
            </w:r>
          </w:p>
          <w:p w14:paraId="4C6E34B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auto"/>
                <w:sz w:val="24"/>
                <w:highlight w:val="none"/>
              </w:rPr>
              <w:t>综合管线均采用地下埋管的方式</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开挖料沿槽边堆放，待埋管安装后用于回填。挖土开槽应严格控制基底高程，禁止超挖。</w:t>
            </w:r>
            <w:r>
              <w:rPr>
                <w:rFonts w:hint="default" w:ascii="Times New Roman" w:hAnsi="Times New Roman" w:eastAsia="宋体" w:cs="Times New Roman"/>
                <w:color w:val="000000"/>
                <w:kern w:val="0"/>
                <w:sz w:val="24"/>
                <w:szCs w:val="24"/>
                <w:lang w:val="en-US" w:eastAsia="zh-CN" w:bidi="ar"/>
              </w:rPr>
              <w:t>各种管线与街沿石保持 0.5m～1.5m 距离；与绿化带边缘、行道树保持一定距离（1.0m～2.0m），便于检查井等设施设置、方便检修。</w:t>
            </w:r>
          </w:p>
          <w:p w14:paraId="1A4FCFEA">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3</w:t>
            </w:r>
            <w:r>
              <w:rPr>
                <w:rFonts w:hint="eastAsia" w:cs="Times New Roman"/>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路面工程</w:t>
            </w:r>
          </w:p>
          <w:p w14:paraId="7F7BA0E5">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本项目路面工程宜采用专业化机械施工，少量配置人工辅助的施工方案；路面工程应在路基土石方、中小型构造物工程完工后立即开工，并避开雨季区，力争短时间内完工；本项目推荐采用沥青</w:t>
            </w:r>
            <w:r>
              <w:rPr>
                <w:rFonts w:hint="eastAsia" w:cs="Times New Roman"/>
                <w:color w:val="auto"/>
                <w:sz w:val="24"/>
                <w:highlight w:val="none"/>
                <w:lang w:eastAsia="zh-CN"/>
              </w:rPr>
              <w:t>混凝土</w:t>
            </w:r>
            <w:r>
              <w:rPr>
                <w:rFonts w:hint="default" w:ascii="Times New Roman" w:hAnsi="Times New Roman" w:cs="Times New Roman"/>
                <w:color w:val="auto"/>
                <w:sz w:val="24"/>
                <w:highlight w:val="none"/>
              </w:rPr>
              <w:t>路面，底基层采用现场拌和，然后摊铺碾压；基层、沥青面层可采用集中拌和，汽车运输，摊铺机摊铺；底基层、基层至面层均采用配套的路面施工机械设备施工，以保证质量。</w:t>
            </w:r>
          </w:p>
          <w:p w14:paraId="053870AA">
            <w:pPr>
              <w:numPr>
                <w:ilvl w:val="0"/>
                <w:numId w:val="0"/>
              </w:numPr>
              <w:adjustRightInd w:val="0"/>
              <w:snapToGrid w:val="0"/>
              <w:spacing w:line="360" w:lineRule="auto"/>
              <w:ind w:leftChars="0"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绿化工程</w:t>
            </w:r>
          </w:p>
          <w:p w14:paraId="5CEA86C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auto"/>
                <w:sz w:val="24"/>
                <w:highlight w:val="none"/>
              </w:rPr>
              <w:t>绿化工程安排在主体工程基本完工后实施。主体工程施工中，根据道路设计方案，道路建设将预留绿化区域，本工程绿化区域主要为道路行道树。工程为市政道路绿化，施工工艺以带土球移栽为主。绿化工作主要分为：覆土、种植、养护，种植区域覆土平均厚度80—l00cm。</w:t>
            </w:r>
            <w:r>
              <w:rPr>
                <w:rFonts w:hint="default" w:ascii="Times New Roman" w:hAnsi="Times New Roman" w:cs="Times New Roman"/>
                <w:color w:val="auto"/>
                <w:sz w:val="24"/>
                <w:highlight w:val="none"/>
                <w:lang w:eastAsia="zh-CN"/>
              </w:rPr>
              <w:t>道路采用的雕塑作品</w:t>
            </w:r>
            <w:r>
              <w:rPr>
                <w:rFonts w:hint="default" w:ascii="Times New Roman" w:hAnsi="Times New Roman" w:eastAsia="宋体" w:cs="Times New Roman"/>
                <w:color w:val="000000"/>
                <w:kern w:val="0"/>
                <w:sz w:val="24"/>
                <w:szCs w:val="24"/>
                <w:lang w:val="en-US" w:eastAsia="zh-CN" w:bidi="ar"/>
              </w:rPr>
              <w:t>以 20m 间隔进行布置。</w:t>
            </w:r>
          </w:p>
          <w:p w14:paraId="7802FDF3">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施工组织</w:t>
            </w:r>
          </w:p>
          <w:p w14:paraId="12D0D590">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施工材料来源</w:t>
            </w:r>
          </w:p>
          <w:p w14:paraId="69C8B5D2">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项目建设所需的</w:t>
            </w:r>
            <w:r>
              <w:rPr>
                <w:rFonts w:hint="default" w:ascii="Times New Roman" w:hAnsi="Times New Roman" w:cs="Times New Roman"/>
                <w:color w:val="auto"/>
                <w:sz w:val="24"/>
                <w:highlight w:val="none"/>
                <w:lang w:eastAsia="zh-CN"/>
              </w:rPr>
              <w:t>石料</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沙料、</w:t>
            </w:r>
            <w:r>
              <w:rPr>
                <w:rFonts w:hint="default" w:ascii="Times New Roman" w:hAnsi="Times New Roman" w:cs="Times New Roman"/>
                <w:color w:val="auto"/>
                <w:sz w:val="24"/>
                <w:highlight w:val="none"/>
              </w:rPr>
              <w:t>水泥、</w:t>
            </w:r>
            <w:r>
              <w:rPr>
                <w:rFonts w:hint="default" w:ascii="Times New Roman" w:hAnsi="Times New Roman" w:cs="Times New Roman"/>
                <w:color w:val="auto"/>
                <w:sz w:val="24"/>
                <w:highlight w:val="none"/>
                <w:lang w:eastAsia="zh-CN"/>
              </w:rPr>
              <w:t>石灰、油料在本地</w:t>
            </w:r>
            <w:r>
              <w:rPr>
                <w:rFonts w:hint="default" w:ascii="Times New Roman" w:hAnsi="Times New Roman" w:cs="Times New Roman"/>
                <w:color w:val="auto"/>
                <w:sz w:val="24"/>
                <w:highlight w:val="none"/>
              </w:rPr>
              <w:t>货源较充足，可就近购进，项目</w:t>
            </w:r>
            <w:r>
              <w:rPr>
                <w:rFonts w:hint="default" w:ascii="Times New Roman" w:hAnsi="Times New Roman" w:cs="Times New Roman"/>
                <w:bCs/>
                <w:color w:val="auto"/>
                <w:sz w:val="24"/>
                <w:highlight w:val="none"/>
                <w:lang w:eastAsia="zh-CN"/>
              </w:rPr>
              <w:t>采用的钢材</w:t>
            </w:r>
            <w:r>
              <w:rPr>
                <w:rFonts w:hint="default" w:ascii="Times New Roman" w:hAnsi="Times New Roman" w:eastAsia="宋体" w:cs="Times New Roman"/>
                <w:color w:val="000000"/>
                <w:kern w:val="0"/>
                <w:sz w:val="24"/>
                <w:szCs w:val="24"/>
                <w:lang w:val="en-US" w:eastAsia="zh-CN" w:bidi="ar"/>
              </w:rPr>
              <w:t>可从大理、芒市、昆明等周边市区购进</w:t>
            </w:r>
            <w:r>
              <w:rPr>
                <w:rFonts w:hint="default" w:ascii="Times New Roman" w:hAnsi="Times New Roman" w:cs="Times New Roman"/>
                <w:bCs/>
                <w:color w:val="auto"/>
                <w:sz w:val="24"/>
                <w:highlight w:val="none"/>
              </w:rPr>
              <w:t>，</w:t>
            </w:r>
            <w:r>
              <w:rPr>
                <w:rFonts w:hint="default" w:ascii="Times New Roman" w:hAnsi="Times New Roman" w:eastAsia="宋体" w:cs="Times New Roman"/>
                <w:color w:val="000000"/>
                <w:kern w:val="0"/>
                <w:sz w:val="24"/>
                <w:szCs w:val="24"/>
                <w:lang w:val="en-US" w:eastAsia="zh-CN" w:bidi="ar"/>
              </w:rPr>
              <w:t>木材及沥青按外运考虑，</w:t>
            </w:r>
            <w:r>
              <w:rPr>
                <w:rFonts w:hint="default" w:ascii="Times New Roman" w:hAnsi="Times New Roman" w:cs="Times New Roman"/>
                <w:color w:val="auto"/>
                <w:sz w:val="24"/>
                <w:highlight w:val="none"/>
              </w:rPr>
              <w:t>沥青混凝土直接</w:t>
            </w:r>
            <w:r>
              <w:rPr>
                <w:rFonts w:hint="default" w:ascii="Times New Roman" w:hAnsi="Times New Roman" w:cs="Times New Roman"/>
                <w:color w:val="auto"/>
                <w:sz w:val="24"/>
                <w:highlight w:val="none"/>
                <w:lang w:eastAsia="zh-CN"/>
              </w:rPr>
              <w:t>外购</w:t>
            </w:r>
            <w:r>
              <w:rPr>
                <w:rFonts w:hint="default" w:ascii="Times New Roman" w:hAnsi="Times New Roman" w:cs="Times New Roman"/>
                <w:color w:val="auto"/>
                <w:sz w:val="24"/>
                <w:highlight w:val="none"/>
              </w:rPr>
              <w:t>，项目不设置沥青混凝土搅拌站。以上各种材料运输便利，质量有良好保证，完全能满足本工程项目需要。</w:t>
            </w:r>
          </w:p>
          <w:p w14:paraId="6614A78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所在区域周边块石、片石石料较丰富，主要为硬质灰岩、长石石英砂岩、花岗岩为主，芒市境内有户勒石场灰岩块石、户勒朝位白云质灰岩采石场、芒市遮放户勒采石场，保山及大理分布有玄武岩石场，均可满足本项目工程的用料需要。</w:t>
            </w:r>
          </w:p>
          <w:p w14:paraId="08CD1D89">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施工便道</w:t>
            </w:r>
          </w:p>
          <w:p w14:paraId="433E75F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运输条件较好，可通过高速公路南连接线及芒那公路（勐焕路、田园大道）、杭瑞高速及乡村公路运输，拟建道路周边城市路网较完备，运输较为方便，经调运能够满足本道路建设对天然筑路材料之需要。</w:t>
            </w:r>
          </w:p>
          <w:p w14:paraId="6F2A4503">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施工营地</w:t>
            </w:r>
          </w:p>
          <w:p w14:paraId="6D4E4ED4">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cs="Times New Roman"/>
                <w:color w:val="auto"/>
                <w:sz w:val="24"/>
                <w:highlight w:val="none"/>
                <w:lang w:eastAsia="zh-CN"/>
              </w:rPr>
              <w:t>本</w:t>
            </w:r>
            <w:r>
              <w:rPr>
                <w:rFonts w:hint="default" w:ascii="Times New Roman" w:hAnsi="Times New Roman" w:cs="Times New Roman"/>
                <w:color w:val="auto"/>
                <w:sz w:val="24"/>
                <w:highlight w:val="none"/>
              </w:rPr>
              <w:t>项目不设施工营地，施工人员均不在施工场地食宿，</w:t>
            </w:r>
            <w:r>
              <w:rPr>
                <w:rFonts w:hint="default" w:ascii="Times New Roman" w:hAnsi="Times New Roman" w:cs="Times New Roman"/>
                <w:color w:val="auto"/>
                <w:kern w:val="0"/>
                <w:sz w:val="24"/>
                <w:highlight w:val="none"/>
              </w:rPr>
              <w:t>道路施工材料堆放在项目区范围内，不需要额外的占地，不需要修建施工场地</w:t>
            </w:r>
            <w:r>
              <w:rPr>
                <w:rFonts w:hint="default" w:ascii="Times New Roman" w:hAnsi="Times New Roman" w:cs="Times New Roman"/>
                <w:color w:val="auto"/>
                <w:sz w:val="24"/>
                <w:highlight w:val="none"/>
              </w:rPr>
              <w:t>。</w:t>
            </w:r>
          </w:p>
          <w:p w14:paraId="69BAD81D">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施工期限及施工人员</w:t>
            </w:r>
          </w:p>
          <w:p w14:paraId="47F37C02">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根据项目可研报告，工期1</w:t>
            </w:r>
            <w:r>
              <w:rPr>
                <w:rFonts w:hint="eastAsia"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个月，计划开工时间2020年7月</w:t>
            </w:r>
            <w:r>
              <w:rPr>
                <w:rFonts w:hint="eastAsia" w:ascii="Times New Roman" w:hAnsi="Times New Roman" w:cs="Times New Roman"/>
                <w:color w:val="000000"/>
                <w:kern w:val="0"/>
                <w:sz w:val="24"/>
                <w:szCs w:val="24"/>
                <w:lang w:val="en-US" w:eastAsia="zh-CN" w:bidi="ar"/>
              </w:rPr>
              <w:t>上</w:t>
            </w:r>
            <w:r>
              <w:rPr>
                <w:rFonts w:hint="default" w:ascii="Times New Roman" w:hAnsi="Times New Roman" w:eastAsia="宋体" w:cs="Times New Roman"/>
                <w:color w:val="000000"/>
                <w:kern w:val="0"/>
                <w:sz w:val="24"/>
                <w:szCs w:val="24"/>
                <w:lang w:val="en-US" w:eastAsia="zh-CN" w:bidi="ar"/>
              </w:rPr>
              <w:t>旬至2021年6月中旬。</w:t>
            </w:r>
            <w:r>
              <w:rPr>
                <w:rFonts w:hint="default" w:ascii="Times New Roman" w:hAnsi="Times New Roman" w:cs="Times New Roman"/>
                <w:color w:val="auto"/>
                <w:sz w:val="24"/>
                <w:highlight w:val="none"/>
              </w:rPr>
              <w:t>项目施工期施工人员约</w:t>
            </w:r>
            <w:r>
              <w:rPr>
                <w:rFonts w:hint="default" w:ascii="Times New Roman" w:hAnsi="Times New Roman" w:cs="Times New Roman"/>
                <w:color w:val="auto"/>
                <w:sz w:val="24"/>
                <w:highlight w:val="none"/>
                <w:lang w:val="en-US" w:eastAsia="zh-CN"/>
              </w:rPr>
              <w:t>40</w:t>
            </w:r>
            <w:r>
              <w:rPr>
                <w:rFonts w:hint="default" w:ascii="Times New Roman" w:hAnsi="Times New Roman" w:cs="Times New Roman"/>
                <w:color w:val="auto"/>
                <w:sz w:val="24"/>
                <w:highlight w:val="none"/>
              </w:rPr>
              <w:t>人。</w:t>
            </w:r>
          </w:p>
          <w:p w14:paraId="06C2870D">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主要施工设备</w:t>
            </w:r>
          </w:p>
          <w:p w14:paraId="7538F6E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本工程施工过程中需要的主要设备有打桩机，切割机，挖掘机、推土机、铲运机、装载机、平地机、压路机、拌和机、撒布机、沥青混凝土摊铺机、混凝土搅拌运输车、钻机、 发电机、卷扬机、起重机、电焊机、混凝土搅拌机等。</w:t>
            </w:r>
          </w:p>
          <w:p w14:paraId="7B2124D1">
            <w:pPr>
              <w:keepNext w:val="0"/>
              <w:keepLines w:val="0"/>
              <w:widowControl/>
              <w:numPr>
                <w:ilvl w:val="0"/>
                <w:numId w:val="23"/>
              </w:numPr>
              <w:suppressLineNumbers w:val="0"/>
              <w:spacing w:line="360" w:lineRule="auto"/>
              <w:ind w:left="0" w:leftChars="0" w:firstLine="0" w:firstLineChars="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营运期</w:t>
            </w:r>
          </w:p>
          <w:p w14:paraId="20B9C37C">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cs="Times New Roman"/>
                <w:sz w:val="24"/>
              </w:rPr>
            </w:pPr>
            <w:r>
              <w:rPr>
                <w:rFonts w:hint="default" w:ascii="Times New Roman" w:hAnsi="Times New Roman" w:cs="Times New Roman"/>
                <w:sz w:val="24"/>
              </w:rPr>
              <w:t>本项目为交通运输，无特殊工艺流程。项目运营期主要污染主要包括机动车行驶排放的尾气；地面水径流所携带的污染物对水环境的影响；机动车行驶产</w:t>
            </w:r>
            <w:r>
              <w:rPr>
                <w:rFonts w:hint="default" w:ascii="Times New Roman" w:hAnsi="Times New Roman" w:cs="Times New Roman"/>
                <w:sz w:val="24"/>
                <w:lang w:eastAsia="zh-CN"/>
              </w:rPr>
              <w:t>生</w:t>
            </w:r>
            <w:r>
              <w:rPr>
                <w:rFonts w:hint="default" w:ascii="Times New Roman" w:hAnsi="Times New Roman" w:cs="Times New Roman"/>
                <w:sz w:val="24"/>
              </w:rPr>
              <w:t>的噪声和振动；道路垃圾等</w:t>
            </w:r>
            <w:r>
              <w:rPr>
                <w:rFonts w:hint="default" w:ascii="Times New Roman" w:hAnsi="Times New Roman" w:cs="Times New Roman"/>
                <w:sz w:val="24"/>
                <w:lang w:eastAsia="zh-CN"/>
              </w:rPr>
              <w:t>。</w:t>
            </w:r>
            <w:r>
              <w:rPr>
                <w:rFonts w:hint="default" w:ascii="Times New Roman" w:hAnsi="Times New Roman" w:cs="Times New Roman"/>
                <w:sz w:val="24"/>
              </w:rPr>
              <w:t>本项目运营期产污节点图见图5-2。</w:t>
            </w:r>
          </w:p>
          <w:p w14:paraId="0DAAD846">
            <w:pPr>
              <w:keepNext w:val="0"/>
              <w:keepLines w:val="0"/>
              <w:widowControl/>
              <w:numPr>
                <w:ilvl w:val="0"/>
                <w:numId w:val="0"/>
              </w:numPr>
              <w:suppressLineNumbers w:val="0"/>
              <w:spacing w:line="360" w:lineRule="auto"/>
              <w:ind w:leftChars="0" w:firstLine="480" w:firstLineChars="200"/>
              <w:jc w:val="center"/>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rPr>
              <w:object>
                <v:shape id="_x0000_i1025" o:spt="75" type="#_x0000_t75" style="height:102.75pt;width:156pt;" o:ole="t" filled="f" o:preferrelative="t" stroked="f" coordsize="21600,21600">
                  <v:path/>
                  <v:fill on="f" focussize="0,0"/>
                  <v:stroke on="f" joinstyle="miter"/>
                  <v:imagedata r:id="rId32" o:title=""/>
                  <o:lock v:ext="edit" aspectratio="t"/>
                  <w10:wrap type="none"/>
                  <w10:anchorlock/>
                </v:shape>
                <o:OLEObject Type="Embed" ProgID="Visio.Drawing.11" ShapeID="_x0000_i1025" DrawAspect="Content" ObjectID="_1468075725" r:id="rId31">
                  <o:LockedField>false</o:LockedField>
                </o:OLEObject>
              </w:object>
            </w:r>
          </w:p>
          <w:p w14:paraId="396A0982">
            <w:pPr>
              <w:keepNext w:val="0"/>
              <w:keepLines w:val="0"/>
              <w:widowControl/>
              <w:suppressLineNumbers w:val="0"/>
              <w:jc w:val="center"/>
              <w:rPr>
                <w:rFonts w:hint="default" w:ascii="Times New Roman" w:hAnsi="Times New Roman" w:cs="Times New Roman" w:eastAsiaTheme="minorEastAsia"/>
                <w:lang w:val="en-US" w:eastAsia="zh-CN"/>
              </w:rPr>
            </w:pPr>
            <w:r>
              <w:rPr>
                <w:rFonts w:hint="default" w:ascii="Times New Roman" w:hAnsi="Times New Roman" w:cs="Times New Roman"/>
                <w:b/>
                <w:sz w:val="24"/>
              </w:rPr>
              <w:t>图5-2  项目运营期产污节点图</w:t>
            </w:r>
          </w:p>
          <w:p w14:paraId="05DA9862">
            <w:pPr>
              <w:keepNext w:val="0"/>
              <w:keepLines w:val="0"/>
              <w:widowControl/>
              <w:numPr>
                <w:ilvl w:val="0"/>
                <w:numId w:val="0"/>
              </w:numPr>
              <w:suppressLineNumbers w:val="0"/>
              <w:spacing w:line="360" w:lineRule="auto"/>
              <w:ind w:leftChars="0"/>
              <w:jc w:val="left"/>
              <w:rPr>
                <w:rFonts w:hint="default" w:ascii="Times New Roman" w:hAnsi="Times New Roman" w:eastAsia="宋体" w:cs="Times New Roman"/>
                <w:b/>
                <w:bCs/>
                <w:color w:val="000000"/>
                <w:kern w:val="0"/>
                <w:sz w:val="28"/>
                <w:szCs w:val="28"/>
                <w:lang w:val="en-US" w:eastAsia="zh-CN" w:bidi="ar"/>
              </w:rPr>
            </w:pPr>
            <w:r>
              <w:rPr>
                <w:rFonts w:hint="default" w:ascii="Times New Roman" w:hAnsi="Times New Roman" w:eastAsia="宋体" w:cs="Times New Roman"/>
                <w:b/>
                <w:bCs/>
                <w:color w:val="000000"/>
                <w:kern w:val="0"/>
                <w:sz w:val="28"/>
                <w:szCs w:val="28"/>
                <w:lang w:val="en-US" w:eastAsia="zh-CN" w:bidi="ar"/>
              </w:rPr>
              <w:t>主要污染源分析：</w:t>
            </w:r>
          </w:p>
          <w:p w14:paraId="52714E29">
            <w:pPr>
              <w:keepNext w:val="0"/>
              <w:keepLines w:val="0"/>
              <w:widowControl/>
              <w:numPr>
                <w:ilvl w:val="0"/>
                <w:numId w:val="25"/>
              </w:numPr>
              <w:suppressLineNumbers w:val="0"/>
              <w:spacing w:line="360" w:lineRule="auto"/>
              <w:ind w:left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施工期污染物分析</w:t>
            </w:r>
          </w:p>
          <w:p w14:paraId="3792F3DC">
            <w:pPr>
              <w:adjustRightInd w:val="0"/>
              <w:snapToGrid w:val="0"/>
              <w:spacing w:line="360" w:lineRule="auto"/>
              <w:ind w:firstLine="470" w:firstLineChars="196"/>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auto"/>
                <w:sz w:val="24"/>
                <w:highlight w:val="none"/>
              </w:rPr>
              <w:t>本项目施工期间将产生一定量施工垃圾，若不及时清运、处理，不仅影响景观，在雨季还容易产生水土流失。道路建设过程中，对环境产生的主要影响包括破坏植被和景观、引起水土流失并影响水体水质，此外，还有施工噪声、扬尘、施工人员的生活污水、垃圾等对周边环境也有一定的影响。其中，有些影响是永久性的，有些影响将随施工期的结束而结束，且可以通过一定的环保措施得以恢复。</w:t>
            </w:r>
          </w:p>
          <w:p w14:paraId="3A6389FD">
            <w:pPr>
              <w:keepNext w:val="0"/>
              <w:keepLines w:val="0"/>
              <w:widowControl/>
              <w:numPr>
                <w:ilvl w:val="0"/>
                <w:numId w:val="0"/>
              </w:numPr>
              <w:suppressLineNumbers w:val="0"/>
              <w:spacing w:line="360" w:lineRule="auto"/>
              <w:ind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施工噪声</w:t>
            </w:r>
          </w:p>
          <w:p w14:paraId="6CD2810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8"/>
                <w:szCs w:val="28"/>
                <w:lang w:val="en-US" w:eastAsia="zh-CN" w:bidi="ar"/>
              </w:rPr>
            </w:pPr>
            <w:r>
              <w:rPr>
                <w:rFonts w:hint="default" w:ascii="Times New Roman" w:hAnsi="Times New Roman" w:cs="Times New Roman"/>
                <w:color w:val="auto"/>
                <w:sz w:val="24"/>
                <w:highlight w:val="none"/>
              </w:rPr>
              <w:t>项目施工期噪声主要来源于施工机械和运输车辆辐射的噪声，道路在施工过程中将有大量的施工机械及运输车辆进出施工场地，施工机械的运作产生的机械噪声将对道路两侧的居民生活造成影响。据实际调查和类比分析，对环境影响较大的是推土机、装载机、压路机、挖掘机、自卸卡车和摊铺机等施工机械。</w:t>
            </w:r>
            <w:r>
              <w:rPr>
                <w:rFonts w:hint="default" w:ascii="Times New Roman" w:hAnsi="Times New Roman" w:cs="Times New Roman"/>
                <w:sz w:val="24"/>
                <w:szCs w:val="24"/>
              </w:rPr>
              <w:t>根据常见道路施工机械的实测资料，主要噪声源及声级值见表5-1</w:t>
            </w:r>
          </w:p>
          <w:p w14:paraId="0B417A73">
            <w:pPr>
              <w:spacing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表5-</w:t>
            </w:r>
            <w:r>
              <w:rPr>
                <w:rFonts w:hint="default"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施工期噪声排污源强一览表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2471"/>
              <w:gridCol w:w="2877"/>
              <w:gridCol w:w="1734"/>
            </w:tblGrid>
            <w:tr w14:paraId="5B1A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4B923CA">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17368B27">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286D2EDA">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测点距施工机械距离（m）</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1EC110E6">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噪声级（dB（A））</w:t>
                  </w:r>
                </w:p>
              </w:tc>
            </w:tr>
            <w:tr w14:paraId="0EF4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5E199514">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76A16873">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推土机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554B05B5">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61F27BC">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r>
            <w:tr w14:paraId="1D1D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40D655F">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21B79DB1">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挖掘机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3068D3EB">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149D6FC1">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r>
            <w:tr w14:paraId="0616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C5AF74A">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105A1912">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平地机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60286564">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686A38CA">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r>
            <w:tr w14:paraId="1FEF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CBE13B6">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2DD898AA">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摊铺机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2A9FF91F">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20FD057F">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r>
            <w:tr w14:paraId="4BD1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D7CFE5D">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2435A7CC">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压路机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7715D451">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1F7111D">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r>
            <w:tr w14:paraId="453A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16CF04A">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24A124AE">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钢筋加工机械</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7071EF96">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D6E6280">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r>
            <w:tr w14:paraId="6A3C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7D770BB">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19955E2F">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振捣机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6750A88B">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68FF80AA">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r>
            <w:tr w14:paraId="197B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28D6A82E">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1437A5BC">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5DC8F92D">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9E93C51">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w:t>
                  </w:r>
                </w:p>
              </w:tc>
            </w:tr>
            <w:tr w14:paraId="04AE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255B598F">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23EFC4D3">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发电机组</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27A42AA7">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50D7241">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r>
            <w:tr w14:paraId="135B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504CBEC8">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41C0629D">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4977A5A3">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93C45FF">
                  <w:pPr>
                    <w:pStyle w:val="2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r>
          </w:tbl>
          <w:p w14:paraId="267F0BCD">
            <w:pPr>
              <w:keepNext w:val="0"/>
              <w:keepLines w:val="0"/>
              <w:widowControl/>
              <w:numPr>
                <w:ilvl w:val="0"/>
                <w:numId w:val="0"/>
              </w:numPr>
              <w:suppressLineNumbers w:val="0"/>
              <w:spacing w:line="360" w:lineRule="auto"/>
              <w:ind w:leftChars="0"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施工废气</w:t>
            </w:r>
          </w:p>
          <w:p w14:paraId="65100FD5">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施工期产生的大气污染物主要来自施工作业产生的扬尘、沥青挥发的沥青烟、车辆尾气、运输扬尘产生的粉尘等，将对项目沿线的居民点和现场施工人员产生一定影响。</w:t>
            </w:r>
          </w:p>
          <w:p w14:paraId="426B4EB2">
            <w:pPr>
              <w:numPr>
                <w:ilvl w:val="0"/>
                <w:numId w:val="26"/>
              </w:numPr>
              <w:adjustRightInd w:val="0"/>
              <w:snapToGrid w:val="0"/>
              <w:spacing w:line="360" w:lineRule="auto"/>
              <w:ind w:firstLine="470" w:firstLineChars="196"/>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扬尘</w:t>
            </w:r>
          </w:p>
          <w:p w14:paraId="668BAD20">
            <w:pPr>
              <w:spacing w:line="360" w:lineRule="auto"/>
              <w:ind w:firstLine="480" w:firstLineChars="200"/>
              <w:rPr>
                <w:rFonts w:ascii="Times New Roman" w:hAnsi="Times New Roman"/>
                <w:sz w:val="24"/>
              </w:rPr>
            </w:pPr>
            <w:r>
              <w:rPr>
                <w:rFonts w:hint="default" w:ascii="Times New Roman" w:hAnsi="Times New Roman" w:cs="Times New Roman"/>
                <w:color w:val="auto"/>
                <w:sz w:val="24"/>
                <w:highlight w:val="none"/>
              </w:rPr>
              <w:t>施工期</w:t>
            </w:r>
            <w:r>
              <w:rPr>
                <w:rFonts w:hint="eastAsia" w:cs="Times New Roman"/>
                <w:color w:val="auto"/>
                <w:sz w:val="24"/>
                <w:highlight w:val="none"/>
                <w:lang w:eastAsia="zh-CN"/>
              </w:rPr>
              <w:t>产生的扬尘</w:t>
            </w:r>
            <w:r>
              <w:rPr>
                <w:rFonts w:hint="default" w:ascii="Times New Roman" w:hAnsi="Times New Roman" w:cs="Times New Roman"/>
                <w:color w:val="auto"/>
                <w:sz w:val="24"/>
                <w:highlight w:val="none"/>
              </w:rPr>
              <w:t>为土石方的开挖和回填、建筑材料的运输和堆放等作业操作产生扬尘，</w:t>
            </w:r>
            <w:r>
              <w:rPr>
                <w:rFonts w:hint="eastAsia" w:cs="Times New Roman"/>
                <w:color w:val="auto"/>
                <w:sz w:val="24"/>
                <w:highlight w:val="none"/>
                <w:lang w:eastAsia="zh-CN"/>
              </w:rPr>
              <w:t>属无组织排放。</w:t>
            </w:r>
            <w:r>
              <w:rPr>
                <w:rFonts w:hint="eastAsia" w:ascii="Times New Roman" w:hAnsi="Times New Roman"/>
                <w:sz w:val="24"/>
              </w:rPr>
              <w:t>根据《扬尘源颗粒物排放清单编制技术指南（试行）》中施工扬尘源排放量的计算。TSP、PM</w:t>
            </w:r>
            <w:r>
              <w:rPr>
                <w:rFonts w:hint="eastAsia" w:ascii="Times New Roman" w:hAnsi="Times New Roman"/>
                <w:sz w:val="24"/>
                <w:vertAlign w:val="subscript"/>
              </w:rPr>
              <w:t>10</w:t>
            </w:r>
            <w:r>
              <w:rPr>
                <w:rFonts w:hint="eastAsia" w:ascii="Times New Roman" w:hAnsi="Times New Roman"/>
                <w:sz w:val="24"/>
              </w:rPr>
              <w:t>和PM</w:t>
            </w:r>
            <w:r>
              <w:rPr>
                <w:rFonts w:hint="eastAsia" w:ascii="Times New Roman" w:hAnsi="Times New Roman"/>
                <w:sz w:val="24"/>
                <w:vertAlign w:val="subscript"/>
              </w:rPr>
              <w:t>2.5</w:t>
            </w:r>
            <w:r>
              <w:rPr>
                <w:rFonts w:hint="eastAsia" w:ascii="Times New Roman" w:hAnsi="Times New Roman"/>
                <w:sz w:val="24"/>
              </w:rPr>
              <w:t>排放量根据施工积尘的粒径分布情况估算获得，参考粒径系数为：TSP为1、PM</w:t>
            </w:r>
            <w:r>
              <w:rPr>
                <w:rFonts w:hint="eastAsia" w:ascii="Times New Roman" w:hAnsi="Times New Roman"/>
                <w:sz w:val="24"/>
                <w:vertAlign w:val="subscript"/>
              </w:rPr>
              <w:t>10</w:t>
            </w:r>
            <w:r>
              <w:rPr>
                <w:rFonts w:hint="eastAsia" w:ascii="Times New Roman" w:hAnsi="Times New Roman"/>
                <w:sz w:val="24"/>
              </w:rPr>
              <w:t>为0.49、PM</w:t>
            </w:r>
            <w:r>
              <w:rPr>
                <w:rFonts w:hint="eastAsia" w:ascii="Times New Roman" w:hAnsi="Times New Roman"/>
                <w:sz w:val="24"/>
                <w:vertAlign w:val="subscript"/>
              </w:rPr>
              <w:t>2.5</w:t>
            </w:r>
            <w:r>
              <w:rPr>
                <w:rFonts w:hint="eastAsia" w:ascii="Times New Roman" w:hAnsi="Times New Roman"/>
                <w:sz w:val="24"/>
              </w:rPr>
              <w:t>为0.1，施工扬尘源中颗粒物排放量的总体计算公式如下：</w:t>
            </w:r>
          </w:p>
          <w:p w14:paraId="5DCD9779">
            <w:pPr>
              <w:spacing w:line="360" w:lineRule="auto"/>
              <w:rPr>
                <w:rFonts w:ascii="Times New Roman" w:hAnsi="Times New Roman"/>
                <w:sz w:val="24"/>
              </w:rPr>
            </w:pPr>
            <m:oMathPara>
              <m:oMath>
                <m:sSub>
                  <m:sSubPr>
                    <m:ctrlPr>
                      <w:rPr>
                        <w:rFonts w:ascii="Cambria Math" w:hAnsi="Cambria Math"/>
                        <w:sz w:val="24"/>
                      </w:rPr>
                    </m:ctrlPr>
                  </m:sSubPr>
                  <m:e>
                    <m:r>
                      <m:rPr>
                        <m:nor/>
                        <m:sty m:val="p"/>
                      </m:rPr>
                      <w:rPr>
                        <w:rFonts w:ascii="Times New Roman" w:hAnsi="Times New Roman"/>
                        <w:b w:val="0"/>
                        <w:i w:val="0"/>
                        <w:sz w:val="24"/>
                      </w:rPr>
                      <m:t>W</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m:t>
                </m:r>
                <m:sSub>
                  <m:sSubPr>
                    <m:ctrlPr>
                      <w:rPr>
                        <w:rFonts w:ascii="Cambria Math" w:hAnsi="Cambria Math"/>
                        <w:sz w:val="24"/>
                      </w:rPr>
                    </m:ctrlPr>
                  </m:sSubPr>
                  <m:e>
                    <m:r>
                      <m:rPr>
                        <m:nor/>
                        <m:sty m:val="p"/>
                      </m:rPr>
                      <w:rPr>
                        <w:rFonts w:ascii="Times New Roman" w:hAnsi="Times New Roman"/>
                        <w:b w:val="0"/>
                        <w:i w:val="0"/>
                        <w:sz w:val="24"/>
                      </w:rPr>
                      <m:t>E</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m:t>
                </m:r>
                <m:sSub>
                  <m:sSubPr>
                    <m:ctrlPr>
                      <w:rPr>
                        <w:rFonts w:ascii="Cambria Math" w:hAnsi="Cambria Math"/>
                        <w:i/>
                        <w:sz w:val="24"/>
                      </w:rPr>
                    </m:ctrlPr>
                  </m:sSubPr>
                  <m:e>
                    <m:r>
                      <m:rPr>
                        <m:nor/>
                        <m:sty m:val="p"/>
                      </m:rPr>
                      <w:rPr>
                        <w:rFonts w:ascii="Times New Roman" w:hAnsi="Times New Roman"/>
                        <w:b w:val="0"/>
                        <w:i w:val="0"/>
                        <w:sz w:val="24"/>
                      </w:rPr>
                      <m:t>A</m:t>
                    </m:r>
                    <m:ctrlPr>
                      <w:rPr>
                        <w:rFonts w:ascii="Cambria Math" w:hAnsi="Cambria Math"/>
                        <w:i/>
                        <w:sz w:val="24"/>
                      </w:rPr>
                    </m:ctrlPr>
                  </m:e>
                  <m:sub>
                    <m:r>
                      <m:rPr>
                        <m:nor/>
                        <m:sty m:val="p"/>
                      </m:rPr>
                      <w:rPr>
                        <w:rFonts w:ascii="Times New Roman" w:hAnsi="Times New Roman"/>
                        <w:b w:val="0"/>
                        <w:i w:val="0"/>
                        <w:sz w:val="24"/>
                      </w:rPr>
                      <m:t>c</m:t>
                    </m:r>
                    <m:ctrlPr>
                      <w:rPr>
                        <w:rFonts w:ascii="Cambria Math" w:hAnsi="Cambria Math"/>
                        <w:i/>
                        <w:sz w:val="24"/>
                      </w:rPr>
                    </m:ctrlPr>
                  </m:sub>
                </m:sSub>
                <m:r>
                  <m:rPr>
                    <m:nor/>
                    <m:sty m:val="p"/>
                  </m:rPr>
                  <w:rPr>
                    <w:rFonts w:ascii="Times New Roman" w:hAnsi="Times New Roman"/>
                    <w:b w:val="0"/>
                    <w:i w:val="0"/>
                    <w:sz w:val="24"/>
                  </w:rPr>
                  <m:t>×T</m:t>
                </m:r>
              </m:oMath>
            </m:oMathPara>
          </w:p>
          <w:p w14:paraId="4B0DE570">
            <w:pPr>
              <w:spacing w:line="360" w:lineRule="auto"/>
              <w:rPr>
                <w:rFonts w:ascii="Times New Roman" w:hAnsi="Times New Roman"/>
                <w:sz w:val="24"/>
              </w:rPr>
            </w:pPr>
            <m:oMathPara>
              <m:oMathParaPr>
                <m:jc m:val="center"/>
              </m:oMathParaPr>
              <m:oMath>
                <m:sSub>
                  <m:sSubPr>
                    <m:ctrlPr>
                      <w:rPr>
                        <w:rFonts w:ascii="Cambria Math" w:hAnsi="Cambria Math"/>
                        <w:sz w:val="24"/>
                      </w:rPr>
                    </m:ctrlPr>
                  </m:sSubPr>
                  <m:e>
                    <m:r>
                      <m:rPr>
                        <m:nor/>
                        <m:sty m:val="p"/>
                      </m:rPr>
                      <w:rPr>
                        <w:rFonts w:ascii="Times New Roman" w:hAnsi="Times New Roman"/>
                        <w:b w:val="0"/>
                        <w:i w:val="0"/>
                        <w:sz w:val="24"/>
                      </w:rPr>
                      <m:t>E</m:t>
                    </m:r>
                    <m:ctrlPr>
                      <w:rPr>
                        <w:rFonts w:ascii="Cambria Math" w:hAnsi="Cambria Math"/>
                        <w:sz w:val="24"/>
                      </w:rPr>
                    </m:ctrlPr>
                  </m:e>
                  <m:sub>
                    <m:r>
                      <m:rPr>
                        <m:nor/>
                        <m:sty m:val="p"/>
                      </m:rPr>
                      <w:rPr>
                        <w:rFonts w:ascii="Times New Roman" w:hAnsi="Times New Roman"/>
                        <w:b w:val="0"/>
                        <w:i w:val="0"/>
                        <w:sz w:val="24"/>
                      </w:rPr>
                      <m:t>ci</m:t>
                    </m:r>
                    <m:ctrlPr>
                      <w:rPr>
                        <w:rFonts w:ascii="Cambria Math" w:hAnsi="Cambria Math"/>
                        <w:sz w:val="24"/>
                      </w:rPr>
                    </m:ctrlPr>
                  </m:sub>
                </m:sSub>
                <m:r>
                  <m:rPr>
                    <m:nor/>
                    <m:sty m:val="p"/>
                  </m:rPr>
                  <w:rPr>
                    <w:rFonts w:ascii="Times New Roman" w:hAnsi="Times New Roman"/>
                    <w:b w:val="0"/>
                    <w:i w:val="0"/>
                    <w:sz w:val="24"/>
                  </w:rPr>
                  <m:t>=2.69×</m:t>
                </m:r>
                <m:sSup>
                  <m:sSupPr>
                    <m:ctrlPr>
                      <w:rPr>
                        <w:rFonts w:ascii="Cambria Math" w:hAnsi="Cambria Math"/>
                        <w:sz w:val="24"/>
                      </w:rPr>
                    </m:ctrlPr>
                  </m:sSupPr>
                  <m:e>
                    <m:r>
                      <m:rPr>
                        <m:nor/>
                        <m:sty m:val="p"/>
                      </m:rPr>
                      <w:rPr>
                        <w:rFonts w:ascii="Times New Roman" w:hAnsi="Times New Roman"/>
                        <w:b w:val="0"/>
                        <w:i w:val="0"/>
                        <w:sz w:val="24"/>
                      </w:rPr>
                      <m:t>10</m:t>
                    </m:r>
                    <m:ctrlPr>
                      <w:rPr>
                        <w:rFonts w:ascii="Cambria Math" w:hAnsi="Cambria Math"/>
                        <w:sz w:val="24"/>
                      </w:rPr>
                    </m:ctrlPr>
                  </m:e>
                  <m:sup>
                    <m:r>
                      <m:rPr>
                        <m:nor/>
                        <m:sty m:val="p"/>
                      </m:rPr>
                      <w:rPr>
                        <w:rFonts w:ascii="Times New Roman" w:hAnsi="Times New Roman"/>
                        <w:b w:val="0"/>
                        <w:i w:val="0"/>
                        <w:sz w:val="24"/>
                      </w:rPr>
                      <m:t>-4</m:t>
                    </m:r>
                    <m:ctrlPr>
                      <w:rPr>
                        <w:rFonts w:ascii="Cambria Math" w:hAnsi="Cambria Math"/>
                        <w:sz w:val="24"/>
                      </w:rPr>
                    </m:ctrlPr>
                  </m:sup>
                </m:sSup>
                <m:r>
                  <m:rPr>
                    <m:nor/>
                    <m:sty m:val="p"/>
                  </m:rPr>
                  <w:rPr>
                    <w:rFonts w:ascii="Times New Roman" w:hAnsi="Times New Roman"/>
                    <w:b w:val="0"/>
                    <w:i w:val="0"/>
                    <w:sz w:val="24"/>
                  </w:rPr>
                  <m:t>×（1-η）</m:t>
                </m:r>
              </m:oMath>
            </m:oMathPara>
          </w:p>
          <w:p w14:paraId="5B645AD3">
            <w:pPr>
              <w:spacing w:line="360" w:lineRule="auto"/>
              <w:ind w:firstLine="480" w:firstLineChars="200"/>
              <w:rPr>
                <w:rFonts w:ascii="Times New Roman" w:hAnsi="Times New Roman"/>
                <w:sz w:val="24"/>
              </w:rPr>
            </w:pPr>
            <w:r>
              <w:rPr>
                <w:rFonts w:hint="eastAsia" w:ascii="Times New Roman" w:hAnsi="Times New Roman"/>
                <w:sz w:val="24"/>
              </w:rPr>
              <w:t>式中：W</w:t>
            </w:r>
            <w:r>
              <w:rPr>
                <w:rFonts w:hint="eastAsia" w:ascii="Times New Roman" w:hAnsi="Times New Roman"/>
                <w:sz w:val="24"/>
                <w:vertAlign w:val="subscript"/>
              </w:rPr>
              <w:t>ci</w:t>
            </w:r>
            <w:r>
              <w:rPr>
                <w:rFonts w:hint="eastAsia" w:ascii="Times New Roman" w:hAnsi="Times New Roman"/>
                <w:sz w:val="24"/>
              </w:rPr>
              <w:t>—施工扬尘源中PM</w:t>
            </w:r>
            <w:r>
              <w:rPr>
                <w:rFonts w:hint="eastAsia" w:ascii="Times New Roman" w:hAnsi="Times New Roman"/>
                <w:sz w:val="24"/>
                <w:vertAlign w:val="subscript"/>
              </w:rPr>
              <w:t>i</w:t>
            </w:r>
            <w:r>
              <w:rPr>
                <w:rFonts w:hint="eastAsia" w:ascii="Times New Roman" w:hAnsi="Times New Roman"/>
                <w:sz w:val="24"/>
              </w:rPr>
              <w:t>总排放量，t/a；</w:t>
            </w:r>
          </w:p>
          <w:p w14:paraId="7BB88EBA">
            <w:pPr>
              <w:spacing w:line="360" w:lineRule="auto"/>
              <w:ind w:firstLine="1200" w:firstLineChars="500"/>
              <w:rPr>
                <w:rFonts w:ascii="Times New Roman" w:hAnsi="Times New Roman"/>
                <w:sz w:val="24"/>
              </w:rPr>
            </w:pPr>
            <w:r>
              <w:rPr>
                <w:rFonts w:hint="eastAsia" w:ascii="Times New Roman" w:hAnsi="Times New Roman"/>
                <w:sz w:val="24"/>
              </w:rPr>
              <w:t>E</w:t>
            </w:r>
            <w:r>
              <w:rPr>
                <w:rFonts w:hint="eastAsia" w:ascii="Times New Roman" w:hAnsi="Times New Roman"/>
                <w:sz w:val="24"/>
                <w:vertAlign w:val="subscript"/>
              </w:rPr>
              <w:t>ci</w:t>
            </w:r>
            <w:r>
              <w:rPr>
                <w:rFonts w:hint="eastAsia" w:ascii="Times New Roman" w:hAnsi="Times New Roman"/>
                <w:sz w:val="24"/>
              </w:rPr>
              <w:t>—整个施工工地PM</w:t>
            </w:r>
            <w:r>
              <w:rPr>
                <w:rFonts w:hint="eastAsia" w:ascii="Times New Roman" w:hAnsi="Times New Roman"/>
                <w:sz w:val="24"/>
                <w:vertAlign w:val="subscript"/>
              </w:rPr>
              <w:t>i</w:t>
            </w:r>
            <w:r>
              <w:rPr>
                <w:rFonts w:hint="eastAsia" w:ascii="Times New Roman" w:hAnsi="Times New Roman"/>
                <w:sz w:val="24"/>
              </w:rPr>
              <w:t>的平均排放系数，t/（m</w:t>
            </w:r>
            <w:r>
              <w:rPr>
                <w:rFonts w:hint="eastAsia" w:ascii="Times New Roman" w:hAnsi="Times New Roman"/>
                <w:sz w:val="24"/>
                <w:vertAlign w:val="superscript"/>
              </w:rPr>
              <w:t>2</w:t>
            </w:r>
            <w:r>
              <w:rPr>
                <w:rFonts w:hint="eastAsia" w:ascii="Times New Roman" w:hAnsi="Times New Roman"/>
                <w:sz w:val="24"/>
              </w:rPr>
              <w:t>·月）；</w:t>
            </w:r>
          </w:p>
          <w:p w14:paraId="71BA8E63">
            <w:pPr>
              <w:spacing w:line="360" w:lineRule="auto"/>
              <w:ind w:firstLine="1200" w:firstLineChars="500"/>
              <w:rPr>
                <w:rFonts w:ascii="Times New Roman" w:hAnsi="Times New Roman"/>
                <w:sz w:val="24"/>
              </w:rPr>
            </w:pPr>
            <w:r>
              <w:rPr>
                <w:rFonts w:hint="eastAsia" w:ascii="Times New Roman" w:hAnsi="Times New Roman"/>
                <w:sz w:val="24"/>
              </w:rPr>
              <w:t>A</w:t>
            </w:r>
            <w:r>
              <w:rPr>
                <w:rFonts w:hint="eastAsia" w:ascii="Times New Roman" w:hAnsi="Times New Roman"/>
                <w:sz w:val="24"/>
                <w:vertAlign w:val="subscript"/>
              </w:rPr>
              <w:t>c</w:t>
            </w:r>
            <w:r>
              <w:rPr>
                <w:rFonts w:hint="eastAsia" w:ascii="Times New Roman" w:hAnsi="Times New Roman"/>
                <w:sz w:val="24"/>
              </w:rPr>
              <w:t>—施工区域面积，m</w:t>
            </w:r>
            <w:r>
              <w:rPr>
                <w:rFonts w:hint="eastAsia" w:ascii="Times New Roman" w:hAnsi="Times New Roman"/>
                <w:sz w:val="24"/>
                <w:vertAlign w:val="superscript"/>
              </w:rPr>
              <w:t>2</w:t>
            </w:r>
            <w:r>
              <w:rPr>
                <w:rFonts w:hint="eastAsia" w:ascii="Times New Roman" w:hAnsi="Times New Roman"/>
                <w:sz w:val="24"/>
              </w:rPr>
              <w:t>；</w:t>
            </w:r>
          </w:p>
          <w:p w14:paraId="4D83AB35">
            <w:pPr>
              <w:spacing w:line="360" w:lineRule="auto"/>
              <w:ind w:firstLine="1200" w:firstLineChars="500"/>
              <w:rPr>
                <w:rFonts w:ascii="Times New Roman" w:hAnsi="Times New Roman"/>
                <w:sz w:val="24"/>
              </w:rPr>
            </w:pPr>
            <w:r>
              <w:rPr>
                <w:rFonts w:hint="eastAsia" w:ascii="Times New Roman" w:hAnsi="Times New Roman"/>
                <w:sz w:val="24"/>
              </w:rPr>
              <w:t>T—工地的施工月份，一般按施工天数/30计算；</w:t>
            </w:r>
          </w:p>
          <w:p w14:paraId="1AACDA59">
            <w:pPr>
              <w:spacing w:line="360" w:lineRule="auto"/>
              <w:ind w:firstLine="1200" w:firstLineChars="500"/>
              <w:rPr>
                <w:rFonts w:ascii="Times New Roman" w:hAnsi="Times New Roman"/>
                <w:sz w:val="24"/>
              </w:rPr>
            </w:pPr>
            <w:r>
              <w:rPr>
                <w:rFonts w:hint="eastAsia" w:ascii="Times New Roman" w:hAnsi="Times New Roman"/>
                <w:sz w:val="24"/>
              </w:rPr>
              <w:t>η—污染控制技术对扬尘的去处效率，%。</w:t>
            </w:r>
          </w:p>
          <w:p w14:paraId="7EAECCBA">
            <w:pPr>
              <w:spacing w:line="360" w:lineRule="auto"/>
              <w:ind w:firstLine="480" w:firstLineChars="200"/>
              <w:rPr>
                <w:rFonts w:ascii="Times New Roman" w:hAnsi="Times New Roman"/>
                <w:sz w:val="24"/>
              </w:rPr>
            </w:pPr>
            <w:r>
              <w:rPr>
                <w:rFonts w:hint="eastAsia" w:cs="Times New Roman"/>
                <w:color w:val="auto"/>
                <w:sz w:val="24"/>
                <w:highlight w:val="none"/>
                <w:lang w:eastAsia="zh-CN"/>
              </w:rPr>
              <w:t>各类控制效见下表。</w:t>
            </w:r>
            <w:r>
              <w:rPr>
                <w:rFonts w:hint="eastAsia" w:ascii="Times New Roman" w:hAnsi="Times New Roman"/>
                <w:sz w:val="24"/>
              </w:rPr>
              <w:t>本项目通过路面硬化和洒水降尘、加设防尘网、覆盖防尘布及在周围设置围挡等多种措施同时对产生的扬尘进行防治，计算取控制效率最大值，即TSP为96%、PM</w:t>
            </w:r>
            <w:r>
              <w:rPr>
                <w:rFonts w:hint="eastAsia" w:ascii="Times New Roman" w:hAnsi="Times New Roman"/>
                <w:sz w:val="24"/>
                <w:vertAlign w:val="subscript"/>
              </w:rPr>
              <w:t>10</w:t>
            </w:r>
            <w:r>
              <w:rPr>
                <w:rFonts w:hint="eastAsia" w:ascii="Times New Roman" w:hAnsi="Times New Roman"/>
                <w:sz w:val="24"/>
              </w:rPr>
              <w:t>为80%、PM</w:t>
            </w:r>
            <w:r>
              <w:rPr>
                <w:rFonts w:hint="eastAsia" w:ascii="Times New Roman" w:hAnsi="Times New Roman"/>
                <w:sz w:val="24"/>
                <w:vertAlign w:val="subscript"/>
              </w:rPr>
              <w:t>2.5</w:t>
            </w:r>
            <w:r>
              <w:rPr>
                <w:rFonts w:hint="eastAsia" w:ascii="Times New Roman" w:hAnsi="Times New Roman"/>
                <w:sz w:val="24"/>
              </w:rPr>
              <w:t>为67%。</w:t>
            </w:r>
          </w:p>
          <w:p w14:paraId="11559319">
            <w:pPr>
              <w:spacing w:line="360" w:lineRule="auto"/>
              <w:jc w:val="center"/>
              <w:rPr>
                <w:rFonts w:ascii="Times New Roman" w:hAnsi="Times New Roman"/>
                <w:b/>
                <w:sz w:val="24"/>
              </w:rPr>
            </w:pPr>
            <w:r>
              <w:rPr>
                <w:rFonts w:hint="eastAsia" w:ascii="Times New Roman" w:hAnsi="Times New Roman"/>
                <w:b/>
                <w:sz w:val="24"/>
              </w:rPr>
              <w:t>表5-</w:t>
            </w:r>
            <w:r>
              <w:rPr>
                <w:rFonts w:hint="eastAsia"/>
                <w:b/>
                <w:sz w:val="24"/>
                <w:lang w:val="en-US" w:eastAsia="zh-CN"/>
              </w:rPr>
              <w:t>2</w:t>
            </w:r>
            <w:r>
              <w:rPr>
                <w:rFonts w:hint="eastAsia" w:ascii="Times New Roman" w:hAnsi="Times New Roman"/>
                <w:b/>
                <w:sz w:val="24"/>
              </w:rPr>
              <w:t xml:space="preserve">  施工扬尘控制措施的控制效率</w:t>
            </w:r>
          </w:p>
          <w:tbl>
            <w:tblPr>
              <w:tblStyle w:val="16"/>
              <w:tblW w:w="83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7"/>
              <w:gridCol w:w="3103"/>
              <w:gridCol w:w="1268"/>
              <w:gridCol w:w="1141"/>
              <w:gridCol w:w="1160"/>
            </w:tblGrid>
            <w:tr w14:paraId="75BE4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4770" w:type="dxa"/>
                  <w:gridSpan w:val="2"/>
                  <w:vMerge w:val="restart"/>
                  <w:vAlign w:val="center"/>
                </w:tcPr>
                <w:p w14:paraId="3DD038F7">
                  <w:pPr>
                    <w:spacing w:line="240" w:lineRule="auto"/>
                    <w:jc w:val="center"/>
                    <w:rPr>
                      <w:rFonts w:ascii="Times New Roman" w:hAnsi="Times New Roman"/>
                      <w:sz w:val="21"/>
                      <w:szCs w:val="21"/>
                    </w:rPr>
                  </w:pPr>
                  <w:r>
                    <w:rPr>
                      <w:rFonts w:hint="eastAsia" w:ascii="Times New Roman" w:hAnsi="Times New Roman"/>
                      <w:sz w:val="21"/>
                      <w:szCs w:val="21"/>
                    </w:rPr>
                    <w:t>控制措施</w:t>
                  </w:r>
                </w:p>
              </w:tc>
              <w:tc>
                <w:tcPr>
                  <w:tcW w:w="3569" w:type="dxa"/>
                  <w:gridSpan w:val="3"/>
                  <w:vAlign w:val="center"/>
                </w:tcPr>
                <w:p w14:paraId="26861B48">
                  <w:pPr>
                    <w:spacing w:line="240" w:lineRule="auto"/>
                    <w:jc w:val="center"/>
                    <w:rPr>
                      <w:rFonts w:ascii="Times New Roman" w:hAnsi="Times New Roman"/>
                      <w:sz w:val="21"/>
                      <w:szCs w:val="21"/>
                    </w:rPr>
                  </w:pPr>
                  <w:r>
                    <w:rPr>
                      <w:rFonts w:hint="eastAsia" w:ascii="Times New Roman" w:hAnsi="Times New Roman"/>
                      <w:sz w:val="21"/>
                      <w:szCs w:val="21"/>
                    </w:rPr>
                    <w:t>控制效率</w:t>
                  </w:r>
                </w:p>
              </w:tc>
            </w:tr>
            <w:tr w14:paraId="57A57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4770" w:type="dxa"/>
                  <w:gridSpan w:val="2"/>
                  <w:vMerge w:val="continue"/>
                  <w:vAlign w:val="center"/>
                </w:tcPr>
                <w:p w14:paraId="75BFFA3B">
                  <w:pPr>
                    <w:spacing w:line="240" w:lineRule="auto"/>
                    <w:jc w:val="center"/>
                    <w:rPr>
                      <w:rFonts w:ascii="Times New Roman" w:hAnsi="Times New Roman"/>
                      <w:sz w:val="21"/>
                      <w:szCs w:val="21"/>
                    </w:rPr>
                  </w:pPr>
                </w:p>
              </w:tc>
              <w:tc>
                <w:tcPr>
                  <w:tcW w:w="1268" w:type="dxa"/>
                  <w:vAlign w:val="center"/>
                </w:tcPr>
                <w:p w14:paraId="3CB94834">
                  <w:pPr>
                    <w:spacing w:line="240" w:lineRule="auto"/>
                    <w:jc w:val="center"/>
                    <w:rPr>
                      <w:rFonts w:ascii="Times New Roman" w:hAnsi="Times New Roman"/>
                      <w:sz w:val="21"/>
                      <w:szCs w:val="21"/>
                    </w:rPr>
                  </w:pPr>
                  <w:r>
                    <w:rPr>
                      <w:rFonts w:hint="eastAsia" w:ascii="Times New Roman" w:hAnsi="Times New Roman"/>
                      <w:sz w:val="21"/>
                      <w:szCs w:val="21"/>
                    </w:rPr>
                    <w:t>TSP</w:t>
                  </w:r>
                </w:p>
              </w:tc>
              <w:tc>
                <w:tcPr>
                  <w:tcW w:w="1141" w:type="dxa"/>
                  <w:vAlign w:val="center"/>
                </w:tcPr>
                <w:p w14:paraId="52870BA8">
                  <w:pPr>
                    <w:spacing w:line="240" w:lineRule="auto"/>
                    <w:jc w:val="center"/>
                    <w:rPr>
                      <w:rFonts w:ascii="Times New Roman" w:hAnsi="Times New Roman"/>
                      <w:sz w:val="21"/>
                      <w:szCs w:val="21"/>
                    </w:rPr>
                  </w:pPr>
                  <w:r>
                    <w:rPr>
                      <w:rFonts w:hint="eastAsia" w:ascii="Times New Roman" w:hAnsi="Times New Roman"/>
                      <w:sz w:val="21"/>
                      <w:szCs w:val="21"/>
                    </w:rPr>
                    <w:t>PM</w:t>
                  </w:r>
                  <w:r>
                    <w:rPr>
                      <w:rFonts w:hint="eastAsia" w:ascii="Times New Roman" w:hAnsi="Times New Roman"/>
                      <w:sz w:val="21"/>
                      <w:szCs w:val="21"/>
                      <w:vertAlign w:val="subscript"/>
                    </w:rPr>
                    <w:t>10</w:t>
                  </w:r>
                </w:p>
              </w:tc>
              <w:tc>
                <w:tcPr>
                  <w:tcW w:w="1160" w:type="dxa"/>
                  <w:vAlign w:val="center"/>
                </w:tcPr>
                <w:p w14:paraId="7F1433E1">
                  <w:pPr>
                    <w:spacing w:line="240" w:lineRule="auto"/>
                    <w:jc w:val="center"/>
                    <w:rPr>
                      <w:rFonts w:ascii="Times New Roman" w:hAnsi="Times New Roman"/>
                      <w:sz w:val="21"/>
                      <w:szCs w:val="21"/>
                    </w:rPr>
                  </w:pPr>
                  <w:r>
                    <w:rPr>
                      <w:rFonts w:hint="eastAsia" w:ascii="Times New Roman" w:hAnsi="Times New Roman"/>
                      <w:sz w:val="21"/>
                      <w:szCs w:val="21"/>
                    </w:rPr>
                    <w:t>PM</w:t>
                  </w:r>
                  <w:r>
                    <w:rPr>
                      <w:rFonts w:hint="eastAsia" w:ascii="Times New Roman" w:hAnsi="Times New Roman"/>
                      <w:sz w:val="21"/>
                      <w:szCs w:val="21"/>
                      <w:vertAlign w:val="subscript"/>
                    </w:rPr>
                    <w:t>2.5</w:t>
                  </w:r>
                </w:p>
              </w:tc>
            </w:tr>
            <w:tr w14:paraId="4C4F2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1667" w:type="dxa"/>
                  <w:vAlign w:val="center"/>
                </w:tcPr>
                <w:p w14:paraId="12EF1DD8">
                  <w:pPr>
                    <w:spacing w:line="240" w:lineRule="auto"/>
                    <w:jc w:val="center"/>
                    <w:rPr>
                      <w:rFonts w:ascii="Times New Roman" w:hAnsi="Times New Roman"/>
                      <w:sz w:val="21"/>
                      <w:szCs w:val="21"/>
                    </w:rPr>
                  </w:pPr>
                  <w:r>
                    <w:rPr>
                      <w:rFonts w:hint="eastAsia" w:ascii="Times New Roman" w:hAnsi="Times New Roman"/>
                      <w:sz w:val="21"/>
                      <w:szCs w:val="21"/>
                    </w:rPr>
                    <w:t>路面铺装和洒水</w:t>
                  </w:r>
                </w:p>
              </w:tc>
              <w:tc>
                <w:tcPr>
                  <w:tcW w:w="3103" w:type="dxa"/>
                  <w:vAlign w:val="center"/>
                </w:tcPr>
                <w:p w14:paraId="60572264">
                  <w:pPr>
                    <w:spacing w:line="240" w:lineRule="auto"/>
                    <w:jc w:val="center"/>
                    <w:rPr>
                      <w:rFonts w:ascii="Times New Roman" w:hAnsi="Times New Roman"/>
                      <w:sz w:val="21"/>
                      <w:szCs w:val="21"/>
                    </w:rPr>
                  </w:pPr>
                  <w:r>
                    <w:rPr>
                      <w:rFonts w:hint="eastAsia" w:ascii="Times New Roman" w:hAnsi="Times New Roman"/>
                      <w:sz w:val="21"/>
                      <w:szCs w:val="21"/>
                    </w:rPr>
                    <w:t>铺装混凝土，洒水强度</w:t>
                  </w:r>
                </w:p>
                <w:p w14:paraId="713B8C16">
                  <w:pPr>
                    <w:spacing w:line="240" w:lineRule="auto"/>
                    <w:jc w:val="center"/>
                    <w:rPr>
                      <w:rFonts w:ascii="Times New Roman" w:hAnsi="Times New Roman"/>
                      <w:sz w:val="21"/>
                      <w:szCs w:val="21"/>
                    </w:rPr>
                  </w:pPr>
                  <w:r>
                    <w:rPr>
                      <w:rFonts w:hint="eastAsia" w:ascii="Times New Roman" w:hAnsi="Times New Roman"/>
                      <w:sz w:val="21"/>
                      <w:szCs w:val="21"/>
                    </w:rPr>
                    <w:t>（</w:t>
                  </w:r>
                  <w:r>
                    <w:rPr>
                      <w:rFonts w:ascii="Times New Roman" w:hAnsi="Times New Roman"/>
                      <w:sz w:val="21"/>
                      <w:szCs w:val="21"/>
                    </w:rPr>
                    <w:t>W</w:t>
                  </w:r>
                  <w:r>
                    <w:rPr>
                      <w:rFonts w:hint="eastAsia" w:ascii="Times New Roman" w:hAnsi="Times New Roman"/>
                      <w:sz w:val="21"/>
                      <w:szCs w:val="21"/>
                    </w:rPr>
                    <w:t>）</w:t>
                  </w:r>
                  <w:r>
                    <w:rPr>
                      <w:rFonts w:ascii="Times New Roman" w:hAnsi="Times New Roman"/>
                      <w:sz w:val="21"/>
                      <w:szCs w:val="21"/>
                    </w:rPr>
                    <w:t>=0.6mmH</w:t>
                  </w:r>
                  <w:r>
                    <w:rPr>
                      <w:rFonts w:ascii="Times New Roman" w:hAnsi="Times New Roman"/>
                      <w:sz w:val="21"/>
                      <w:szCs w:val="21"/>
                      <w:vertAlign w:val="subscript"/>
                    </w:rPr>
                    <w:t>2</w:t>
                  </w:r>
                  <w:r>
                    <w:rPr>
                      <w:rFonts w:ascii="Times New Roman" w:hAnsi="Times New Roman"/>
                      <w:sz w:val="21"/>
                      <w:szCs w:val="21"/>
                    </w:rPr>
                    <w:t>O/hr</w:t>
                  </w:r>
                </w:p>
              </w:tc>
              <w:tc>
                <w:tcPr>
                  <w:tcW w:w="1268" w:type="dxa"/>
                  <w:vAlign w:val="center"/>
                </w:tcPr>
                <w:p w14:paraId="1A19DD9D">
                  <w:pPr>
                    <w:spacing w:line="240" w:lineRule="auto"/>
                    <w:jc w:val="center"/>
                    <w:rPr>
                      <w:rFonts w:ascii="Times New Roman" w:hAnsi="Times New Roman"/>
                      <w:sz w:val="21"/>
                      <w:szCs w:val="21"/>
                    </w:rPr>
                  </w:pPr>
                  <w:r>
                    <w:rPr>
                      <w:rFonts w:hint="eastAsia" w:ascii="Times New Roman" w:hAnsi="Times New Roman"/>
                      <w:sz w:val="21"/>
                      <w:szCs w:val="21"/>
                    </w:rPr>
                    <w:t>96%</w:t>
                  </w:r>
                </w:p>
              </w:tc>
              <w:tc>
                <w:tcPr>
                  <w:tcW w:w="1141" w:type="dxa"/>
                  <w:vAlign w:val="center"/>
                </w:tcPr>
                <w:p w14:paraId="708531A0">
                  <w:pPr>
                    <w:spacing w:line="240" w:lineRule="auto"/>
                    <w:jc w:val="center"/>
                    <w:rPr>
                      <w:rFonts w:ascii="Times New Roman" w:hAnsi="Times New Roman"/>
                      <w:sz w:val="21"/>
                      <w:szCs w:val="21"/>
                    </w:rPr>
                  </w:pPr>
                  <w:r>
                    <w:rPr>
                      <w:rFonts w:hint="eastAsia" w:ascii="Times New Roman" w:hAnsi="Times New Roman"/>
                      <w:sz w:val="21"/>
                      <w:szCs w:val="21"/>
                    </w:rPr>
                    <w:t>80%</w:t>
                  </w:r>
                </w:p>
              </w:tc>
              <w:tc>
                <w:tcPr>
                  <w:tcW w:w="1160" w:type="dxa"/>
                  <w:vAlign w:val="center"/>
                </w:tcPr>
                <w:p w14:paraId="44EF68A3">
                  <w:pPr>
                    <w:spacing w:line="240" w:lineRule="auto"/>
                    <w:jc w:val="center"/>
                    <w:rPr>
                      <w:rFonts w:ascii="Times New Roman" w:hAnsi="Times New Roman"/>
                      <w:sz w:val="21"/>
                      <w:szCs w:val="21"/>
                    </w:rPr>
                  </w:pPr>
                  <w:r>
                    <w:rPr>
                      <w:rFonts w:hint="eastAsia" w:ascii="Times New Roman" w:hAnsi="Times New Roman"/>
                      <w:sz w:val="21"/>
                      <w:szCs w:val="21"/>
                    </w:rPr>
                    <w:t>67%</w:t>
                  </w:r>
                </w:p>
              </w:tc>
            </w:tr>
            <w:tr w14:paraId="685E8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667" w:type="dxa"/>
                  <w:vAlign w:val="center"/>
                </w:tcPr>
                <w:p w14:paraId="7083D011">
                  <w:pPr>
                    <w:spacing w:line="240" w:lineRule="auto"/>
                    <w:jc w:val="center"/>
                    <w:rPr>
                      <w:rFonts w:ascii="Times New Roman" w:hAnsi="Times New Roman"/>
                      <w:sz w:val="21"/>
                      <w:szCs w:val="21"/>
                    </w:rPr>
                  </w:pPr>
                  <w:r>
                    <w:rPr>
                      <w:rFonts w:hint="eastAsia" w:ascii="Times New Roman" w:hAnsi="Times New Roman"/>
                      <w:sz w:val="21"/>
                      <w:szCs w:val="21"/>
                    </w:rPr>
                    <w:t>覆盖防尘布</w:t>
                  </w:r>
                </w:p>
              </w:tc>
              <w:tc>
                <w:tcPr>
                  <w:tcW w:w="3103" w:type="dxa"/>
                  <w:vAlign w:val="center"/>
                </w:tcPr>
                <w:p w14:paraId="51BE23C2">
                  <w:pPr>
                    <w:spacing w:line="240" w:lineRule="auto"/>
                    <w:jc w:val="center"/>
                    <w:rPr>
                      <w:rFonts w:ascii="Times New Roman" w:hAnsi="Times New Roman"/>
                      <w:sz w:val="21"/>
                      <w:szCs w:val="21"/>
                    </w:rPr>
                  </w:pPr>
                  <w:r>
                    <w:rPr>
                      <w:rFonts w:hint="eastAsia" w:ascii="Times New Roman" w:hAnsi="Times New Roman"/>
                      <w:sz w:val="21"/>
                      <w:szCs w:val="21"/>
                    </w:rPr>
                    <w:t>高强度纤维织布密闭覆盖</w:t>
                  </w:r>
                </w:p>
              </w:tc>
              <w:tc>
                <w:tcPr>
                  <w:tcW w:w="1268" w:type="dxa"/>
                  <w:vAlign w:val="center"/>
                </w:tcPr>
                <w:p w14:paraId="7D9B5BF8">
                  <w:pPr>
                    <w:spacing w:line="240" w:lineRule="auto"/>
                    <w:jc w:val="center"/>
                    <w:rPr>
                      <w:rFonts w:ascii="Times New Roman" w:hAnsi="Times New Roman"/>
                      <w:sz w:val="21"/>
                      <w:szCs w:val="21"/>
                    </w:rPr>
                  </w:pPr>
                  <w:r>
                    <w:rPr>
                      <w:rFonts w:hint="eastAsia" w:ascii="Times New Roman" w:hAnsi="Times New Roman"/>
                      <w:sz w:val="21"/>
                      <w:szCs w:val="21"/>
                    </w:rPr>
                    <w:t>32%</w:t>
                  </w:r>
                </w:p>
              </w:tc>
              <w:tc>
                <w:tcPr>
                  <w:tcW w:w="1141" w:type="dxa"/>
                  <w:vAlign w:val="center"/>
                </w:tcPr>
                <w:p w14:paraId="2CEDD5AB">
                  <w:pPr>
                    <w:spacing w:line="240" w:lineRule="auto"/>
                    <w:jc w:val="center"/>
                    <w:rPr>
                      <w:rFonts w:ascii="Times New Roman" w:hAnsi="Times New Roman"/>
                      <w:sz w:val="21"/>
                      <w:szCs w:val="21"/>
                    </w:rPr>
                  </w:pPr>
                  <w:r>
                    <w:rPr>
                      <w:rFonts w:hint="eastAsia" w:ascii="Times New Roman" w:hAnsi="Times New Roman"/>
                      <w:sz w:val="21"/>
                      <w:szCs w:val="21"/>
                    </w:rPr>
                    <w:t>27%</w:t>
                  </w:r>
                </w:p>
              </w:tc>
              <w:tc>
                <w:tcPr>
                  <w:tcW w:w="1160" w:type="dxa"/>
                  <w:vAlign w:val="center"/>
                </w:tcPr>
                <w:p w14:paraId="01EA7BBB">
                  <w:pPr>
                    <w:spacing w:line="240" w:lineRule="auto"/>
                    <w:jc w:val="center"/>
                    <w:rPr>
                      <w:rFonts w:ascii="Times New Roman" w:hAnsi="Times New Roman"/>
                      <w:sz w:val="21"/>
                      <w:szCs w:val="21"/>
                    </w:rPr>
                  </w:pPr>
                  <w:r>
                    <w:rPr>
                      <w:rFonts w:hint="eastAsia" w:ascii="Times New Roman" w:hAnsi="Times New Roman"/>
                      <w:sz w:val="21"/>
                      <w:szCs w:val="21"/>
                    </w:rPr>
                    <w:t>22%</w:t>
                  </w:r>
                </w:p>
              </w:tc>
            </w:tr>
            <w:tr w14:paraId="5DB34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1667" w:type="dxa"/>
                  <w:vAlign w:val="center"/>
                </w:tcPr>
                <w:p w14:paraId="5571E4BA">
                  <w:pPr>
                    <w:spacing w:line="240" w:lineRule="auto"/>
                    <w:jc w:val="center"/>
                    <w:rPr>
                      <w:rFonts w:ascii="Times New Roman" w:hAnsi="Times New Roman"/>
                      <w:sz w:val="21"/>
                      <w:szCs w:val="21"/>
                    </w:rPr>
                  </w:pPr>
                  <w:r>
                    <w:rPr>
                      <w:rFonts w:hint="eastAsia" w:ascii="Times New Roman" w:hAnsi="Times New Roman"/>
                      <w:sz w:val="21"/>
                      <w:szCs w:val="21"/>
                    </w:rPr>
                    <w:t>围挡</w:t>
                  </w:r>
                </w:p>
              </w:tc>
              <w:tc>
                <w:tcPr>
                  <w:tcW w:w="3103" w:type="dxa"/>
                  <w:vAlign w:val="center"/>
                </w:tcPr>
                <w:p w14:paraId="570A836B">
                  <w:pPr>
                    <w:spacing w:line="240" w:lineRule="auto"/>
                    <w:jc w:val="center"/>
                    <w:rPr>
                      <w:rFonts w:ascii="Times New Roman" w:hAnsi="Times New Roman"/>
                      <w:sz w:val="21"/>
                      <w:szCs w:val="21"/>
                    </w:rPr>
                  </w:pPr>
                  <w:r>
                    <w:rPr>
                      <w:rFonts w:hint="eastAsia" w:ascii="Times New Roman" w:hAnsi="Times New Roman"/>
                      <w:sz w:val="21"/>
                      <w:szCs w:val="21"/>
                      <w:lang w:val="en-US" w:eastAsia="zh-CN"/>
                    </w:rPr>
                    <w:t>2.5</w:t>
                  </w:r>
                  <w:r>
                    <w:rPr>
                      <w:rFonts w:ascii="Times New Roman" w:hAnsi="Times New Roman"/>
                      <w:sz w:val="21"/>
                      <w:szCs w:val="21"/>
                    </w:rPr>
                    <w:t>m</w:t>
                  </w:r>
                  <w:r>
                    <w:rPr>
                      <w:rFonts w:hint="eastAsia" w:ascii="Times New Roman" w:hAnsi="Times New Roman"/>
                      <w:sz w:val="21"/>
                      <w:szCs w:val="21"/>
                    </w:rPr>
                    <w:t>硬质围挡</w:t>
                  </w:r>
                </w:p>
              </w:tc>
              <w:tc>
                <w:tcPr>
                  <w:tcW w:w="1268" w:type="dxa"/>
                  <w:vAlign w:val="center"/>
                </w:tcPr>
                <w:p w14:paraId="7BA23496">
                  <w:pPr>
                    <w:spacing w:line="240" w:lineRule="auto"/>
                    <w:jc w:val="center"/>
                    <w:rPr>
                      <w:rFonts w:ascii="Times New Roman" w:hAnsi="Times New Roman"/>
                      <w:sz w:val="21"/>
                      <w:szCs w:val="21"/>
                    </w:rPr>
                  </w:pPr>
                  <w:r>
                    <w:rPr>
                      <w:rFonts w:hint="eastAsia" w:ascii="Times New Roman" w:hAnsi="Times New Roman"/>
                      <w:sz w:val="21"/>
                      <w:szCs w:val="21"/>
                    </w:rPr>
                    <w:t>1</w:t>
                  </w:r>
                  <w:r>
                    <w:rPr>
                      <w:rFonts w:hint="eastAsia" w:ascii="Times New Roman" w:hAnsi="Times New Roman"/>
                      <w:sz w:val="21"/>
                      <w:szCs w:val="21"/>
                      <w:lang w:val="en-US" w:eastAsia="zh-CN"/>
                    </w:rPr>
                    <w:t>8</w:t>
                  </w:r>
                  <w:r>
                    <w:rPr>
                      <w:rFonts w:hint="eastAsia" w:ascii="Times New Roman" w:hAnsi="Times New Roman"/>
                      <w:sz w:val="21"/>
                      <w:szCs w:val="21"/>
                    </w:rPr>
                    <w:t>%</w:t>
                  </w:r>
                </w:p>
              </w:tc>
              <w:tc>
                <w:tcPr>
                  <w:tcW w:w="1141" w:type="dxa"/>
                  <w:vAlign w:val="center"/>
                </w:tcPr>
                <w:p w14:paraId="21BC1E53">
                  <w:pPr>
                    <w:spacing w:line="240" w:lineRule="auto"/>
                    <w:jc w:val="center"/>
                    <w:rPr>
                      <w:rFonts w:ascii="Times New Roman" w:hAnsi="Times New Roman"/>
                      <w:sz w:val="21"/>
                      <w:szCs w:val="21"/>
                    </w:rPr>
                  </w:pPr>
                  <w:r>
                    <w:rPr>
                      <w:rFonts w:hint="eastAsia" w:ascii="Times New Roman" w:hAnsi="Times New Roman"/>
                      <w:sz w:val="21"/>
                      <w:szCs w:val="21"/>
                    </w:rPr>
                    <w:t>1</w:t>
                  </w:r>
                  <w:r>
                    <w:rPr>
                      <w:rFonts w:hint="eastAsia" w:ascii="Times New Roman" w:hAnsi="Times New Roman"/>
                      <w:sz w:val="21"/>
                      <w:szCs w:val="21"/>
                      <w:lang w:val="en-US" w:eastAsia="zh-CN"/>
                    </w:rPr>
                    <w:t>5</w:t>
                  </w:r>
                  <w:r>
                    <w:rPr>
                      <w:rFonts w:hint="eastAsia" w:ascii="Times New Roman" w:hAnsi="Times New Roman"/>
                      <w:sz w:val="21"/>
                      <w:szCs w:val="21"/>
                    </w:rPr>
                    <w:t>%</w:t>
                  </w:r>
                </w:p>
              </w:tc>
              <w:tc>
                <w:tcPr>
                  <w:tcW w:w="1160" w:type="dxa"/>
                  <w:vAlign w:val="center"/>
                </w:tcPr>
                <w:p w14:paraId="3372A9E3">
                  <w:pPr>
                    <w:spacing w:line="240" w:lineRule="auto"/>
                    <w:jc w:val="center"/>
                    <w:rPr>
                      <w:rFonts w:ascii="Times New Roman" w:hAnsi="Times New Roman"/>
                      <w:sz w:val="21"/>
                      <w:szCs w:val="21"/>
                    </w:rPr>
                  </w:pPr>
                  <w:r>
                    <w:rPr>
                      <w:rFonts w:hint="eastAsia" w:ascii="Times New Roman" w:hAnsi="Times New Roman"/>
                      <w:sz w:val="21"/>
                      <w:szCs w:val="21"/>
                      <w:lang w:val="en-US" w:eastAsia="zh-CN"/>
                    </w:rPr>
                    <w:t>13</w:t>
                  </w:r>
                  <w:r>
                    <w:rPr>
                      <w:rFonts w:hint="eastAsia" w:ascii="Times New Roman" w:hAnsi="Times New Roman"/>
                      <w:sz w:val="21"/>
                      <w:szCs w:val="21"/>
                    </w:rPr>
                    <w:t>%</w:t>
                  </w:r>
                </w:p>
              </w:tc>
            </w:tr>
          </w:tbl>
          <w:p w14:paraId="760A6D05">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经计算可知：在施工过程中</w:t>
            </w:r>
            <w:r>
              <w:rPr>
                <w:rFonts w:hint="eastAsia" w:cs="Times New Roman"/>
                <w:color w:val="auto"/>
                <w:sz w:val="24"/>
                <w:highlight w:val="none"/>
                <w:lang w:val="en-US" w:eastAsia="zh-CN"/>
              </w:rPr>
              <w:t>TSP产生量为53.63t，PM</w:t>
            </w:r>
            <w:r>
              <w:rPr>
                <w:rFonts w:hint="eastAsia" w:cs="Times New Roman"/>
                <w:color w:val="auto"/>
                <w:sz w:val="24"/>
                <w:highlight w:val="none"/>
                <w:vertAlign w:val="subscript"/>
                <w:lang w:val="en-US" w:eastAsia="zh-CN"/>
              </w:rPr>
              <w:t>2.5</w:t>
            </w:r>
            <w:r>
              <w:rPr>
                <w:rFonts w:hint="eastAsia" w:cs="Times New Roman"/>
                <w:color w:val="auto"/>
                <w:sz w:val="24"/>
                <w:highlight w:val="none"/>
                <w:vertAlign w:val="baseline"/>
                <w:lang w:val="en-US" w:eastAsia="zh-CN"/>
              </w:rPr>
              <w:t>产生量为442.43t，PM</w:t>
            </w:r>
            <w:r>
              <w:rPr>
                <w:rFonts w:hint="eastAsia" w:cs="Times New Roman"/>
                <w:color w:val="auto"/>
                <w:sz w:val="24"/>
                <w:highlight w:val="none"/>
                <w:vertAlign w:val="subscript"/>
                <w:lang w:val="en-US" w:eastAsia="zh-CN"/>
              </w:rPr>
              <w:t>10</w:t>
            </w:r>
            <w:r>
              <w:rPr>
                <w:rFonts w:hint="eastAsia" w:cs="Times New Roman"/>
                <w:color w:val="auto"/>
                <w:sz w:val="24"/>
                <w:highlight w:val="none"/>
                <w:vertAlign w:val="baseline"/>
                <w:lang w:val="en-US" w:eastAsia="zh-CN"/>
              </w:rPr>
              <w:t>产生量为268.14t，则施工期产生的扬尘总量为764.2t。</w:t>
            </w:r>
          </w:p>
          <w:p w14:paraId="5429CE5D">
            <w:pPr>
              <w:numPr>
                <w:ilvl w:val="0"/>
                <w:numId w:val="26"/>
              </w:numPr>
              <w:adjustRightInd w:val="0"/>
              <w:snapToGrid w:val="0"/>
              <w:spacing w:line="360" w:lineRule="auto"/>
              <w:ind w:left="0" w:leftChars="0" w:firstLine="470" w:firstLineChars="196"/>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沥青烟</w:t>
            </w:r>
          </w:p>
          <w:p w14:paraId="470032C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项目全线采用沥青混凝土路面，</w:t>
            </w:r>
            <w:r>
              <w:rPr>
                <w:rFonts w:hint="default" w:ascii="Times New Roman" w:hAnsi="Times New Roman" w:eastAsia="宋体" w:cs="Times New Roman"/>
                <w:color w:val="000000"/>
                <w:kern w:val="0"/>
                <w:sz w:val="24"/>
                <w:szCs w:val="24"/>
                <w:lang w:val="en-US" w:eastAsia="zh-CN" w:bidi="ar"/>
              </w:rPr>
              <w:t>沥青混凝土运输过程中产生沥青烟，</w:t>
            </w:r>
            <w:r>
              <w:rPr>
                <w:rFonts w:hint="default" w:ascii="Times New Roman" w:hAnsi="Times New Roman" w:eastAsia="宋体" w:cs="Times New Roman"/>
                <w:color w:val="auto"/>
                <w:sz w:val="24"/>
                <w:szCs w:val="24"/>
                <w:highlight w:val="none"/>
              </w:rPr>
              <w:t>沥</w:t>
            </w:r>
            <w:r>
              <w:rPr>
                <w:rFonts w:hint="default" w:ascii="Times New Roman" w:hAnsi="Times New Roman" w:eastAsia="宋体" w:cs="Times New Roman"/>
                <w:color w:val="auto"/>
                <w:sz w:val="24"/>
                <w:highlight w:val="none"/>
              </w:rPr>
              <w:t>青铺摊过程中将产生少量的沥青烟。石油沥青是一种复杂的化学混合物，其成分随原油的来源及制造过程的不同有较大差别。就化合物而论，沥青中含有50多种有机化合物，而这些化合物或多或少都有毒性，其中有部分物质有致癌性。结合到道路建设的实际情况，有监测数据表明，沥青中释放出的有毒物质，随温度的降低数量减少</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sz w:val="24"/>
              </w:rPr>
              <w:t>根据大羊坊沥青混凝土搅拌站的现场检测结果可以推论在工程铺设沥青混凝土路面时，沥青烟是可以达标排放的</w:t>
            </w:r>
            <w:r>
              <w:rPr>
                <w:rFonts w:hint="default" w:ascii="Times New Roman" w:hAnsi="Times New Roman" w:cs="Times New Roman"/>
                <w:sz w:val="24"/>
                <w:lang w:eastAsia="zh-CN"/>
              </w:rPr>
              <w:t>，</w:t>
            </w:r>
            <w:r>
              <w:rPr>
                <w:rFonts w:hint="default" w:ascii="Times New Roman" w:hAnsi="Times New Roman" w:eastAsia="宋体" w:cs="Times New Roman"/>
                <w:color w:val="auto"/>
                <w:sz w:val="24"/>
                <w:highlight w:val="none"/>
              </w:rPr>
              <w:t>因此对大气环境影响范围一般比较小</w:t>
            </w:r>
            <w:r>
              <w:rPr>
                <w:rFonts w:hint="default" w:ascii="Times New Roman" w:hAnsi="Times New Roman" w:eastAsia="宋体" w:cs="Times New Roman"/>
                <w:color w:val="auto"/>
                <w:sz w:val="24"/>
                <w:highlight w:val="none"/>
                <w:lang w:eastAsia="zh-CN"/>
              </w:rPr>
              <w:t>。</w:t>
            </w:r>
          </w:p>
          <w:p w14:paraId="51435BCC">
            <w:pPr>
              <w:numPr>
                <w:ilvl w:val="0"/>
                <w:numId w:val="26"/>
              </w:numPr>
              <w:spacing w:line="360" w:lineRule="auto"/>
              <w:ind w:left="0" w:leftChars="0" w:firstLine="470" w:firstLineChars="196"/>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施工机械废气</w:t>
            </w:r>
          </w:p>
          <w:p w14:paraId="7388C957">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sz w:val="24"/>
              </w:rPr>
              <w:t>项目施工机械主要有装载机、平路机、压路机、推土机、挖掘机、摊铺机等</w:t>
            </w:r>
            <w:r>
              <w:rPr>
                <w:rFonts w:hint="default" w:ascii="Times New Roman" w:hAnsi="Times New Roman" w:cs="Times New Roman"/>
                <w:color w:val="auto"/>
                <w:sz w:val="24"/>
                <w:highlight w:val="none"/>
              </w:rPr>
              <w:t>，施工机械在运行过程中将产生NO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、CO等废气，会对周围环境空气产生一定程度的影响。从影响的时限来看，项目施工期影响是短时间的，随着施工期的结束而结束。</w:t>
            </w:r>
          </w:p>
          <w:p w14:paraId="6086DB53">
            <w:pPr>
              <w:numPr>
                <w:ilvl w:val="0"/>
                <w:numId w:val="0"/>
              </w:numPr>
              <w:adjustRightInd w:val="0"/>
              <w:snapToGrid w:val="0"/>
              <w:spacing w:line="360" w:lineRule="auto"/>
              <w:ind w:leftChars="0"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施工废水</w:t>
            </w:r>
          </w:p>
          <w:p w14:paraId="75D74B52">
            <w:pPr>
              <w:numPr>
                <w:ilvl w:val="0"/>
                <w:numId w:val="0"/>
              </w:numPr>
              <w:adjustRightInd w:val="0"/>
              <w:snapToGrid w:val="0"/>
              <w:spacing w:line="360" w:lineRule="auto"/>
              <w:ind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施工废水主要包括施工废水、施工人员生活污水</w:t>
            </w:r>
            <w:r>
              <w:rPr>
                <w:rFonts w:hint="eastAsia" w:cs="Times New Roman"/>
                <w:color w:val="auto"/>
                <w:sz w:val="24"/>
                <w:highlight w:val="none"/>
                <w:lang w:eastAsia="zh-CN"/>
              </w:rPr>
              <w:t>、雨水径流和跨水域路段施工</w:t>
            </w:r>
            <w:r>
              <w:rPr>
                <w:rFonts w:hint="default" w:ascii="Times New Roman" w:hAnsi="Times New Roman" w:cs="Times New Roman"/>
                <w:color w:val="auto"/>
                <w:sz w:val="24"/>
                <w:highlight w:val="none"/>
              </w:rPr>
              <w:t>废水</w:t>
            </w:r>
            <w:r>
              <w:rPr>
                <w:rFonts w:hint="eastAsia" w:cs="Times New Roman"/>
                <w:color w:val="auto"/>
                <w:sz w:val="24"/>
                <w:highlight w:val="none"/>
                <w:lang w:eastAsia="zh-CN"/>
              </w:rPr>
              <w:t>等</w:t>
            </w:r>
            <w:r>
              <w:rPr>
                <w:rFonts w:hint="default" w:ascii="Times New Roman" w:hAnsi="Times New Roman" w:cs="Times New Roman"/>
                <w:color w:val="auto"/>
                <w:sz w:val="24"/>
                <w:highlight w:val="none"/>
              </w:rPr>
              <w:t>。</w:t>
            </w:r>
          </w:p>
          <w:p w14:paraId="3B1CF676">
            <w:pPr>
              <w:numPr>
                <w:ilvl w:val="0"/>
                <w:numId w:val="27"/>
              </w:numPr>
              <w:adjustRightInd w:val="0"/>
              <w:snapToGrid w:val="0"/>
              <w:spacing w:line="360" w:lineRule="auto"/>
              <w:ind w:leftChars="0"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施工废水</w:t>
            </w:r>
          </w:p>
          <w:p w14:paraId="17CC5EB5">
            <w:pPr>
              <w:numPr>
                <w:ilvl w:val="0"/>
                <w:numId w:val="0"/>
              </w:num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废水主要是车辆、机械设备冲洗将产生少量冲洗废水，废水中主要污染物为COD、SS和石油类等，如果直接排入河道后，在枯水期将使河流水质的碱度和浑浊度增加，类比同类工程实测值，含油废水污染物石油类约1000mg/L，CODcr25～200mg/L，SS300～4000mg/L，需沉淀处理后回用；若直接排入水体，将对地表水环境产生明显的影响。为保护环境，</w:t>
            </w:r>
            <w:r>
              <w:rPr>
                <w:rFonts w:hint="eastAsia" w:cs="Times New Roman"/>
                <w:color w:val="auto"/>
                <w:sz w:val="24"/>
                <w:highlight w:val="none"/>
                <w:lang w:eastAsia="zh-CN"/>
              </w:rPr>
              <w:t>环评要求</w:t>
            </w:r>
            <w:r>
              <w:rPr>
                <w:rFonts w:hint="default" w:ascii="Times New Roman" w:hAnsi="Times New Roman" w:cs="Times New Roman"/>
                <w:color w:val="auto"/>
                <w:sz w:val="24"/>
                <w:highlight w:val="none"/>
              </w:rPr>
              <w:t>在施工场地内搭建临时的沉砂池，施工机械废水经沉淀后，回用于施工场地洒水降尘。</w:t>
            </w:r>
          </w:p>
          <w:p w14:paraId="7387440B">
            <w:pPr>
              <w:numPr>
                <w:ilvl w:val="0"/>
                <w:numId w:val="27"/>
              </w:numPr>
              <w:adjustRightInd w:val="0"/>
              <w:snapToGrid w:val="0"/>
              <w:spacing w:line="360" w:lineRule="auto"/>
              <w:ind w:left="0" w:leftChars="0" w:firstLine="480" w:firstLineChars="20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雨水径流</w:t>
            </w:r>
          </w:p>
          <w:p w14:paraId="4A2E8EF7">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路基施工过程中将开挖土石方，施工现场将堆土石方等，若遇雨天，裸露、松散的地表土层等在雨水冲刷下很容易形成地表径流，该径流为含泥沙废水。含泥沙废水携带有大量的泥沙，若进入附近水体，会使水体浑浊、水体中总悬浮物固体和溶解性总固体大量增加，从而降低水体水质，影响水体功能，该废水经沉砂池收集沉淀后，回用于项目区洒水降尘，回用不完的部分在申请《临时排水许可证》后，按</w:t>
            </w:r>
            <w:r>
              <w:rPr>
                <w:rFonts w:hint="eastAsia" w:cs="Times New Roman"/>
                <w:color w:val="auto"/>
                <w:sz w:val="24"/>
                <w:highlight w:val="none"/>
                <w:lang w:val="en-US" w:eastAsia="zh-CN"/>
              </w:rPr>
              <w:t>照</w:t>
            </w:r>
            <w:r>
              <w:rPr>
                <w:rFonts w:hint="default" w:ascii="Times New Roman" w:hAnsi="Times New Roman" w:cs="Times New Roman"/>
                <w:color w:val="auto"/>
                <w:sz w:val="24"/>
                <w:highlight w:val="none"/>
              </w:rPr>
              <w:t>排水部门指定的排水方式及排放口进行排放，防止道路建设对地表水体产生的不利影响。有效控制对水环境影响。</w:t>
            </w:r>
          </w:p>
          <w:p w14:paraId="00DE05E7">
            <w:pPr>
              <w:numPr>
                <w:ilvl w:val="0"/>
                <w:numId w:val="27"/>
              </w:numPr>
              <w:adjustRightInd w:val="0"/>
              <w:snapToGrid w:val="0"/>
              <w:spacing w:line="360" w:lineRule="auto"/>
              <w:ind w:left="0" w:leftChars="0" w:firstLine="480" w:firstLineChars="20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施工人员生活污水</w:t>
            </w:r>
          </w:p>
          <w:p w14:paraId="33C15204">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施工人员均不在营地内食宿，共安排2人对施工机械设备轮流看护，生活污水量较少，日常生活主要使用区域内现有设施。生活污水中主要的污染物有BOD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、COD</w:t>
            </w:r>
            <w:r>
              <w:rPr>
                <w:rFonts w:hint="default" w:ascii="Times New Roman" w:hAnsi="Times New Roman" w:cs="Times New Roman"/>
                <w:color w:val="auto"/>
                <w:sz w:val="24"/>
                <w:highlight w:val="none"/>
                <w:vertAlign w:val="subscript"/>
              </w:rPr>
              <w:t>Cr</w:t>
            </w:r>
            <w:r>
              <w:rPr>
                <w:rFonts w:hint="default" w:ascii="Times New Roman" w:hAnsi="Times New Roman" w:cs="Times New Roman"/>
                <w:color w:val="auto"/>
                <w:sz w:val="24"/>
                <w:highlight w:val="none"/>
              </w:rPr>
              <w:t>、TN、TP、油脂等；未经处理的生活废水中污染物浓度为：CODcr400mg/L，BOD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200mg/L，SS500mg/L。高峰期进驻施工人员约为</w:t>
            </w:r>
            <w:r>
              <w:rPr>
                <w:rFonts w:hint="default" w:ascii="Times New Roman" w:hAnsi="Times New Roman" w:cs="Times New Roman"/>
                <w:color w:val="auto"/>
                <w:sz w:val="24"/>
                <w:highlight w:val="none"/>
                <w:lang w:val="en-US" w:eastAsia="zh-CN"/>
              </w:rPr>
              <w:t>40</w:t>
            </w:r>
            <w:r>
              <w:rPr>
                <w:rFonts w:hint="default" w:ascii="Times New Roman" w:hAnsi="Times New Roman" w:cs="Times New Roman"/>
                <w:color w:val="auto"/>
                <w:sz w:val="24"/>
                <w:highlight w:val="none"/>
              </w:rPr>
              <w:t>人，参照《云南省地方标准用水定额》</w:t>
            </w:r>
            <w:r>
              <w:rPr>
                <w:rFonts w:hint="eastAsia" w:cs="Times New Roman"/>
                <w:color w:val="auto"/>
                <w:sz w:val="24"/>
                <w:highlight w:val="none"/>
                <w:lang w:eastAsia="zh-CN"/>
              </w:rPr>
              <w:t>（</w:t>
            </w:r>
            <w:r>
              <w:rPr>
                <w:rFonts w:hint="eastAsia" w:cs="Times New Roman"/>
                <w:color w:val="auto"/>
                <w:sz w:val="24"/>
                <w:highlight w:val="none"/>
                <w:lang w:val="en-US" w:eastAsia="zh-CN"/>
              </w:rPr>
              <w:t>DB53/T168-2019</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，综合考虑施工人员生活简易，平均每人每天用水取值20L，高峰期生活用水量约为</w:t>
            </w:r>
            <w:r>
              <w:rPr>
                <w:rFonts w:hint="default" w:ascii="Times New Roman" w:hAnsi="Times New Roman" w:cs="Times New Roman"/>
                <w:color w:val="auto"/>
                <w:sz w:val="24"/>
                <w:highlight w:val="none"/>
                <w:lang w:val="en-US" w:eastAsia="zh-CN"/>
              </w:rPr>
              <w:t>0.8</w:t>
            </w:r>
            <w:r>
              <w:rPr>
                <w:rFonts w:hint="default" w:ascii="Times New Roman" w:hAnsi="Times New Roman" w:cs="Times New Roman"/>
                <w:color w:val="auto"/>
                <w:sz w:val="24"/>
                <w:highlight w:val="none"/>
              </w:rPr>
              <w:t>t/d，污水排放系数取0.85，</w:t>
            </w:r>
            <w:bookmarkStart w:id="6" w:name="OLE_LINK15"/>
            <w:r>
              <w:rPr>
                <w:rFonts w:hint="default" w:ascii="Times New Roman" w:hAnsi="Times New Roman" w:cs="Times New Roman"/>
                <w:color w:val="auto"/>
                <w:sz w:val="24"/>
                <w:highlight w:val="none"/>
              </w:rPr>
              <w:t>则</w:t>
            </w:r>
            <w:bookmarkStart w:id="7" w:name="OLE_LINK14"/>
            <w:r>
              <w:rPr>
                <w:rFonts w:hint="default" w:ascii="Times New Roman" w:hAnsi="Times New Roman" w:cs="Times New Roman"/>
                <w:color w:val="auto"/>
                <w:sz w:val="24"/>
                <w:highlight w:val="none"/>
              </w:rPr>
              <w:t>高峰期生活污水量约为</w:t>
            </w:r>
            <w:r>
              <w:rPr>
                <w:rFonts w:hint="default" w:ascii="Times New Roman" w:hAnsi="Times New Roman" w:cs="Times New Roman"/>
                <w:color w:val="auto"/>
                <w:sz w:val="24"/>
                <w:highlight w:val="none"/>
                <w:lang w:val="en-US" w:eastAsia="zh-CN"/>
              </w:rPr>
              <w:t>0.68</w:t>
            </w:r>
            <w:r>
              <w:rPr>
                <w:rFonts w:hint="default" w:ascii="Times New Roman" w:hAnsi="Times New Roman" w:cs="Times New Roman"/>
                <w:color w:val="auto"/>
                <w:sz w:val="24"/>
                <w:highlight w:val="none"/>
              </w:rPr>
              <w:t>t/d</w:t>
            </w:r>
            <w:bookmarkEnd w:id="6"/>
            <w:bookmarkEnd w:id="7"/>
            <w:r>
              <w:rPr>
                <w:rFonts w:hint="default" w:ascii="Times New Roman" w:hAnsi="Times New Roman" w:cs="Times New Roman"/>
                <w:color w:val="auto"/>
                <w:sz w:val="24"/>
                <w:highlight w:val="none"/>
              </w:rPr>
              <w:t>，项目施工期为1</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个月，则项目施工期员工生活废水产生总量约为</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48.2</w:t>
            </w:r>
            <w:r>
              <w:rPr>
                <w:rFonts w:hint="default" w:ascii="Times New Roman" w:hAnsi="Times New Roman" w:cs="Times New Roman"/>
                <w:color w:val="auto"/>
                <w:sz w:val="24"/>
                <w:highlight w:val="none"/>
              </w:rPr>
              <w:t>t，</w:t>
            </w:r>
            <w:bookmarkStart w:id="8" w:name="OLE_LINK16"/>
            <w:r>
              <w:rPr>
                <w:rFonts w:hint="default" w:ascii="Times New Roman" w:hAnsi="Times New Roman" w:cs="Times New Roman"/>
                <w:color w:val="auto"/>
                <w:sz w:val="24"/>
                <w:highlight w:val="none"/>
              </w:rPr>
              <w:t>施工人员生活污水经临时沉砂池收集沉淀后，回用于场地洒水降尘，不外排</w:t>
            </w:r>
            <w:bookmarkEnd w:id="8"/>
            <w:r>
              <w:rPr>
                <w:rFonts w:hint="default" w:ascii="Times New Roman" w:hAnsi="Times New Roman" w:cs="Times New Roman"/>
                <w:color w:val="auto"/>
                <w:sz w:val="24"/>
                <w:highlight w:val="none"/>
              </w:rPr>
              <w:t>。</w:t>
            </w:r>
          </w:p>
          <w:p w14:paraId="5A84AA40">
            <w:pPr>
              <w:numPr>
                <w:ilvl w:val="0"/>
                <w:numId w:val="27"/>
              </w:numPr>
              <w:adjustRightInd w:val="0"/>
              <w:snapToGrid w:val="0"/>
              <w:spacing w:line="360" w:lineRule="auto"/>
              <w:ind w:left="0" w:leftChars="0" w:firstLine="480" w:firstLineChars="200"/>
              <w:rPr>
                <w:rFonts w:hint="eastAsia" w:cs="Times New Roman"/>
                <w:color w:val="auto"/>
                <w:sz w:val="24"/>
                <w:highlight w:val="none"/>
                <w:lang w:eastAsia="zh-CN"/>
              </w:rPr>
            </w:pPr>
            <w:r>
              <w:rPr>
                <w:rFonts w:hint="eastAsia" w:cs="Times New Roman"/>
                <w:color w:val="auto"/>
                <w:sz w:val="24"/>
                <w:highlight w:val="none"/>
                <w:lang w:eastAsia="zh-CN"/>
              </w:rPr>
              <w:t>跨水域路段施工废水</w:t>
            </w:r>
          </w:p>
          <w:p w14:paraId="359731FC">
            <w:pPr>
              <w:keepNext w:val="0"/>
              <w:keepLines w:val="0"/>
              <w:widowControl/>
              <w:suppressLineNumbers w:val="0"/>
              <w:spacing w:line="360" w:lineRule="auto"/>
              <w:ind w:firstLine="480" w:firstLineChars="200"/>
              <w:jc w:val="left"/>
              <w:rPr>
                <w:rFonts w:hint="eastAsia" w:ascii="Times New Roman" w:hAnsi="Times New Roman"/>
                <w:sz w:val="24"/>
                <w:lang w:eastAsia="zh-CN"/>
              </w:rPr>
            </w:pPr>
            <w:r>
              <w:rPr>
                <w:rFonts w:hint="eastAsia" w:cs="Times New Roman"/>
                <w:color w:val="auto"/>
                <w:sz w:val="24"/>
                <w:highlight w:val="none"/>
                <w:lang w:eastAsia="zh-CN"/>
              </w:rPr>
              <w:t>本项目道路与多条规划及现状河道相交，由于河流规模较小，本项目桥梁施工无水下桥墩，</w:t>
            </w:r>
            <w:r>
              <w:rPr>
                <w:rFonts w:ascii="Times New Roman" w:hAnsi="Times New Roman"/>
                <w:sz w:val="24"/>
              </w:rPr>
              <w:t>桥梁下部施工不会直接扰动地表水体，</w:t>
            </w:r>
            <w:r>
              <w:rPr>
                <w:rFonts w:hint="eastAsia" w:ascii="Times New Roman" w:hAnsi="Times New Roman"/>
                <w:sz w:val="24"/>
                <w:lang w:eastAsia="zh-CN"/>
              </w:rPr>
              <w:t>桥梁上部分采用</w:t>
            </w:r>
            <w:r>
              <w:rPr>
                <w:rFonts w:ascii="宋体" w:hAnsi="宋体" w:eastAsia="宋体" w:cs="宋体"/>
                <w:color w:val="000000"/>
                <w:kern w:val="0"/>
                <w:sz w:val="24"/>
                <w:szCs w:val="24"/>
                <w:lang w:val="en-US" w:eastAsia="zh-CN" w:bidi="ar"/>
              </w:rPr>
              <w:t>装配式部分预应力混凝土箱梁</w:t>
            </w:r>
            <w:r>
              <w:rPr>
                <w:rFonts w:hint="eastAsia" w:ascii="宋体" w:hAnsi="宋体" w:eastAsia="宋体" w:cs="宋体"/>
                <w:color w:val="000000"/>
                <w:kern w:val="0"/>
                <w:sz w:val="24"/>
                <w:szCs w:val="24"/>
                <w:lang w:val="en-US" w:eastAsia="zh-CN" w:bidi="ar"/>
              </w:rPr>
              <w:t>，直接从厂家购买。在桥梁</w:t>
            </w:r>
            <w:r>
              <w:rPr>
                <w:rFonts w:ascii="Times New Roman" w:hAnsi="Times New Roman"/>
                <w:sz w:val="24"/>
              </w:rPr>
              <w:t>施工</w:t>
            </w:r>
            <w:r>
              <w:rPr>
                <w:rFonts w:hint="eastAsia" w:ascii="Times New Roman" w:hAnsi="Times New Roman"/>
                <w:sz w:val="24"/>
                <w:lang w:eastAsia="zh-CN"/>
              </w:rPr>
              <w:t>过程</w:t>
            </w:r>
            <w:r>
              <w:rPr>
                <w:rFonts w:ascii="Times New Roman" w:hAnsi="Times New Roman"/>
                <w:sz w:val="24"/>
              </w:rPr>
              <w:t>中有少</w:t>
            </w:r>
            <w:r>
              <w:rPr>
                <w:rFonts w:hint="eastAsia" w:ascii="Times New Roman" w:hAnsi="Times New Roman"/>
                <w:sz w:val="24"/>
                <w:lang w:eastAsia="zh-CN"/>
              </w:rPr>
              <w:t>量</w:t>
            </w:r>
            <w:r>
              <w:rPr>
                <w:rFonts w:ascii="Times New Roman" w:hAnsi="Times New Roman"/>
                <w:sz w:val="24"/>
              </w:rPr>
              <w:t>泥浆和</w:t>
            </w:r>
            <w:r>
              <w:rPr>
                <w:rFonts w:hint="eastAsia" w:ascii="Times New Roman" w:hAnsi="Times New Roman"/>
                <w:sz w:val="24"/>
                <w:lang w:eastAsia="zh-CN"/>
              </w:rPr>
              <w:t>施工</w:t>
            </w:r>
            <w:r>
              <w:rPr>
                <w:rFonts w:ascii="Times New Roman" w:hAnsi="Times New Roman"/>
                <w:sz w:val="24"/>
              </w:rPr>
              <w:t>废水产生，</w:t>
            </w:r>
            <w:r>
              <w:rPr>
                <w:rFonts w:hint="eastAsia" w:ascii="Times New Roman" w:hAnsi="Times New Roman"/>
                <w:sz w:val="24"/>
                <w:lang w:eastAsia="zh-CN"/>
              </w:rPr>
              <w:t>桥梁</w:t>
            </w:r>
            <w:r>
              <w:rPr>
                <w:rFonts w:ascii="Times New Roman" w:hAnsi="Times New Roman"/>
                <w:sz w:val="24"/>
              </w:rPr>
              <w:t>所</w:t>
            </w:r>
            <w:r>
              <w:rPr>
                <w:rFonts w:hint="eastAsia" w:ascii="Times New Roman" w:hAnsi="Times New Roman"/>
                <w:sz w:val="24"/>
                <w:lang w:eastAsia="zh-CN"/>
              </w:rPr>
              <w:t>产生</w:t>
            </w:r>
            <w:r>
              <w:rPr>
                <w:rFonts w:ascii="Times New Roman" w:hAnsi="Times New Roman"/>
                <w:sz w:val="24"/>
              </w:rPr>
              <w:t>的泥浆</w:t>
            </w:r>
            <w:r>
              <w:rPr>
                <w:rFonts w:hint="eastAsia" w:ascii="Times New Roman" w:hAnsi="Times New Roman"/>
                <w:sz w:val="24"/>
                <w:lang w:eastAsia="zh-CN"/>
              </w:rPr>
              <w:t>和施工废水</w:t>
            </w:r>
            <w:r>
              <w:rPr>
                <w:rFonts w:ascii="Times New Roman" w:hAnsi="Times New Roman"/>
                <w:sz w:val="24"/>
              </w:rPr>
              <w:t>收集</w:t>
            </w:r>
            <w:r>
              <w:rPr>
                <w:rFonts w:hint="eastAsia" w:ascii="Times New Roman" w:hAnsi="Times New Roman"/>
                <w:sz w:val="24"/>
                <w:lang w:eastAsia="zh-CN"/>
              </w:rPr>
              <w:t>于沉砂池</w:t>
            </w:r>
            <w:r>
              <w:rPr>
                <w:rFonts w:ascii="Times New Roman" w:hAnsi="Times New Roman"/>
                <w:sz w:val="24"/>
              </w:rPr>
              <w:t>处理</w:t>
            </w:r>
            <w:r>
              <w:rPr>
                <w:rFonts w:hint="eastAsia" w:ascii="Times New Roman" w:hAnsi="Times New Roman"/>
                <w:sz w:val="24"/>
                <w:lang w:eastAsia="zh-CN"/>
              </w:rPr>
              <w:t>后，回用于场地洒水降尘，不外排</w:t>
            </w:r>
            <w:r>
              <w:rPr>
                <w:rFonts w:ascii="Times New Roman" w:hAnsi="Times New Roman"/>
                <w:sz w:val="24"/>
              </w:rPr>
              <w:t>。</w:t>
            </w:r>
          </w:p>
          <w:p w14:paraId="3F21746A">
            <w:pPr>
              <w:numPr>
                <w:ilvl w:val="0"/>
                <w:numId w:val="0"/>
              </w:numPr>
              <w:adjustRightInd w:val="0"/>
              <w:snapToGrid w:val="0"/>
              <w:spacing w:line="360" w:lineRule="auto"/>
              <w:ind w:leftChars="0"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施工固废</w:t>
            </w:r>
          </w:p>
          <w:p w14:paraId="5FB67E22">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（1）废弃土石方</w:t>
            </w:r>
          </w:p>
          <w:p w14:paraId="3E8AE2C0">
            <w:pPr>
              <w:numPr>
                <w:ilvl w:val="0"/>
                <w:numId w:val="0"/>
              </w:numPr>
              <w:adjustRightInd w:val="0"/>
              <w:snapToGrid w:val="0"/>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sz w:val="24"/>
                <w:highlight w:val="none"/>
              </w:rPr>
              <w:t>本阶段工程区域内土石方工程主要发生在场地清理、土地平整、道路及综合管网工程建设开挖和回填等阶段。</w:t>
            </w:r>
            <w:r>
              <w:rPr>
                <w:rFonts w:hint="default" w:ascii="Times New Roman" w:hAnsi="Times New Roman" w:cs="Times New Roman"/>
                <w:color w:val="auto"/>
                <w:kern w:val="0"/>
                <w:sz w:val="24"/>
                <w:highlight w:val="none"/>
              </w:rPr>
              <w:t>项目</w:t>
            </w:r>
            <w:r>
              <w:rPr>
                <w:rFonts w:hint="eastAsia" w:cs="Times New Roman"/>
                <w:color w:val="auto"/>
                <w:kern w:val="0"/>
                <w:sz w:val="24"/>
                <w:highlight w:val="none"/>
                <w:lang w:eastAsia="zh-CN"/>
              </w:rPr>
              <w:t>产生表土和废弃土石方外运至合法弃土场进行处理</w:t>
            </w:r>
            <w:r>
              <w:rPr>
                <w:rFonts w:hint="default" w:ascii="Times New Roman" w:hAnsi="Times New Roman" w:cs="Times New Roman"/>
                <w:color w:val="auto"/>
                <w:kern w:val="0"/>
                <w:sz w:val="24"/>
                <w:highlight w:val="none"/>
              </w:rPr>
              <w:t>，路基将在完成清理的区域上进行道路垫层的铺设</w:t>
            </w:r>
            <w:r>
              <w:rPr>
                <w:rFonts w:hint="default" w:ascii="Times New Roman" w:hAnsi="Times New Roman" w:cs="Times New Roman"/>
                <w:color w:val="auto"/>
                <w:kern w:val="0"/>
                <w:sz w:val="24"/>
                <w:highlight w:val="none"/>
                <w:lang w:eastAsia="zh-CN"/>
              </w:rPr>
              <w:t>。</w:t>
            </w:r>
          </w:p>
          <w:p w14:paraId="3EB34AC1">
            <w:pPr>
              <w:spacing w:line="355" w:lineRule="auto"/>
              <w:ind w:firstLine="480" w:firstLineChars="200"/>
              <w:rPr>
                <w:rFonts w:hint="eastAsia" w:ascii="Times New Roman" w:hAnsi="Times New Roman" w:eastAsia="宋体" w:cs="Times New Roman"/>
                <w:kern w:val="18"/>
                <w:sz w:val="24"/>
                <w:lang w:eastAsia="zh-CN"/>
              </w:rPr>
            </w:pPr>
            <w:r>
              <w:rPr>
                <w:rFonts w:hint="default" w:ascii="Times New Roman" w:hAnsi="Times New Roman" w:cs="Times New Roman"/>
                <w:color w:val="auto"/>
                <w:sz w:val="24"/>
                <w:highlight w:val="none"/>
              </w:rPr>
              <w:t>本项目产生开挖土石方</w:t>
            </w:r>
            <w:r>
              <w:rPr>
                <w:rFonts w:hint="eastAsia" w:cs="Times New Roman"/>
                <w:color w:val="auto"/>
                <w:sz w:val="24"/>
                <w:szCs w:val="24"/>
                <w:highlight w:val="none"/>
                <w:lang w:val="en-US" w:eastAsia="zh-CN"/>
              </w:rPr>
              <w:t>810120</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default" w:ascii="Times New Roman" w:hAnsi="Times New Roman" w:cs="Times New Roman"/>
                <w:color w:val="auto"/>
                <w:spacing w:val="-3"/>
                <w:sz w:val="24"/>
                <w:szCs w:val="24"/>
                <w:highlight w:val="none"/>
                <w:lang w:val="zh-CN"/>
              </w:rPr>
              <w:t>（表土</w:t>
            </w:r>
            <w:r>
              <w:rPr>
                <w:rFonts w:hint="eastAsia" w:cs="Times New Roman"/>
                <w:color w:val="auto"/>
                <w:spacing w:val="-3"/>
                <w:sz w:val="24"/>
                <w:szCs w:val="24"/>
                <w:highlight w:val="none"/>
                <w:lang w:val="en-US" w:eastAsia="zh-CN"/>
              </w:rPr>
              <w:t>252530</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default" w:ascii="Times New Roman" w:hAnsi="Times New Roman" w:cs="Times New Roman"/>
                <w:color w:val="auto"/>
                <w:spacing w:val="-3"/>
                <w:sz w:val="24"/>
                <w:szCs w:val="24"/>
                <w:highlight w:val="none"/>
                <w:lang w:val="zh-CN"/>
              </w:rPr>
              <w:t>，土石方</w:t>
            </w:r>
            <w:r>
              <w:rPr>
                <w:rFonts w:hint="eastAsia" w:cs="Times New Roman"/>
                <w:color w:val="auto"/>
                <w:spacing w:val="-3"/>
                <w:sz w:val="24"/>
                <w:szCs w:val="24"/>
                <w:highlight w:val="none"/>
                <w:lang w:val="en-US" w:eastAsia="zh-CN"/>
              </w:rPr>
              <w:t>557590</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default" w:ascii="Times New Roman" w:hAnsi="Times New Roman" w:cs="Times New Roman"/>
                <w:color w:val="auto"/>
                <w:spacing w:val="-3"/>
                <w:sz w:val="24"/>
                <w:szCs w:val="24"/>
                <w:highlight w:val="none"/>
                <w:lang w:val="zh-CN"/>
              </w:rPr>
              <w:t>），回填总量</w:t>
            </w:r>
            <w:r>
              <w:rPr>
                <w:rFonts w:hint="eastAsia" w:cs="Times New Roman"/>
                <w:color w:val="auto"/>
                <w:spacing w:val="-3"/>
                <w:sz w:val="24"/>
                <w:szCs w:val="24"/>
                <w:highlight w:val="none"/>
                <w:lang w:val="en-US" w:eastAsia="zh-CN"/>
              </w:rPr>
              <w:t>1718458</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bookmarkStart w:id="9" w:name="_Hlk498508884"/>
            <w:r>
              <w:rPr>
                <w:rFonts w:hint="eastAsia" w:cs="Times New Roman"/>
                <w:color w:val="auto"/>
                <w:spacing w:val="-3"/>
                <w:sz w:val="24"/>
                <w:szCs w:val="24"/>
                <w:highlight w:val="none"/>
                <w:vertAlign w:val="baseline"/>
                <w:lang w:val="zh-CN"/>
              </w:rPr>
              <w:t>（土石方</w:t>
            </w:r>
            <w:r>
              <w:rPr>
                <w:rFonts w:hint="eastAsia" w:cs="Times New Roman"/>
                <w:color w:val="auto"/>
                <w:spacing w:val="-3"/>
                <w:sz w:val="24"/>
                <w:szCs w:val="24"/>
                <w:highlight w:val="none"/>
                <w:vertAlign w:val="baseline"/>
                <w:lang w:val="en-US" w:eastAsia="zh-CN"/>
              </w:rPr>
              <w:t>1195164</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eastAsia" w:cs="Times New Roman"/>
                <w:color w:val="auto"/>
                <w:spacing w:val="-3"/>
                <w:sz w:val="24"/>
                <w:szCs w:val="24"/>
                <w:highlight w:val="none"/>
                <w:vertAlign w:val="baseline"/>
                <w:lang w:val="zh-CN"/>
              </w:rPr>
              <w:t>，毛石换填</w:t>
            </w:r>
            <w:r>
              <w:rPr>
                <w:rFonts w:hint="eastAsia" w:cs="Times New Roman"/>
                <w:color w:val="auto"/>
                <w:spacing w:val="-3"/>
                <w:sz w:val="24"/>
                <w:szCs w:val="24"/>
                <w:highlight w:val="none"/>
                <w:vertAlign w:val="baseline"/>
                <w:lang w:val="en-US" w:eastAsia="zh-CN"/>
              </w:rPr>
              <w:t>232565</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eastAsia" w:cs="Times New Roman"/>
                <w:color w:val="auto"/>
                <w:spacing w:val="-3"/>
                <w:sz w:val="24"/>
                <w:szCs w:val="24"/>
                <w:highlight w:val="none"/>
                <w:vertAlign w:val="baseline"/>
                <w:lang w:val="zh-CN"/>
              </w:rPr>
              <w:t>，碎石与风化砂混合料</w:t>
            </w:r>
            <w:r>
              <w:rPr>
                <w:rFonts w:hint="eastAsia" w:cs="Times New Roman"/>
                <w:color w:val="auto"/>
                <w:spacing w:val="-3"/>
                <w:sz w:val="24"/>
                <w:szCs w:val="24"/>
                <w:highlight w:val="none"/>
                <w:vertAlign w:val="baseline"/>
                <w:lang w:val="en-US" w:eastAsia="zh-CN"/>
              </w:rPr>
              <w:t>290729</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eastAsia" w:cs="Times New Roman"/>
                <w:color w:val="auto"/>
                <w:spacing w:val="-3"/>
                <w:sz w:val="24"/>
                <w:szCs w:val="24"/>
                <w:highlight w:val="none"/>
                <w:vertAlign w:val="baseline"/>
                <w:lang w:val="zh-CN"/>
              </w:rPr>
              <w:t>）</w:t>
            </w:r>
            <w:r>
              <w:rPr>
                <w:rFonts w:hint="default" w:ascii="Times New Roman" w:hAnsi="Times New Roman" w:cs="Times New Roman"/>
                <w:color w:val="auto"/>
                <w:spacing w:val="-3"/>
                <w:sz w:val="24"/>
                <w:szCs w:val="24"/>
                <w:highlight w:val="none"/>
                <w:lang w:val="zh-CN"/>
              </w:rPr>
              <w:t>，</w:t>
            </w:r>
            <w:bookmarkEnd w:id="9"/>
            <w:bookmarkStart w:id="10" w:name="_Hlk500777355"/>
            <w:r>
              <w:rPr>
                <w:rFonts w:hint="default" w:ascii="Times New Roman" w:hAnsi="Times New Roman" w:cs="Times New Roman"/>
                <w:color w:val="auto"/>
                <w:spacing w:val="-3"/>
                <w:sz w:val="24"/>
                <w:szCs w:val="24"/>
                <w:highlight w:val="none"/>
                <w:lang w:val="zh-CN"/>
              </w:rPr>
              <w:t>弃</w:t>
            </w:r>
            <w:r>
              <w:rPr>
                <w:rFonts w:hint="eastAsia" w:cs="Times New Roman"/>
                <w:color w:val="auto"/>
                <w:spacing w:val="-3"/>
                <w:sz w:val="24"/>
                <w:szCs w:val="24"/>
                <w:highlight w:val="none"/>
                <w:lang w:val="zh-CN"/>
              </w:rPr>
              <w:t>方</w:t>
            </w:r>
            <w:r>
              <w:rPr>
                <w:rFonts w:hint="eastAsia" w:cs="Times New Roman"/>
                <w:color w:val="auto"/>
                <w:spacing w:val="-3"/>
                <w:sz w:val="24"/>
                <w:szCs w:val="24"/>
                <w:highlight w:val="none"/>
                <w:lang w:val="en-US" w:eastAsia="zh-CN"/>
              </w:rPr>
              <w:t>301132</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bookmarkEnd w:id="10"/>
            <w:r>
              <w:rPr>
                <w:rFonts w:hint="eastAsia" w:cs="Times New Roman"/>
                <w:color w:val="auto"/>
                <w:spacing w:val="-3"/>
                <w:sz w:val="24"/>
                <w:szCs w:val="24"/>
                <w:highlight w:val="none"/>
                <w:vertAlign w:val="baseline"/>
                <w:lang w:val="zh-CN"/>
              </w:rPr>
              <w:t>（表土</w:t>
            </w:r>
            <w:r>
              <w:rPr>
                <w:rFonts w:hint="eastAsia" w:cs="Times New Roman"/>
                <w:color w:val="auto"/>
                <w:spacing w:val="-3"/>
                <w:sz w:val="24"/>
                <w:szCs w:val="24"/>
                <w:highlight w:val="none"/>
                <w:vertAlign w:val="baseline"/>
                <w:lang w:val="en-US" w:eastAsia="zh-CN"/>
              </w:rPr>
              <w:t>252530</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eastAsia" w:cs="Times New Roman"/>
                <w:color w:val="auto"/>
                <w:spacing w:val="-3"/>
                <w:sz w:val="24"/>
                <w:szCs w:val="24"/>
                <w:highlight w:val="none"/>
                <w:vertAlign w:val="baseline"/>
                <w:lang w:val="zh-CN"/>
              </w:rPr>
              <w:t>，土石方</w:t>
            </w:r>
            <w:r>
              <w:rPr>
                <w:rFonts w:hint="eastAsia" w:cs="Times New Roman"/>
                <w:color w:val="auto"/>
                <w:spacing w:val="-3"/>
                <w:sz w:val="24"/>
                <w:szCs w:val="24"/>
                <w:highlight w:val="none"/>
                <w:vertAlign w:val="baseline"/>
                <w:lang w:val="en-US" w:eastAsia="zh-CN"/>
              </w:rPr>
              <w:t>48602</w:t>
            </w:r>
            <w:r>
              <w:rPr>
                <w:rFonts w:hint="default" w:ascii="Times New Roman" w:hAnsi="Times New Roman" w:cs="Times New Roman"/>
                <w:color w:val="auto"/>
                <w:spacing w:val="-3"/>
                <w:sz w:val="24"/>
                <w:szCs w:val="24"/>
                <w:highlight w:val="none"/>
                <w:lang w:val="zh-CN"/>
              </w:rPr>
              <w:t>m</w:t>
            </w:r>
            <w:r>
              <w:rPr>
                <w:rFonts w:hint="default" w:ascii="Times New Roman" w:hAnsi="Times New Roman" w:cs="Times New Roman"/>
                <w:color w:val="auto"/>
                <w:spacing w:val="-3"/>
                <w:sz w:val="24"/>
                <w:szCs w:val="24"/>
                <w:highlight w:val="none"/>
                <w:vertAlign w:val="superscript"/>
                <w:lang w:val="zh-CN"/>
              </w:rPr>
              <w:t>3</w:t>
            </w:r>
            <w:r>
              <w:rPr>
                <w:rFonts w:hint="eastAsia" w:cs="Times New Roman"/>
                <w:color w:val="auto"/>
                <w:spacing w:val="-3"/>
                <w:sz w:val="24"/>
                <w:szCs w:val="24"/>
                <w:highlight w:val="none"/>
                <w:vertAlign w:val="baseline"/>
                <w:lang w:val="zh-CN"/>
              </w:rPr>
              <w:t>）</w:t>
            </w:r>
            <w:r>
              <w:rPr>
                <w:rFonts w:hint="default" w:ascii="Times New Roman" w:hAnsi="Times New Roman" w:cs="Times New Roman"/>
                <w:color w:val="auto"/>
                <w:sz w:val="24"/>
                <w:szCs w:val="24"/>
                <w:lang w:eastAsia="zh-CN"/>
              </w:rPr>
              <w:t>。项</w:t>
            </w:r>
            <w:r>
              <w:rPr>
                <w:rFonts w:hint="default" w:ascii="Times New Roman" w:hAnsi="Times New Roman" w:cs="Times New Roman"/>
                <w:color w:val="auto"/>
                <w:sz w:val="24"/>
                <w:szCs w:val="24"/>
              </w:rPr>
              <w:t>目建设产生的废</w:t>
            </w:r>
            <w:r>
              <w:rPr>
                <w:rFonts w:hint="eastAsia" w:cs="Times New Roman"/>
                <w:color w:val="auto"/>
                <w:sz w:val="24"/>
                <w:szCs w:val="24"/>
                <w:lang w:eastAsia="zh-CN"/>
              </w:rPr>
              <w:t>土</w:t>
            </w:r>
            <w:r>
              <w:rPr>
                <w:rFonts w:hint="default" w:ascii="Times New Roman" w:hAnsi="Times New Roman" w:cs="Times New Roman"/>
                <w:color w:val="auto"/>
                <w:sz w:val="24"/>
                <w:szCs w:val="24"/>
              </w:rPr>
              <w:t>运至</w:t>
            </w:r>
            <w:r>
              <w:rPr>
                <w:rFonts w:hint="eastAsia" w:cs="Times New Roman"/>
                <w:color w:val="auto"/>
                <w:sz w:val="24"/>
                <w:szCs w:val="24"/>
                <w:lang w:eastAsia="zh-CN"/>
              </w:rPr>
              <w:t>合法</w:t>
            </w:r>
            <w:r>
              <w:rPr>
                <w:rFonts w:hint="default" w:ascii="Times New Roman" w:hAnsi="Times New Roman" w:cs="Times New Roman"/>
                <w:color w:val="auto"/>
                <w:sz w:val="24"/>
                <w:szCs w:val="24"/>
              </w:rPr>
              <w:t>弃</w:t>
            </w:r>
            <w:r>
              <w:rPr>
                <w:rFonts w:hint="eastAsia" w:cs="Times New Roman"/>
                <w:color w:val="auto"/>
                <w:sz w:val="24"/>
                <w:szCs w:val="24"/>
                <w:lang w:eastAsia="zh-CN"/>
              </w:rPr>
              <w:t>土</w:t>
            </w:r>
            <w:r>
              <w:rPr>
                <w:rFonts w:hint="default" w:ascii="Times New Roman" w:hAnsi="Times New Roman" w:cs="Times New Roman"/>
                <w:color w:val="auto"/>
                <w:sz w:val="24"/>
                <w:szCs w:val="24"/>
              </w:rPr>
              <w:t>场进行处置。</w:t>
            </w:r>
            <w:r>
              <w:rPr>
                <w:rFonts w:hint="eastAsia" w:cs="Times New Roman"/>
                <w:color w:val="auto"/>
                <w:sz w:val="24"/>
                <w:szCs w:val="24"/>
                <w:lang w:eastAsia="zh-CN"/>
              </w:rPr>
              <w:t>本项目土石方平衡情况见下表。</w:t>
            </w:r>
          </w:p>
          <w:p w14:paraId="5D4A7D77">
            <w:pPr>
              <w:spacing w:line="355" w:lineRule="auto"/>
              <w:ind w:firstLine="482" w:firstLineChars="200"/>
              <w:jc w:val="center"/>
              <w:rPr>
                <w:rFonts w:hint="eastAsia" w:cs="Times New Roman"/>
                <w:b/>
                <w:bCs/>
                <w:kern w:val="18"/>
                <w:sz w:val="24"/>
                <w:lang w:eastAsia="zh-CN"/>
              </w:rPr>
            </w:pPr>
            <w:r>
              <w:rPr>
                <w:rFonts w:hint="eastAsia" w:cs="Times New Roman"/>
                <w:b/>
                <w:bCs/>
                <w:kern w:val="18"/>
                <w:sz w:val="24"/>
                <w:lang w:eastAsia="zh-CN"/>
              </w:rPr>
              <w:t>表</w:t>
            </w:r>
            <w:r>
              <w:rPr>
                <w:rFonts w:hint="eastAsia" w:cs="Times New Roman"/>
                <w:b/>
                <w:bCs/>
                <w:kern w:val="18"/>
                <w:sz w:val="24"/>
                <w:lang w:val="en-US" w:eastAsia="zh-CN"/>
              </w:rPr>
              <w:t xml:space="preserve">5-3 </w:t>
            </w:r>
            <w:r>
              <w:rPr>
                <w:rFonts w:hint="eastAsia" w:cs="Times New Roman"/>
                <w:b/>
                <w:bCs/>
                <w:kern w:val="18"/>
                <w:sz w:val="24"/>
                <w:lang w:eastAsia="zh-CN"/>
              </w:rPr>
              <w:t>土石方平衡表</w:t>
            </w:r>
          </w:p>
          <w:tbl>
            <w:tblPr>
              <w:tblStyle w:val="16"/>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810"/>
              <w:gridCol w:w="825"/>
              <w:gridCol w:w="885"/>
              <w:gridCol w:w="765"/>
              <w:gridCol w:w="825"/>
              <w:gridCol w:w="780"/>
              <w:gridCol w:w="1035"/>
              <w:gridCol w:w="780"/>
              <w:gridCol w:w="695"/>
            </w:tblGrid>
            <w:tr w14:paraId="775D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938" w:type="dxa"/>
                  <w:vAlign w:val="center"/>
                </w:tcPr>
                <w:p w14:paraId="73EF55A0">
                  <w:pPr>
                    <w:spacing w:line="240" w:lineRule="auto"/>
                    <w:jc w:val="center"/>
                    <w:rPr>
                      <w:rFonts w:hint="default" w:ascii="Times New Roman" w:hAnsi="Times New Roman" w:eastAsia="宋体" w:cs="Times New Roman"/>
                      <w:kern w:val="18"/>
                      <w:sz w:val="18"/>
                      <w:szCs w:val="18"/>
                      <w:vertAlign w:val="baseline"/>
                      <w:lang w:val="en-US" w:eastAsia="zh-CN"/>
                    </w:rPr>
                  </w:pPr>
                  <w:r>
                    <w:rPr>
                      <w:rFonts w:hint="default" w:ascii="Times New Roman" w:hAnsi="Times New Roman" w:eastAsia="宋体" w:cs="Times New Roman"/>
                      <w:kern w:val="18"/>
                      <w:sz w:val="18"/>
                      <w:szCs w:val="18"/>
                      <w:vertAlign w:val="baseline"/>
                      <w:lang w:val="en-US" w:eastAsia="zh-CN"/>
                    </w:rPr>
                    <w:t>项目</w:t>
                  </w:r>
                </w:p>
              </w:tc>
              <w:tc>
                <w:tcPr>
                  <w:tcW w:w="1635" w:type="dxa"/>
                  <w:gridSpan w:val="2"/>
                  <w:vAlign w:val="center"/>
                </w:tcPr>
                <w:p w14:paraId="684EA5C8">
                  <w:pPr>
                    <w:spacing w:line="240" w:lineRule="auto"/>
                    <w:jc w:val="center"/>
                    <w:rPr>
                      <w:rFonts w:hint="default" w:ascii="Times New Roman" w:hAnsi="Times New Roman" w:eastAsia="宋体" w:cs="Times New Roman"/>
                      <w:kern w:val="18"/>
                      <w:sz w:val="18"/>
                      <w:szCs w:val="18"/>
                      <w:vertAlign w:val="baseline"/>
                      <w:lang w:val="en-US" w:eastAsia="zh-CN"/>
                    </w:rPr>
                  </w:pPr>
                  <w:r>
                    <w:rPr>
                      <w:rFonts w:hint="default" w:ascii="Times New Roman" w:hAnsi="Times New Roman" w:eastAsia="宋体" w:cs="Times New Roman"/>
                      <w:kern w:val="18"/>
                      <w:sz w:val="18"/>
                      <w:szCs w:val="18"/>
                      <w:vertAlign w:val="baseline"/>
                      <w:lang w:val="en-US" w:eastAsia="zh-CN"/>
                    </w:rPr>
                    <w:t>挖方</w:t>
                  </w:r>
                </w:p>
              </w:tc>
              <w:tc>
                <w:tcPr>
                  <w:tcW w:w="2475" w:type="dxa"/>
                  <w:gridSpan w:val="3"/>
                  <w:vAlign w:val="center"/>
                </w:tcPr>
                <w:p w14:paraId="3D241AB4">
                  <w:pPr>
                    <w:spacing w:line="240" w:lineRule="auto"/>
                    <w:jc w:val="center"/>
                    <w:rPr>
                      <w:rFonts w:hint="default" w:ascii="Times New Roman" w:hAnsi="Times New Roman" w:eastAsia="宋体" w:cs="Times New Roman"/>
                      <w:kern w:val="18"/>
                      <w:sz w:val="18"/>
                      <w:szCs w:val="18"/>
                      <w:vertAlign w:val="baseline"/>
                      <w:lang w:val="en-US" w:eastAsia="zh-CN"/>
                    </w:rPr>
                  </w:pPr>
                  <w:r>
                    <w:rPr>
                      <w:rFonts w:hint="default" w:ascii="Times New Roman" w:hAnsi="Times New Roman" w:eastAsia="宋体" w:cs="Times New Roman"/>
                      <w:kern w:val="18"/>
                      <w:sz w:val="18"/>
                      <w:szCs w:val="18"/>
                      <w:vertAlign w:val="baseline"/>
                      <w:lang w:val="en-US" w:eastAsia="zh-CN"/>
                    </w:rPr>
                    <w:t>回填</w:t>
                  </w:r>
                </w:p>
              </w:tc>
              <w:tc>
                <w:tcPr>
                  <w:tcW w:w="1815" w:type="dxa"/>
                  <w:gridSpan w:val="2"/>
                  <w:vAlign w:val="center"/>
                </w:tcPr>
                <w:p w14:paraId="7DA9501D">
                  <w:pPr>
                    <w:spacing w:line="240" w:lineRule="auto"/>
                    <w:jc w:val="center"/>
                    <w:rPr>
                      <w:rFonts w:hint="default" w:ascii="Times New Roman" w:hAnsi="Times New Roman" w:eastAsia="宋体" w:cs="Times New Roman"/>
                      <w:kern w:val="18"/>
                      <w:sz w:val="18"/>
                      <w:szCs w:val="18"/>
                      <w:vertAlign w:val="baseline"/>
                      <w:lang w:val="en-US" w:eastAsia="zh-CN"/>
                    </w:rPr>
                  </w:pPr>
                  <w:r>
                    <w:rPr>
                      <w:rFonts w:hint="default" w:ascii="Times New Roman" w:hAnsi="Times New Roman" w:eastAsia="宋体" w:cs="Times New Roman"/>
                      <w:kern w:val="18"/>
                      <w:sz w:val="18"/>
                      <w:szCs w:val="18"/>
                      <w:vertAlign w:val="baseline"/>
                      <w:lang w:val="en-US" w:eastAsia="zh-CN"/>
                    </w:rPr>
                    <w:t>调入</w:t>
                  </w:r>
                </w:p>
              </w:tc>
              <w:tc>
                <w:tcPr>
                  <w:tcW w:w="1475" w:type="dxa"/>
                  <w:gridSpan w:val="2"/>
                  <w:vAlign w:val="center"/>
                </w:tcPr>
                <w:p w14:paraId="28965C74">
                  <w:pPr>
                    <w:spacing w:line="240" w:lineRule="auto"/>
                    <w:jc w:val="center"/>
                    <w:rPr>
                      <w:rFonts w:hint="default" w:ascii="Times New Roman" w:hAnsi="Times New Roman" w:eastAsia="宋体" w:cs="Times New Roman"/>
                      <w:kern w:val="18"/>
                      <w:sz w:val="18"/>
                      <w:szCs w:val="18"/>
                      <w:vertAlign w:val="baseline"/>
                      <w:lang w:val="en-US" w:eastAsia="zh-CN"/>
                    </w:rPr>
                  </w:pPr>
                  <w:r>
                    <w:rPr>
                      <w:rFonts w:hint="default" w:ascii="Times New Roman" w:hAnsi="Times New Roman" w:eastAsia="宋体" w:cs="Times New Roman"/>
                      <w:kern w:val="18"/>
                      <w:sz w:val="18"/>
                      <w:szCs w:val="18"/>
                      <w:vertAlign w:val="baseline"/>
                      <w:lang w:val="en-US" w:eastAsia="zh-CN"/>
                    </w:rPr>
                    <w:t>弃方</w:t>
                  </w:r>
                </w:p>
              </w:tc>
            </w:tr>
            <w:tr w14:paraId="7949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38" w:type="dxa"/>
                  <w:vAlign w:val="center"/>
                </w:tcPr>
                <w:p w14:paraId="254E5762">
                  <w:pPr>
                    <w:spacing w:line="240" w:lineRule="auto"/>
                    <w:jc w:val="center"/>
                    <w:rPr>
                      <w:rFonts w:hint="default" w:ascii="Times New Roman" w:hAnsi="Times New Roman" w:eastAsia="宋体" w:cs="Times New Roman"/>
                      <w:kern w:val="18"/>
                      <w:sz w:val="21"/>
                      <w:szCs w:val="21"/>
                      <w:vertAlign w:val="baseline"/>
                      <w:lang w:val="en-US" w:eastAsia="zh-CN"/>
                    </w:rPr>
                  </w:pPr>
                </w:p>
              </w:tc>
              <w:tc>
                <w:tcPr>
                  <w:tcW w:w="810" w:type="dxa"/>
                  <w:vAlign w:val="center"/>
                </w:tcPr>
                <w:p w14:paraId="5D914EDB">
                  <w:pPr>
                    <w:spacing w:line="240" w:lineRule="auto"/>
                    <w:jc w:val="center"/>
                    <w:rPr>
                      <w:rFonts w:hint="default" w:ascii="Times New Roman" w:hAnsi="Times New Roman" w:eastAsia="宋体" w:cs="Times New Roman"/>
                      <w:kern w:val="18"/>
                      <w:sz w:val="21"/>
                      <w:szCs w:val="21"/>
                      <w:vertAlign w:val="baseline"/>
                      <w:lang w:val="en-US" w:eastAsia="zh-CN"/>
                    </w:rPr>
                  </w:pPr>
                  <w:r>
                    <w:rPr>
                      <w:rFonts w:hint="default" w:ascii="Times New Roman" w:hAnsi="Times New Roman" w:eastAsia="宋体" w:cs="Times New Roman"/>
                      <w:kern w:val="18"/>
                      <w:sz w:val="21"/>
                      <w:szCs w:val="21"/>
                      <w:vertAlign w:val="baseline"/>
                      <w:lang w:val="en-US" w:eastAsia="zh-CN"/>
                    </w:rPr>
                    <w:t>表土</w:t>
                  </w:r>
                </w:p>
              </w:tc>
              <w:tc>
                <w:tcPr>
                  <w:tcW w:w="825" w:type="dxa"/>
                  <w:vAlign w:val="center"/>
                </w:tcPr>
                <w:p w14:paraId="50564216">
                  <w:pPr>
                    <w:spacing w:line="240" w:lineRule="auto"/>
                    <w:jc w:val="center"/>
                    <w:rPr>
                      <w:rFonts w:hint="default" w:ascii="Times New Roman" w:hAnsi="Times New Roman" w:eastAsia="宋体" w:cs="Times New Roman"/>
                      <w:kern w:val="18"/>
                      <w:sz w:val="21"/>
                      <w:szCs w:val="21"/>
                      <w:vertAlign w:val="baseline"/>
                      <w:lang w:val="en-US" w:eastAsia="zh-CN"/>
                    </w:rPr>
                  </w:pPr>
                  <w:r>
                    <w:rPr>
                      <w:rFonts w:hint="default" w:ascii="Times New Roman" w:hAnsi="Times New Roman" w:eastAsia="宋体" w:cs="Times New Roman"/>
                      <w:kern w:val="18"/>
                      <w:sz w:val="21"/>
                      <w:szCs w:val="21"/>
                      <w:vertAlign w:val="baseline"/>
                      <w:lang w:val="en-US" w:eastAsia="zh-CN"/>
                    </w:rPr>
                    <w:t>土石方</w:t>
                  </w:r>
                </w:p>
              </w:tc>
              <w:tc>
                <w:tcPr>
                  <w:tcW w:w="885" w:type="dxa"/>
                  <w:vAlign w:val="center"/>
                </w:tcPr>
                <w:p w14:paraId="61FF7489">
                  <w:pPr>
                    <w:spacing w:line="240" w:lineRule="auto"/>
                    <w:jc w:val="center"/>
                    <w:rPr>
                      <w:rFonts w:hint="default" w:ascii="Times New Roman" w:hAnsi="Times New Roman" w:eastAsia="宋体" w:cs="Times New Roman"/>
                      <w:kern w:val="18"/>
                      <w:sz w:val="21"/>
                      <w:szCs w:val="21"/>
                      <w:vertAlign w:val="baseline"/>
                      <w:lang w:val="en-US" w:eastAsia="zh-CN"/>
                    </w:rPr>
                  </w:pPr>
                  <w:r>
                    <w:rPr>
                      <w:rFonts w:hint="default" w:ascii="Times New Roman" w:hAnsi="Times New Roman" w:eastAsia="宋体" w:cs="Times New Roman"/>
                      <w:kern w:val="18"/>
                      <w:sz w:val="21"/>
                      <w:szCs w:val="21"/>
                      <w:vertAlign w:val="baseline"/>
                      <w:lang w:val="en-US" w:eastAsia="zh-CN"/>
                    </w:rPr>
                    <w:t>土石方</w:t>
                  </w:r>
                </w:p>
              </w:tc>
              <w:tc>
                <w:tcPr>
                  <w:tcW w:w="765" w:type="dxa"/>
                  <w:vAlign w:val="center"/>
                </w:tcPr>
                <w:p w14:paraId="6CEB07B4">
                  <w:pPr>
                    <w:spacing w:line="240" w:lineRule="auto"/>
                    <w:jc w:val="center"/>
                    <w:rPr>
                      <w:rFonts w:hint="default" w:ascii="Times New Roman" w:hAnsi="Times New Roman" w:eastAsia="宋体" w:cs="Times New Roman"/>
                      <w:kern w:val="18"/>
                      <w:sz w:val="21"/>
                      <w:szCs w:val="21"/>
                      <w:vertAlign w:val="baseline"/>
                      <w:lang w:val="en-US" w:eastAsia="zh-CN"/>
                    </w:rPr>
                  </w:pPr>
                  <w:r>
                    <w:rPr>
                      <w:rFonts w:hint="default" w:ascii="Times New Roman" w:hAnsi="Times New Roman" w:eastAsia="宋体" w:cs="Times New Roman"/>
                      <w:kern w:val="18"/>
                      <w:sz w:val="21"/>
                      <w:szCs w:val="21"/>
                      <w:vertAlign w:val="baseline"/>
                      <w:lang w:val="en-US" w:eastAsia="zh-CN"/>
                    </w:rPr>
                    <w:t>毛石换填</w:t>
                  </w:r>
                </w:p>
              </w:tc>
              <w:tc>
                <w:tcPr>
                  <w:tcW w:w="825" w:type="dxa"/>
                  <w:vAlign w:val="center"/>
                </w:tcPr>
                <w:p w14:paraId="0DB53698">
                  <w:pPr>
                    <w:spacing w:line="240" w:lineRule="auto"/>
                    <w:jc w:val="center"/>
                    <w:rPr>
                      <w:rFonts w:hint="default" w:ascii="Times New Roman" w:hAnsi="Times New Roman" w:eastAsia="宋体" w:cs="Times New Roman"/>
                      <w:kern w:val="18"/>
                      <w:sz w:val="21"/>
                      <w:szCs w:val="21"/>
                      <w:vertAlign w:val="baseline"/>
                      <w:lang w:val="en-US" w:eastAsia="zh-CN"/>
                    </w:rPr>
                  </w:pPr>
                  <w:r>
                    <w:rPr>
                      <w:rFonts w:hint="default" w:ascii="Times New Roman" w:hAnsi="Times New Roman" w:eastAsia="宋体" w:cs="Times New Roman"/>
                      <w:kern w:val="18"/>
                      <w:sz w:val="21"/>
                      <w:szCs w:val="21"/>
                      <w:vertAlign w:val="baseline"/>
                      <w:lang w:val="en-US" w:eastAsia="zh-CN"/>
                    </w:rPr>
                    <w:t>碎石与风化砂混合</w:t>
                  </w:r>
                  <w:r>
                    <w:rPr>
                      <w:rFonts w:hint="eastAsia" w:ascii="Times New Roman" w:hAnsi="Times New Roman" w:eastAsia="宋体" w:cs="Times New Roman"/>
                      <w:kern w:val="18"/>
                      <w:sz w:val="21"/>
                      <w:szCs w:val="21"/>
                      <w:vertAlign w:val="baseline"/>
                      <w:lang w:val="en-US" w:eastAsia="zh-CN"/>
                    </w:rPr>
                    <w:t>料</w:t>
                  </w:r>
                </w:p>
              </w:tc>
              <w:tc>
                <w:tcPr>
                  <w:tcW w:w="780" w:type="dxa"/>
                  <w:vAlign w:val="center"/>
                </w:tcPr>
                <w:p w14:paraId="2CACEDCB">
                  <w:pPr>
                    <w:spacing w:line="240" w:lineRule="auto"/>
                    <w:jc w:val="center"/>
                    <w:rPr>
                      <w:rFonts w:hint="default" w:ascii="Times New Roman" w:hAnsi="Times New Roman" w:eastAsia="宋体" w:cs="Times New Roman"/>
                      <w:kern w:val="18"/>
                      <w:sz w:val="21"/>
                      <w:szCs w:val="21"/>
                      <w:vertAlign w:val="baseline"/>
                      <w:lang w:val="en-US" w:eastAsia="zh-CN"/>
                    </w:rPr>
                  </w:pPr>
                  <w:r>
                    <w:rPr>
                      <w:rFonts w:hint="eastAsia" w:ascii="Times New Roman" w:hAnsi="Times New Roman" w:eastAsia="宋体" w:cs="Times New Roman"/>
                      <w:kern w:val="18"/>
                      <w:sz w:val="21"/>
                      <w:szCs w:val="21"/>
                      <w:vertAlign w:val="baseline"/>
                      <w:lang w:val="en-US" w:eastAsia="zh-CN"/>
                    </w:rPr>
                    <w:t>土石方</w:t>
                  </w:r>
                </w:p>
              </w:tc>
              <w:tc>
                <w:tcPr>
                  <w:tcW w:w="1035" w:type="dxa"/>
                  <w:vAlign w:val="center"/>
                </w:tcPr>
                <w:p w14:paraId="2B908575">
                  <w:pPr>
                    <w:spacing w:line="240" w:lineRule="auto"/>
                    <w:jc w:val="center"/>
                    <w:rPr>
                      <w:rFonts w:hint="default" w:ascii="Times New Roman" w:hAnsi="Times New Roman" w:eastAsia="宋体" w:cs="Times New Roman"/>
                      <w:kern w:val="18"/>
                      <w:sz w:val="21"/>
                      <w:szCs w:val="21"/>
                      <w:vertAlign w:val="baseline"/>
                      <w:lang w:val="en-US" w:eastAsia="zh-CN"/>
                    </w:rPr>
                  </w:pPr>
                  <w:r>
                    <w:rPr>
                      <w:rFonts w:hint="eastAsia" w:ascii="Times New Roman" w:hAnsi="Times New Roman" w:eastAsia="宋体" w:cs="Times New Roman"/>
                      <w:kern w:val="18"/>
                      <w:sz w:val="21"/>
                      <w:szCs w:val="21"/>
                      <w:vertAlign w:val="baseline"/>
                      <w:lang w:val="en-US" w:eastAsia="zh-CN"/>
                    </w:rPr>
                    <w:t>毛石、碎石与风化砂混合料</w:t>
                  </w:r>
                </w:p>
              </w:tc>
              <w:tc>
                <w:tcPr>
                  <w:tcW w:w="780" w:type="dxa"/>
                  <w:vAlign w:val="center"/>
                </w:tcPr>
                <w:p w14:paraId="0840B774">
                  <w:pPr>
                    <w:spacing w:line="240" w:lineRule="auto"/>
                    <w:jc w:val="center"/>
                    <w:rPr>
                      <w:rFonts w:hint="default" w:ascii="Times New Roman" w:hAnsi="Times New Roman" w:eastAsia="宋体" w:cs="Times New Roman"/>
                      <w:kern w:val="18"/>
                      <w:sz w:val="21"/>
                      <w:szCs w:val="21"/>
                      <w:vertAlign w:val="baseline"/>
                      <w:lang w:val="en-US" w:eastAsia="zh-CN"/>
                    </w:rPr>
                  </w:pPr>
                  <w:r>
                    <w:rPr>
                      <w:rFonts w:hint="eastAsia" w:ascii="Times New Roman" w:hAnsi="Times New Roman" w:eastAsia="宋体" w:cs="Times New Roman"/>
                      <w:kern w:val="18"/>
                      <w:sz w:val="21"/>
                      <w:szCs w:val="21"/>
                      <w:vertAlign w:val="baseline"/>
                      <w:lang w:val="en-US" w:eastAsia="zh-CN"/>
                    </w:rPr>
                    <w:t>表土</w:t>
                  </w:r>
                </w:p>
              </w:tc>
              <w:tc>
                <w:tcPr>
                  <w:tcW w:w="695" w:type="dxa"/>
                  <w:vAlign w:val="center"/>
                </w:tcPr>
                <w:p w14:paraId="2D60AEF9">
                  <w:pPr>
                    <w:spacing w:line="240" w:lineRule="auto"/>
                    <w:jc w:val="center"/>
                    <w:rPr>
                      <w:rFonts w:hint="eastAsia" w:ascii="Times New Roman" w:hAnsi="Times New Roman" w:eastAsia="宋体" w:cs="Times New Roman"/>
                      <w:kern w:val="18"/>
                      <w:sz w:val="21"/>
                      <w:szCs w:val="21"/>
                      <w:vertAlign w:val="baseline"/>
                      <w:lang w:val="en-US" w:eastAsia="zh-CN"/>
                    </w:rPr>
                  </w:pPr>
                  <w:r>
                    <w:rPr>
                      <w:rFonts w:hint="eastAsia" w:ascii="Times New Roman" w:hAnsi="Times New Roman" w:eastAsia="宋体" w:cs="Times New Roman"/>
                      <w:kern w:val="18"/>
                      <w:sz w:val="21"/>
                      <w:szCs w:val="21"/>
                      <w:vertAlign w:val="baseline"/>
                      <w:lang w:val="en-US" w:eastAsia="zh-CN"/>
                    </w:rPr>
                    <w:t>土石方</w:t>
                  </w:r>
                </w:p>
              </w:tc>
            </w:tr>
            <w:tr w14:paraId="6F9F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938" w:type="dxa"/>
                  <w:vAlign w:val="center"/>
                </w:tcPr>
                <w:p w14:paraId="18CEA321">
                  <w:pPr>
                    <w:spacing w:line="240" w:lineRule="auto"/>
                    <w:jc w:val="center"/>
                    <w:rPr>
                      <w:rFonts w:hint="default" w:ascii="Times New Roman" w:hAnsi="Times New Roman" w:eastAsia="宋体" w:cs="Times New Roman"/>
                      <w:kern w:val="18"/>
                      <w:sz w:val="21"/>
                      <w:szCs w:val="21"/>
                      <w:vertAlign w:val="baseline"/>
                      <w:lang w:val="en-US" w:eastAsia="zh-CN"/>
                    </w:rPr>
                  </w:pPr>
                  <w:r>
                    <w:rPr>
                      <w:rFonts w:hint="eastAsia" w:ascii="Times New Roman" w:hAnsi="Times New Roman" w:eastAsia="宋体" w:cs="Times New Roman"/>
                      <w:kern w:val="18"/>
                      <w:sz w:val="21"/>
                      <w:szCs w:val="21"/>
                      <w:vertAlign w:val="baseline"/>
                      <w:lang w:val="en-US" w:eastAsia="zh-CN"/>
                    </w:rPr>
                    <w:t>路基工程</w:t>
                  </w:r>
                </w:p>
              </w:tc>
              <w:tc>
                <w:tcPr>
                  <w:tcW w:w="810" w:type="dxa"/>
                  <w:vAlign w:val="center"/>
                </w:tcPr>
                <w:p w14:paraId="73C4517D">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252530</w:t>
                  </w:r>
                </w:p>
              </w:tc>
              <w:tc>
                <w:tcPr>
                  <w:tcW w:w="825" w:type="dxa"/>
                  <w:vAlign w:val="center"/>
                </w:tcPr>
                <w:p w14:paraId="54C87DF1">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104021</w:t>
                  </w:r>
                </w:p>
              </w:tc>
              <w:tc>
                <w:tcPr>
                  <w:tcW w:w="885" w:type="dxa"/>
                  <w:vAlign w:val="center"/>
                </w:tcPr>
                <w:p w14:paraId="48242722">
                  <w:pPr>
                    <w:spacing w:line="240" w:lineRule="auto"/>
                    <w:jc w:val="center"/>
                    <w:rPr>
                      <w:rFonts w:hint="default" w:ascii="Times New Roman" w:hAnsi="Times New Roman" w:eastAsia="宋体" w:cs="Times New Roman"/>
                      <w:kern w:val="18"/>
                      <w:sz w:val="18"/>
                      <w:szCs w:val="18"/>
                      <w:vertAlign w:val="baseline"/>
                      <w:lang w:val="en-US" w:eastAsia="zh-CN"/>
                    </w:rPr>
                  </w:pPr>
                  <w:r>
                    <w:rPr>
                      <w:rFonts w:hint="default" w:ascii="Times New Roman" w:hAnsi="Times New Roman" w:eastAsia="宋体" w:cs="Times New Roman"/>
                      <w:kern w:val="18"/>
                      <w:sz w:val="18"/>
                      <w:szCs w:val="18"/>
                      <w:vertAlign w:val="baseline"/>
                      <w:lang w:val="en-US" w:eastAsia="zh-CN"/>
                    </w:rPr>
                    <w:t>790197</w:t>
                  </w:r>
                </w:p>
              </w:tc>
              <w:tc>
                <w:tcPr>
                  <w:tcW w:w="765" w:type="dxa"/>
                  <w:vAlign w:val="center"/>
                </w:tcPr>
                <w:p w14:paraId="7B308EAD">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232565</w:t>
                  </w:r>
                </w:p>
              </w:tc>
              <w:tc>
                <w:tcPr>
                  <w:tcW w:w="825" w:type="dxa"/>
                  <w:vAlign w:val="center"/>
                </w:tcPr>
                <w:p w14:paraId="63CA1260">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290729</w:t>
                  </w:r>
                </w:p>
              </w:tc>
              <w:tc>
                <w:tcPr>
                  <w:tcW w:w="780" w:type="dxa"/>
                  <w:vAlign w:val="center"/>
                </w:tcPr>
                <w:p w14:paraId="773BC302">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686176</w:t>
                  </w:r>
                </w:p>
              </w:tc>
              <w:tc>
                <w:tcPr>
                  <w:tcW w:w="1035" w:type="dxa"/>
                  <w:vAlign w:val="center"/>
                </w:tcPr>
                <w:p w14:paraId="568479C1">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523294</w:t>
                  </w:r>
                </w:p>
              </w:tc>
              <w:tc>
                <w:tcPr>
                  <w:tcW w:w="780" w:type="dxa"/>
                  <w:vAlign w:val="center"/>
                </w:tcPr>
                <w:p w14:paraId="294B465A">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252530</w:t>
                  </w:r>
                </w:p>
              </w:tc>
              <w:tc>
                <w:tcPr>
                  <w:tcW w:w="695" w:type="dxa"/>
                  <w:vAlign w:val="center"/>
                </w:tcPr>
                <w:p w14:paraId="7D8BDF9A">
                  <w:pPr>
                    <w:spacing w:line="240" w:lineRule="auto"/>
                    <w:jc w:val="center"/>
                    <w:rPr>
                      <w:rFonts w:hint="eastAsia" w:ascii="Times New Roman" w:hAnsi="Times New Roman" w:eastAsia="宋体" w:cs="Times New Roman"/>
                      <w:kern w:val="18"/>
                      <w:sz w:val="18"/>
                      <w:szCs w:val="18"/>
                      <w:vertAlign w:val="baseline"/>
                      <w:lang w:val="en-US" w:eastAsia="zh-CN"/>
                    </w:rPr>
                  </w:pPr>
                </w:p>
              </w:tc>
            </w:tr>
            <w:tr w14:paraId="6ADD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8" w:type="dxa"/>
                  <w:vAlign w:val="center"/>
                </w:tcPr>
                <w:p w14:paraId="30DFCB4E">
                  <w:pPr>
                    <w:spacing w:line="240" w:lineRule="auto"/>
                    <w:jc w:val="center"/>
                    <w:rPr>
                      <w:rFonts w:hint="default" w:ascii="Times New Roman" w:hAnsi="Times New Roman" w:eastAsia="宋体" w:cs="Times New Roman"/>
                      <w:kern w:val="18"/>
                      <w:sz w:val="21"/>
                      <w:szCs w:val="21"/>
                      <w:vertAlign w:val="baseline"/>
                      <w:lang w:val="en-US" w:eastAsia="zh-CN"/>
                    </w:rPr>
                  </w:pPr>
                  <w:r>
                    <w:rPr>
                      <w:rFonts w:hint="eastAsia" w:ascii="Times New Roman" w:hAnsi="Times New Roman" w:eastAsia="宋体" w:cs="Times New Roman"/>
                      <w:kern w:val="18"/>
                      <w:sz w:val="21"/>
                      <w:szCs w:val="21"/>
                      <w:vertAlign w:val="baseline"/>
                      <w:lang w:val="en-US" w:eastAsia="zh-CN"/>
                    </w:rPr>
                    <w:t>管道工程</w:t>
                  </w:r>
                </w:p>
              </w:tc>
              <w:tc>
                <w:tcPr>
                  <w:tcW w:w="810" w:type="dxa"/>
                  <w:vAlign w:val="center"/>
                </w:tcPr>
                <w:p w14:paraId="40489AAB">
                  <w:pPr>
                    <w:spacing w:line="240" w:lineRule="auto"/>
                    <w:jc w:val="center"/>
                    <w:rPr>
                      <w:rFonts w:hint="default" w:ascii="Times New Roman" w:hAnsi="Times New Roman" w:eastAsia="宋体" w:cs="Times New Roman"/>
                      <w:kern w:val="18"/>
                      <w:sz w:val="18"/>
                      <w:szCs w:val="18"/>
                      <w:vertAlign w:val="baseline"/>
                      <w:lang w:val="en-US" w:eastAsia="zh-CN"/>
                    </w:rPr>
                  </w:pPr>
                </w:p>
              </w:tc>
              <w:tc>
                <w:tcPr>
                  <w:tcW w:w="825" w:type="dxa"/>
                  <w:vAlign w:val="center"/>
                </w:tcPr>
                <w:p w14:paraId="5E6C8A0E">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453569</w:t>
                  </w:r>
                </w:p>
              </w:tc>
              <w:tc>
                <w:tcPr>
                  <w:tcW w:w="885" w:type="dxa"/>
                  <w:vAlign w:val="center"/>
                </w:tcPr>
                <w:p w14:paraId="23FE8440">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404967</w:t>
                  </w:r>
                </w:p>
              </w:tc>
              <w:tc>
                <w:tcPr>
                  <w:tcW w:w="765" w:type="dxa"/>
                  <w:vAlign w:val="center"/>
                </w:tcPr>
                <w:p w14:paraId="02143B0A">
                  <w:pPr>
                    <w:spacing w:line="240" w:lineRule="auto"/>
                    <w:jc w:val="center"/>
                    <w:rPr>
                      <w:rFonts w:hint="default" w:ascii="Times New Roman" w:hAnsi="Times New Roman" w:eastAsia="宋体" w:cs="Times New Roman"/>
                      <w:kern w:val="18"/>
                      <w:sz w:val="18"/>
                      <w:szCs w:val="18"/>
                      <w:vertAlign w:val="baseline"/>
                      <w:lang w:val="en-US" w:eastAsia="zh-CN"/>
                    </w:rPr>
                  </w:pPr>
                </w:p>
              </w:tc>
              <w:tc>
                <w:tcPr>
                  <w:tcW w:w="825" w:type="dxa"/>
                  <w:vAlign w:val="center"/>
                </w:tcPr>
                <w:p w14:paraId="724C7871">
                  <w:pPr>
                    <w:spacing w:line="240" w:lineRule="auto"/>
                    <w:jc w:val="center"/>
                    <w:rPr>
                      <w:rFonts w:hint="default" w:ascii="Times New Roman" w:hAnsi="Times New Roman" w:eastAsia="宋体" w:cs="Times New Roman"/>
                      <w:kern w:val="18"/>
                      <w:sz w:val="18"/>
                      <w:szCs w:val="18"/>
                      <w:vertAlign w:val="baseline"/>
                      <w:lang w:val="en-US" w:eastAsia="zh-CN"/>
                    </w:rPr>
                  </w:pPr>
                </w:p>
              </w:tc>
              <w:tc>
                <w:tcPr>
                  <w:tcW w:w="780" w:type="dxa"/>
                  <w:vAlign w:val="center"/>
                </w:tcPr>
                <w:p w14:paraId="59FA8D9C">
                  <w:pPr>
                    <w:spacing w:line="240" w:lineRule="auto"/>
                    <w:jc w:val="center"/>
                    <w:rPr>
                      <w:rFonts w:hint="default" w:ascii="Times New Roman" w:hAnsi="Times New Roman" w:eastAsia="宋体" w:cs="Times New Roman"/>
                      <w:kern w:val="18"/>
                      <w:sz w:val="18"/>
                      <w:szCs w:val="18"/>
                      <w:vertAlign w:val="baseline"/>
                      <w:lang w:val="en-US" w:eastAsia="zh-CN"/>
                    </w:rPr>
                  </w:pPr>
                </w:p>
              </w:tc>
              <w:tc>
                <w:tcPr>
                  <w:tcW w:w="1035" w:type="dxa"/>
                  <w:vAlign w:val="center"/>
                </w:tcPr>
                <w:p w14:paraId="38CF3678">
                  <w:pPr>
                    <w:spacing w:line="240" w:lineRule="auto"/>
                    <w:jc w:val="center"/>
                    <w:rPr>
                      <w:rFonts w:hint="default" w:ascii="Times New Roman" w:hAnsi="Times New Roman" w:eastAsia="宋体" w:cs="Times New Roman"/>
                      <w:kern w:val="18"/>
                      <w:sz w:val="18"/>
                      <w:szCs w:val="18"/>
                      <w:vertAlign w:val="baseline"/>
                      <w:lang w:val="en-US" w:eastAsia="zh-CN"/>
                    </w:rPr>
                  </w:pPr>
                </w:p>
              </w:tc>
              <w:tc>
                <w:tcPr>
                  <w:tcW w:w="780" w:type="dxa"/>
                  <w:vAlign w:val="center"/>
                </w:tcPr>
                <w:p w14:paraId="127785D6">
                  <w:pPr>
                    <w:spacing w:line="240" w:lineRule="auto"/>
                    <w:jc w:val="center"/>
                    <w:rPr>
                      <w:rFonts w:hint="default" w:ascii="Times New Roman" w:hAnsi="Times New Roman" w:eastAsia="宋体" w:cs="Times New Roman"/>
                      <w:kern w:val="18"/>
                      <w:sz w:val="18"/>
                      <w:szCs w:val="18"/>
                      <w:vertAlign w:val="baseline"/>
                      <w:lang w:val="en-US" w:eastAsia="zh-CN"/>
                    </w:rPr>
                  </w:pPr>
                </w:p>
              </w:tc>
              <w:tc>
                <w:tcPr>
                  <w:tcW w:w="695" w:type="dxa"/>
                  <w:vAlign w:val="center"/>
                </w:tcPr>
                <w:p w14:paraId="17E3CF0B">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48602</w:t>
                  </w:r>
                </w:p>
              </w:tc>
            </w:tr>
            <w:tr w14:paraId="0E4F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38" w:type="dxa"/>
                  <w:vAlign w:val="center"/>
                </w:tcPr>
                <w:p w14:paraId="47CA6954">
                  <w:pPr>
                    <w:spacing w:line="240" w:lineRule="auto"/>
                    <w:jc w:val="center"/>
                    <w:rPr>
                      <w:rFonts w:hint="eastAsia" w:ascii="Times New Roman" w:hAnsi="Times New Roman" w:eastAsia="宋体" w:cs="Times New Roman"/>
                      <w:kern w:val="18"/>
                      <w:sz w:val="21"/>
                      <w:szCs w:val="21"/>
                      <w:vertAlign w:val="baseline"/>
                      <w:lang w:val="en-US" w:eastAsia="zh-CN"/>
                    </w:rPr>
                  </w:pPr>
                  <w:r>
                    <w:rPr>
                      <w:rFonts w:hint="eastAsia" w:ascii="Times New Roman" w:hAnsi="Times New Roman" w:eastAsia="宋体" w:cs="Times New Roman"/>
                      <w:kern w:val="18"/>
                      <w:sz w:val="21"/>
                      <w:szCs w:val="21"/>
                      <w:vertAlign w:val="baseline"/>
                      <w:lang w:val="en-US" w:eastAsia="zh-CN"/>
                    </w:rPr>
                    <w:t>合计</w:t>
                  </w:r>
                </w:p>
              </w:tc>
              <w:tc>
                <w:tcPr>
                  <w:tcW w:w="810" w:type="dxa"/>
                  <w:vAlign w:val="center"/>
                </w:tcPr>
                <w:p w14:paraId="4B4B2915">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252530</w:t>
                  </w:r>
                </w:p>
              </w:tc>
              <w:tc>
                <w:tcPr>
                  <w:tcW w:w="825" w:type="dxa"/>
                  <w:vAlign w:val="center"/>
                </w:tcPr>
                <w:p w14:paraId="540D460F">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557590</w:t>
                  </w:r>
                </w:p>
              </w:tc>
              <w:tc>
                <w:tcPr>
                  <w:tcW w:w="885" w:type="dxa"/>
                  <w:vAlign w:val="center"/>
                </w:tcPr>
                <w:p w14:paraId="4150DCAB">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1195164</w:t>
                  </w:r>
                </w:p>
              </w:tc>
              <w:tc>
                <w:tcPr>
                  <w:tcW w:w="765" w:type="dxa"/>
                  <w:vAlign w:val="center"/>
                </w:tcPr>
                <w:p w14:paraId="22227642">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232565</w:t>
                  </w:r>
                </w:p>
              </w:tc>
              <w:tc>
                <w:tcPr>
                  <w:tcW w:w="825" w:type="dxa"/>
                  <w:vAlign w:val="center"/>
                </w:tcPr>
                <w:p w14:paraId="7F9F07C5">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290729</w:t>
                  </w:r>
                </w:p>
              </w:tc>
              <w:tc>
                <w:tcPr>
                  <w:tcW w:w="780" w:type="dxa"/>
                  <w:vAlign w:val="center"/>
                </w:tcPr>
                <w:p w14:paraId="1994C88D">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637574</w:t>
                  </w:r>
                </w:p>
              </w:tc>
              <w:tc>
                <w:tcPr>
                  <w:tcW w:w="1035" w:type="dxa"/>
                  <w:vAlign w:val="center"/>
                </w:tcPr>
                <w:p w14:paraId="11693074">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523294</w:t>
                  </w:r>
                </w:p>
              </w:tc>
              <w:tc>
                <w:tcPr>
                  <w:tcW w:w="780" w:type="dxa"/>
                  <w:vAlign w:val="center"/>
                </w:tcPr>
                <w:p w14:paraId="767BF4F4">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252530</w:t>
                  </w:r>
                </w:p>
              </w:tc>
              <w:tc>
                <w:tcPr>
                  <w:tcW w:w="695" w:type="dxa"/>
                  <w:vAlign w:val="center"/>
                </w:tcPr>
                <w:p w14:paraId="19829661">
                  <w:pPr>
                    <w:spacing w:line="240" w:lineRule="auto"/>
                    <w:jc w:val="center"/>
                    <w:rPr>
                      <w:rFonts w:hint="default" w:ascii="Times New Roman" w:hAnsi="Times New Roman" w:eastAsia="宋体" w:cs="Times New Roman"/>
                      <w:kern w:val="18"/>
                      <w:sz w:val="18"/>
                      <w:szCs w:val="18"/>
                      <w:vertAlign w:val="baseline"/>
                      <w:lang w:val="en-US" w:eastAsia="zh-CN"/>
                    </w:rPr>
                  </w:pPr>
                  <w:r>
                    <w:rPr>
                      <w:rFonts w:hint="eastAsia" w:ascii="Times New Roman" w:hAnsi="Times New Roman" w:eastAsia="宋体" w:cs="Times New Roman"/>
                      <w:kern w:val="18"/>
                      <w:sz w:val="18"/>
                      <w:szCs w:val="18"/>
                      <w:vertAlign w:val="baseline"/>
                      <w:lang w:val="en-US" w:eastAsia="zh-CN"/>
                    </w:rPr>
                    <w:t>48602</w:t>
                  </w:r>
                </w:p>
              </w:tc>
            </w:tr>
          </w:tbl>
          <w:p w14:paraId="36000C78">
            <w:pPr>
              <w:spacing w:line="360" w:lineRule="auto"/>
              <w:rPr>
                <w:rFonts w:hint="eastAsia" w:cs="Times New Roman"/>
                <w:kern w:val="18"/>
                <w:sz w:val="24"/>
                <w:lang w:val="en-US" w:eastAsia="zh-CN"/>
              </w:rPr>
            </w:pPr>
            <w:r>
              <w:rPr>
                <w:rFonts w:ascii="Times New Roman" w:hAnsi="Times New Roman"/>
                <w:kern w:val="18"/>
                <w:sz w:val="21"/>
                <w:szCs w:val="21"/>
              </w:rPr>
              <w:t>注：平衡公式为：挖方+调入=填方+弃方；</w:t>
            </w:r>
          </w:p>
          <w:p w14:paraId="2AEE7441">
            <w:pPr>
              <w:numPr>
                <w:ilvl w:val="0"/>
                <w:numId w:val="0"/>
              </w:numPr>
              <w:adjustRightInd w:val="0"/>
              <w:snapToGrid w:val="0"/>
              <w:spacing w:line="360" w:lineRule="auto"/>
              <w:ind w:leftChars="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（2）施工垃圾</w:t>
            </w:r>
          </w:p>
          <w:p w14:paraId="1466B892">
            <w:pPr>
              <w:spacing w:line="360" w:lineRule="auto"/>
              <w:ind w:firstLine="480" w:firstLineChars="200"/>
              <w:rPr>
                <w:rFonts w:hint="default" w:ascii="Times New Roman" w:hAnsi="Times New Roman" w:cs="Times New Roman"/>
                <w:kern w:val="18"/>
                <w:sz w:val="24"/>
              </w:rPr>
            </w:pPr>
            <w:r>
              <w:rPr>
                <w:rFonts w:hint="default" w:ascii="Times New Roman" w:hAnsi="Times New Roman" w:cs="Times New Roman"/>
                <w:kern w:val="18"/>
                <w:sz w:val="24"/>
              </w:rPr>
              <w:t>施工垃圾包括废弃施工材料，如木材、钢材及混凝土凝块废料等，产生量以1</w:t>
            </w:r>
            <w:r>
              <w:rPr>
                <w:rFonts w:hint="default" w:ascii="Times New Roman" w:hAnsi="Times New Roman" w:cs="Times New Roman"/>
                <w:kern w:val="18"/>
                <w:sz w:val="24"/>
                <w:lang w:val="en-US" w:eastAsia="zh-CN"/>
              </w:rPr>
              <w:t>0</w:t>
            </w:r>
            <w:r>
              <w:rPr>
                <w:rFonts w:hint="default" w:ascii="Times New Roman" w:hAnsi="Times New Roman" w:cs="Times New Roman"/>
                <w:kern w:val="18"/>
                <w:sz w:val="24"/>
              </w:rPr>
              <w:t>t/km计，</w:t>
            </w:r>
            <w:r>
              <w:rPr>
                <w:rFonts w:hint="default" w:ascii="Times New Roman" w:hAnsi="Times New Roman" w:cs="Times New Roman"/>
                <w:kern w:val="18"/>
                <w:sz w:val="24"/>
                <w:lang w:eastAsia="zh-CN"/>
              </w:rPr>
              <w:t>本项目</w:t>
            </w:r>
            <w:r>
              <w:rPr>
                <w:rFonts w:hint="default" w:ascii="Times New Roman" w:hAnsi="Times New Roman" w:cs="Times New Roman"/>
                <w:sz w:val="24"/>
              </w:rPr>
              <w:t>垃圾产生量约</w:t>
            </w:r>
            <w:r>
              <w:rPr>
                <w:rFonts w:hint="eastAsia" w:ascii="Times New Roman" w:hAnsi="Times New Roman" w:cs="Times New Roman"/>
                <w:sz w:val="24"/>
                <w:lang w:val="en-US" w:eastAsia="zh-CN"/>
              </w:rPr>
              <w:t>120</w:t>
            </w:r>
            <w:r>
              <w:rPr>
                <w:rFonts w:hint="default" w:ascii="Times New Roman" w:hAnsi="Times New Roman" w:cs="Times New Roman"/>
                <w:sz w:val="24"/>
              </w:rPr>
              <w:t>t</w:t>
            </w:r>
            <w:r>
              <w:rPr>
                <w:rFonts w:hint="default" w:ascii="Times New Roman" w:hAnsi="Times New Roman" w:cs="Times New Roman"/>
                <w:kern w:val="0"/>
                <w:sz w:val="24"/>
              </w:rPr>
              <w:t>，</w:t>
            </w:r>
            <w:r>
              <w:rPr>
                <w:rFonts w:hint="default" w:ascii="Times New Roman" w:hAnsi="Times New Roman" w:cs="Times New Roman"/>
                <w:kern w:val="18"/>
                <w:sz w:val="24"/>
              </w:rPr>
              <w:t>项目施工垃圾严格按照《城市建筑垃圾管理规定》的规定充分回收利用，不能利用的部分应给予收集，不能随意丢弃，由施工单位运至建设部门指定地点进行妥善处置。</w:t>
            </w:r>
          </w:p>
          <w:p w14:paraId="0FF49550">
            <w:pPr>
              <w:numPr>
                <w:ilvl w:val="0"/>
                <w:numId w:val="0"/>
              </w:numPr>
              <w:spacing w:line="360" w:lineRule="auto"/>
              <w:ind w:leftChars="200"/>
              <w:rPr>
                <w:rFonts w:hint="default" w:ascii="Times New Roman" w:hAnsi="Times New Roman" w:cs="Times New Roman"/>
                <w:color w:val="000000" w:themeColor="text1"/>
                <w:kern w:val="18"/>
                <w:sz w:val="24"/>
                <w:lang w:eastAsia="zh-CN"/>
                <w14:textFill>
                  <w14:solidFill>
                    <w14:schemeClr w14:val="tx1"/>
                  </w14:solidFill>
                </w14:textFill>
              </w:rPr>
            </w:pPr>
            <w:r>
              <w:rPr>
                <w:rFonts w:hint="default" w:ascii="Times New Roman" w:hAnsi="Times New Roman" w:cs="Times New Roman"/>
                <w:color w:val="000000" w:themeColor="text1"/>
                <w:kern w:val="18"/>
                <w:sz w:val="24"/>
                <w:lang w:eastAsia="zh-CN"/>
                <w14:textFill>
                  <w14:solidFill>
                    <w14:schemeClr w14:val="tx1"/>
                  </w14:solidFill>
                </w14:textFill>
              </w:rPr>
              <w:t>（</w:t>
            </w:r>
            <w:r>
              <w:rPr>
                <w:rFonts w:hint="default" w:ascii="Times New Roman" w:hAnsi="Times New Roman" w:cs="Times New Roman"/>
                <w:color w:val="000000" w:themeColor="text1"/>
                <w:kern w:val="18"/>
                <w:sz w:val="24"/>
                <w:lang w:val="en-US" w:eastAsia="zh-CN"/>
                <w14:textFill>
                  <w14:solidFill>
                    <w14:schemeClr w14:val="tx1"/>
                  </w14:solidFill>
                </w14:textFill>
              </w:rPr>
              <w:t>3</w:t>
            </w:r>
            <w:r>
              <w:rPr>
                <w:rFonts w:hint="default" w:ascii="Times New Roman" w:hAnsi="Times New Roman" w:cs="Times New Roman"/>
                <w:color w:val="000000" w:themeColor="text1"/>
                <w:kern w:val="18"/>
                <w:sz w:val="24"/>
                <w:lang w:eastAsia="zh-CN"/>
                <w14:textFill>
                  <w14:solidFill>
                    <w14:schemeClr w14:val="tx1"/>
                  </w14:solidFill>
                </w14:textFill>
              </w:rPr>
              <w:t>）生活垃圾</w:t>
            </w:r>
          </w:p>
          <w:p w14:paraId="05E7C266">
            <w:pPr>
              <w:adjustRightInd w:val="0"/>
              <w:snapToGrid w:val="0"/>
              <w:spacing w:line="360" w:lineRule="auto"/>
              <w:ind w:firstLine="470" w:firstLineChars="196"/>
              <w:rPr>
                <w:rFonts w:hint="default" w:ascii="Times New Roman" w:hAnsi="Times New Roman" w:cs="Times New Roman"/>
                <w:color w:val="000000" w:themeColor="text1"/>
                <w:kern w:val="18"/>
                <w:sz w:val="24"/>
                <w:lang w:val="en-US" w:eastAsia="zh-CN"/>
                <w14:textFill>
                  <w14:solidFill>
                    <w14:schemeClr w14:val="tx1"/>
                  </w14:solidFill>
                </w14:textFill>
              </w:rPr>
            </w:pPr>
            <w:r>
              <w:rPr>
                <w:rFonts w:hint="default" w:ascii="Times New Roman" w:hAnsi="Times New Roman" w:cs="Times New Roman"/>
                <w:color w:val="auto"/>
                <w:sz w:val="24"/>
                <w:highlight w:val="none"/>
              </w:rPr>
              <w:t>施工高峰时期施工人员以</w:t>
            </w:r>
            <w:r>
              <w:rPr>
                <w:rFonts w:hint="default" w:ascii="Times New Roman" w:hAnsi="Times New Roman" w:cs="Times New Roman"/>
                <w:color w:val="auto"/>
                <w:sz w:val="24"/>
                <w:highlight w:val="none"/>
                <w:lang w:val="en-US" w:eastAsia="zh-CN"/>
              </w:rPr>
              <w:t>40</w:t>
            </w:r>
            <w:r>
              <w:rPr>
                <w:rFonts w:hint="default" w:ascii="Times New Roman" w:hAnsi="Times New Roman" w:cs="Times New Roman"/>
                <w:color w:val="auto"/>
                <w:sz w:val="24"/>
                <w:highlight w:val="none"/>
              </w:rPr>
              <w:t>人计，每人每天产生生活垃圾0.5kg，则施工人员生活垃圾产生量约为</w:t>
            </w:r>
            <w:r>
              <w:rPr>
                <w:rFonts w:hint="default" w:ascii="Times New Roman" w:hAnsi="Times New Roman" w:cs="Times New Roman"/>
                <w:color w:val="auto"/>
                <w:sz w:val="24"/>
                <w:highlight w:val="none"/>
                <w:lang w:val="en-US" w:eastAsia="zh-CN"/>
              </w:rPr>
              <w:t>0.02</w:t>
            </w:r>
            <w:r>
              <w:rPr>
                <w:rFonts w:hint="default" w:ascii="Times New Roman" w:hAnsi="Times New Roman" w:cs="Times New Roman"/>
                <w:color w:val="auto"/>
                <w:sz w:val="24"/>
                <w:highlight w:val="none"/>
              </w:rPr>
              <w:t>t/d，项目施工时间约为1</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个月，则项目施工期生活垃圾产生量约为</w:t>
            </w:r>
            <w:r>
              <w:rPr>
                <w:rFonts w:hint="eastAsia" w:ascii="Times New Roman" w:hAnsi="Times New Roman" w:cs="Times New Roman"/>
                <w:color w:val="auto"/>
                <w:sz w:val="24"/>
                <w:highlight w:val="none"/>
                <w:lang w:val="en-US" w:eastAsia="zh-CN"/>
              </w:rPr>
              <w:t>7.3</w:t>
            </w:r>
            <w:r>
              <w:rPr>
                <w:rFonts w:hint="default" w:ascii="Times New Roman" w:hAnsi="Times New Roman" w:cs="Times New Roman"/>
                <w:color w:val="auto"/>
                <w:sz w:val="24"/>
                <w:highlight w:val="none"/>
              </w:rPr>
              <w:t>t。生活垃圾中主要含有有机物、纸、塑料、金属、玻璃陶瓷等，其中有机物所占比例最大，约为40％。生活垃圾统一</w:t>
            </w:r>
            <w:bookmarkStart w:id="11" w:name="OLE_LINK52"/>
            <w:r>
              <w:rPr>
                <w:rFonts w:hint="default" w:ascii="Times New Roman" w:hAnsi="Times New Roman" w:cs="Times New Roman"/>
                <w:color w:val="auto"/>
                <w:sz w:val="24"/>
                <w:highlight w:val="none"/>
              </w:rPr>
              <w:t>收集后委托环卫部门运至生活垃圾处置点统一处置</w:t>
            </w:r>
            <w:bookmarkEnd w:id="11"/>
            <w:r>
              <w:rPr>
                <w:rFonts w:hint="default" w:ascii="Times New Roman" w:hAnsi="Times New Roman" w:cs="Times New Roman"/>
                <w:color w:val="auto"/>
                <w:sz w:val="24"/>
                <w:highlight w:val="none"/>
              </w:rPr>
              <w:t>。</w:t>
            </w:r>
          </w:p>
          <w:p w14:paraId="43A73DDC">
            <w:pPr>
              <w:numPr>
                <w:ilvl w:val="0"/>
                <w:numId w:val="27"/>
              </w:numPr>
              <w:spacing w:line="360" w:lineRule="auto"/>
              <w:ind w:left="0" w:leftChars="0" w:firstLine="480" w:firstLineChars="200"/>
              <w:rPr>
                <w:rFonts w:hint="default" w:ascii="Times New Roman" w:hAnsi="Times New Roman" w:cs="Times New Roman"/>
                <w:color w:val="000000" w:themeColor="text1"/>
                <w:kern w:val="18"/>
                <w:sz w:val="24"/>
                <w:lang w:val="en-US" w:eastAsia="zh-CN"/>
                <w14:textFill>
                  <w14:solidFill>
                    <w14:schemeClr w14:val="tx1"/>
                  </w14:solidFill>
                </w14:textFill>
              </w:rPr>
            </w:pPr>
            <w:r>
              <w:rPr>
                <w:rFonts w:hint="default" w:ascii="Times New Roman" w:hAnsi="Times New Roman" w:cs="Times New Roman"/>
                <w:color w:val="000000" w:themeColor="text1"/>
                <w:kern w:val="18"/>
                <w:sz w:val="24"/>
                <w:lang w:val="en-US" w:eastAsia="zh-CN"/>
                <w14:textFill>
                  <w14:solidFill>
                    <w14:schemeClr w14:val="tx1"/>
                  </w14:solidFill>
                </w14:textFill>
              </w:rPr>
              <w:t>废沥青</w:t>
            </w:r>
          </w:p>
          <w:p w14:paraId="5A402547">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lang w:eastAsia="zh-CN"/>
              </w:rPr>
              <w:t>本项目道路</w:t>
            </w:r>
            <w:r>
              <w:rPr>
                <w:rFonts w:hint="default" w:ascii="Times New Roman" w:hAnsi="Times New Roman" w:cs="Times New Roman"/>
                <w:sz w:val="24"/>
              </w:rPr>
              <w:t>路面为沥青混凝土路面，在施工过程中会产生会产生一定量的废弃沥青，产生量难以定量。</w:t>
            </w:r>
            <w:r>
              <w:rPr>
                <w:rFonts w:hint="default" w:ascii="Times New Roman" w:hAnsi="Times New Roman" w:cs="Times New Roman"/>
                <w:sz w:val="24"/>
                <w:szCs w:val="24"/>
              </w:rPr>
              <w:t>根据《国家危险废物名录》（2016年），废沥青属于HW11精（蒸） 馏残渣，废物代码为900-013-11。废沥青经施工人员统一收集后，交由</w:t>
            </w:r>
            <w:r>
              <w:rPr>
                <w:rFonts w:hint="eastAsia" w:cs="Times New Roman"/>
                <w:sz w:val="24"/>
                <w:szCs w:val="24"/>
                <w:lang w:eastAsia="zh-CN"/>
              </w:rPr>
              <w:t>搅拌站回收</w:t>
            </w:r>
            <w:r>
              <w:rPr>
                <w:rFonts w:hint="default" w:ascii="Times New Roman" w:hAnsi="Times New Roman" w:cs="Times New Roman"/>
                <w:sz w:val="24"/>
                <w:szCs w:val="24"/>
              </w:rPr>
              <w:t>。</w:t>
            </w:r>
          </w:p>
          <w:p w14:paraId="509741F7">
            <w:pPr>
              <w:numPr>
                <w:ilvl w:val="0"/>
                <w:numId w:val="27"/>
              </w:numPr>
              <w:spacing w:line="360" w:lineRule="auto"/>
              <w:ind w:left="0" w:leftChars="0" w:firstLine="480" w:firstLineChars="200"/>
              <w:rPr>
                <w:rFonts w:hint="eastAsia" w:cs="Times New Roman"/>
                <w:sz w:val="24"/>
                <w:szCs w:val="24"/>
                <w:lang w:eastAsia="zh-CN"/>
              </w:rPr>
            </w:pPr>
            <w:r>
              <w:rPr>
                <w:rFonts w:hint="eastAsia" w:cs="Times New Roman"/>
                <w:sz w:val="24"/>
                <w:szCs w:val="24"/>
                <w:lang w:eastAsia="zh-CN"/>
              </w:rPr>
              <w:t>废油</w:t>
            </w:r>
          </w:p>
          <w:p w14:paraId="36DECFB9">
            <w:pPr>
              <w:spacing w:line="360" w:lineRule="auto"/>
              <w:ind w:firstLine="480" w:firstLineChars="200"/>
              <w:rPr>
                <w:rFonts w:hint="eastAsia" w:cs="Times New Roman"/>
                <w:sz w:val="24"/>
                <w:szCs w:val="24"/>
                <w:lang w:eastAsia="zh-CN"/>
              </w:rPr>
            </w:pPr>
            <w:r>
              <w:rPr>
                <w:rFonts w:ascii="Times New Roman" w:hAnsi="Times New Roman"/>
                <w:sz w:val="24"/>
                <w:szCs w:val="24"/>
              </w:rPr>
              <w:t>本项目</w:t>
            </w:r>
            <w:r>
              <w:rPr>
                <w:rFonts w:hint="eastAsia" w:ascii="Times New Roman" w:hAnsi="Times New Roman"/>
                <w:sz w:val="24"/>
                <w:szCs w:val="24"/>
              </w:rPr>
              <w:t>在施工</w:t>
            </w:r>
            <w:r>
              <w:rPr>
                <w:rFonts w:ascii="Times New Roman" w:hAnsi="Times New Roman"/>
                <w:sz w:val="24"/>
                <w:szCs w:val="24"/>
              </w:rPr>
              <w:t>过程中对故障</w:t>
            </w:r>
            <w:r>
              <w:rPr>
                <w:rFonts w:hint="eastAsia" w:ascii="Times New Roman" w:hAnsi="Times New Roman"/>
                <w:sz w:val="24"/>
                <w:szCs w:val="24"/>
              </w:rPr>
              <w:t>施工机械</w:t>
            </w:r>
            <w:r>
              <w:rPr>
                <w:rFonts w:ascii="Times New Roman" w:hAnsi="Times New Roman"/>
                <w:sz w:val="24"/>
                <w:szCs w:val="24"/>
              </w:rPr>
              <w:t>进行简单的维修，会产生少量的废油，根据《国家危险废物名录》（2016年），废油属于HW08废矿物油与含矿物油废物，废物代码为900-214-08</w:t>
            </w:r>
            <w:r>
              <w:rPr>
                <w:rFonts w:hint="eastAsia" w:ascii="Times New Roman" w:hAnsi="Times New Roman"/>
                <w:sz w:val="24"/>
                <w:szCs w:val="24"/>
              </w:rPr>
              <w:t>。本项目施工机械维修到维修点进行维修，产生的废油由维修点</w:t>
            </w:r>
            <w:r>
              <w:rPr>
                <w:rFonts w:ascii="Times New Roman" w:hAnsi="Times New Roman"/>
                <w:sz w:val="24"/>
                <w:szCs w:val="24"/>
              </w:rPr>
              <w:t>统一收集后定期交由有资质的单位进行处置</w:t>
            </w:r>
            <w:r>
              <w:rPr>
                <w:rFonts w:hint="eastAsia" w:ascii="Times New Roman" w:hAnsi="Times New Roman"/>
                <w:sz w:val="24"/>
                <w:szCs w:val="24"/>
              </w:rPr>
              <w:t>，因此项目区无废油产生</w:t>
            </w:r>
            <w:r>
              <w:rPr>
                <w:rFonts w:ascii="Times New Roman" w:hAnsi="Times New Roman"/>
                <w:sz w:val="24"/>
                <w:szCs w:val="24"/>
              </w:rPr>
              <w:t>。</w:t>
            </w:r>
          </w:p>
          <w:p w14:paraId="70AA9A7A">
            <w:pPr>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5.</w:t>
            </w:r>
            <w:r>
              <w:rPr>
                <w:rFonts w:hint="default" w:ascii="Times New Roman" w:hAnsi="Times New Roman" w:eastAsia="宋体" w:cs="Times New Roman"/>
                <w:b/>
                <w:bCs/>
                <w:sz w:val="24"/>
                <w:szCs w:val="24"/>
                <w:lang w:val="en-US" w:eastAsia="zh-CN"/>
              </w:rPr>
              <w:t>施工生态影响</w:t>
            </w:r>
          </w:p>
          <w:p w14:paraId="127EFD2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设将占用部分农用地，项目建设占地会使沿线的农业资源和植被受到破坏，从植被分布现状调查的结果看，以项目直接影响的植被类型主要是农作物及草地灌木丛等。项目临时占地将对植被产生直接的破坏作用，从而降低群落的生物多样性。</w:t>
            </w:r>
          </w:p>
          <w:p w14:paraId="5FD9AC8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所在区域为开发区，受人工干扰严重，现有的动物极少。项目施工期间，对区域主要常见的麻雀等小型动物的活动有一定的影响，但它们会迁移到非施工区，对其生存不会造成威胁。运营期交通噪声和夜间车辆行驶时灯光对动物的栖息和繁殖有一定的不利影响，但对该地区的动物不会造成特别的破坏。</w:t>
            </w:r>
          </w:p>
          <w:p w14:paraId="7A8640B6">
            <w:pPr>
              <w:numPr>
                <w:ilvl w:val="0"/>
                <w:numId w:val="25"/>
              </w:numPr>
              <w:adjustRightInd w:val="0"/>
              <w:snapToGrid w:val="0"/>
              <w:spacing w:line="360" w:lineRule="auto"/>
              <w:ind w:left="0" w:leftChars="0" w:firstLine="0" w:firstLineChars="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营运期污染物分析</w:t>
            </w:r>
          </w:p>
          <w:p w14:paraId="3A4F27D9">
            <w:pPr>
              <w:numPr>
                <w:ilvl w:val="0"/>
                <w:numId w:val="0"/>
              </w:numPr>
              <w:adjustRightInd w:val="0"/>
              <w:snapToGrid w:val="0"/>
              <w:spacing w:line="360" w:lineRule="auto"/>
              <w:ind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道路</w:t>
            </w:r>
            <w:r>
              <w:rPr>
                <w:rFonts w:hint="default" w:ascii="Times New Roman" w:hAnsi="Times New Roman" w:cs="Times New Roman"/>
                <w:color w:val="auto"/>
                <w:sz w:val="24"/>
                <w:highlight w:val="none"/>
                <w:lang w:eastAsia="zh-CN"/>
              </w:rPr>
              <w:t>营运</w:t>
            </w:r>
            <w:r>
              <w:rPr>
                <w:rFonts w:hint="default" w:ascii="Times New Roman" w:hAnsi="Times New Roman" w:cs="Times New Roman"/>
                <w:color w:val="auto"/>
                <w:sz w:val="24"/>
                <w:highlight w:val="none"/>
              </w:rPr>
              <w:t>期对环境产生的不利影响主要是车辆行驶过程中产生的车辆排放的尾气、路面径流、噪声以及道路养护产生的污染物排放等。</w:t>
            </w:r>
          </w:p>
          <w:p w14:paraId="561B9308">
            <w:pPr>
              <w:numPr>
                <w:ilvl w:val="0"/>
                <w:numId w:val="0"/>
              </w:num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大气污染分析</w:t>
            </w:r>
          </w:p>
          <w:p w14:paraId="3E55267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营运</w:t>
            </w:r>
            <w:r>
              <w:rPr>
                <w:rFonts w:hint="default" w:ascii="Times New Roman" w:hAnsi="Times New Roman" w:cs="Times New Roman"/>
                <w:color w:val="auto"/>
                <w:sz w:val="24"/>
                <w:highlight w:val="none"/>
              </w:rPr>
              <w:t>期主要大气污染源是汽车尾气，</w:t>
            </w:r>
            <w:r>
              <w:rPr>
                <w:rFonts w:hint="default" w:ascii="Times New Roman" w:hAnsi="Times New Roman" w:cs="Times New Roman"/>
                <w:bCs/>
                <w:color w:val="auto"/>
                <w:sz w:val="24"/>
                <w:highlight w:val="none"/>
              </w:rPr>
              <w:t>汽车作为公路上流动的线污染源，在行驶过程中排放的尾气含有NOx、CO等混合的有毒有害的污染物</w:t>
            </w:r>
            <w:r>
              <w:rPr>
                <w:rFonts w:hint="default" w:ascii="Times New Roman" w:hAnsi="Times New Roman" w:cs="Times New Roman"/>
                <w:color w:val="auto"/>
                <w:spacing w:val="6"/>
                <w:sz w:val="24"/>
                <w:highlight w:val="none"/>
              </w:rPr>
              <w:t>。</w:t>
            </w:r>
            <w:r>
              <w:rPr>
                <w:rFonts w:hint="default" w:ascii="Times New Roman" w:hAnsi="Times New Roman" w:cs="Times New Roman"/>
                <w:color w:val="auto"/>
                <w:sz w:val="24"/>
                <w:highlight w:val="none"/>
              </w:rPr>
              <w:t>污染物排放量的大小与交通量成比例增加，与车辆的类型以及汽车运行的工况有关。</w:t>
            </w:r>
            <w:r>
              <w:rPr>
                <w:rFonts w:hint="default" w:ascii="Times New Roman" w:hAnsi="Times New Roman" w:cs="Times New Roman"/>
                <w:bCs/>
                <w:color w:val="auto"/>
                <w:sz w:val="24"/>
                <w:highlight w:val="none"/>
              </w:rPr>
              <w:t>行驶的汽车与路面的接触也会产生少量的二次扬尘，这些废气属无组织连续排放，</w:t>
            </w:r>
            <w:r>
              <w:rPr>
                <w:rFonts w:hint="default" w:ascii="Times New Roman" w:hAnsi="Times New Roman" w:cs="Times New Roman"/>
                <w:color w:val="auto"/>
                <w:sz w:val="24"/>
                <w:highlight w:val="none"/>
              </w:rPr>
              <w:t>汽车尾气产生量与车流量、车型等相关。</w:t>
            </w:r>
          </w:p>
          <w:p w14:paraId="56C32D96">
            <w:pPr>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计算公式</w:t>
            </w:r>
          </w:p>
          <w:p w14:paraId="1FA6E342">
            <w:pPr>
              <w:spacing w:line="360" w:lineRule="auto"/>
              <w:ind w:firstLine="4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汽车排放尾气中气态污染物排放源源强可按下式计算：</w:t>
            </w:r>
          </w:p>
          <w:p w14:paraId="0FA1EC23">
            <w:pPr>
              <w:spacing w:line="360" w:lineRule="auto"/>
              <w:ind w:firstLine="1074"/>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pict>
                <v:shape id="_x0000_s1027" o:spid="_x0000_s1027" o:spt="75" type="#_x0000_t75" style="position:absolute;left:0pt;margin-left:162.75pt;margin-top:4.7pt;height:33.75pt;width:103.9pt;z-index:251663360;mso-width-relative:page;mso-height-relative:page;" o:ole="t" filled="f" o:preferrelative="t" stroked="f" coordsize="21600,21600">
                  <v:path/>
                  <v:fill on="f" alignshape="1" focussize="0,0"/>
                  <v:stroke on="f"/>
                  <v:imagedata r:id="rId34" o:title=""/>
                  <o:lock v:ext="edit" aspectratio="t"/>
                </v:shape>
                <o:OLEObject Type="Embed" ProgID="Equation.3" ShapeID="_x0000_s1027" DrawAspect="Content" ObjectID="_1468075726" r:id="rId33">
                  <o:LockedField>false</o:LockedField>
                </o:OLEObject>
              </w:pict>
            </w:r>
            <w:r>
              <w:rPr>
                <w:rFonts w:hint="default" w:ascii="Times New Roman" w:hAnsi="Times New Roman" w:cs="Times New Roman"/>
                <w:color w:val="auto"/>
                <w:sz w:val="24"/>
                <w:highlight w:val="none"/>
              </w:rPr>
              <w:br w:type="textWrapping" w:clear="all"/>
            </w:r>
            <w:r>
              <w:rPr>
                <w:rFonts w:hint="default" w:ascii="Times New Roman" w:hAnsi="Times New Roman" w:cs="Times New Roman"/>
                <w:color w:val="auto"/>
                <w:sz w:val="24"/>
                <w:highlight w:val="none"/>
              </w:rPr>
              <w:t xml:space="preserve">   </w:t>
            </w:r>
          </w:p>
          <w:p w14:paraId="13F7375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Q</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类气态污染物排放源强，mg/（s·m）；</w:t>
            </w:r>
          </w:p>
          <w:p w14:paraId="6A7DCF3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A</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——i型车预测年的小时交通量，辆/h；</w:t>
            </w:r>
          </w:p>
          <w:p w14:paraId="5AF75DF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 xml:space="preserve">      E</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——汽车专用公路运行工况下</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型车</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类排放物在预测年的单车排放因子，mg/（辆·m）。</w:t>
            </w:r>
          </w:p>
          <w:p w14:paraId="0A70FE43">
            <w:pPr>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rPr>
              <w:t>参数选取</w:t>
            </w:r>
          </w:p>
          <w:p w14:paraId="115A489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表5-</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 xml:space="preserve"> “车辆单车排放因子推荐值”为《公路建设项目环境影响评价规范》（JTG B03-2006）中附录 E 表 E.2.7 的推荐值。</w:t>
            </w:r>
          </w:p>
          <w:p w14:paraId="38AEF323">
            <w:pPr>
              <w:spacing w:line="276"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表5-</w:t>
            </w: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rPr>
              <w:t xml:space="preserve">   车辆单车排放因子推荐值    单位：mg/辆·m</w:t>
            </w:r>
          </w:p>
          <w:tbl>
            <w:tblPr>
              <w:tblStyle w:val="15"/>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75"/>
              <w:gridCol w:w="724"/>
              <w:gridCol w:w="830"/>
              <w:gridCol w:w="830"/>
              <w:gridCol w:w="830"/>
              <w:gridCol w:w="830"/>
              <w:gridCol w:w="830"/>
              <w:gridCol w:w="886"/>
              <w:gridCol w:w="840"/>
            </w:tblGrid>
            <w:tr w14:paraId="0DA6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763" w:type="dxa"/>
                  <w:gridSpan w:val="2"/>
                  <w:noWrap w:val="0"/>
                  <w:vAlign w:val="center"/>
                </w:tcPr>
                <w:p w14:paraId="3544EB7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平均车速（km/h）</w:t>
                  </w:r>
                </w:p>
              </w:tc>
              <w:tc>
                <w:tcPr>
                  <w:tcW w:w="724" w:type="dxa"/>
                  <w:noWrap w:val="0"/>
                  <w:vAlign w:val="center"/>
                </w:tcPr>
                <w:p w14:paraId="55F17946">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30.00</w:t>
                  </w:r>
                </w:p>
              </w:tc>
              <w:tc>
                <w:tcPr>
                  <w:tcW w:w="830" w:type="dxa"/>
                  <w:noWrap w:val="0"/>
                  <w:vAlign w:val="center"/>
                </w:tcPr>
                <w:p w14:paraId="1477A609">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40.00</w:t>
                  </w:r>
                </w:p>
              </w:tc>
              <w:tc>
                <w:tcPr>
                  <w:tcW w:w="830" w:type="dxa"/>
                  <w:noWrap w:val="0"/>
                  <w:vAlign w:val="center"/>
                </w:tcPr>
                <w:p w14:paraId="00425DB1">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50.00</w:t>
                  </w:r>
                </w:p>
              </w:tc>
              <w:tc>
                <w:tcPr>
                  <w:tcW w:w="830" w:type="dxa"/>
                  <w:noWrap w:val="0"/>
                  <w:vAlign w:val="center"/>
                </w:tcPr>
                <w:p w14:paraId="2878B25C">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60.00</w:t>
                  </w:r>
                </w:p>
              </w:tc>
              <w:tc>
                <w:tcPr>
                  <w:tcW w:w="830" w:type="dxa"/>
                  <w:noWrap w:val="0"/>
                  <w:vAlign w:val="center"/>
                </w:tcPr>
                <w:p w14:paraId="6238376D">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70.00</w:t>
                  </w:r>
                </w:p>
              </w:tc>
              <w:tc>
                <w:tcPr>
                  <w:tcW w:w="830" w:type="dxa"/>
                  <w:noWrap w:val="0"/>
                  <w:vAlign w:val="center"/>
                </w:tcPr>
                <w:p w14:paraId="3D6B8B11">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80.00</w:t>
                  </w:r>
                </w:p>
              </w:tc>
              <w:tc>
                <w:tcPr>
                  <w:tcW w:w="886" w:type="dxa"/>
                  <w:noWrap w:val="0"/>
                  <w:vAlign w:val="center"/>
                </w:tcPr>
                <w:p w14:paraId="603C9901">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w:t>
                  </w:r>
                </w:p>
              </w:tc>
              <w:tc>
                <w:tcPr>
                  <w:tcW w:w="840" w:type="dxa"/>
                  <w:noWrap w:val="0"/>
                  <w:vAlign w:val="center"/>
                </w:tcPr>
                <w:p w14:paraId="455E2814">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100.00</w:t>
                  </w:r>
                </w:p>
              </w:tc>
            </w:tr>
            <w:tr w14:paraId="1E01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88" w:type="dxa"/>
                  <w:vMerge w:val="restart"/>
                  <w:noWrap w:val="0"/>
                  <w:vAlign w:val="center"/>
                </w:tcPr>
                <w:p w14:paraId="5B9F7B47">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小型车</w:t>
                  </w:r>
                </w:p>
              </w:tc>
              <w:tc>
                <w:tcPr>
                  <w:tcW w:w="775" w:type="dxa"/>
                  <w:noWrap w:val="0"/>
                  <w:vAlign w:val="center"/>
                </w:tcPr>
                <w:p w14:paraId="14D9EDFC">
                  <w:pPr>
                    <w:pStyle w:val="2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724" w:type="dxa"/>
                  <w:noWrap w:val="0"/>
                  <w:vAlign w:val="center"/>
                </w:tcPr>
                <w:p w14:paraId="72C75149">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46.68</w:t>
                  </w:r>
                </w:p>
              </w:tc>
              <w:tc>
                <w:tcPr>
                  <w:tcW w:w="830" w:type="dxa"/>
                  <w:noWrap w:val="0"/>
                  <w:vAlign w:val="center"/>
                </w:tcPr>
                <w:p w14:paraId="0A213B44">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39.0</w:t>
                  </w:r>
                </w:p>
              </w:tc>
              <w:tc>
                <w:tcPr>
                  <w:tcW w:w="830" w:type="dxa"/>
                  <w:noWrap w:val="0"/>
                  <w:vAlign w:val="center"/>
                </w:tcPr>
                <w:p w14:paraId="69B985FE">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31.34</w:t>
                  </w:r>
                </w:p>
              </w:tc>
              <w:tc>
                <w:tcPr>
                  <w:tcW w:w="830" w:type="dxa"/>
                  <w:noWrap w:val="0"/>
                  <w:vAlign w:val="center"/>
                </w:tcPr>
                <w:p w14:paraId="542878FF">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23.68</w:t>
                  </w:r>
                </w:p>
              </w:tc>
              <w:tc>
                <w:tcPr>
                  <w:tcW w:w="830" w:type="dxa"/>
                  <w:noWrap w:val="0"/>
                  <w:vAlign w:val="center"/>
                </w:tcPr>
                <w:p w14:paraId="1ECF0C96">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17.90</w:t>
                  </w:r>
                </w:p>
              </w:tc>
              <w:tc>
                <w:tcPr>
                  <w:tcW w:w="830" w:type="dxa"/>
                  <w:noWrap w:val="0"/>
                  <w:vAlign w:val="center"/>
                </w:tcPr>
                <w:p w14:paraId="4B3680B4">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14.76</w:t>
                  </w:r>
                </w:p>
              </w:tc>
              <w:tc>
                <w:tcPr>
                  <w:tcW w:w="886" w:type="dxa"/>
                  <w:noWrap w:val="0"/>
                  <w:vAlign w:val="center"/>
                </w:tcPr>
                <w:p w14:paraId="7387CDE4">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10.24</w:t>
                  </w:r>
                </w:p>
              </w:tc>
              <w:tc>
                <w:tcPr>
                  <w:tcW w:w="840" w:type="dxa"/>
                  <w:noWrap w:val="0"/>
                  <w:vAlign w:val="center"/>
                </w:tcPr>
                <w:p w14:paraId="2A8142F8">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7.72</w:t>
                  </w:r>
                </w:p>
              </w:tc>
            </w:tr>
            <w:tr w14:paraId="3B2D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88" w:type="dxa"/>
                  <w:vMerge w:val="continue"/>
                  <w:noWrap w:val="0"/>
                  <w:vAlign w:val="center"/>
                </w:tcPr>
                <w:p w14:paraId="7AEF2470">
                  <w:pPr>
                    <w:spacing w:line="240" w:lineRule="auto"/>
                    <w:jc w:val="center"/>
                    <w:rPr>
                      <w:rFonts w:hint="default" w:ascii="Times New Roman" w:hAnsi="Times New Roman" w:cs="Times New Roman"/>
                      <w:b/>
                      <w:bCs/>
                      <w:color w:val="auto"/>
                      <w:sz w:val="21"/>
                      <w:szCs w:val="21"/>
                      <w:highlight w:val="none"/>
                    </w:rPr>
                  </w:pPr>
                </w:p>
              </w:tc>
              <w:tc>
                <w:tcPr>
                  <w:tcW w:w="775" w:type="dxa"/>
                  <w:noWrap w:val="0"/>
                  <w:vAlign w:val="center"/>
                </w:tcPr>
                <w:p w14:paraId="1C5AEDFB">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724" w:type="dxa"/>
                  <w:noWrap w:val="0"/>
                  <w:vAlign w:val="center"/>
                </w:tcPr>
                <w:p w14:paraId="425A3953">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0.56</w:t>
                  </w:r>
                </w:p>
              </w:tc>
              <w:tc>
                <w:tcPr>
                  <w:tcW w:w="830" w:type="dxa"/>
                  <w:noWrap w:val="0"/>
                  <w:vAlign w:val="center"/>
                </w:tcPr>
                <w:p w14:paraId="045BD86C">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1.16</w:t>
                  </w:r>
                </w:p>
              </w:tc>
              <w:tc>
                <w:tcPr>
                  <w:tcW w:w="830" w:type="dxa"/>
                  <w:noWrap w:val="0"/>
                  <w:vAlign w:val="center"/>
                </w:tcPr>
                <w:p w14:paraId="2F9E2E56">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1.77</w:t>
                  </w:r>
                </w:p>
              </w:tc>
              <w:tc>
                <w:tcPr>
                  <w:tcW w:w="830" w:type="dxa"/>
                  <w:noWrap w:val="0"/>
                  <w:vAlign w:val="center"/>
                </w:tcPr>
                <w:p w14:paraId="7671860A">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2.37</w:t>
                  </w:r>
                </w:p>
              </w:tc>
              <w:tc>
                <w:tcPr>
                  <w:tcW w:w="830" w:type="dxa"/>
                  <w:noWrap w:val="0"/>
                  <w:vAlign w:val="center"/>
                </w:tcPr>
                <w:p w14:paraId="46CEF161">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2.96</w:t>
                  </w:r>
                </w:p>
              </w:tc>
              <w:tc>
                <w:tcPr>
                  <w:tcW w:w="830" w:type="dxa"/>
                  <w:noWrap w:val="0"/>
                  <w:vAlign w:val="center"/>
                </w:tcPr>
                <w:p w14:paraId="11438F6E">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3.71</w:t>
                  </w:r>
                </w:p>
              </w:tc>
              <w:tc>
                <w:tcPr>
                  <w:tcW w:w="886" w:type="dxa"/>
                  <w:noWrap w:val="0"/>
                  <w:vAlign w:val="center"/>
                </w:tcPr>
                <w:p w14:paraId="144FDEC8">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3.85</w:t>
                  </w:r>
                </w:p>
              </w:tc>
              <w:tc>
                <w:tcPr>
                  <w:tcW w:w="840" w:type="dxa"/>
                  <w:noWrap w:val="0"/>
                  <w:vAlign w:val="center"/>
                </w:tcPr>
                <w:p w14:paraId="7979017A">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3.99</w:t>
                  </w:r>
                </w:p>
              </w:tc>
            </w:tr>
            <w:tr w14:paraId="4909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noWrap w:val="0"/>
                  <w:vAlign w:val="center"/>
                </w:tcPr>
                <w:p w14:paraId="404BED19">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中型车</w:t>
                  </w:r>
                </w:p>
              </w:tc>
              <w:tc>
                <w:tcPr>
                  <w:tcW w:w="775" w:type="dxa"/>
                  <w:noWrap w:val="0"/>
                  <w:vAlign w:val="center"/>
                </w:tcPr>
                <w:p w14:paraId="71C86ED5">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724" w:type="dxa"/>
                  <w:noWrap w:val="0"/>
                  <w:vAlign w:val="center"/>
                </w:tcPr>
                <w:p w14:paraId="28D24607">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38.16</w:t>
                  </w:r>
                </w:p>
              </w:tc>
              <w:tc>
                <w:tcPr>
                  <w:tcW w:w="830" w:type="dxa"/>
                  <w:noWrap w:val="0"/>
                  <w:vAlign w:val="center"/>
                </w:tcPr>
                <w:p w14:paraId="07F9ABDA">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34.16</w:t>
                  </w:r>
                </w:p>
              </w:tc>
              <w:tc>
                <w:tcPr>
                  <w:tcW w:w="830" w:type="dxa"/>
                  <w:noWrap w:val="0"/>
                  <w:vAlign w:val="center"/>
                </w:tcPr>
                <w:p w14:paraId="6673835D">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30.18</w:t>
                  </w:r>
                </w:p>
              </w:tc>
              <w:tc>
                <w:tcPr>
                  <w:tcW w:w="830" w:type="dxa"/>
                  <w:noWrap w:val="0"/>
                  <w:vAlign w:val="center"/>
                </w:tcPr>
                <w:p w14:paraId="78BD08EF">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26.19</w:t>
                  </w:r>
                </w:p>
              </w:tc>
              <w:tc>
                <w:tcPr>
                  <w:tcW w:w="830" w:type="dxa"/>
                  <w:noWrap w:val="0"/>
                  <w:vAlign w:val="center"/>
                </w:tcPr>
                <w:p w14:paraId="5A58E6AE">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24.76</w:t>
                  </w:r>
                </w:p>
              </w:tc>
              <w:tc>
                <w:tcPr>
                  <w:tcW w:w="830" w:type="dxa"/>
                  <w:noWrap w:val="0"/>
                  <w:vAlign w:val="center"/>
                </w:tcPr>
                <w:p w14:paraId="7175D975">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25.47</w:t>
                  </w:r>
                </w:p>
              </w:tc>
              <w:tc>
                <w:tcPr>
                  <w:tcW w:w="886" w:type="dxa"/>
                  <w:noWrap w:val="0"/>
                  <w:vAlign w:val="center"/>
                </w:tcPr>
                <w:p w14:paraId="5DB58CF7">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28.55</w:t>
                  </w:r>
                </w:p>
              </w:tc>
              <w:tc>
                <w:tcPr>
                  <w:tcW w:w="840" w:type="dxa"/>
                  <w:noWrap w:val="0"/>
                  <w:vAlign w:val="center"/>
                </w:tcPr>
                <w:p w14:paraId="6D050290">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34.78</w:t>
                  </w:r>
                </w:p>
              </w:tc>
            </w:tr>
            <w:tr w14:paraId="4289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noWrap w:val="0"/>
                  <w:vAlign w:val="center"/>
                </w:tcPr>
                <w:p w14:paraId="701379B3">
                  <w:pPr>
                    <w:spacing w:line="240" w:lineRule="auto"/>
                    <w:jc w:val="center"/>
                    <w:rPr>
                      <w:rFonts w:hint="default" w:ascii="Times New Roman" w:hAnsi="Times New Roman" w:cs="Times New Roman"/>
                      <w:b/>
                      <w:bCs/>
                      <w:color w:val="auto"/>
                      <w:sz w:val="21"/>
                      <w:szCs w:val="21"/>
                      <w:highlight w:val="none"/>
                    </w:rPr>
                  </w:pPr>
                </w:p>
              </w:tc>
              <w:tc>
                <w:tcPr>
                  <w:tcW w:w="775" w:type="dxa"/>
                  <w:noWrap w:val="0"/>
                  <w:vAlign w:val="center"/>
                </w:tcPr>
                <w:p w14:paraId="7A418B44">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724" w:type="dxa"/>
                  <w:noWrap w:val="0"/>
                  <w:vAlign w:val="center"/>
                </w:tcPr>
                <w:p w14:paraId="7C1495DB">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3.60</w:t>
                  </w:r>
                </w:p>
              </w:tc>
              <w:tc>
                <w:tcPr>
                  <w:tcW w:w="830" w:type="dxa"/>
                  <w:noWrap w:val="0"/>
                  <w:vAlign w:val="center"/>
                </w:tcPr>
                <w:p w14:paraId="60BA033F">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4.52</w:t>
                  </w:r>
                </w:p>
              </w:tc>
              <w:tc>
                <w:tcPr>
                  <w:tcW w:w="830" w:type="dxa"/>
                  <w:noWrap w:val="0"/>
                  <w:vAlign w:val="center"/>
                </w:tcPr>
                <w:p w14:paraId="2360A018">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5.40</w:t>
                  </w:r>
                </w:p>
              </w:tc>
              <w:tc>
                <w:tcPr>
                  <w:tcW w:w="830" w:type="dxa"/>
                  <w:noWrap w:val="0"/>
                  <w:vAlign w:val="center"/>
                </w:tcPr>
                <w:p w14:paraId="0D1D3045">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6.30</w:t>
                  </w:r>
                </w:p>
              </w:tc>
              <w:tc>
                <w:tcPr>
                  <w:tcW w:w="830" w:type="dxa"/>
                  <w:noWrap w:val="0"/>
                  <w:vAlign w:val="center"/>
                </w:tcPr>
                <w:p w14:paraId="048403F2">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7.20</w:t>
                  </w:r>
                </w:p>
              </w:tc>
              <w:tc>
                <w:tcPr>
                  <w:tcW w:w="830" w:type="dxa"/>
                  <w:noWrap w:val="0"/>
                  <w:vAlign w:val="center"/>
                </w:tcPr>
                <w:p w14:paraId="1F44695E">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8.30</w:t>
                  </w:r>
                </w:p>
              </w:tc>
              <w:tc>
                <w:tcPr>
                  <w:tcW w:w="886" w:type="dxa"/>
                  <w:noWrap w:val="0"/>
                  <w:vAlign w:val="center"/>
                </w:tcPr>
                <w:p w14:paraId="554EFC82">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8.80</w:t>
                  </w:r>
                </w:p>
              </w:tc>
              <w:tc>
                <w:tcPr>
                  <w:tcW w:w="840" w:type="dxa"/>
                  <w:noWrap w:val="0"/>
                  <w:vAlign w:val="center"/>
                </w:tcPr>
                <w:p w14:paraId="180CCA8F">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9.30</w:t>
                  </w:r>
                </w:p>
              </w:tc>
            </w:tr>
            <w:tr w14:paraId="3CBE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noWrap w:val="0"/>
                  <w:vAlign w:val="center"/>
                </w:tcPr>
                <w:p w14:paraId="5198D652">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大型车</w:t>
                  </w:r>
                </w:p>
              </w:tc>
              <w:tc>
                <w:tcPr>
                  <w:tcW w:w="775" w:type="dxa"/>
                  <w:noWrap w:val="0"/>
                  <w:vAlign w:val="center"/>
                </w:tcPr>
                <w:p w14:paraId="71BB5D22">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724" w:type="dxa"/>
                  <w:noWrap w:val="0"/>
                  <w:vAlign w:val="center"/>
                </w:tcPr>
                <w:p w14:paraId="43699EF2">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6.80</w:t>
                  </w:r>
                </w:p>
              </w:tc>
              <w:tc>
                <w:tcPr>
                  <w:tcW w:w="830" w:type="dxa"/>
                  <w:noWrap w:val="0"/>
                  <w:vAlign w:val="center"/>
                </w:tcPr>
                <w:p w14:paraId="69C7A6FE">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6.04</w:t>
                  </w:r>
                </w:p>
              </w:tc>
              <w:tc>
                <w:tcPr>
                  <w:tcW w:w="830" w:type="dxa"/>
                  <w:noWrap w:val="0"/>
                  <w:vAlign w:val="center"/>
                </w:tcPr>
                <w:p w14:paraId="32736EAB">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5.25</w:t>
                  </w:r>
                </w:p>
              </w:tc>
              <w:tc>
                <w:tcPr>
                  <w:tcW w:w="830" w:type="dxa"/>
                  <w:noWrap w:val="0"/>
                  <w:vAlign w:val="center"/>
                </w:tcPr>
                <w:p w14:paraId="37FF4C66">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4.48</w:t>
                  </w:r>
                </w:p>
              </w:tc>
              <w:tc>
                <w:tcPr>
                  <w:tcW w:w="830" w:type="dxa"/>
                  <w:noWrap w:val="0"/>
                  <w:vAlign w:val="center"/>
                </w:tcPr>
                <w:p w14:paraId="7DB0C122">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4.10</w:t>
                  </w:r>
                </w:p>
              </w:tc>
              <w:tc>
                <w:tcPr>
                  <w:tcW w:w="830" w:type="dxa"/>
                  <w:noWrap w:val="0"/>
                  <w:vAlign w:val="center"/>
                </w:tcPr>
                <w:p w14:paraId="0220BA8D">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4.01</w:t>
                  </w:r>
                </w:p>
              </w:tc>
              <w:tc>
                <w:tcPr>
                  <w:tcW w:w="886" w:type="dxa"/>
                  <w:noWrap w:val="0"/>
                  <w:vAlign w:val="center"/>
                </w:tcPr>
                <w:p w14:paraId="1067120B">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4.23</w:t>
                  </w:r>
                </w:p>
              </w:tc>
              <w:tc>
                <w:tcPr>
                  <w:tcW w:w="840" w:type="dxa"/>
                  <w:noWrap w:val="0"/>
                  <w:vAlign w:val="center"/>
                </w:tcPr>
                <w:p w14:paraId="33947E3D">
                  <w:pPr>
                    <w:pStyle w:val="21"/>
                    <w:widowControl w:val="0"/>
                    <w:spacing w:before="48" w:after="48"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4.77</w:t>
                  </w:r>
                </w:p>
              </w:tc>
            </w:tr>
            <w:tr w14:paraId="15E6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noWrap w:val="0"/>
                  <w:vAlign w:val="center"/>
                </w:tcPr>
                <w:p w14:paraId="2020CC2A">
                  <w:pPr>
                    <w:spacing w:line="240" w:lineRule="auto"/>
                    <w:jc w:val="center"/>
                    <w:rPr>
                      <w:rFonts w:hint="default" w:ascii="Times New Roman" w:hAnsi="Times New Roman" w:cs="Times New Roman"/>
                      <w:b/>
                      <w:bCs/>
                      <w:color w:val="auto"/>
                      <w:sz w:val="21"/>
                      <w:szCs w:val="21"/>
                      <w:highlight w:val="none"/>
                    </w:rPr>
                  </w:pPr>
                </w:p>
              </w:tc>
              <w:tc>
                <w:tcPr>
                  <w:tcW w:w="775" w:type="dxa"/>
                  <w:noWrap w:val="0"/>
                  <w:vAlign w:val="center"/>
                </w:tcPr>
                <w:p w14:paraId="6E210EE2">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724" w:type="dxa"/>
                  <w:noWrap w:val="0"/>
                  <w:vAlign w:val="center"/>
                </w:tcPr>
                <w:p w14:paraId="142B79A2">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10.36</w:t>
                  </w:r>
                </w:p>
              </w:tc>
              <w:tc>
                <w:tcPr>
                  <w:tcW w:w="830" w:type="dxa"/>
                  <w:noWrap w:val="0"/>
                  <w:vAlign w:val="center"/>
                </w:tcPr>
                <w:p w14:paraId="3FBC5437">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10.40</w:t>
                  </w:r>
                </w:p>
              </w:tc>
              <w:tc>
                <w:tcPr>
                  <w:tcW w:w="830" w:type="dxa"/>
                  <w:noWrap w:val="0"/>
                  <w:vAlign w:val="center"/>
                </w:tcPr>
                <w:p w14:paraId="639FEFEF">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10.44</w:t>
                  </w:r>
                </w:p>
              </w:tc>
              <w:tc>
                <w:tcPr>
                  <w:tcW w:w="830" w:type="dxa"/>
                  <w:noWrap w:val="0"/>
                  <w:vAlign w:val="center"/>
                </w:tcPr>
                <w:p w14:paraId="0BBD1CB5">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10.48</w:t>
                  </w:r>
                </w:p>
              </w:tc>
              <w:tc>
                <w:tcPr>
                  <w:tcW w:w="830" w:type="dxa"/>
                  <w:noWrap w:val="0"/>
                  <w:vAlign w:val="center"/>
                </w:tcPr>
                <w:p w14:paraId="51C7C9E5">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11.10</w:t>
                  </w:r>
                </w:p>
              </w:tc>
              <w:tc>
                <w:tcPr>
                  <w:tcW w:w="830" w:type="dxa"/>
                  <w:noWrap w:val="0"/>
                  <w:vAlign w:val="center"/>
                </w:tcPr>
                <w:p w14:paraId="4261531B">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14.71</w:t>
                  </w:r>
                </w:p>
              </w:tc>
              <w:tc>
                <w:tcPr>
                  <w:tcW w:w="886" w:type="dxa"/>
                  <w:noWrap w:val="0"/>
                  <w:vAlign w:val="center"/>
                </w:tcPr>
                <w:p w14:paraId="57D40841">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15.64</w:t>
                  </w:r>
                </w:p>
              </w:tc>
              <w:tc>
                <w:tcPr>
                  <w:tcW w:w="840" w:type="dxa"/>
                  <w:noWrap w:val="0"/>
                  <w:vAlign w:val="center"/>
                </w:tcPr>
                <w:p w14:paraId="03D8B949">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18.38</w:t>
                  </w:r>
                </w:p>
              </w:tc>
            </w:tr>
          </w:tbl>
          <w:p w14:paraId="19CA9F93">
            <w:pPr>
              <w:numPr>
                <w:ilvl w:val="0"/>
                <w:numId w:val="0"/>
              </w:numPr>
              <w:spacing w:line="360" w:lineRule="auto"/>
              <w:ind w:firstLine="482" w:firstLineChars="200"/>
              <w:rPr>
                <w:rFonts w:hint="default" w:ascii="Times New Roman" w:hAnsi="Times New Roman" w:cs="Times New Roman"/>
                <w:b/>
                <w:bCs/>
                <w:kern w:val="18"/>
                <w:sz w:val="24"/>
                <w:lang w:eastAsia="zh-CN"/>
              </w:rPr>
            </w:pPr>
            <w:r>
              <w:rPr>
                <w:rFonts w:hint="default" w:ascii="Times New Roman" w:hAnsi="Times New Roman" w:cs="Times New Roman"/>
                <w:b/>
                <w:bCs/>
                <w:kern w:val="18"/>
                <w:sz w:val="24"/>
                <w:lang w:eastAsia="zh-CN"/>
              </w:rPr>
              <w:t>（</w:t>
            </w:r>
            <w:r>
              <w:rPr>
                <w:rFonts w:hint="default" w:ascii="Times New Roman" w:hAnsi="Times New Roman" w:cs="Times New Roman"/>
                <w:b/>
                <w:bCs/>
                <w:kern w:val="18"/>
                <w:sz w:val="24"/>
                <w:lang w:val="en-US" w:eastAsia="zh-CN"/>
              </w:rPr>
              <w:t>3</w:t>
            </w:r>
            <w:r>
              <w:rPr>
                <w:rFonts w:hint="default" w:ascii="Times New Roman" w:hAnsi="Times New Roman" w:cs="Times New Roman"/>
                <w:b/>
                <w:bCs/>
                <w:kern w:val="18"/>
                <w:sz w:val="24"/>
                <w:lang w:eastAsia="zh-CN"/>
              </w:rPr>
              <w:t>）计算结果</w:t>
            </w:r>
          </w:p>
          <w:p w14:paraId="0ACCAD6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根据以上交通量及相关参数，将各参量代入排放源源强公式后即可算出运营期汽车尾气污染物排放源强，计算结果如表5-</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w:t>
            </w:r>
          </w:p>
          <w:p w14:paraId="1E18557F">
            <w:pPr>
              <w:spacing w:line="360" w:lineRule="auto"/>
              <w:ind w:firstLine="482" w:firstLineChars="20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表</w:t>
            </w:r>
            <w:r>
              <w:rPr>
                <w:rFonts w:hint="default" w:ascii="Times New Roman" w:hAnsi="Times New Roman" w:eastAsia="宋体" w:cs="Times New Roman"/>
                <w:b/>
                <w:bCs/>
                <w:color w:val="auto"/>
                <w:sz w:val="24"/>
                <w:highlight w:val="none"/>
                <w:lang w:val="en-US" w:eastAsia="zh-CN"/>
              </w:rPr>
              <w:t>5-</w:t>
            </w: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en-US" w:eastAsia="zh-CN"/>
              </w:rPr>
              <w:t xml:space="preserve"> </w:t>
            </w:r>
            <w:r>
              <w:rPr>
                <w:rFonts w:hint="eastAsia" w:cs="Times New Roman"/>
                <w:b/>
                <w:bCs/>
                <w:color w:val="auto"/>
                <w:sz w:val="24"/>
                <w:highlight w:val="none"/>
                <w:lang w:val="en-US" w:eastAsia="zh-CN"/>
              </w:rPr>
              <w:t>拟建7条道</w:t>
            </w:r>
            <w:r>
              <w:rPr>
                <w:rFonts w:hint="default" w:ascii="Times New Roman" w:hAnsi="Times New Roman" w:eastAsia="宋体" w:cs="Times New Roman"/>
                <w:b/>
                <w:bCs/>
                <w:color w:val="auto"/>
                <w:sz w:val="24"/>
                <w:highlight w:val="none"/>
                <w:lang w:val="en-US" w:eastAsia="zh-CN"/>
              </w:rPr>
              <w:t>路</w:t>
            </w:r>
            <w:r>
              <w:rPr>
                <w:rFonts w:hint="default" w:ascii="Times New Roman" w:hAnsi="Times New Roman" w:eastAsia="宋体" w:cs="Times New Roman"/>
                <w:b/>
                <w:bCs/>
                <w:color w:val="auto"/>
                <w:sz w:val="24"/>
                <w:highlight w:val="none"/>
              </w:rPr>
              <w:t>废气污染排放源强</w:t>
            </w:r>
            <w:r>
              <w:rPr>
                <w:rFonts w:hint="eastAsia"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单位：mg/（s.m）</w:t>
            </w:r>
          </w:p>
          <w:tbl>
            <w:tblPr>
              <w:tblStyle w:val="16"/>
              <w:tblW w:w="8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399"/>
              <w:gridCol w:w="1399"/>
              <w:gridCol w:w="1401"/>
              <w:gridCol w:w="1399"/>
              <w:gridCol w:w="1402"/>
            </w:tblGrid>
            <w:tr w14:paraId="7AA1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restart"/>
                  <w:vAlign w:val="center"/>
                </w:tcPr>
                <w:p w14:paraId="416F1D2A">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道路</w:t>
                  </w:r>
                </w:p>
              </w:tc>
              <w:tc>
                <w:tcPr>
                  <w:tcW w:w="1399" w:type="dxa"/>
                  <w:vMerge w:val="restart"/>
                  <w:vAlign w:val="center"/>
                </w:tcPr>
                <w:p w14:paraId="1DADCB38">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车型</w:t>
                  </w:r>
                </w:p>
              </w:tc>
              <w:tc>
                <w:tcPr>
                  <w:tcW w:w="2800" w:type="dxa"/>
                  <w:gridSpan w:val="2"/>
                  <w:vAlign w:val="center"/>
                </w:tcPr>
                <w:p w14:paraId="772139F1">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CO</w:t>
                  </w:r>
                </w:p>
              </w:tc>
              <w:tc>
                <w:tcPr>
                  <w:tcW w:w="2801" w:type="dxa"/>
                  <w:gridSpan w:val="2"/>
                  <w:vAlign w:val="center"/>
                </w:tcPr>
                <w:p w14:paraId="6FD60EB0">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NO</w:t>
                  </w:r>
                  <w:r>
                    <w:rPr>
                      <w:rFonts w:hint="default" w:ascii="Times New Roman" w:hAnsi="Times New Roman" w:cs="Times New Roman"/>
                      <w:color w:val="auto"/>
                      <w:sz w:val="21"/>
                      <w:szCs w:val="21"/>
                      <w:highlight w:val="none"/>
                      <w:vertAlign w:val="subscript"/>
                      <w:lang w:val="en-US" w:eastAsia="zh-CN"/>
                    </w:rPr>
                    <w:t>2</w:t>
                  </w:r>
                </w:p>
              </w:tc>
            </w:tr>
            <w:tr w14:paraId="6138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99" w:type="dxa"/>
                  <w:vMerge w:val="continue"/>
                  <w:vAlign w:val="center"/>
                </w:tcPr>
                <w:p w14:paraId="7E516CF8">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99" w:type="dxa"/>
                  <w:vMerge w:val="continue"/>
                  <w:vAlign w:val="center"/>
                </w:tcPr>
                <w:p w14:paraId="101F39D1">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2411E597">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高峰期</w:t>
                  </w:r>
                </w:p>
              </w:tc>
              <w:tc>
                <w:tcPr>
                  <w:tcW w:w="1401" w:type="dxa"/>
                  <w:vAlign w:val="center"/>
                </w:tcPr>
                <w:p w14:paraId="28439AEB">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日均</w:t>
                  </w:r>
                </w:p>
              </w:tc>
              <w:tc>
                <w:tcPr>
                  <w:tcW w:w="1399" w:type="dxa"/>
                  <w:vAlign w:val="center"/>
                </w:tcPr>
                <w:p w14:paraId="09E8CD5B">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高峰期</w:t>
                  </w:r>
                </w:p>
              </w:tc>
              <w:tc>
                <w:tcPr>
                  <w:tcW w:w="1402" w:type="dxa"/>
                  <w:vAlign w:val="center"/>
                </w:tcPr>
                <w:p w14:paraId="5D257C17">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日均</w:t>
                  </w:r>
                </w:p>
              </w:tc>
            </w:tr>
            <w:tr w14:paraId="2237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restart"/>
                  <w:vAlign w:val="center"/>
                </w:tcPr>
                <w:p w14:paraId="0E16207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1号路</w:t>
                  </w:r>
                </w:p>
              </w:tc>
              <w:tc>
                <w:tcPr>
                  <w:tcW w:w="1399" w:type="dxa"/>
                  <w:vAlign w:val="center"/>
                </w:tcPr>
                <w:p w14:paraId="36C0486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小型车</w:t>
                  </w:r>
                </w:p>
              </w:tc>
              <w:tc>
                <w:tcPr>
                  <w:tcW w:w="1399" w:type="dxa"/>
                  <w:vAlign w:val="center"/>
                </w:tcPr>
                <w:p w14:paraId="3830EF7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6.392</w:t>
                  </w:r>
                </w:p>
              </w:tc>
              <w:tc>
                <w:tcPr>
                  <w:tcW w:w="1401" w:type="dxa"/>
                  <w:vAlign w:val="center"/>
                </w:tcPr>
                <w:p w14:paraId="1D23979B">
                  <w:pPr>
                    <w:tabs>
                      <w:tab w:val="left" w:pos="361"/>
                    </w:tabs>
                    <w:spacing w:line="240" w:lineRule="auto"/>
                    <w:jc w:val="left"/>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ab/>
                  </w:r>
                  <w:r>
                    <w:rPr>
                      <w:rFonts w:hint="eastAsia" w:cs="Times New Roman"/>
                      <w:color w:val="auto"/>
                      <w:sz w:val="21"/>
                      <w:szCs w:val="21"/>
                      <w:highlight w:val="none"/>
                      <w:vertAlign w:val="baseline"/>
                      <w:lang w:val="en-US" w:eastAsia="zh-CN"/>
                    </w:rPr>
                    <w:t>2.665</w:t>
                  </w:r>
                </w:p>
              </w:tc>
              <w:tc>
                <w:tcPr>
                  <w:tcW w:w="1399" w:type="dxa"/>
                  <w:vAlign w:val="center"/>
                </w:tcPr>
                <w:p w14:paraId="6055760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0.152</w:t>
                  </w:r>
                </w:p>
              </w:tc>
              <w:tc>
                <w:tcPr>
                  <w:tcW w:w="1402" w:type="dxa"/>
                  <w:vAlign w:val="center"/>
                </w:tcPr>
                <w:p w14:paraId="7226761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0.063</w:t>
                  </w:r>
                </w:p>
              </w:tc>
            </w:tr>
            <w:tr w14:paraId="33D1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continue"/>
                  <w:vAlign w:val="center"/>
                </w:tcPr>
                <w:p w14:paraId="0067241D">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99" w:type="dxa"/>
                  <w:vAlign w:val="center"/>
                </w:tcPr>
                <w:p w14:paraId="781483A4">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中型车</w:t>
                  </w:r>
                </w:p>
              </w:tc>
              <w:tc>
                <w:tcPr>
                  <w:tcW w:w="1399" w:type="dxa"/>
                  <w:vAlign w:val="center"/>
                </w:tcPr>
                <w:p w14:paraId="0F2BEC1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2.799</w:t>
                  </w:r>
                </w:p>
              </w:tc>
              <w:tc>
                <w:tcPr>
                  <w:tcW w:w="1401" w:type="dxa"/>
                  <w:vAlign w:val="center"/>
                </w:tcPr>
                <w:p w14:paraId="6804B88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1.167</w:t>
                  </w:r>
                </w:p>
              </w:tc>
              <w:tc>
                <w:tcPr>
                  <w:tcW w:w="1399" w:type="dxa"/>
                  <w:vAlign w:val="center"/>
                </w:tcPr>
                <w:p w14:paraId="5709A09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0.296</w:t>
                  </w:r>
                </w:p>
              </w:tc>
              <w:tc>
                <w:tcPr>
                  <w:tcW w:w="1402" w:type="dxa"/>
                  <w:vAlign w:val="center"/>
                </w:tcPr>
                <w:p w14:paraId="32AB659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0.124</w:t>
                  </w:r>
                </w:p>
              </w:tc>
            </w:tr>
            <w:tr w14:paraId="7401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continue"/>
                  <w:vAlign w:val="center"/>
                </w:tcPr>
                <w:p w14:paraId="13B5685D">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99" w:type="dxa"/>
                  <w:vAlign w:val="center"/>
                </w:tcPr>
                <w:p w14:paraId="630371A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大型车</w:t>
                  </w:r>
                </w:p>
              </w:tc>
              <w:tc>
                <w:tcPr>
                  <w:tcW w:w="1399" w:type="dxa"/>
                  <w:vAlign w:val="center"/>
                </w:tcPr>
                <w:p w14:paraId="7783217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0.166</w:t>
                  </w:r>
                </w:p>
              </w:tc>
              <w:tc>
                <w:tcPr>
                  <w:tcW w:w="1401" w:type="dxa"/>
                  <w:vAlign w:val="center"/>
                </w:tcPr>
                <w:p w14:paraId="41E1FBD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0.069</w:t>
                  </w:r>
                </w:p>
              </w:tc>
              <w:tc>
                <w:tcPr>
                  <w:tcW w:w="1399" w:type="dxa"/>
                  <w:vAlign w:val="center"/>
                </w:tcPr>
                <w:p w14:paraId="1BA4040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0.229</w:t>
                  </w:r>
                </w:p>
              </w:tc>
              <w:tc>
                <w:tcPr>
                  <w:tcW w:w="1402" w:type="dxa"/>
                  <w:vAlign w:val="center"/>
                </w:tcPr>
                <w:p w14:paraId="67F41AA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0.095</w:t>
                  </w:r>
                </w:p>
              </w:tc>
            </w:tr>
            <w:tr w14:paraId="37B0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798" w:type="dxa"/>
                  <w:gridSpan w:val="2"/>
                  <w:vAlign w:val="center"/>
                </w:tcPr>
                <w:p w14:paraId="1014015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99" w:type="dxa"/>
                  <w:vAlign w:val="center"/>
                </w:tcPr>
                <w:p w14:paraId="6F26932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sum(C3:C5)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9.357</w:t>
                  </w:r>
                  <w:r>
                    <w:rPr>
                      <w:rFonts w:hint="default" w:ascii="Times New Roman" w:hAnsi="Times New Roman" w:cs="Times New Roman"/>
                      <w:color w:val="auto"/>
                      <w:sz w:val="21"/>
                      <w:szCs w:val="21"/>
                      <w:highlight w:val="none"/>
                      <w:vertAlign w:val="baseline"/>
                      <w:lang w:val="en-US" w:eastAsia="zh-CN"/>
                    </w:rPr>
                    <w:fldChar w:fldCharType="end"/>
                  </w:r>
                </w:p>
              </w:tc>
              <w:tc>
                <w:tcPr>
                  <w:tcW w:w="1401" w:type="dxa"/>
                  <w:vAlign w:val="center"/>
                </w:tcPr>
                <w:p w14:paraId="752F224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sum(D3:D5)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3.901</w:t>
                  </w:r>
                  <w:r>
                    <w:rPr>
                      <w:rFonts w:hint="default" w:ascii="Times New Roman" w:hAnsi="Times New Roman" w:cs="Times New Roman"/>
                      <w:color w:val="auto"/>
                      <w:sz w:val="21"/>
                      <w:szCs w:val="21"/>
                      <w:highlight w:val="none"/>
                      <w:vertAlign w:val="baseline"/>
                      <w:lang w:val="en-US" w:eastAsia="zh-CN"/>
                    </w:rPr>
                    <w:fldChar w:fldCharType="end"/>
                  </w:r>
                </w:p>
              </w:tc>
              <w:tc>
                <w:tcPr>
                  <w:tcW w:w="1399" w:type="dxa"/>
                  <w:vAlign w:val="center"/>
                </w:tcPr>
                <w:p w14:paraId="464570D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0.677</w:t>
                  </w:r>
                </w:p>
              </w:tc>
              <w:tc>
                <w:tcPr>
                  <w:tcW w:w="1402" w:type="dxa"/>
                  <w:vAlign w:val="center"/>
                </w:tcPr>
                <w:p w14:paraId="23354F7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0.282</w:t>
                  </w:r>
                </w:p>
              </w:tc>
            </w:tr>
            <w:tr w14:paraId="3520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restart"/>
                  <w:vAlign w:val="center"/>
                </w:tcPr>
                <w:p w14:paraId="145706D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2号路</w:t>
                  </w:r>
                </w:p>
              </w:tc>
              <w:tc>
                <w:tcPr>
                  <w:tcW w:w="1399" w:type="dxa"/>
                  <w:vAlign w:val="center"/>
                </w:tcPr>
                <w:p w14:paraId="5047159D">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99" w:type="dxa"/>
                  <w:vAlign w:val="center"/>
                </w:tcPr>
                <w:p w14:paraId="040DFE68">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3.662</w:t>
                  </w:r>
                </w:p>
              </w:tc>
              <w:tc>
                <w:tcPr>
                  <w:tcW w:w="1401" w:type="dxa"/>
                  <w:vAlign w:val="center"/>
                </w:tcPr>
                <w:p w14:paraId="25F2232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1.528</w:t>
                  </w:r>
                </w:p>
              </w:tc>
              <w:tc>
                <w:tcPr>
                  <w:tcW w:w="1399" w:type="dxa"/>
                  <w:vAlign w:val="center"/>
                </w:tcPr>
                <w:p w14:paraId="47828C7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0.087</w:t>
                  </w:r>
                </w:p>
              </w:tc>
              <w:tc>
                <w:tcPr>
                  <w:tcW w:w="1402" w:type="dxa"/>
                  <w:vAlign w:val="center"/>
                </w:tcPr>
                <w:p w14:paraId="32A650E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0.036</w:t>
                  </w:r>
                </w:p>
              </w:tc>
            </w:tr>
            <w:tr w14:paraId="22C0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continue"/>
                  <w:vAlign w:val="center"/>
                </w:tcPr>
                <w:p w14:paraId="40EF7582">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99" w:type="dxa"/>
                  <w:vAlign w:val="center"/>
                </w:tcPr>
                <w:p w14:paraId="2D6F4691">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99" w:type="dxa"/>
                  <w:vAlign w:val="center"/>
                </w:tcPr>
                <w:p w14:paraId="626A814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1.604</w:t>
                  </w:r>
                </w:p>
              </w:tc>
              <w:tc>
                <w:tcPr>
                  <w:tcW w:w="1401" w:type="dxa"/>
                  <w:vAlign w:val="center"/>
                </w:tcPr>
                <w:p w14:paraId="45FE18F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0.664</w:t>
                  </w:r>
                </w:p>
              </w:tc>
              <w:tc>
                <w:tcPr>
                  <w:tcW w:w="1399" w:type="dxa"/>
                  <w:vAlign w:val="center"/>
                </w:tcPr>
                <w:p w14:paraId="67C3F299">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0.170</w:t>
                  </w:r>
                </w:p>
              </w:tc>
              <w:tc>
                <w:tcPr>
                  <w:tcW w:w="1402" w:type="dxa"/>
                  <w:vAlign w:val="center"/>
                </w:tcPr>
                <w:p w14:paraId="27798B3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0.070</w:t>
                  </w:r>
                </w:p>
              </w:tc>
            </w:tr>
            <w:tr w14:paraId="0208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continue"/>
                  <w:vAlign w:val="center"/>
                </w:tcPr>
                <w:p w14:paraId="056ABE7D">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p>
              </w:tc>
              <w:tc>
                <w:tcPr>
                  <w:tcW w:w="1399" w:type="dxa"/>
                  <w:vAlign w:val="center"/>
                </w:tcPr>
                <w:p w14:paraId="406AF69D">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99" w:type="dxa"/>
                  <w:vAlign w:val="center"/>
                </w:tcPr>
                <w:p w14:paraId="37E39D88">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0.094</w:t>
                  </w:r>
                </w:p>
              </w:tc>
              <w:tc>
                <w:tcPr>
                  <w:tcW w:w="1401" w:type="dxa"/>
                  <w:vAlign w:val="center"/>
                </w:tcPr>
                <w:p w14:paraId="5225E0F9">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0.039</w:t>
                  </w:r>
                </w:p>
              </w:tc>
              <w:tc>
                <w:tcPr>
                  <w:tcW w:w="1399" w:type="dxa"/>
                  <w:vAlign w:val="center"/>
                </w:tcPr>
                <w:p w14:paraId="7202007B">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0.129</w:t>
                  </w:r>
                </w:p>
              </w:tc>
              <w:tc>
                <w:tcPr>
                  <w:tcW w:w="1402" w:type="dxa"/>
                  <w:vAlign w:val="center"/>
                </w:tcPr>
                <w:p w14:paraId="3BC86119">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0.053</w:t>
                  </w:r>
                </w:p>
              </w:tc>
            </w:tr>
            <w:tr w14:paraId="6660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8" w:type="dxa"/>
                  <w:gridSpan w:val="2"/>
                  <w:vAlign w:val="center"/>
                </w:tcPr>
                <w:p w14:paraId="04C38508">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合计</w:t>
                  </w:r>
                </w:p>
              </w:tc>
              <w:tc>
                <w:tcPr>
                  <w:tcW w:w="1399" w:type="dxa"/>
                  <w:vAlign w:val="center"/>
                </w:tcPr>
                <w:p w14:paraId="5DEE339F">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fldChar w:fldCharType="begin"/>
                  </w:r>
                  <w:r>
                    <w:rPr>
                      <w:rFonts w:hint="default" w:ascii="Times New Roman" w:hAnsi="Times New Roman" w:cs="Times New Roman" w:eastAsiaTheme="minorEastAsia"/>
                      <w:color w:val="auto"/>
                      <w:sz w:val="21"/>
                      <w:szCs w:val="21"/>
                      <w:highlight w:val="none"/>
                      <w:vertAlign w:val="baseline"/>
                      <w:lang w:val="en-US" w:eastAsia="zh-CN"/>
                    </w:rPr>
                    <w:instrText xml:space="preserve"> = sum(C7:C9) \* MERGEFORMAT </w:instrText>
                  </w:r>
                  <w:r>
                    <w:rPr>
                      <w:rFonts w:hint="default" w:ascii="Times New Roman" w:hAnsi="Times New Roman" w:cs="Times New Roman" w:eastAsiaTheme="minorEastAsia"/>
                      <w:color w:val="auto"/>
                      <w:sz w:val="21"/>
                      <w:szCs w:val="21"/>
                      <w:highlight w:val="none"/>
                      <w:vertAlign w:val="baseline"/>
                      <w:lang w:val="en-US" w:eastAsia="zh-CN"/>
                    </w:rPr>
                    <w:fldChar w:fldCharType="separate"/>
                  </w:r>
                  <w:r>
                    <w:rPr>
                      <w:rFonts w:hint="default" w:ascii="Times New Roman" w:hAnsi="Times New Roman" w:cs="Times New Roman" w:eastAsiaTheme="minorEastAsia"/>
                      <w:color w:val="auto"/>
                      <w:sz w:val="21"/>
                      <w:szCs w:val="21"/>
                      <w:highlight w:val="none"/>
                      <w:vertAlign w:val="baseline"/>
                      <w:lang w:val="en-US" w:eastAsia="zh-CN"/>
                    </w:rPr>
                    <w:t>5.36</w:t>
                  </w:r>
                  <w:r>
                    <w:rPr>
                      <w:rFonts w:hint="default" w:ascii="Times New Roman" w:hAnsi="Times New Roman" w:cs="Times New Roman" w:eastAsiaTheme="minorEastAsia"/>
                      <w:color w:val="auto"/>
                      <w:sz w:val="21"/>
                      <w:szCs w:val="21"/>
                      <w:highlight w:val="none"/>
                      <w:vertAlign w:val="baseline"/>
                      <w:lang w:val="en-US" w:eastAsia="zh-CN"/>
                    </w:rPr>
                    <w:fldChar w:fldCharType="end"/>
                  </w:r>
                </w:p>
              </w:tc>
              <w:tc>
                <w:tcPr>
                  <w:tcW w:w="1401" w:type="dxa"/>
                  <w:vAlign w:val="center"/>
                </w:tcPr>
                <w:p w14:paraId="628E53B6">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2.231</w:t>
                  </w:r>
                </w:p>
              </w:tc>
              <w:tc>
                <w:tcPr>
                  <w:tcW w:w="1399" w:type="dxa"/>
                  <w:vAlign w:val="center"/>
                </w:tcPr>
                <w:p w14:paraId="556074A2">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0.386</w:t>
                  </w:r>
                </w:p>
              </w:tc>
              <w:tc>
                <w:tcPr>
                  <w:tcW w:w="1402" w:type="dxa"/>
                  <w:vAlign w:val="center"/>
                </w:tcPr>
                <w:p w14:paraId="3AD6656F">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0.159</w:t>
                  </w:r>
                </w:p>
              </w:tc>
            </w:tr>
            <w:tr w14:paraId="734E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99" w:type="dxa"/>
                  <w:vMerge w:val="restart"/>
                  <w:vAlign w:val="center"/>
                </w:tcPr>
                <w:p w14:paraId="45C286B6">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3号路</w:t>
                  </w:r>
                </w:p>
              </w:tc>
              <w:tc>
                <w:tcPr>
                  <w:tcW w:w="1399" w:type="dxa"/>
                  <w:vAlign w:val="center"/>
                </w:tcPr>
                <w:p w14:paraId="76F719E9">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99" w:type="dxa"/>
                  <w:vAlign w:val="center"/>
                </w:tcPr>
                <w:p w14:paraId="4F515E90">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6.392</w:t>
                  </w:r>
                </w:p>
              </w:tc>
              <w:tc>
                <w:tcPr>
                  <w:tcW w:w="1401" w:type="dxa"/>
                  <w:vAlign w:val="center"/>
                </w:tcPr>
                <w:p w14:paraId="68191FB3">
                  <w:pPr>
                    <w:tabs>
                      <w:tab w:val="left" w:pos="361"/>
                    </w:tabs>
                    <w:spacing w:line="240" w:lineRule="auto"/>
                    <w:ind w:firstLine="0" w:firstLineChars="0"/>
                    <w:jc w:val="left"/>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ab/>
                  </w:r>
                  <w:r>
                    <w:rPr>
                      <w:rFonts w:hint="eastAsia" w:cs="Times New Roman"/>
                      <w:color w:val="auto"/>
                      <w:sz w:val="21"/>
                      <w:szCs w:val="21"/>
                      <w:highlight w:val="none"/>
                      <w:vertAlign w:val="baseline"/>
                      <w:lang w:val="en-US" w:eastAsia="zh-CN"/>
                    </w:rPr>
                    <w:t>2.665</w:t>
                  </w:r>
                </w:p>
              </w:tc>
              <w:tc>
                <w:tcPr>
                  <w:tcW w:w="1399" w:type="dxa"/>
                  <w:vAlign w:val="center"/>
                </w:tcPr>
                <w:p w14:paraId="29781722">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0.152</w:t>
                  </w:r>
                </w:p>
              </w:tc>
              <w:tc>
                <w:tcPr>
                  <w:tcW w:w="1402" w:type="dxa"/>
                  <w:vAlign w:val="center"/>
                </w:tcPr>
                <w:p w14:paraId="76BC8F41">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0.063</w:t>
                  </w:r>
                </w:p>
              </w:tc>
            </w:tr>
            <w:tr w14:paraId="3723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32BD3EF9">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4EAB5C5B">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99" w:type="dxa"/>
                  <w:vAlign w:val="center"/>
                </w:tcPr>
                <w:p w14:paraId="75641F8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2.799</w:t>
                  </w:r>
                </w:p>
              </w:tc>
              <w:tc>
                <w:tcPr>
                  <w:tcW w:w="1401" w:type="dxa"/>
                  <w:vAlign w:val="center"/>
                </w:tcPr>
                <w:p w14:paraId="4877483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1.167</w:t>
                  </w:r>
                </w:p>
              </w:tc>
              <w:tc>
                <w:tcPr>
                  <w:tcW w:w="1399" w:type="dxa"/>
                  <w:vAlign w:val="center"/>
                </w:tcPr>
                <w:p w14:paraId="6D41435E">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0.296</w:t>
                  </w:r>
                </w:p>
              </w:tc>
              <w:tc>
                <w:tcPr>
                  <w:tcW w:w="1402" w:type="dxa"/>
                  <w:vAlign w:val="center"/>
                </w:tcPr>
                <w:p w14:paraId="165045FE">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0.124</w:t>
                  </w:r>
                </w:p>
              </w:tc>
            </w:tr>
            <w:tr w14:paraId="3DC1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7BA478B8">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4CA8F541">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99" w:type="dxa"/>
                  <w:vAlign w:val="center"/>
                </w:tcPr>
                <w:p w14:paraId="2F6FC9E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0.166</w:t>
                  </w:r>
                </w:p>
              </w:tc>
              <w:tc>
                <w:tcPr>
                  <w:tcW w:w="1401" w:type="dxa"/>
                  <w:vAlign w:val="center"/>
                </w:tcPr>
                <w:p w14:paraId="4890A682">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0.069</w:t>
                  </w:r>
                </w:p>
              </w:tc>
              <w:tc>
                <w:tcPr>
                  <w:tcW w:w="1399" w:type="dxa"/>
                  <w:vAlign w:val="center"/>
                </w:tcPr>
                <w:p w14:paraId="26291AE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0.229</w:t>
                  </w:r>
                </w:p>
              </w:tc>
              <w:tc>
                <w:tcPr>
                  <w:tcW w:w="1402" w:type="dxa"/>
                  <w:vAlign w:val="center"/>
                </w:tcPr>
                <w:p w14:paraId="01BD474C">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0.095</w:t>
                  </w:r>
                </w:p>
              </w:tc>
            </w:tr>
            <w:tr w14:paraId="134F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98" w:type="dxa"/>
                  <w:gridSpan w:val="2"/>
                  <w:vAlign w:val="center"/>
                </w:tcPr>
                <w:p w14:paraId="385FE7E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99" w:type="dxa"/>
                  <w:vAlign w:val="center"/>
                </w:tcPr>
                <w:p w14:paraId="0B99EED6">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sum(C3:C5)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9.357</w:t>
                  </w:r>
                  <w:r>
                    <w:rPr>
                      <w:rFonts w:hint="default" w:ascii="Times New Roman" w:hAnsi="Times New Roman" w:cs="Times New Roman"/>
                      <w:color w:val="auto"/>
                      <w:sz w:val="21"/>
                      <w:szCs w:val="21"/>
                      <w:highlight w:val="none"/>
                      <w:vertAlign w:val="baseline"/>
                      <w:lang w:val="en-US" w:eastAsia="zh-CN"/>
                    </w:rPr>
                    <w:fldChar w:fldCharType="end"/>
                  </w:r>
                </w:p>
              </w:tc>
              <w:tc>
                <w:tcPr>
                  <w:tcW w:w="1401" w:type="dxa"/>
                  <w:vAlign w:val="center"/>
                </w:tcPr>
                <w:p w14:paraId="120BF1FB">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sum(D3:D5)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3.901</w:t>
                  </w:r>
                  <w:r>
                    <w:rPr>
                      <w:rFonts w:hint="default" w:ascii="Times New Roman" w:hAnsi="Times New Roman" w:cs="Times New Roman"/>
                      <w:color w:val="auto"/>
                      <w:sz w:val="21"/>
                      <w:szCs w:val="21"/>
                      <w:highlight w:val="none"/>
                      <w:vertAlign w:val="baseline"/>
                      <w:lang w:val="en-US" w:eastAsia="zh-CN"/>
                    </w:rPr>
                    <w:fldChar w:fldCharType="end"/>
                  </w:r>
                </w:p>
              </w:tc>
              <w:tc>
                <w:tcPr>
                  <w:tcW w:w="1399" w:type="dxa"/>
                  <w:vAlign w:val="center"/>
                </w:tcPr>
                <w:p w14:paraId="3DB2F62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0.677</w:t>
                  </w:r>
                </w:p>
              </w:tc>
              <w:tc>
                <w:tcPr>
                  <w:tcW w:w="1402" w:type="dxa"/>
                  <w:vAlign w:val="center"/>
                </w:tcPr>
                <w:p w14:paraId="526BD979">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0.282</w:t>
                  </w:r>
                </w:p>
              </w:tc>
            </w:tr>
            <w:tr w14:paraId="5579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restart"/>
                  <w:vAlign w:val="center"/>
                </w:tcPr>
                <w:p w14:paraId="2C7E970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w:t>
                  </w:r>
                </w:p>
              </w:tc>
              <w:tc>
                <w:tcPr>
                  <w:tcW w:w="1399" w:type="dxa"/>
                  <w:vAlign w:val="center"/>
                </w:tcPr>
                <w:p w14:paraId="0EAD5FB9">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99" w:type="dxa"/>
                  <w:vAlign w:val="center"/>
                </w:tcPr>
                <w:p w14:paraId="36123E5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7.984</w:t>
                  </w:r>
                </w:p>
              </w:tc>
              <w:tc>
                <w:tcPr>
                  <w:tcW w:w="1401" w:type="dxa"/>
                  <w:vAlign w:val="center"/>
                </w:tcPr>
                <w:p w14:paraId="1019712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3.326</w:t>
                  </w:r>
                </w:p>
              </w:tc>
              <w:tc>
                <w:tcPr>
                  <w:tcW w:w="1399" w:type="dxa"/>
                  <w:vAlign w:val="center"/>
                </w:tcPr>
                <w:p w14:paraId="396D82F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0.190</w:t>
                  </w:r>
                </w:p>
              </w:tc>
              <w:tc>
                <w:tcPr>
                  <w:tcW w:w="1402" w:type="dxa"/>
                  <w:vAlign w:val="center"/>
                </w:tcPr>
                <w:p w14:paraId="510C2DE8">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0.079</w:t>
                  </w:r>
                </w:p>
              </w:tc>
            </w:tr>
            <w:tr w14:paraId="3340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2BAB5B55">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0400CFFF">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99" w:type="dxa"/>
                  <w:vAlign w:val="center"/>
                </w:tcPr>
                <w:p w14:paraId="4884F53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3.492</w:t>
                  </w:r>
                </w:p>
              </w:tc>
              <w:tc>
                <w:tcPr>
                  <w:tcW w:w="1401" w:type="dxa"/>
                  <w:vAlign w:val="center"/>
                </w:tcPr>
                <w:p w14:paraId="5983EC6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1.452</w:t>
                  </w:r>
                </w:p>
              </w:tc>
              <w:tc>
                <w:tcPr>
                  <w:tcW w:w="1399" w:type="dxa"/>
                  <w:vAlign w:val="center"/>
                </w:tcPr>
                <w:p w14:paraId="744A1FC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0.369</w:t>
                  </w:r>
                </w:p>
              </w:tc>
              <w:tc>
                <w:tcPr>
                  <w:tcW w:w="1402" w:type="dxa"/>
                  <w:vAlign w:val="center"/>
                </w:tcPr>
                <w:p w14:paraId="1BE21C0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0.154</w:t>
                  </w:r>
                </w:p>
              </w:tc>
            </w:tr>
            <w:tr w14:paraId="4CD8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74591F56">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4B4F6BEB">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99" w:type="dxa"/>
                  <w:vAlign w:val="center"/>
                </w:tcPr>
                <w:p w14:paraId="759A62E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0.206</w:t>
                  </w:r>
                </w:p>
              </w:tc>
              <w:tc>
                <w:tcPr>
                  <w:tcW w:w="1401" w:type="dxa"/>
                  <w:vAlign w:val="center"/>
                </w:tcPr>
                <w:p w14:paraId="04DBCD1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0.086</w:t>
                  </w:r>
                </w:p>
              </w:tc>
              <w:tc>
                <w:tcPr>
                  <w:tcW w:w="1399" w:type="dxa"/>
                  <w:vAlign w:val="center"/>
                </w:tcPr>
                <w:p w14:paraId="217D76C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0.284</w:t>
                  </w:r>
                </w:p>
              </w:tc>
              <w:tc>
                <w:tcPr>
                  <w:tcW w:w="1402" w:type="dxa"/>
                  <w:vAlign w:val="center"/>
                </w:tcPr>
                <w:p w14:paraId="306B8D83">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0.118</w:t>
                  </w:r>
                </w:p>
              </w:tc>
            </w:tr>
            <w:tr w14:paraId="6E6D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98" w:type="dxa"/>
                  <w:gridSpan w:val="2"/>
                  <w:vAlign w:val="center"/>
                </w:tcPr>
                <w:p w14:paraId="55DA0D1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99" w:type="dxa"/>
                  <w:vAlign w:val="center"/>
                </w:tcPr>
                <w:p w14:paraId="6E5D6E9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11.682</w:t>
                  </w:r>
                </w:p>
              </w:tc>
              <w:tc>
                <w:tcPr>
                  <w:tcW w:w="1401" w:type="dxa"/>
                  <w:vAlign w:val="center"/>
                </w:tcPr>
                <w:p w14:paraId="29475AE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4.864</w:t>
                  </w:r>
                </w:p>
              </w:tc>
              <w:tc>
                <w:tcPr>
                  <w:tcW w:w="1399" w:type="dxa"/>
                  <w:vAlign w:val="center"/>
                </w:tcPr>
                <w:p w14:paraId="7EDCFC6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0.843</w:t>
                  </w:r>
                </w:p>
              </w:tc>
              <w:tc>
                <w:tcPr>
                  <w:tcW w:w="1402" w:type="dxa"/>
                  <w:vAlign w:val="center"/>
                </w:tcPr>
                <w:p w14:paraId="673835E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0.351</w:t>
                  </w:r>
                </w:p>
              </w:tc>
            </w:tr>
            <w:tr w14:paraId="1423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restart"/>
                  <w:vAlign w:val="center"/>
                </w:tcPr>
                <w:p w14:paraId="3045D514">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5号路</w:t>
                  </w:r>
                </w:p>
              </w:tc>
              <w:tc>
                <w:tcPr>
                  <w:tcW w:w="1399" w:type="dxa"/>
                  <w:vAlign w:val="center"/>
                </w:tcPr>
                <w:p w14:paraId="2324B419">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99" w:type="dxa"/>
                  <w:vAlign w:val="center"/>
                </w:tcPr>
                <w:p w14:paraId="117F814E">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7.833</w:t>
                  </w:r>
                </w:p>
              </w:tc>
              <w:tc>
                <w:tcPr>
                  <w:tcW w:w="1401" w:type="dxa"/>
                  <w:vAlign w:val="center"/>
                </w:tcPr>
                <w:p w14:paraId="6861F7BA">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3.261</w:t>
                  </w:r>
                </w:p>
              </w:tc>
              <w:tc>
                <w:tcPr>
                  <w:tcW w:w="1399" w:type="dxa"/>
                  <w:vAlign w:val="center"/>
                </w:tcPr>
                <w:p w14:paraId="0AAF17F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0.186</w:t>
                  </w:r>
                </w:p>
              </w:tc>
              <w:tc>
                <w:tcPr>
                  <w:tcW w:w="1402" w:type="dxa"/>
                  <w:vAlign w:val="center"/>
                </w:tcPr>
                <w:p w14:paraId="6E418E5F">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0.078</w:t>
                  </w:r>
                </w:p>
              </w:tc>
            </w:tr>
            <w:tr w14:paraId="1F64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3F6F0849">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5BF04271">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99" w:type="dxa"/>
                  <w:vAlign w:val="center"/>
                </w:tcPr>
                <w:p w14:paraId="44748B5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3.435</w:t>
                  </w:r>
                </w:p>
              </w:tc>
              <w:tc>
                <w:tcPr>
                  <w:tcW w:w="1401" w:type="dxa"/>
                  <w:vAlign w:val="center"/>
                </w:tcPr>
                <w:p w14:paraId="4DEDE8F0">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1.433</w:t>
                  </w:r>
                </w:p>
              </w:tc>
              <w:tc>
                <w:tcPr>
                  <w:tcW w:w="1399" w:type="dxa"/>
                  <w:vAlign w:val="center"/>
                </w:tcPr>
                <w:p w14:paraId="51923E86">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0.364</w:t>
                  </w:r>
                </w:p>
              </w:tc>
              <w:tc>
                <w:tcPr>
                  <w:tcW w:w="1402" w:type="dxa"/>
                  <w:vAlign w:val="center"/>
                </w:tcPr>
                <w:p w14:paraId="581EC60C">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0.152</w:t>
                  </w:r>
                </w:p>
              </w:tc>
            </w:tr>
            <w:tr w14:paraId="494A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3EF1D71D">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56ED252F">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99" w:type="dxa"/>
                  <w:vAlign w:val="center"/>
                </w:tcPr>
                <w:p w14:paraId="27D6D588">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0.201</w:t>
                  </w:r>
                </w:p>
              </w:tc>
              <w:tc>
                <w:tcPr>
                  <w:tcW w:w="1401" w:type="dxa"/>
                  <w:vAlign w:val="center"/>
                </w:tcPr>
                <w:p w14:paraId="6152CA0F">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0.084</w:t>
                  </w:r>
                </w:p>
              </w:tc>
              <w:tc>
                <w:tcPr>
                  <w:tcW w:w="1399" w:type="dxa"/>
                  <w:vAlign w:val="center"/>
                </w:tcPr>
                <w:p w14:paraId="73A6B23F">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0.277</w:t>
                  </w:r>
                </w:p>
              </w:tc>
              <w:tc>
                <w:tcPr>
                  <w:tcW w:w="1402" w:type="dxa"/>
                  <w:vAlign w:val="center"/>
                </w:tcPr>
                <w:p w14:paraId="4A0ED856">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0.116</w:t>
                  </w:r>
                </w:p>
              </w:tc>
            </w:tr>
            <w:tr w14:paraId="3049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98" w:type="dxa"/>
                  <w:gridSpan w:val="2"/>
                  <w:vAlign w:val="center"/>
                </w:tcPr>
                <w:p w14:paraId="4BB1F216">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合计</w:t>
                  </w:r>
                </w:p>
              </w:tc>
              <w:tc>
                <w:tcPr>
                  <w:tcW w:w="1399" w:type="dxa"/>
                  <w:vAlign w:val="center"/>
                </w:tcPr>
                <w:p w14:paraId="1F68A9E9">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11.469</w:t>
                  </w:r>
                </w:p>
              </w:tc>
              <w:tc>
                <w:tcPr>
                  <w:tcW w:w="1401" w:type="dxa"/>
                  <w:vAlign w:val="center"/>
                </w:tcPr>
                <w:p w14:paraId="6498AF7D">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4.778</w:t>
                  </w:r>
                </w:p>
              </w:tc>
              <w:tc>
                <w:tcPr>
                  <w:tcW w:w="1399" w:type="dxa"/>
                  <w:vAlign w:val="center"/>
                </w:tcPr>
                <w:p w14:paraId="47C95FE8">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0.827</w:t>
                  </w:r>
                </w:p>
              </w:tc>
              <w:tc>
                <w:tcPr>
                  <w:tcW w:w="1402" w:type="dxa"/>
                  <w:vAlign w:val="center"/>
                </w:tcPr>
                <w:p w14:paraId="338D88FB">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0.346</w:t>
                  </w:r>
                </w:p>
              </w:tc>
            </w:tr>
            <w:tr w14:paraId="48BF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restart"/>
                  <w:vAlign w:val="center"/>
                </w:tcPr>
                <w:p w14:paraId="536DFED9">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6号路</w:t>
                  </w:r>
                </w:p>
              </w:tc>
              <w:tc>
                <w:tcPr>
                  <w:tcW w:w="1399" w:type="dxa"/>
                  <w:vAlign w:val="center"/>
                </w:tcPr>
                <w:p w14:paraId="06C233A6">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99" w:type="dxa"/>
                  <w:vAlign w:val="center"/>
                </w:tcPr>
                <w:p w14:paraId="6187A829">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3.413</w:t>
                  </w:r>
                </w:p>
              </w:tc>
              <w:tc>
                <w:tcPr>
                  <w:tcW w:w="1401" w:type="dxa"/>
                  <w:vAlign w:val="center"/>
                </w:tcPr>
                <w:p w14:paraId="2C06F85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1.419</w:t>
                  </w:r>
                </w:p>
              </w:tc>
              <w:tc>
                <w:tcPr>
                  <w:tcW w:w="1399" w:type="dxa"/>
                  <w:vAlign w:val="center"/>
                </w:tcPr>
                <w:p w14:paraId="1D61E78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0.081</w:t>
                  </w:r>
                </w:p>
              </w:tc>
              <w:tc>
                <w:tcPr>
                  <w:tcW w:w="1402" w:type="dxa"/>
                  <w:vAlign w:val="center"/>
                </w:tcPr>
                <w:p w14:paraId="7E8C7CD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0.034</w:t>
                  </w:r>
                </w:p>
              </w:tc>
            </w:tr>
            <w:tr w14:paraId="08B6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6E184889">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0EF368F3">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99" w:type="dxa"/>
                  <w:vAlign w:val="center"/>
                </w:tcPr>
                <w:p w14:paraId="15C2FF38">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1.499</w:t>
                  </w:r>
                </w:p>
              </w:tc>
              <w:tc>
                <w:tcPr>
                  <w:tcW w:w="1401" w:type="dxa"/>
                  <w:vAlign w:val="center"/>
                </w:tcPr>
                <w:p w14:paraId="5C865E7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0.626</w:t>
                  </w:r>
                </w:p>
              </w:tc>
              <w:tc>
                <w:tcPr>
                  <w:tcW w:w="1399" w:type="dxa"/>
                  <w:vAlign w:val="center"/>
                </w:tcPr>
                <w:p w14:paraId="6E2F9B78">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0.159</w:t>
                  </w:r>
                </w:p>
              </w:tc>
              <w:tc>
                <w:tcPr>
                  <w:tcW w:w="1402" w:type="dxa"/>
                  <w:vAlign w:val="center"/>
                </w:tcPr>
                <w:p w14:paraId="037AC98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0.066</w:t>
                  </w:r>
                </w:p>
              </w:tc>
            </w:tr>
            <w:tr w14:paraId="5243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7AAC5310">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172CC318">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99" w:type="dxa"/>
                  <w:vAlign w:val="center"/>
                </w:tcPr>
                <w:p w14:paraId="3555ACF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0.087</w:t>
                  </w:r>
                </w:p>
              </w:tc>
              <w:tc>
                <w:tcPr>
                  <w:tcW w:w="1401" w:type="dxa"/>
                  <w:vAlign w:val="center"/>
                </w:tcPr>
                <w:p w14:paraId="6DFA0B4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0.037</w:t>
                  </w:r>
                </w:p>
              </w:tc>
              <w:tc>
                <w:tcPr>
                  <w:tcW w:w="1399" w:type="dxa"/>
                  <w:vAlign w:val="center"/>
                </w:tcPr>
                <w:p w14:paraId="52A7FCD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0.120</w:t>
                  </w:r>
                </w:p>
              </w:tc>
              <w:tc>
                <w:tcPr>
                  <w:tcW w:w="1402" w:type="dxa"/>
                  <w:vAlign w:val="center"/>
                </w:tcPr>
                <w:p w14:paraId="075ECD0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0.051</w:t>
                  </w:r>
                </w:p>
              </w:tc>
            </w:tr>
            <w:tr w14:paraId="49C6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98" w:type="dxa"/>
                  <w:gridSpan w:val="2"/>
                  <w:vAlign w:val="center"/>
                </w:tcPr>
                <w:p w14:paraId="78074FD3">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99" w:type="dxa"/>
                  <w:vAlign w:val="center"/>
                </w:tcPr>
                <w:p w14:paraId="545E6229">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4.999</w:t>
                  </w:r>
                </w:p>
              </w:tc>
              <w:tc>
                <w:tcPr>
                  <w:tcW w:w="1401" w:type="dxa"/>
                  <w:vAlign w:val="center"/>
                </w:tcPr>
                <w:p w14:paraId="06247219">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2.082</w:t>
                  </w:r>
                </w:p>
              </w:tc>
              <w:tc>
                <w:tcPr>
                  <w:tcW w:w="1399" w:type="dxa"/>
                  <w:vAlign w:val="center"/>
                </w:tcPr>
                <w:p w14:paraId="3026B05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0.360</w:t>
                  </w: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sum(D23:D25)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fldChar w:fldCharType="end"/>
                  </w:r>
                </w:p>
              </w:tc>
              <w:tc>
                <w:tcPr>
                  <w:tcW w:w="1402" w:type="dxa"/>
                  <w:vAlign w:val="center"/>
                </w:tcPr>
                <w:p w14:paraId="70040A9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0.151</w:t>
                  </w:r>
                </w:p>
              </w:tc>
            </w:tr>
            <w:tr w14:paraId="2714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restart"/>
                  <w:vAlign w:val="center"/>
                </w:tcPr>
                <w:p w14:paraId="1AC284B0">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7号路</w:t>
                  </w:r>
                </w:p>
              </w:tc>
              <w:tc>
                <w:tcPr>
                  <w:tcW w:w="1399" w:type="dxa"/>
                  <w:vAlign w:val="center"/>
                </w:tcPr>
                <w:p w14:paraId="483C8C15">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99" w:type="dxa"/>
                  <w:vAlign w:val="center"/>
                </w:tcPr>
                <w:p w14:paraId="3B74B424">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6.966</w:t>
                  </w:r>
                </w:p>
              </w:tc>
              <w:tc>
                <w:tcPr>
                  <w:tcW w:w="1401" w:type="dxa"/>
                  <w:vAlign w:val="center"/>
                </w:tcPr>
                <w:p w14:paraId="171067E8">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2.903</w:t>
                  </w:r>
                </w:p>
              </w:tc>
              <w:tc>
                <w:tcPr>
                  <w:tcW w:w="1399" w:type="dxa"/>
                  <w:vAlign w:val="center"/>
                </w:tcPr>
                <w:p w14:paraId="65A010BC">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0.166</w:t>
                  </w:r>
                </w:p>
              </w:tc>
              <w:tc>
                <w:tcPr>
                  <w:tcW w:w="1402" w:type="dxa"/>
                  <w:vAlign w:val="center"/>
                </w:tcPr>
                <w:p w14:paraId="6C4BB5EB">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0.069</w:t>
                  </w:r>
                </w:p>
              </w:tc>
            </w:tr>
            <w:tr w14:paraId="2474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774AC4E4">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5747FA6D">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99" w:type="dxa"/>
                  <w:vAlign w:val="center"/>
                </w:tcPr>
                <w:p w14:paraId="2348F5EA">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3.046</w:t>
                  </w:r>
                </w:p>
              </w:tc>
              <w:tc>
                <w:tcPr>
                  <w:tcW w:w="1401" w:type="dxa"/>
                  <w:vAlign w:val="center"/>
                </w:tcPr>
                <w:p w14:paraId="46CB4AAB">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1.272</w:t>
                  </w:r>
                </w:p>
              </w:tc>
              <w:tc>
                <w:tcPr>
                  <w:tcW w:w="1399" w:type="dxa"/>
                  <w:vAlign w:val="center"/>
                </w:tcPr>
                <w:p w14:paraId="333204A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0.322</w:t>
                  </w:r>
                </w:p>
              </w:tc>
              <w:tc>
                <w:tcPr>
                  <w:tcW w:w="1402" w:type="dxa"/>
                  <w:vAlign w:val="center"/>
                </w:tcPr>
                <w:p w14:paraId="07F55212">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0.135</w:t>
                  </w:r>
                </w:p>
              </w:tc>
            </w:tr>
            <w:tr w14:paraId="7DE8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99" w:type="dxa"/>
                  <w:vMerge w:val="continue"/>
                  <w:vAlign w:val="center"/>
                </w:tcPr>
                <w:p w14:paraId="795F23B6">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99" w:type="dxa"/>
                  <w:vAlign w:val="center"/>
                </w:tcPr>
                <w:p w14:paraId="3EF40E29">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99" w:type="dxa"/>
                  <w:vAlign w:val="center"/>
                </w:tcPr>
                <w:p w14:paraId="307612B8">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0.180</w:t>
                  </w:r>
                </w:p>
              </w:tc>
              <w:tc>
                <w:tcPr>
                  <w:tcW w:w="1401" w:type="dxa"/>
                  <w:vAlign w:val="center"/>
                </w:tcPr>
                <w:p w14:paraId="0632D42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0.072</w:t>
                  </w:r>
                </w:p>
              </w:tc>
              <w:tc>
                <w:tcPr>
                  <w:tcW w:w="1399" w:type="dxa"/>
                  <w:vAlign w:val="center"/>
                </w:tcPr>
                <w:p w14:paraId="763B2F6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0.247</w:t>
                  </w:r>
                </w:p>
              </w:tc>
              <w:tc>
                <w:tcPr>
                  <w:tcW w:w="1402" w:type="dxa"/>
                  <w:vAlign w:val="center"/>
                </w:tcPr>
                <w:p w14:paraId="54E0E134">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0.099</w:t>
                  </w:r>
                </w:p>
              </w:tc>
            </w:tr>
            <w:tr w14:paraId="755E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98" w:type="dxa"/>
                  <w:gridSpan w:val="2"/>
                  <w:vAlign w:val="center"/>
                </w:tcPr>
                <w:p w14:paraId="05A4590A">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合计</w:t>
                  </w:r>
                </w:p>
              </w:tc>
              <w:tc>
                <w:tcPr>
                  <w:tcW w:w="1399" w:type="dxa"/>
                  <w:vAlign w:val="center"/>
                </w:tcPr>
                <w:p w14:paraId="1F5340F0">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10.192</w:t>
                  </w:r>
                </w:p>
              </w:tc>
              <w:tc>
                <w:tcPr>
                  <w:tcW w:w="1401" w:type="dxa"/>
                  <w:vAlign w:val="center"/>
                </w:tcPr>
                <w:p w14:paraId="7D20B3C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4.247</w:t>
                  </w:r>
                </w:p>
              </w:tc>
              <w:tc>
                <w:tcPr>
                  <w:tcW w:w="1399" w:type="dxa"/>
                  <w:vAlign w:val="center"/>
                </w:tcPr>
                <w:p w14:paraId="54582C0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0.735</w:t>
                  </w:r>
                </w:p>
              </w:tc>
              <w:tc>
                <w:tcPr>
                  <w:tcW w:w="1402" w:type="dxa"/>
                  <w:vAlign w:val="center"/>
                </w:tcPr>
                <w:p w14:paraId="4BEDA4BE">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0.303</w:t>
                  </w:r>
                </w:p>
              </w:tc>
            </w:tr>
          </w:tbl>
          <w:p w14:paraId="2B39D143">
            <w:pPr>
              <w:pStyle w:val="23"/>
              <w:spacing w:line="360" w:lineRule="auto"/>
              <w:rPr>
                <w:rFonts w:hint="default" w:ascii="Times New Roman" w:hAnsi="Times New Roman" w:cs="Times New Roman"/>
                <w:b w:val="0"/>
                <w:bCs w:val="0"/>
                <w:kern w:val="18"/>
                <w:sz w:val="24"/>
                <w:lang w:eastAsia="zh-CN"/>
              </w:rPr>
            </w:pPr>
            <w:r>
              <w:rPr>
                <w:rFonts w:hint="default" w:ascii="Times New Roman" w:hAnsi="Times New Roman" w:cs="Times New Roman"/>
                <w:b w:val="0"/>
                <w:bCs w:val="0"/>
                <w:color w:val="auto"/>
                <w:sz w:val="21"/>
                <w:szCs w:val="21"/>
                <w:highlight w:val="none"/>
              </w:rPr>
              <w:t>注：在计算中，NO</w:t>
            </w:r>
            <w:r>
              <w:rPr>
                <w:rFonts w:hint="default" w:ascii="Times New Roman" w:hAnsi="Times New Roman" w:cs="Times New Roman"/>
                <w:b w:val="0"/>
                <w:bCs w:val="0"/>
                <w:color w:val="auto"/>
                <w:sz w:val="21"/>
                <w:szCs w:val="21"/>
                <w:highlight w:val="none"/>
                <w:vertAlign w:val="subscript"/>
              </w:rPr>
              <w:t>2</w:t>
            </w:r>
            <w:r>
              <w:rPr>
                <w:rFonts w:hint="default" w:ascii="Times New Roman" w:hAnsi="Times New Roman" w:cs="Times New Roman"/>
                <w:b w:val="0"/>
                <w:bCs w:val="0"/>
                <w:color w:val="auto"/>
                <w:sz w:val="21"/>
                <w:szCs w:val="21"/>
                <w:highlight w:val="none"/>
              </w:rPr>
              <w:t>按</w:t>
            </w:r>
            <w:r>
              <w:rPr>
                <w:rFonts w:hint="eastAsia" w:cs="Times New Roman"/>
                <w:b w:val="0"/>
                <w:bCs w:val="0"/>
                <w:color w:val="auto"/>
                <w:sz w:val="21"/>
                <w:szCs w:val="21"/>
                <w:highlight w:val="none"/>
                <w:lang w:eastAsia="zh-CN"/>
              </w:rPr>
              <w:t>交通运输部</w:t>
            </w:r>
            <w:r>
              <w:rPr>
                <w:rFonts w:hint="default" w:ascii="Times New Roman" w:hAnsi="Times New Roman" w:cs="Times New Roman"/>
                <w:b w:val="0"/>
                <w:bCs w:val="0"/>
                <w:color w:val="auto"/>
                <w:sz w:val="21"/>
                <w:szCs w:val="21"/>
                <w:highlight w:val="none"/>
              </w:rPr>
              <w:t>科研所提供的资料：汽车尾气排放的NO</w:t>
            </w:r>
            <w:r>
              <w:rPr>
                <w:rFonts w:hint="default" w:ascii="Times New Roman" w:hAnsi="Times New Roman" w:cs="Times New Roman"/>
                <w:b w:val="0"/>
                <w:bCs w:val="0"/>
                <w:color w:val="auto"/>
                <w:sz w:val="21"/>
                <w:szCs w:val="21"/>
                <w:highlight w:val="none"/>
                <w:vertAlign w:val="subscript"/>
              </w:rPr>
              <w:t>x</w:t>
            </w:r>
            <w:r>
              <w:rPr>
                <w:rFonts w:hint="default" w:ascii="Times New Roman" w:hAnsi="Times New Roman" w:cs="Times New Roman"/>
                <w:b w:val="0"/>
                <w:bCs w:val="0"/>
                <w:color w:val="auto"/>
                <w:sz w:val="21"/>
                <w:szCs w:val="21"/>
                <w:highlight w:val="none"/>
              </w:rPr>
              <w:t>中，NO</w:t>
            </w:r>
            <w:r>
              <w:rPr>
                <w:rFonts w:hint="default" w:ascii="Times New Roman" w:hAnsi="Times New Roman" w:cs="Times New Roman"/>
                <w:b w:val="0"/>
                <w:bCs w:val="0"/>
                <w:color w:val="auto"/>
                <w:sz w:val="21"/>
                <w:szCs w:val="21"/>
                <w:highlight w:val="none"/>
                <w:vertAlign w:val="subscript"/>
              </w:rPr>
              <w:t>2</w:t>
            </w:r>
            <w:r>
              <w:rPr>
                <w:rFonts w:hint="default" w:ascii="Times New Roman" w:hAnsi="Times New Roman" w:cs="Times New Roman"/>
                <w:b w:val="0"/>
                <w:bCs w:val="0"/>
                <w:color w:val="auto"/>
                <w:sz w:val="21"/>
                <w:szCs w:val="21"/>
                <w:highlight w:val="none"/>
              </w:rPr>
              <w:t>占80%）。</w:t>
            </w:r>
          </w:p>
          <w:p w14:paraId="7FED20AC">
            <w:pPr>
              <w:numPr>
                <w:ilvl w:val="0"/>
                <w:numId w:val="0"/>
              </w:numPr>
              <w:spacing w:line="360" w:lineRule="auto"/>
              <w:ind w:leftChars="0" w:firstLine="482" w:firstLineChars="200"/>
              <w:rPr>
                <w:rFonts w:hint="default" w:ascii="Times New Roman" w:hAnsi="Times New Roman" w:eastAsia="宋体" w:cs="Times New Roman"/>
                <w:b/>
                <w:bCs/>
                <w:color w:val="000000" w:themeColor="text1"/>
                <w:kern w:val="18"/>
                <w:sz w:val="24"/>
                <w:lang w:val="en-US" w:eastAsia="zh-CN"/>
                <w14:textFill>
                  <w14:solidFill>
                    <w14:schemeClr w14:val="tx1"/>
                  </w14:solidFill>
                </w14:textFill>
              </w:rPr>
            </w:pPr>
            <w:r>
              <w:rPr>
                <w:rFonts w:hint="eastAsia" w:cs="Times New Roman"/>
                <w:b/>
                <w:bCs/>
                <w:color w:val="000000" w:themeColor="text1"/>
                <w:kern w:val="18"/>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18"/>
                <w:sz w:val="24"/>
                <w:lang w:val="en-US" w:eastAsia="zh-CN"/>
                <w14:textFill>
                  <w14:solidFill>
                    <w14:schemeClr w14:val="tx1"/>
                  </w14:solidFill>
                </w14:textFill>
              </w:rPr>
              <w:t>水污染分析</w:t>
            </w:r>
          </w:p>
          <w:p w14:paraId="6699AE7F">
            <w:pPr>
              <w:numPr>
                <w:ilvl w:val="0"/>
                <w:numId w:val="0"/>
              </w:numPr>
              <w:spacing w:line="360" w:lineRule="auto"/>
              <w:ind w:leftChars="0"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szCs w:val="22"/>
                <w:highlight w:val="none"/>
              </w:rPr>
              <w:t>本项目建设内容不包括养护站、服务区、加油站等设施，营运期工程自身废水很少。</w:t>
            </w:r>
            <w:r>
              <w:rPr>
                <w:rFonts w:hint="default" w:ascii="Times New Roman" w:hAnsi="Times New Roman" w:cs="Times New Roman"/>
                <w:color w:val="auto"/>
                <w:spacing w:val="-4"/>
                <w:sz w:val="24"/>
                <w:highlight w:val="none"/>
              </w:rPr>
              <w:t>项目建成后，降雨产生的路面径流，特别是初期雨水形成的路面径流，</w:t>
            </w:r>
            <w:r>
              <w:rPr>
                <w:rFonts w:hint="default" w:ascii="Times New Roman" w:hAnsi="Times New Roman" w:cs="Times New Roman"/>
                <w:color w:val="auto"/>
                <w:sz w:val="24"/>
                <w:highlight w:val="none"/>
              </w:rPr>
              <w:t>主要为悬浮物、石油类和有机物，其浓度受限于多种因素，如车流量、车辆类型、降雨强度、灰尘沉降量和前期干旱时间等等</w:t>
            </w:r>
            <w:r>
              <w:rPr>
                <w:rFonts w:hint="default" w:ascii="Times New Roman" w:hAnsi="Times New Roman" w:cs="Times New Roman"/>
                <w:color w:val="auto"/>
                <w:sz w:val="24"/>
                <w:highlight w:val="none"/>
                <w:lang w:eastAsia="zh-CN"/>
              </w:rPr>
              <w:t>。</w:t>
            </w:r>
          </w:p>
          <w:p w14:paraId="4D1C0817">
            <w:pPr>
              <w:pStyle w:val="7"/>
              <w:tabs>
                <w:tab w:val="left" w:pos="5480"/>
              </w:tabs>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s="Times New Roman"/>
                <w:color w:val="auto"/>
                <w:highlight w:val="none"/>
                <w:lang w:eastAsia="zh-CN"/>
              </w:rPr>
              <w:t>生态环境部</w:t>
            </w:r>
            <w:r>
              <w:rPr>
                <w:rFonts w:hint="default" w:ascii="Times New Roman" w:hAnsi="Times New Roman" w:cs="Times New Roman"/>
                <w:color w:val="auto"/>
                <w:highlight w:val="none"/>
              </w:rPr>
              <w:t>华南环境科学研究所等单位对南方地区路面径流污染情况试验的有关资料，在车流量和降雨量已知的情况下，降雨历时1小时，降雨强度为81.6mm，在1小时内按不同时间段采集水样，测定分析路面径流污染物的变化情况。测定结果表明，降雨初期到形成路面径流的30min，雨水径流中的悬浮物和油类物质的浓度比较高，SS和石油类的含量可达158.5～231.4mg/L和19.74～22.30mg/L；30min后其浓度随降雨历时的延长下降较快，雨水径流中铅的浓度及生化需氧量随降雨历时的延长下降速度较前者慢，pH值相对较稳定。测定结果见表5-</w:t>
            </w:r>
            <w:r>
              <w:rPr>
                <w:rFonts w:hint="eastAsia" w:cs="Times New Roman"/>
                <w:color w:val="auto"/>
                <w:highlight w:val="none"/>
                <w:lang w:val="en-US" w:eastAsia="zh-CN"/>
              </w:rPr>
              <w:t>6</w:t>
            </w:r>
            <w:r>
              <w:rPr>
                <w:rFonts w:hint="default" w:ascii="Times New Roman" w:hAnsi="Times New Roman" w:cs="Times New Roman"/>
                <w:color w:val="auto"/>
                <w:highlight w:val="none"/>
              </w:rPr>
              <w:t>。</w:t>
            </w:r>
          </w:p>
          <w:p w14:paraId="5D0B53CC">
            <w:pPr>
              <w:spacing w:line="276"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表5-</w:t>
            </w:r>
            <w:r>
              <w:rPr>
                <w:rFonts w:hint="eastAsia" w:cs="Times New Roman"/>
                <w:b/>
                <w:bCs/>
                <w:color w:val="auto"/>
                <w:sz w:val="24"/>
                <w:highlight w:val="none"/>
                <w:lang w:val="en-US" w:eastAsia="zh-CN"/>
              </w:rPr>
              <w:t>6</w:t>
            </w:r>
            <w:r>
              <w:rPr>
                <w:rFonts w:hint="default" w:ascii="Times New Roman" w:hAnsi="Times New Roman" w:cs="Times New Roman"/>
                <w:b/>
                <w:bCs/>
                <w:color w:val="auto"/>
                <w:sz w:val="24"/>
                <w:highlight w:val="none"/>
              </w:rPr>
              <w:t xml:space="preserve">  路面径流中污染物浓度测定值</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660"/>
              <w:gridCol w:w="1660"/>
            </w:tblGrid>
            <w:tr w14:paraId="422A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top"/>
                </w:tcPr>
                <w:p w14:paraId="5333D5D1">
                  <w:pPr>
                    <w:spacing w:line="240" w:lineRule="auto"/>
                    <w:jc w:val="righ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1905</wp:posOffset>
                            </wp:positionV>
                            <wp:extent cx="1058545" cy="341630"/>
                            <wp:effectExtent l="1270" t="4445" r="6985" b="15875"/>
                            <wp:wrapNone/>
                            <wp:docPr id="50" name="直接箭头连接符 50"/>
                            <wp:cNvGraphicFramePr/>
                            <a:graphic xmlns:a="http://schemas.openxmlformats.org/drawingml/2006/main">
                              <a:graphicData uri="http://schemas.microsoft.com/office/word/2010/wordprocessingShape">
                                <wps:wsp>
                                  <wps:cNvCnPr/>
                                  <wps:spPr>
                                    <a:xfrm>
                                      <a:off x="0" y="0"/>
                                      <a:ext cx="1058545" cy="3416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3pt;margin-top:0.15pt;height:26.9pt;width:83.35pt;z-index:251664384;mso-width-relative:page;mso-height-relative:page;" filled="f" stroked="t" coordsize="21600,21600" o:gfxdata="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ejLNUAAAAHAQAADwAAAAAAAAABACAAAAAiAAAAZHJzL2Rv&#10;d25yZXYueG1sUEsBAhQAFAAAAAgAh07iQGBwe3QEAgAA8wMAAA4AAAAAAAAAAQAgAAAAJA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b/>
                      <w:color w:val="auto"/>
                      <w:sz w:val="21"/>
                      <w:szCs w:val="21"/>
                      <w:highlight w:val="none"/>
                    </w:rPr>
                    <w:t>历时</w:t>
                  </w:r>
                </w:p>
                <w:p w14:paraId="06C3501A">
                  <w:pPr>
                    <w:spacing w:line="240" w:lineRule="auto"/>
                    <w:jc w:val="lef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w:t>
                  </w:r>
                </w:p>
              </w:tc>
              <w:tc>
                <w:tcPr>
                  <w:tcW w:w="1659" w:type="dxa"/>
                  <w:noWrap w:val="0"/>
                  <w:vAlign w:val="center"/>
                </w:tcPr>
                <w:p w14:paraId="76FDFF2C">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5～20分钟</w:t>
                  </w:r>
                </w:p>
              </w:tc>
              <w:tc>
                <w:tcPr>
                  <w:tcW w:w="1659" w:type="dxa"/>
                  <w:noWrap w:val="0"/>
                  <w:vAlign w:val="center"/>
                </w:tcPr>
                <w:p w14:paraId="127A978C">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20～40分钟</w:t>
                  </w:r>
                </w:p>
              </w:tc>
              <w:tc>
                <w:tcPr>
                  <w:tcW w:w="1660" w:type="dxa"/>
                  <w:noWrap w:val="0"/>
                  <w:vAlign w:val="center"/>
                </w:tcPr>
                <w:p w14:paraId="5E589C71">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40～60分钟</w:t>
                  </w:r>
                </w:p>
              </w:tc>
              <w:tc>
                <w:tcPr>
                  <w:tcW w:w="1660" w:type="dxa"/>
                  <w:noWrap w:val="0"/>
                  <w:vAlign w:val="center"/>
                </w:tcPr>
                <w:p w14:paraId="3B82BCBC">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平均值</w:t>
                  </w:r>
                </w:p>
              </w:tc>
            </w:tr>
            <w:tr w14:paraId="23EE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14:paraId="188F517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659" w:type="dxa"/>
                  <w:noWrap w:val="0"/>
                  <w:vAlign w:val="center"/>
                </w:tcPr>
                <w:p w14:paraId="1D1F992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6.0～6.8</w:t>
                  </w:r>
                </w:p>
              </w:tc>
              <w:tc>
                <w:tcPr>
                  <w:tcW w:w="1659" w:type="dxa"/>
                  <w:noWrap w:val="0"/>
                  <w:vAlign w:val="center"/>
                </w:tcPr>
                <w:p w14:paraId="140092F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6.0～6.8</w:t>
                  </w:r>
                </w:p>
              </w:tc>
              <w:tc>
                <w:tcPr>
                  <w:tcW w:w="1660" w:type="dxa"/>
                  <w:noWrap w:val="0"/>
                  <w:vAlign w:val="center"/>
                </w:tcPr>
                <w:p w14:paraId="717461F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6.0～6.8</w:t>
                  </w:r>
                </w:p>
              </w:tc>
              <w:tc>
                <w:tcPr>
                  <w:tcW w:w="1660" w:type="dxa"/>
                  <w:noWrap w:val="0"/>
                  <w:vAlign w:val="center"/>
                </w:tcPr>
                <w:p w14:paraId="1C639BF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w:t>
                  </w:r>
                </w:p>
              </w:tc>
            </w:tr>
            <w:tr w14:paraId="07B6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14:paraId="5FB238E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SS(mg/L)</w:t>
                  </w:r>
                </w:p>
              </w:tc>
              <w:tc>
                <w:tcPr>
                  <w:tcW w:w="1659" w:type="dxa"/>
                  <w:noWrap w:val="0"/>
                  <w:vAlign w:val="center"/>
                </w:tcPr>
                <w:p w14:paraId="4C9F902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231.4～158.5</w:t>
                  </w:r>
                </w:p>
              </w:tc>
              <w:tc>
                <w:tcPr>
                  <w:tcW w:w="1659" w:type="dxa"/>
                  <w:noWrap w:val="0"/>
                  <w:vAlign w:val="center"/>
                </w:tcPr>
                <w:p w14:paraId="6B4A9DF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158.5～90.4</w:t>
                  </w:r>
                </w:p>
              </w:tc>
              <w:tc>
                <w:tcPr>
                  <w:tcW w:w="1660" w:type="dxa"/>
                  <w:noWrap w:val="0"/>
                  <w:vAlign w:val="center"/>
                </w:tcPr>
                <w:p w14:paraId="16E9CA5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90.4～18.7</w:t>
                  </w:r>
                </w:p>
              </w:tc>
              <w:tc>
                <w:tcPr>
                  <w:tcW w:w="1660" w:type="dxa"/>
                  <w:noWrap w:val="0"/>
                  <w:vAlign w:val="center"/>
                </w:tcPr>
                <w:p w14:paraId="70747CA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125</w:t>
                  </w:r>
                </w:p>
              </w:tc>
            </w:tr>
            <w:tr w14:paraId="77D2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14:paraId="53B1653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(mg/L)</w:t>
                  </w:r>
                </w:p>
              </w:tc>
              <w:tc>
                <w:tcPr>
                  <w:tcW w:w="1659" w:type="dxa"/>
                  <w:noWrap w:val="0"/>
                  <w:vAlign w:val="center"/>
                </w:tcPr>
                <w:p w14:paraId="64152EC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7.34～7.30</w:t>
                  </w:r>
                </w:p>
              </w:tc>
              <w:tc>
                <w:tcPr>
                  <w:tcW w:w="1659" w:type="dxa"/>
                  <w:noWrap w:val="0"/>
                  <w:vAlign w:val="center"/>
                </w:tcPr>
                <w:p w14:paraId="52CFD39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6.30～4.15</w:t>
                  </w:r>
                </w:p>
              </w:tc>
              <w:tc>
                <w:tcPr>
                  <w:tcW w:w="1660" w:type="dxa"/>
                  <w:noWrap w:val="0"/>
                  <w:vAlign w:val="center"/>
                </w:tcPr>
                <w:p w14:paraId="0B6F4EA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4.15～1.26</w:t>
                  </w:r>
                </w:p>
              </w:tc>
              <w:tc>
                <w:tcPr>
                  <w:tcW w:w="1660" w:type="dxa"/>
                  <w:noWrap w:val="0"/>
                  <w:vAlign w:val="center"/>
                </w:tcPr>
                <w:p w14:paraId="3B6F542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w:t>
                  </w:r>
                </w:p>
              </w:tc>
            </w:tr>
            <w:tr w14:paraId="3382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14:paraId="24BF3BE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Pb</w:t>
                  </w:r>
                </w:p>
              </w:tc>
              <w:tc>
                <w:tcPr>
                  <w:tcW w:w="1659" w:type="dxa"/>
                  <w:noWrap w:val="0"/>
                  <w:vAlign w:val="center"/>
                </w:tcPr>
                <w:p w14:paraId="4944D4F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0.91～0.74</w:t>
                  </w:r>
                </w:p>
              </w:tc>
              <w:tc>
                <w:tcPr>
                  <w:tcW w:w="1659" w:type="dxa"/>
                  <w:noWrap w:val="0"/>
                  <w:vAlign w:val="center"/>
                </w:tcPr>
                <w:p w14:paraId="410176E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0.74～0.06</w:t>
                  </w:r>
                </w:p>
              </w:tc>
              <w:tc>
                <w:tcPr>
                  <w:tcW w:w="1660" w:type="dxa"/>
                  <w:noWrap w:val="0"/>
                  <w:vAlign w:val="center"/>
                </w:tcPr>
                <w:p w14:paraId="74AF96F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0.06～0.001</w:t>
                  </w:r>
                </w:p>
              </w:tc>
              <w:tc>
                <w:tcPr>
                  <w:tcW w:w="1660" w:type="dxa"/>
                  <w:noWrap w:val="0"/>
                  <w:vAlign w:val="center"/>
                </w:tcPr>
                <w:p w14:paraId="164ABC1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0.45</w:t>
                  </w:r>
                </w:p>
              </w:tc>
            </w:tr>
            <w:tr w14:paraId="7065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14:paraId="6710990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石油类(mg/L)</w:t>
                  </w:r>
                </w:p>
              </w:tc>
              <w:tc>
                <w:tcPr>
                  <w:tcW w:w="1659" w:type="dxa"/>
                  <w:noWrap w:val="0"/>
                  <w:vAlign w:val="center"/>
                </w:tcPr>
                <w:p w14:paraId="5F48A8D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22.30～19.74</w:t>
                  </w:r>
                </w:p>
              </w:tc>
              <w:tc>
                <w:tcPr>
                  <w:tcW w:w="1659" w:type="dxa"/>
                  <w:noWrap w:val="0"/>
                  <w:vAlign w:val="center"/>
                </w:tcPr>
                <w:p w14:paraId="33F6CF6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19.74～3.12</w:t>
                  </w:r>
                </w:p>
              </w:tc>
              <w:tc>
                <w:tcPr>
                  <w:tcW w:w="1660" w:type="dxa"/>
                  <w:noWrap w:val="0"/>
                  <w:vAlign w:val="center"/>
                </w:tcPr>
                <w:p w14:paraId="4E6CC2A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3.12～0.21</w:t>
                  </w:r>
                </w:p>
              </w:tc>
              <w:tc>
                <w:tcPr>
                  <w:tcW w:w="1660" w:type="dxa"/>
                  <w:noWrap w:val="0"/>
                  <w:vAlign w:val="center"/>
                </w:tcPr>
                <w:p w14:paraId="2158D2D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11.25</w:t>
                  </w:r>
                </w:p>
              </w:tc>
            </w:tr>
          </w:tbl>
          <w:p w14:paraId="59479A35">
            <w:pPr>
              <w:snapToGrid w:val="0"/>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从上表中可以看出，降雨所造成的影响主要是降雨初期1小时内形成的路面径流。降雨初期到形成路面径流的30分钟内，雨水中的悬浮物和石油类物质浓度比较高。30分钟后，其浓度随降雨历时的延长下降较快，雨水中的生化需氧量随降雨历时的延长下降速度较慢，pH值相对稳定。降雨历时40分钟后，路面基本被冲洗干净。所以，从本项目而言，降雨所造成影响的主要是降雨初期1小时内形成的路面径流。</w:t>
            </w:r>
          </w:p>
          <w:p w14:paraId="02A3D2E7">
            <w:pPr>
              <w:numPr>
                <w:ilvl w:val="0"/>
                <w:numId w:val="0"/>
              </w:numPr>
              <w:snapToGrid w:val="0"/>
              <w:spacing w:line="360" w:lineRule="auto"/>
              <w:ind w:leftChars="0" w:firstLine="482" w:firstLineChars="20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3.</w:t>
            </w:r>
            <w:r>
              <w:rPr>
                <w:rFonts w:hint="default" w:ascii="Times New Roman" w:hAnsi="Times New Roman" w:eastAsia="宋体" w:cs="Times New Roman"/>
                <w:b/>
                <w:bCs/>
                <w:color w:val="auto"/>
                <w:sz w:val="24"/>
                <w:szCs w:val="22"/>
                <w:highlight w:val="none"/>
                <w:lang w:val="en-US" w:eastAsia="zh-CN"/>
              </w:rPr>
              <w:t>噪声污染分析</w:t>
            </w:r>
          </w:p>
          <w:p w14:paraId="0366AB9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噪声主要来自两方面，道路运营后，道路上行驶车辆的发动机产生噪声；车辆行驶引起的气流湍动、排气系统、轮胎与路面的磨擦等也会产生噪声。交通噪声源强与车辆载重类型、行车速度密切相关。交通噪声对道路沿线的居民生活造成一定影响。</w:t>
            </w:r>
          </w:p>
          <w:p w14:paraId="50E00095">
            <w:pPr>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sz w:val="24"/>
              </w:rPr>
              <w:t>本环评采用《公路建设项目环境影响评价规范》推荐的公式计算各个预测年各型车的车速和单车行驶辐射噪声级。</w:t>
            </w:r>
            <w:r>
              <w:rPr>
                <w:rFonts w:hint="default" w:ascii="Times New Roman" w:hAnsi="Times New Roman" w:cs="Times New Roman"/>
                <w:sz w:val="24"/>
                <w:szCs w:val="24"/>
              </w:rPr>
              <w:t>本项目设计车速为40km/h</w:t>
            </w:r>
            <w:r>
              <w:rPr>
                <w:rFonts w:hint="default" w:ascii="Times New Roman" w:hAnsi="Times New Roman" w:cs="Times New Roman"/>
                <w:sz w:val="24"/>
                <w:szCs w:val="24"/>
                <w:lang w:eastAsia="zh-CN"/>
              </w:rPr>
              <w:t>，</w:t>
            </w:r>
            <w:r>
              <w:rPr>
                <w:rFonts w:hint="default" w:ascii="Times New Roman" w:hAnsi="Times New Roman" w:cs="Times New Roman"/>
                <w:color w:val="auto"/>
                <w:sz w:val="24"/>
                <w:szCs w:val="24"/>
                <w:highlight w:val="none"/>
              </w:rPr>
              <w:t>各类型单车车速预测采用如下公式：</w:t>
            </w:r>
          </w:p>
          <w:p w14:paraId="0B684979">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position w:val="-30"/>
                <w:highlight w:val="none"/>
              </w:rPr>
              <w:object>
                <v:shape id="_x0000_i1026" o:spt="75" type="#_x0000_t75" style="height:34pt;width:175pt;" o:ole="t" filled="f" o:preferrelative="t" stroked="f" coordsize="21600,21600">
                  <v:path/>
                  <v:fill on="f" focussize="0,0"/>
                  <v:stroke on="f"/>
                  <v:imagedata r:id="rId36" o:title=""/>
                  <o:lock v:ext="edit" grouping="f" rotation="f" text="f" aspectratio="t"/>
                  <w10:wrap type="none"/>
                  <w10:anchorlock/>
                </v:shape>
                <o:OLEObject Type="Embed" ProgID="Equation.3" ShapeID="_x0000_i1026" DrawAspect="Content" ObjectID="_1468075727" r:id="rId35">
                  <o:LockedField>false</o:LockedField>
                </o:OLEObject>
              </w:object>
            </w:r>
          </w:p>
          <w:p w14:paraId="46F04F89">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position w:val="-14"/>
                <w:highlight w:val="none"/>
              </w:rPr>
              <w:object>
                <v:shape id="_x0000_i1027" o:spt="75" type="#_x0000_t75" style="height:19pt;width:157pt;" o:ole="t" filled="f" stroked="f" coordsize="21600,21600">
                  <v:path/>
                  <v:fill on="f" focussize="0,0"/>
                  <v:stroke on="f"/>
                  <v:imagedata r:id="rId38" o:title=""/>
                  <o:lock v:ext="edit" grouping="f" rotation="f" text="f" aspectratio="t"/>
                  <w10:wrap type="none"/>
                  <w10:anchorlock/>
                </v:shape>
                <o:OLEObject Type="Embed" ProgID="Equation.3" ShapeID="_x0000_i1027" DrawAspect="Content" ObjectID="_1468075728" r:id="rId37">
                  <o:LockedField>false</o:LockedField>
                </o:OLEObject>
              </w:object>
            </w:r>
          </w:p>
          <w:p w14:paraId="6D22D55E">
            <w:pPr>
              <w:pStyle w:val="10"/>
              <w:spacing w:after="0" w:line="360" w:lineRule="auto"/>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i/>
                <w:iCs/>
                <w:color w:val="auto"/>
                <w:highlight w:val="none"/>
              </w:rPr>
              <w:t>v</w:t>
            </w:r>
            <w:r>
              <w:rPr>
                <w:rFonts w:hint="default" w:ascii="Times New Roman" w:hAnsi="Times New Roman" w:cs="Times New Roman"/>
                <w:i/>
                <w:iCs/>
                <w:color w:val="auto"/>
                <w:highlight w:val="none"/>
                <w:vertAlign w:val="subscript"/>
              </w:rPr>
              <w:t>i</w:t>
            </w:r>
            <w:r>
              <w:rPr>
                <w:rFonts w:hint="default" w:ascii="Times New Roman" w:hAnsi="Times New Roman" w:cs="Times New Roman"/>
                <w:color w:val="auto"/>
                <w:highlight w:val="none"/>
              </w:rPr>
              <w:t>——</w:t>
            </w:r>
            <w:r>
              <w:rPr>
                <w:rFonts w:hint="default" w:ascii="Times New Roman" w:hAnsi="Times New Roman" w:cs="Times New Roman"/>
                <w:i/>
                <w:iCs/>
                <w:color w:val="auto"/>
                <w:highlight w:val="none"/>
              </w:rPr>
              <w:t>i</w:t>
            </w:r>
            <w:r>
              <w:rPr>
                <w:rFonts w:hint="default" w:ascii="Times New Roman" w:hAnsi="Times New Roman" w:cs="Times New Roman"/>
                <w:color w:val="auto"/>
                <w:highlight w:val="none"/>
              </w:rPr>
              <w:t>型车预测车速；</w:t>
            </w:r>
          </w:p>
          <w:p w14:paraId="1436447A">
            <w:pPr>
              <w:pStyle w:val="10"/>
              <w:spacing w:after="0" w:line="360" w:lineRule="auto"/>
              <w:ind w:left="0" w:leftChars="0" w:firstLine="1154" w:firstLineChars="481"/>
              <w:rPr>
                <w:rFonts w:hint="default" w:ascii="Times New Roman" w:hAnsi="Times New Roman" w:cs="Times New Roman"/>
                <w:color w:val="auto"/>
                <w:spacing w:val="6"/>
                <w:highlight w:val="none"/>
              </w:rPr>
            </w:pPr>
            <w:r>
              <w:rPr>
                <w:rFonts w:hint="default" w:ascii="Times New Roman" w:hAnsi="Times New Roman" w:cs="Times New Roman"/>
                <w:i/>
                <w:iCs/>
                <w:color w:val="auto"/>
                <w:highlight w:val="none"/>
              </w:rPr>
              <w:t>k</w:t>
            </w:r>
            <w:r>
              <w:rPr>
                <w:rFonts w:hint="default" w:ascii="Times New Roman" w:hAnsi="Times New Roman" w:cs="Times New Roman"/>
                <w:i/>
                <w:iCs/>
                <w:color w:val="auto"/>
                <w:highlight w:val="none"/>
                <w:vertAlign w:val="subscript"/>
              </w:rPr>
              <w:t>1</w:t>
            </w:r>
            <w:r>
              <w:rPr>
                <w:rFonts w:hint="default" w:ascii="Times New Roman" w:hAnsi="Times New Roman" w:cs="Times New Roman"/>
                <w:i/>
                <w:iCs/>
                <w:color w:val="auto"/>
                <w:highlight w:val="none"/>
              </w:rPr>
              <w:t>、k</w:t>
            </w:r>
            <w:r>
              <w:rPr>
                <w:rFonts w:hint="default" w:ascii="Times New Roman" w:hAnsi="Times New Roman" w:cs="Times New Roman"/>
                <w:i/>
                <w:iCs/>
                <w:color w:val="auto"/>
                <w:highlight w:val="none"/>
                <w:vertAlign w:val="subscript"/>
              </w:rPr>
              <w:t>2</w:t>
            </w:r>
            <w:r>
              <w:rPr>
                <w:rFonts w:hint="default" w:ascii="Times New Roman" w:hAnsi="Times New Roman" w:cs="Times New Roman"/>
                <w:i/>
                <w:iCs/>
                <w:color w:val="auto"/>
                <w:highlight w:val="none"/>
              </w:rPr>
              <w:t>、k</w:t>
            </w:r>
            <w:r>
              <w:rPr>
                <w:rFonts w:hint="default" w:ascii="Times New Roman" w:hAnsi="Times New Roman" w:cs="Times New Roman"/>
                <w:i/>
                <w:iCs/>
                <w:color w:val="auto"/>
                <w:highlight w:val="none"/>
                <w:vertAlign w:val="subscript"/>
              </w:rPr>
              <w:t>3</w:t>
            </w:r>
            <w:r>
              <w:rPr>
                <w:rFonts w:hint="default" w:ascii="Times New Roman" w:hAnsi="Times New Roman" w:cs="Times New Roman"/>
                <w:i/>
                <w:iCs/>
                <w:color w:val="auto"/>
                <w:highlight w:val="none"/>
              </w:rPr>
              <w:t>、k</w:t>
            </w:r>
            <w:r>
              <w:rPr>
                <w:rFonts w:hint="default" w:ascii="Times New Roman" w:hAnsi="Times New Roman" w:cs="Times New Roman"/>
                <w:i/>
                <w:iCs/>
                <w:color w:val="auto"/>
                <w:highlight w:val="none"/>
                <w:vertAlign w:val="subscript"/>
              </w:rPr>
              <w:t>4</w:t>
            </w:r>
            <w:r>
              <w:rPr>
                <w:rFonts w:hint="default" w:ascii="Times New Roman" w:hAnsi="Times New Roman" w:cs="Times New Roman"/>
                <w:i/>
                <w:iCs/>
                <w:color w:val="auto"/>
                <w:highlight w:val="none"/>
              </w:rPr>
              <w:t xml:space="preserve"> </w:t>
            </w:r>
            <w:r>
              <w:rPr>
                <w:rFonts w:hint="default" w:ascii="Times New Roman" w:hAnsi="Times New Roman" w:cs="Times New Roman"/>
                <w:color w:val="auto"/>
                <w:highlight w:val="none"/>
              </w:rPr>
              <w:t>―― 回归系数，按表5-8</w:t>
            </w:r>
            <w:r>
              <w:rPr>
                <w:rFonts w:hint="default" w:ascii="Times New Roman" w:hAnsi="Times New Roman" w:cs="Times New Roman"/>
                <w:color w:val="auto"/>
                <w:spacing w:val="6"/>
                <w:highlight w:val="none"/>
              </w:rPr>
              <w:t>取值；</w:t>
            </w:r>
          </w:p>
          <w:p w14:paraId="5039241C">
            <w:pPr>
              <w:spacing w:line="360" w:lineRule="auto"/>
              <w:ind w:firstLine="1212" w:firstLineChars="481"/>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6"/>
                <w:sz w:val="24"/>
                <w:highlight w:val="none"/>
              </w:rPr>
              <w:object>
                <v:shape id="_x0000_i1028" o:spt="75" type="#_x0000_t75" style="height:18pt;width:12pt;" o:ole="t" filled="f" stroked="f" coordsize="21600,21600">
                  <v:path/>
                  <v:fill on="f" focussize="0,0"/>
                  <v:stroke on="f"/>
                  <v:imagedata r:id="rId40" o:title=""/>
                  <o:lock v:ext="edit" grouping="f" rotation="f" text="f" aspectratio="t"/>
                  <w10:wrap type="none"/>
                  <w10:anchorlock/>
                </v:shape>
                <o:OLEObject Type="Embed" ProgID="Equation.3" ShapeID="_x0000_i1028" DrawAspect="Content" ObjectID="_1468075729" r:id="rId39">
                  <o:LockedField>false</o:LockedField>
                </o:OLEObject>
              </w:object>
            </w:r>
            <w:r>
              <w:rPr>
                <w:rFonts w:hint="default" w:ascii="Times New Roman" w:hAnsi="Times New Roman" w:cs="Times New Roman"/>
                <w:color w:val="auto"/>
                <w:spacing w:val="4"/>
                <w:sz w:val="24"/>
                <w:highlight w:val="none"/>
              </w:rPr>
              <w:t>——</w:t>
            </w:r>
            <w:r>
              <w:rPr>
                <w:rFonts w:hint="default" w:ascii="Times New Roman" w:hAnsi="Times New Roman" w:cs="Times New Roman"/>
                <w:color w:val="auto"/>
                <w:spacing w:val="6"/>
                <w:sz w:val="24"/>
                <w:highlight w:val="none"/>
              </w:rPr>
              <w:t>该车型当量车数；</w:t>
            </w:r>
          </w:p>
          <w:p w14:paraId="182A28F4">
            <w:pPr>
              <w:spacing w:line="360" w:lineRule="auto"/>
              <w:ind w:firstLine="1154" w:firstLineChars="458"/>
              <w:jc w:val="left"/>
              <w:rPr>
                <w:rFonts w:hint="default" w:ascii="Times New Roman" w:hAnsi="Times New Roman" w:cs="Times New Roman"/>
                <w:color w:val="auto"/>
                <w:spacing w:val="4"/>
                <w:sz w:val="24"/>
                <w:highlight w:val="none"/>
              </w:rPr>
            </w:pPr>
            <w:r>
              <w:rPr>
                <w:rFonts w:hint="default" w:ascii="Times New Roman" w:hAnsi="Times New Roman" w:cs="Times New Roman"/>
                <w:i/>
                <w:iCs/>
                <w:color w:val="auto"/>
                <w:spacing w:val="6"/>
                <w:sz w:val="24"/>
                <w:highlight w:val="none"/>
              </w:rPr>
              <w:t>N</w:t>
            </w:r>
            <w:r>
              <w:rPr>
                <w:rFonts w:hint="default" w:ascii="Times New Roman" w:hAnsi="Times New Roman" w:cs="Times New Roman"/>
                <w:color w:val="auto"/>
                <w:spacing w:val="6"/>
                <w:sz w:val="24"/>
                <w:highlight w:val="none"/>
                <w:vertAlign w:val="subscript"/>
              </w:rPr>
              <w:t>单车道小时</w:t>
            </w:r>
            <w:r>
              <w:rPr>
                <w:rFonts w:hint="default" w:ascii="Times New Roman" w:hAnsi="Times New Roman" w:cs="Times New Roman"/>
                <w:color w:val="auto"/>
                <w:spacing w:val="4"/>
                <w:sz w:val="24"/>
                <w:highlight w:val="none"/>
              </w:rPr>
              <w:t>——</w:t>
            </w:r>
            <w:r>
              <w:rPr>
                <w:rFonts w:hint="default" w:ascii="Times New Roman" w:hAnsi="Times New Roman" w:cs="Times New Roman"/>
                <w:color w:val="auto"/>
                <w:spacing w:val="6"/>
                <w:sz w:val="24"/>
                <w:highlight w:val="none"/>
              </w:rPr>
              <w:t>单车道小时车流量；</w:t>
            </w:r>
          </w:p>
          <w:p w14:paraId="2C5F2195">
            <w:pPr>
              <w:spacing w:line="360" w:lineRule="auto"/>
              <w:ind w:firstLine="1212" w:firstLineChars="481"/>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6"/>
                <w:sz w:val="24"/>
                <w:highlight w:val="none"/>
              </w:rPr>
              <w:object>
                <v:shape id="_x0000_i1029" o:spt="75" type="#_x0000_t75" style="height:18pt;width:12pt;" o:ole="t" filled="f" stroked="f" coordsize="21600,21600">
                  <v:path/>
                  <v:fill on="f" focussize="0,0"/>
                  <v:stroke on="f"/>
                  <v:imagedata r:id="rId42" o:title=""/>
                  <o:lock v:ext="edit" grouping="f" rotation="f" text="f" aspectratio="t"/>
                  <w10:wrap type="none"/>
                  <w10:anchorlock/>
                </v:shape>
                <o:OLEObject Type="Embed" ProgID="Equation.3" ShapeID="_x0000_i1029" DrawAspect="Content" ObjectID="_1468075730" r:id="rId41">
                  <o:LockedField>false</o:LockedField>
                </o:OLEObject>
              </w:object>
            </w:r>
            <w:r>
              <w:rPr>
                <w:rFonts w:hint="default" w:ascii="Times New Roman" w:hAnsi="Times New Roman" w:cs="Times New Roman"/>
                <w:color w:val="auto"/>
                <w:spacing w:val="4"/>
                <w:sz w:val="24"/>
                <w:highlight w:val="none"/>
              </w:rPr>
              <w:t>——</w:t>
            </w:r>
            <w:r>
              <w:rPr>
                <w:rFonts w:hint="default" w:ascii="Times New Roman" w:hAnsi="Times New Roman" w:cs="Times New Roman"/>
                <w:color w:val="auto"/>
                <w:spacing w:val="6"/>
                <w:sz w:val="24"/>
                <w:highlight w:val="none"/>
              </w:rPr>
              <w:t>该车型的车型比；</w:t>
            </w:r>
          </w:p>
          <w:p w14:paraId="41C8E140">
            <w:pPr>
              <w:spacing w:line="360" w:lineRule="auto"/>
              <w:ind w:firstLine="1212" w:firstLineChars="481"/>
              <w:jc w:val="left"/>
              <w:rPr>
                <w:rFonts w:hint="default" w:ascii="Times New Roman" w:hAnsi="Times New Roman" w:cs="Times New Roman"/>
                <w:color w:val="auto"/>
                <w:spacing w:val="6"/>
                <w:sz w:val="24"/>
                <w:highlight w:val="none"/>
              </w:rPr>
            </w:pPr>
            <w:r>
              <w:rPr>
                <w:rFonts w:hint="default" w:ascii="Times New Roman" w:hAnsi="Times New Roman" w:cs="Times New Roman"/>
                <w:i/>
                <w:iCs/>
                <w:color w:val="auto"/>
                <w:spacing w:val="6"/>
                <w:sz w:val="24"/>
                <w:highlight w:val="none"/>
              </w:rPr>
              <w:t>m</w:t>
            </w:r>
            <w:r>
              <w:rPr>
                <w:rFonts w:hint="default" w:ascii="Times New Roman" w:hAnsi="Times New Roman" w:cs="Times New Roman"/>
                <w:color w:val="auto"/>
                <w:spacing w:val="4"/>
                <w:sz w:val="24"/>
                <w:highlight w:val="none"/>
              </w:rPr>
              <w:t>——</w:t>
            </w:r>
            <w:r>
              <w:rPr>
                <w:rFonts w:hint="default" w:ascii="Times New Roman" w:hAnsi="Times New Roman" w:cs="Times New Roman"/>
                <w:color w:val="auto"/>
                <w:spacing w:val="6"/>
                <w:sz w:val="24"/>
                <w:highlight w:val="none"/>
              </w:rPr>
              <w:t>其它车型的加权系数；</w:t>
            </w:r>
          </w:p>
          <w:p w14:paraId="484C4A90">
            <w:pPr>
              <w:spacing w:line="360" w:lineRule="auto"/>
              <w:ind w:firstLine="1212" w:firstLineChars="481"/>
              <w:jc w:val="left"/>
              <w:rPr>
                <w:rFonts w:hint="default" w:ascii="Times New Roman" w:hAnsi="Times New Roman" w:cs="Times New Roman"/>
                <w:color w:val="auto"/>
                <w:spacing w:val="4"/>
                <w:sz w:val="24"/>
                <w:highlight w:val="none"/>
              </w:rPr>
            </w:pPr>
            <w:r>
              <w:rPr>
                <w:rFonts w:hint="default" w:ascii="Times New Roman" w:hAnsi="Times New Roman" w:cs="Times New Roman"/>
                <w:i/>
                <w:color w:val="auto"/>
                <w:spacing w:val="6"/>
                <w:sz w:val="24"/>
                <w:highlight w:val="none"/>
              </w:rPr>
              <w:t>V</w:t>
            </w:r>
            <w:r>
              <w:rPr>
                <w:rFonts w:hint="default" w:ascii="Times New Roman" w:hAnsi="Times New Roman" w:cs="Times New Roman"/>
                <w:color w:val="auto"/>
                <w:spacing w:val="4"/>
                <w:sz w:val="24"/>
                <w:highlight w:val="none"/>
              </w:rPr>
              <w:t>——设计车速。</w:t>
            </w:r>
          </w:p>
          <w:p w14:paraId="26FFF0E5">
            <w:pPr>
              <w:spacing w:line="276"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表5-</w:t>
            </w:r>
            <w:r>
              <w:rPr>
                <w:rFonts w:hint="eastAsia" w:cs="Times New Roman"/>
                <w:b/>
                <w:bCs/>
                <w:color w:val="auto"/>
                <w:sz w:val="24"/>
                <w:highlight w:val="none"/>
                <w:lang w:val="en-US" w:eastAsia="zh-CN"/>
              </w:rPr>
              <w:t>7</w:t>
            </w:r>
            <w:r>
              <w:rPr>
                <w:rFonts w:hint="default" w:ascii="Times New Roman" w:hAnsi="Times New Roman" w:cs="Times New Roman"/>
                <w:b/>
                <w:bCs/>
                <w:color w:val="auto"/>
                <w:sz w:val="24"/>
                <w:highlight w:val="none"/>
              </w:rPr>
              <w:t xml:space="preserve">  预测车速常用系数取值表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3"/>
              <w:gridCol w:w="1383"/>
              <w:gridCol w:w="1389"/>
              <w:gridCol w:w="1383"/>
              <w:gridCol w:w="1383"/>
            </w:tblGrid>
            <w:tr w14:paraId="4884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7F96E02E">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车型</w:t>
                  </w:r>
                </w:p>
              </w:tc>
              <w:tc>
                <w:tcPr>
                  <w:tcW w:w="1383" w:type="dxa"/>
                  <w:noWrap w:val="0"/>
                  <w:vAlign w:val="center"/>
                </w:tcPr>
                <w:p w14:paraId="347EDA75">
                  <w:pPr>
                    <w:pStyle w:val="24"/>
                    <w:widowControl w:val="0"/>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i/>
                      <w:iCs/>
                      <w:color w:val="auto"/>
                      <w:sz w:val="21"/>
                      <w:szCs w:val="21"/>
                      <w:highlight w:val="none"/>
                    </w:rPr>
                    <w:t>k</w:t>
                  </w:r>
                  <w:r>
                    <w:rPr>
                      <w:rFonts w:hint="default" w:ascii="Times New Roman" w:hAnsi="Times New Roman" w:cs="Times New Roman"/>
                      <w:bCs/>
                      <w:color w:val="auto"/>
                      <w:sz w:val="21"/>
                      <w:szCs w:val="21"/>
                      <w:highlight w:val="none"/>
                      <w:vertAlign w:val="subscript"/>
                    </w:rPr>
                    <w:t>1</w:t>
                  </w:r>
                </w:p>
              </w:tc>
              <w:tc>
                <w:tcPr>
                  <w:tcW w:w="1383" w:type="dxa"/>
                  <w:noWrap w:val="0"/>
                  <w:vAlign w:val="center"/>
                </w:tcPr>
                <w:p w14:paraId="52AE7A59">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i/>
                      <w:iCs/>
                      <w:color w:val="auto"/>
                      <w:sz w:val="21"/>
                      <w:szCs w:val="21"/>
                      <w:highlight w:val="none"/>
                    </w:rPr>
                    <w:t>k</w:t>
                  </w:r>
                  <w:r>
                    <w:rPr>
                      <w:rFonts w:hint="default" w:ascii="Times New Roman" w:hAnsi="Times New Roman" w:cs="Times New Roman"/>
                      <w:b/>
                      <w:color w:val="auto"/>
                      <w:sz w:val="21"/>
                      <w:szCs w:val="21"/>
                      <w:highlight w:val="none"/>
                      <w:vertAlign w:val="subscript"/>
                    </w:rPr>
                    <w:t>2</w:t>
                  </w:r>
                </w:p>
              </w:tc>
              <w:tc>
                <w:tcPr>
                  <w:tcW w:w="1389" w:type="dxa"/>
                  <w:noWrap w:val="0"/>
                  <w:vAlign w:val="center"/>
                </w:tcPr>
                <w:p w14:paraId="28947053">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i/>
                      <w:iCs/>
                      <w:color w:val="auto"/>
                      <w:sz w:val="21"/>
                      <w:szCs w:val="21"/>
                      <w:highlight w:val="none"/>
                    </w:rPr>
                    <w:t>k</w:t>
                  </w:r>
                  <w:r>
                    <w:rPr>
                      <w:rFonts w:hint="default" w:ascii="Times New Roman" w:hAnsi="Times New Roman" w:cs="Times New Roman"/>
                      <w:b/>
                      <w:color w:val="auto"/>
                      <w:sz w:val="21"/>
                      <w:szCs w:val="21"/>
                      <w:highlight w:val="none"/>
                      <w:vertAlign w:val="subscript"/>
                    </w:rPr>
                    <w:t>3</w:t>
                  </w:r>
                </w:p>
              </w:tc>
              <w:tc>
                <w:tcPr>
                  <w:tcW w:w="1383" w:type="dxa"/>
                  <w:noWrap w:val="0"/>
                  <w:vAlign w:val="center"/>
                </w:tcPr>
                <w:p w14:paraId="56409C10">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i/>
                      <w:iCs/>
                      <w:color w:val="auto"/>
                      <w:sz w:val="21"/>
                      <w:szCs w:val="21"/>
                      <w:highlight w:val="none"/>
                    </w:rPr>
                    <w:t>k</w:t>
                  </w:r>
                  <w:r>
                    <w:rPr>
                      <w:rFonts w:hint="default" w:ascii="Times New Roman" w:hAnsi="Times New Roman" w:cs="Times New Roman"/>
                      <w:b/>
                      <w:color w:val="auto"/>
                      <w:sz w:val="21"/>
                      <w:szCs w:val="21"/>
                      <w:highlight w:val="none"/>
                      <w:vertAlign w:val="subscript"/>
                    </w:rPr>
                    <w:t>4</w:t>
                  </w:r>
                </w:p>
              </w:tc>
              <w:tc>
                <w:tcPr>
                  <w:tcW w:w="1383" w:type="dxa"/>
                  <w:noWrap w:val="0"/>
                  <w:vAlign w:val="center"/>
                </w:tcPr>
                <w:p w14:paraId="4D25FCDE">
                  <w:pPr>
                    <w:spacing w:line="240" w:lineRule="auto"/>
                    <w:jc w:val="center"/>
                    <w:rPr>
                      <w:rFonts w:hint="default" w:ascii="Times New Roman" w:hAnsi="Times New Roman" w:cs="Times New Roman"/>
                      <w:b/>
                      <w:i/>
                      <w:iCs/>
                      <w:color w:val="auto"/>
                      <w:sz w:val="21"/>
                      <w:szCs w:val="21"/>
                      <w:highlight w:val="none"/>
                    </w:rPr>
                  </w:pPr>
                  <w:r>
                    <w:rPr>
                      <w:rFonts w:hint="default" w:ascii="Times New Roman" w:hAnsi="Times New Roman" w:cs="Times New Roman"/>
                      <w:b/>
                      <w:i/>
                      <w:iCs/>
                      <w:color w:val="auto"/>
                      <w:sz w:val="21"/>
                      <w:szCs w:val="21"/>
                      <w:highlight w:val="none"/>
                    </w:rPr>
                    <w:t>m</w:t>
                  </w:r>
                </w:p>
              </w:tc>
            </w:tr>
            <w:tr w14:paraId="6EBC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2AAC5E9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小型车</w:t>
                  </w:r>
                </w:p>
              </w:tc>
              <w:tc>
                <w:tcPr>
                  <w:tcW w:w="1383" w:type="dxa"/>
                  <w:noWrap w:val="0"/>
                  <w:vAlign w:val="center"/>
                </w:tcPr>
                <w:p w14:paraId="7AEBC60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-0.061748</w:t>
                  </w:r>
                </w:p>
              </w:tc>
              <w:tc>
                <w:tcPr>
                  <w:tcW w:w="1383" w:type="dxa"/>
                  <w:noWrap w:val="0"/>
                  <w:vAlign w:val="center"/>
                </w:tcPr>
                <w:p w14:paraId="71BDA57F">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149.65</w:t>
                  </w:r>
                </w:p>
              </w:tc>
              <w:tc>
                <w:tcPr>
                  <w:tcW w:w="1389" w:type="dxa"/>
                  <w:noWrap w:val="0"/>
                  <w:vAlign w:val="center"/>
                </w:tcPr>
                <w:p w14:paraId="65F3285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-0.000023696</w:t>
                  </w:r>
                </w:p>
              </w:tc>
              <w:tc>
                <w:tcPr>
                  <w:tcW w:w="1383" w:type="dxa"/>
                  <w:noWrap w:val="0"/>
                  <w:vAlign w:val="center"/>
                </w:tcPr>
                <w:p w14:paraId="317BB65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-0.02099</w:t>
                  </w:r>
                </w:p>
              </w:tc>
              <w:tc>
                <w:tcPr>
                  <w:tcW w:w="1383" w:type="dxa"/>
                  <w:noWrap w:val="0"/>
                  <w:vAlign w:val="center"/>
                </w:tcPr>
                <w:p w14:paraId="18D09C4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1.2102</w:t>
                  </w:r>
                </w:p>
              </w:tc>
            </w:tr>
            <w:tr w14:paraId="51DD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454944E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中型车</w:t>
                  </w:r>
                </w:p>
              </w:tc>
              <w:tc>
                <w:tcPr>
                  <w:tcW w:w="1383" w:type="dxa"/>
                  <w:noWrap w:val="0"/>
                  <w:vAlign w:val="center"/>
                </w:tcPr>
                <w:p w14:paraId="435CD2D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-0.057537</w:t>
                  </w:r>
                </w:p>
              </w:tc>
              <w:tc>
                <w:tcPr>
                  <w:tcW w:w="1383" w:type="dxa"/>
                  <w:noWrap w:val="0"/>
                  <w:vAlign w:val="center"/>
                </w:tcPr>
                <w:p w14:paraId="0329221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149.38</w:t>
                  </w:r>
                </w:p>
              </w:tc>
              <w:tc>
                <w:tcPr>
                  <w:tcW w:w="1389" w:type="dxa"/>
                  <w:noWrap w:val="0"/>
                  <w:vAlign w:val="center"/>
                </w:tcPr>
                <w:p w14:paraId="767AE31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-0.000016390</w:t>
                  </w:r>
                </w:p>
              </w:tc>
              <w:tc>
                <w:tcPr>
                  <w:tcW w:w="1383" w:type="dxa"/>
                  <w:noWrap w:val="0"/>
                  <w:vAlign w:val="center"/>
                </w:tcPr>
                <w:p w14:paraId="52ACC56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-0.01245</w:t>
                  </w:r>
                </w:p>
              </w:tc>
              <w:tc>
                <w:tcPr>
                  <w:tcW w:w="1383" w:type="dxa"/>
                  <w:noWrap w:val="0"/>
                  <w:vAlign w:val="center"/>
                </w:tcPr>
                <w:p w14:paraId="703DE71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0.8044</w:t>
                  </w:r>
                </w:p>
              </w:tc>
            </w:tr>
            <w:tr w14:paraId="6671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14:paraId="1F06A9B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大型车</w:t>
                  </w:r>
                </w:p>
              </w:tc>
              <w:tc>
                <w:tcPr>
                  <w:tcW w:w="1383" w:type="dxa"/>
                  <w:noWrap w:val="0"/>
                  <w:vAlign w:val="center"/>
                </w:tcPr>
                <w:p w14:paraId="056A32A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-0.051900</w:t>
                  </w:r>
                </w:p>
              </w:tc>
              <w:tc>
                <w:tcPr>
                  <w:tcW w:w="1383" w:type="dxa"/>
                  <w:noWrap w:val="0"/>
                  <w:vAlign w:val="center"/>
                </w:tcPr>
                <w:p w14:paraId="4D8C052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149.39</w:t>
                  </w:r>
                </w:p>
              </w:tc>
              <w:tc>
                <w:tcPr>
                  <w:tcW w:w="1389" w:type="dxa"/>
                  <w:noWrap w:val="0"/>
                  <w:vAlign w:val="center"/>
                </w:tcPr>
                <w:p w14:paraId="7007FC8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-0.000014202</w:t>
                  </w:r>
                </w:p>
              </w:tc>
              <w:tc>
                <w:tcPr>
                  <w:tcW w:w="1383" w:type="dxa"/>
                  <w:noWrap w:val="0"/>
                  <w:vAlign w:val="center"/>
                </w:tcPr>
                <w:p w14:paraId="2B42E78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-0.01254</w:t>
                  </w:r>
                </w:p>
              </w:tc>
              <w:tc>
                <w:tcPr>
                  <w:tcW w:w="1383" w:type="dxa"/>
                  <w:noWrap w:val="0"/>
                  <w:vAlign w:val="center"/>
                </w:tcPr>
                <w:p w14:paraId="6CB62CC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0.70957</w:t>
                  </w:r>
                </w:p>
              </w:tc>
            </w:tr>
          </w:tbl>
          <w:p w14:paraId="496AD91E">
            <w:pPr>
              <w:snapToGrid w:val="0"/>
              <w:spacing w:before="120"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第i种车型车辆在参照点(7.5m处)的平均辐射噪声级(dB(A))</w:t>
            </w:r>
            <w:r>
              <w:rPr>
                <w:rFonts w:hint="default" w:ascii="Times New Roman" w:hAnsi="Times New Roman" w:cs="Times New Roman"/>
                <w:i/>
                <w:color w:val="auto"/>
                <w:sz w:val="24"/>
                <w:highlight w:val="none"/>
              </w:rPr>
              <w:t>L</w:t>
            </w:r>
            <w:r>
              <w:rPr>
                <w:rFonts w:hint="default" w:ascii="Times New Roman" w:hAnsi="Times New Roman" w:cs="Times New Roman"/>
                <w:color w:val="auto"/>
                <w:sz w:val="24"/>
                <w:highlight w:val="none"/>
                <w:vertAlign w:val="subscript"/>
              </w:rPr>
              <w:t>0i</w:t>
            </w:r>
            <w:r>
              <w:rPr>
                <w:rFonts w:hint="default" w:ascii="Times New Roman" w:hAnsi="Times New Roman" w:cs="Times New Roman"/>
                <w:color w:val="auto"/>
                <w:sz w:val="24"/>
                <w:highlight w:val="none"/>
              </w:rPr>
              <w:t>按下式计算：</w:t>
            </w:r>
          </w:p>
          <w:p w14:paraId="496D7CC3">
            <w:pPr>
              <w:snapToGrid w:val="0"/>
              <w:spacing w:line="360" w:lineRule="auto"/>
              <w:jc w:val="center"/>
              <w:rPr>
                <w:rFonts w:hint="default" w:ascii="Times New Roman" w:hAnsi="Times New Roman" w:cs="Times New Roman"/>
                <w:iCs/>
                <w:color w:val="auto"/>
                <w:sz w:val="24"/>
                <w:highlight w:val="none"/>
              </w:rPr>
            </w:pPr>
            <w:r>
              <w:rPr>
                <w:rFonts w:hint="default" w:ascii="Times New Roman" w:hAnsi="Times New Roman" w:cs="Times New Roman"/>
                <w:color w:val="auto"/>
                <w:sz w:val="24"/>
                <w:highlight w:val="none"/>
              </w:rPr>
              <w:t>大型车：</w:t>
            </w:r>
            <w:r>
              <w:rPr>
                <w:rFonts w:hint="default" w:ascii="Times New Roman" w:hAnsi="Times New Roman" w:cs="Times New Roman"/>
                <w:i/>
                <w:color w:val="auto"/>
                <w:sz w:val="24"/>
                <w:highlight w:val="none"/>
              </w:rPr>
              <w:t>L</w:t>
            </w:r>
            <w:r>
              <w:rPr>
                <w:rFonts w:hint="default" w:ascii="Times New Roman" w:hAnsi="Times New Roman" w:cs="Times New Roman"/>
                <w:iCs/>
                <w:color w:val="auto"/>
                <w:sz w:val="24"/>
                <w:highlight w:val="none"/>
                <w:vertAlign w:val="subscript"/>
              </w:rPr>
              <w:t>w,l</w:t>
            </w:r>
            <w:r>
              <w:rPr>
                <w:rFonts w:hint="default" w:ascii="Times New Roman" w:hAnsi="Times New Roman" w:cs="Times New Roman"/>
                <w:i/>
                <w:color w:val="auto"/>
                <w:sz w:val="24"/>
                <w:highlight w:val="none"/>
              </w:rPr>
              <w:t xml:space="preserve"> </w:t>
            </w:r>
            <w:r>
              <w:rPr>
                <w:rFonts w:hint="default" w:ascii="Times New Roman" w:hAnsi="Times New Roman" w:cs="Times New Roman"/>
                <w:color w:val="auto"/>
                <w:sz w:val="24"/>
                <w:highlight w:val="none"/>
              </w:rPr>
              <w:t>=22.0+36.32</w:t>
            </w:r>
            <w:r>
              <w:rPr>
                <w:rFonts w:hint="default" w:ascii="Times New Roman" w:hAnsi="Times New Roman" w:cs="Times New Roman"/>
                <w:i/>
                <w:color w:val="auto"/>
                <w:sz w:val="24"/>
                <w:highlight w:val="none"/>
              </w:rPr>
              <w:t xml:space="preserve"> lgV</w:t>
            </w:r>
            <w:r>
              <w:rPr>
                <w:rFonts w:hint="default" w:ascii="Times New Roman" w:hAnsi="Times New Roman" w:cs="Times New Roman"/>
                <w:i/>
                <w:color w:val="auto"/>
                <w:sz w:val="24"/>
                <w:highlight w:val="none"/>
                <w:vertAlign w:val="subscript"/>
              </w:rPr>
              <w:t>l</w:t>
            </w:r>
          </w:p>
          <w:p w14:paraId="786F8C95">
            <w:pPr>
              <w:snapToGrid w:val="0"/>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中型车：</w:t>
            </w:r>
            <w:r>
              <w:rPr>
                <w:rFonts w:hint="default" w:ascii="Times New Roman" w:hAnsi="Times New Roman" w:cs="Times New Roman"/>
                <w:i/>
                <w:color w:val="auto"/>
                <w:sz w:val="24"/>
                <w:highlight w:val="none"/>
              </w:rPr>
              <w:t>L</w:t>
            </w:r>
            <w:r>
              <w:rPr>
                <w:rFonts w:hint="default" w:ascii="Times New Roman" w:hAnsi="Times New Roman" w:cs="Times New Roman"/>
                <w:iCs/>
                <w:color w:val="auto"/>
                <w:sz w:val="24"/>
                <w:highlight w:val="none"/>
                <w:vertAlign w:val="subscript"/>
              </w:rPr>
              <w:t>w,m</w:t>
            </w:r>
            <w:r>
              <w:rPr>
                <w:rFonts w:hint="default" w:ascii="Times New Roman" w:hAnsi="Times New Roman" w:cs="Times New Roman"/>
                <w:color w:val="auto"/>
                <w:sz w:val="24"/>
                <w:highlight w:val="none"/>
              </w:rPr>
              <w:t xml:space="preserve"> =8.8+40.48</w:t>
            </w:r>
            <w:r>
              <w:rPr>
                <w:rFonts w:hint="default" w:ascii="Times New Roman" w:hAnsi="Times New Roman" w:cs="Times New Roman"/>
                <w:i/>
                <w:color w:val="auto"/>
                <w:sz w:val="24"/>
                <w:highlight w:val="none"/>
              </w:rPr>
              <w:t xml:space="preserve"> lgV</w:t>
            </w:r>
            <w:r>
              <w:rPr>
                <w:rFonts w:hint="default" w:ascii="Times New Roman" w:hAnsi="Times New Roman" w:cs="Times New Roman"/>
                <w:i/>
                <w:color w:val="auto"/>
                <w:sz w:val="24"/>
                <w:highlight w:val="none"/>
                <w:vertAlign w:val="subscript"/>
              </w:rPr>
              <w:t>m</w:t>
            </w:r>
          </w:p>
          <w:p w14:paraId="37FC599F">
            <w:pPr>
              <w:snapToGrid w:val="0"/>
              <w:spacing w:line="360" w:lineRule="auto"/>
              <w:jc w:val="center"/>
              <w:rPr>
                <w:rFonts w:hint="default" w:ascii="Times New Roman" w:hAnsi="Times New Roman" w:cs="Times New Roman"/>
                <w:i/>
                <w:color w:val="auto"/>
                <w:sz w:val="24"/>
                <w:highlight w:val="none"/>
                <w:vertAlign w:val="subscript"/>
              </w:rPr>
            </w:pPr>
            <w:r>
              <w:rPr>
                <w:rFonts w:hint="default" w:ascii="Times New Roman" w:hAnsi="Times New Roman" w:cs="Times New Roman"/>
                <w:color w:val="auto"/>
                <w:sz w:val="24"/>
                <w:highlight w:val="none"/>
              </w:rPr>
              <w:t>小型车：</w:t>
            </w:r>
            <w:r>
              <w:rPr>
                <w:rFonts w:hint="default" w:ascii="Times New Roman" w:hAnsi="Times New Roman" w:cs="Times New Roman"/>
                <w:i/>
                <w:color w:val="auto"/>
                <w:sz w:val="24"/>
                <w:highlight w:val="none"/>
              </w:rPr>
              <w:t>L</w:t>
            </w:r>
            <w:r>
              <w:rPr>
                <w:rFonts w:hint="default" w:ascii="Times New Roman" w:hAnsi="Times New Roman" w:cs="Times New Roman"/>
                <w:iCs/>
                <w:color w:val="auto"/>
                <w:sz w:val="24"/>
                <w:highlight w:val="none"/>
                <w:vertAlign w:val="subscript"/>
              </w:rPr>
              <w:t>w,s</w:t>
            </w:r>
            <w:r>
              <w:rPr>
                <w:rFonts w:hint="default" w:ascii="Times New Roman" w:hAnsi="Times New Roman" w:cs="Times New Roman"/>
                <w:color w:val="auto"/>
                <w:sz w:val="24"/>
                <w:highlight w:val="none"/>
              </w:rPr>
              <w:t xml:space="preserve"> =12.6+34.73</w:t>
            </w:r>
            <w:r>
              <w:rPr>
                <w:rFonts w:hint="default" w:ascii="Times New Roman" w:hAnsi="Times New Roman" w:cs="Times New Roman"/>
                <w:i/>
                <w:color w:val="auto"/>
                <w:sz w:val="24"/>
                <w:highlight w:val="none"/>
              </w:rPr>
              <w:t xml:space="preserve"> lgV</w:t>
            </w:r>
            <w:r>
              <w:rPr>
                <w:rFonts w:hint="default" w:ascii="Times New Roman" w:hAnsi="Times New Roman" w:cs="Times New Roman"/>
                <w:i/>
                <w:color w:val="auto"/>
                <w:sz w:val="24"/>
                <w:highlight w:val="none"/>
                <w:vertAlign w:val="subscript"/>
              </w:rPr>
              <w:t>s</w:t>
            </w:r>
          </w:p>
          <w:p w14:paraId="4DB79D8A">
            <w:pPr>
              <w:pStyle w:val="23"/>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L</w:t>
            </w:r>
            <w:r>
              <w:rPr>
                <w:rFonts w:hint="default" w:ascii="Times New Roman" w:hAnsi="Times New Roman" w:cs="Times New Roman"/>
                <w:iCs/>
                <w:color w:val="auto"/>
                <w:sz w:val="24"/>
                <w:highlight w:val="none"/>
                <w:vertAlign w:val="subscript"/>
              </w:rPr>
              <w:t>w,l</w:t>
            </w:r>
            <w:r>
              <w:rPr>
                <w:rFonts w:hint="default" w:ascii="Times New Roman" w:hAnsi="Times New Roman" w:cs="Times New Roman"/>
                <w:i/>
                <w:iCs/>
                <w:color w:val="auto"/>
                <w:sz w:val="24"/>
                <w:highlight w:val="none"/>
              </w:rPr>
              <w:t>、</w:t>
            </w:r>
            <w:r>
              <w:rPr>
                <w:rFonts w:hint="default" w:ascii="Times New Roman" w:hAnsi="Times New Roman" w:cs="Times New Roman"/>
                <w:i/>
                <w:color w:val="auto"/>
                <w:sz w:val="24"/>
                <w:highlight w:val="none"/>
              </w:rPr>
              <w:t>L</w:t>
            </w:r>
            <w:r>
              <w:rPr>
                <w:rFonts w:hint="default" w:ascii="Times New Roman" w:hAnsi="Times New Roman" w:cs="Times New Roman"/>
                <w:iCs/>
                <w:color w:val="auto"/>
                <w:sz w:val="24"/>
                <w:highlight w:val="none"/>
                <w:vertAlign w:val="subscript"/>
              </w:rPr>
              <w:t>w,m</w:t>
            </w:r>
            <w:r>
              <w:rPr>
                <w:rFonts w:hint="default" w:ascii="Times New Roman" w:hAnsi="Times New Roman" w:cs="Times New Roman"/>
                <w:i/>
                <w:iCs/>
                <w:color w:val="auto"/>
                <w:sz w:val="24"/>
                <w:highlight w:val="none"/>
              </w:rPr>
              <w:t>、</w:t>
            </w:r>
            <w:r>
              <w:rPr>
                <w:rFonts w:hint="default" w:ascii="Times New Roman" w:hAnsi="Times New Roman" w:cs="Times New Roman"/>
                <w:i/>
                <w:color w:val="auto"/>
                <w:sz w:val="24"/>
                <w:highlight w:val="none"/>
              </w:rPr>
              <w:t>L</w:t>
            </w:r>
            <w:r>
              <w:rPr>
                <w:rFonts w:hint="default" w:ascii="Times New Roman" w:hAnsi="Times New Roman" w:cs="Times New Roman"/>
                <w:iCs/>
                <w:color w:val="auto"/>
                <w:sz w:val="24"/>
                <w:highlight w:val="none"/>
                <w:vertAlign w:val="subscript"/>
              </w:rPr>
              <w:t>w,s</w:t>
            </w:r>
            <w:r>
              <w:rPr>
                <w:rFonts w:hint="default" w:ascii="Times New Roman" w:hAnsi="Times New Roman" w:cs="Times New Roman"/>
                <w:color w:val="auto"/>
                <w:sz w:val="24"/>
                <w:highlight w:val="none"/>
              </w:rPr>
              <w:t>——分别表示大、中、小型车平均辐射声级。</w:t>
            </w:r>
          </w:p>
          <w:p w14:paraId="70E6CBFC">
            <w:pPr>
              <w:pStyle w:val="25"/>
              <w:snapToGrid w:val="0"/>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根据上面的公式，计算得到</w:t>
            </w:r>
            <w:r>
              <w:rPr>
                <w:rFonts w:hint="default" w:ascii="Times New Roman" w:hAnsi="Times New Roman" w:cs="Times New Roman"/>
                <w:bCs/>
                <w:color w:val="auto"/>
                <w:highlight w:val="none"/>
              </w:rPr>
              <w:t>项目</w:t>
            </w:r>
            <w:r>
              <w:rPr>
                <w:rFonts w:hint="default" w:ascii="Times New Roman" w:hAnsi="Times New Roman" w:cs="Times New Roman"/>
                <w:color w:val="auto"/>
                <w:highlight w:val="none"/>
              </w:rPr>
              <w:t>营运各期小、中、大型车预测平均车速、预测小时交通量和单车平均辐射声级预测结果见表5-</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p>
          <w:p w14:paraId="332BC0A9">
            <w:pPr>
              <w:tabs>
                <w:tab w:val="left" w:pos="424"/>
              </w:tabs>
              <w:snapToGrid w:val="0"/>
              <w:spacing w:line="276"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rPr>
              <w:t>表5-</w:t>
            </w:r>
            <w:r>
              <w:rPr>
                <w:rFonts w:hint="eastAsia" w:cs="Times New Roman"/>
                <w:b/>
                <w:color w:val="auto"/>
                <w:sz w:val="24"/>
                <w:highlight w:val="none"/>
                <w:lang w:val="en-US" w:eastAsia="zh-CN"/>
              </w:rPr>
              <w:t>8</w:t>
            </w:r>
            <w:r>
              <w:rPr>
                <w:rFonts w:hint="default" w:ascii="Times New Roman" w:hAnsi="Times New Roman" w:cs="Times New Roman"/>
                <w:b/>
                <w:color w:val="auto"/>
                <w:sz w:val="24"/>
                <w:highlight w:val="none"/>
              </w:rPr>
              <w:t xml:space="preserve">  </w:t>
            </w:r>
            <w:r>
              <w:rPr>
                <w:rFonts w:hint="default" w:ascii="Times New Roman" w:hAnsi="Times New Roman" w:cs="Times New Roman"/>
                <w:b/>
                <w:bCs/>
                <w:color w:val="auto"/>
                <w:sz w:val="24"/>
                <w:highlight w:val="none"/>
              </w:rPr>
              <w:t>拟建道路营运各期各车型预测车速（单位：km/h）</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162"/>
              <w:gridCol w:w="1162"/>
              <w:gridCol w:w="1162"/>
              <w:gridCol w:w="1162"/>
              <w:gridCol w:w="1162"/>
              <w:gridCol w:w="1163"/>
            </w:tblGrid>
            <w:tr w14:paraId="2971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vMerge w:val="restart"/>
                  <w:noWrap w:val="0"/>
                  <w:vAlign w:val="center"/>
                </w:tcPr>
                <w:p w14:paraId="39E9621B">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路段</w:t>
                  </w:r>
                </w:p>
              </w:tc>
              <w:tc>
                <w:tcPr>
                  <w:tcW w:w="2324" w:type="dxa"/>
                  <w:gridSpan w:val="2"/>
                  <w:noWrap w:val="0"/>
                  <w:vAlign w:val="center"/>
                </w:tcPr>
                <w:p w14:paraId="530EDAEB">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小型车</w:t>
                  </w:r>
                </w:p>
              </w:tc>
              <w:tc>
                <w:tcPr>
                  <w:tcW w:w="2324" w:type="dxa"/>
                  <w:gridSpan w:val="2"/>
                  <w:noWrap w:val="0"/>
                  <w:vAlign w:val="center"/>
                </w:tcPr>
                <w:p w14:paraId="1D737E9B">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中型车</w:t>
                  </w:r>
                </w:p>
              </w:tc>
              <w:tc>
                <w:tcPr>
                  <w:tcW w:w="2325" w:type="dxa"/>
                  <w:gridSpan w:val="2"/>
                  <w:noWrap w:val="0"/>
                  <w:vAlign w:val="center"/>
                </w:tcPr>
                <w:p w14:paraId="534F2D48">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大型车</w:t>
                  </w:r>
                </w:p>
              </w:tc>
            </w:tr>
            <w:tr w14:paraId="63EA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vMerge w:val="continue"/>
                  <w:noWrap w:val="0"/>
                  <w:vAlign w:val="center"/>
                </w:tcPr>
                <w:p w14:paraId="4B754F92">
                  <w:pPr>
                    <w:tabs>
                      <w:tab w:val="left" w:pos="424"/>
                    </w:tabs>
                    <w:snapToGrid w:val="0"/>
                    <w:spacing w:line="240" w:lineRule="auto"/>
                    <w:jc w:val="center"/>
                    <w:rPr>
                      <w:rFonts w:hint="default" w:ascii="Times New Roman" w:hAnsi="Times New Roman" w:cs="Times New Roman"/>
                      <w:b/>
                      <w:bCs/>
                      <w:color w:val="auto"/>
                      <w:sz w:val="21"/>
                      <w:szCs w:val="21"/>
                      <w:highlight w:val="none"/>
                    </w:rPr>
                  </w:pPr>
                </w:p>
              </w:tc>
              <w:tc>
                <w:tcPr>
                  <w:tcW w:w="1162" w:type="dxa"/>
                  <w:noWrap w:val="0"/>
                  <w:vAlign w:val="center"/>
                </w:tcPr>
                <w:p w14:paraId="2F48D6BE">
                  <w:pPr>
                    <w:tabs>
                      <w:tab w:val="left" w:pos="424"/>
                    </w:tabs>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昼间</w:t>
                  </w:r>
                </w:p>
              </w:tc>
              <w:tc>
                <w:tcPr>
                  <w:tcW w:w="1162" w:type="dxa"/>
                  <w:noWrap w:val="0"/>
                  <w:vAlign w:val="center"/>
                </w:tcPr>
                <w:p w14:paraId="657BBC2D">
                  <w:pPr>
                    <w:tabs>
                      <w:tab w:val="left" w:pos="424"/>
                    </w:tabs>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夜间</w:t>
                  </w:r>
                </w:p>
              </w:tc>
              <w:tc>
                <w:tcPr>
                  <w:tcW w:w="1162" w:type="dxa"/>
                  <w:noWrap w:val="0"/>
                  <w:vAlign w:val="center"/>
                </w:tcPr>
                <w:p w14:paraId="3F50FD75">
                  <w:pPr>
                    <w:tabs>
                      <w:tab w:val="left" w:pos="424"/>
                    </w:tabs>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昼间</w:t>
                  </w:r>
                </w:p>
              </w:tc>
              <w:tc>
                <w:tcPr>
                  <w:tcW w:w="1162" w:type="dxa"/>
                  <w:noWrap w:val="0"/>
                  <w:vAlign w:val="center"/>
                </w:tcPr>
                <w:p w14:paraId="069D89FB">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c>
                <w:tcPr>
                  <w:tcW w:w="1162" w:type="dxa"/>
                  <w:noWrap w:val="0"/>
                  <w:vAlign w:val="center"/>
                </w:tcPr>
                <w:p w14:paraId="6D540364">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昼间</w:t>
                  </w:r>
                </w:p>
              </w:tc>
              <w:tc>
                <w:tcPr>
                  <w:tcW w:w="1163" w:type="dxa"/>
                  <w:noWrap w:val="0"/>
                  <w:vAlign w:val="center"/>
                </w:tcPr>
                <w:p w14:paraId="518C7747">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r>
            <w:tr w14:paraId="0B50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5B7CC1D3">
                  <w:pPr>
                    <w:tabs>
                      <w:tab w:val="left" w:pos="424"/>
                    </w:tabs>
                    <w:snapToGrid w:val="0"/>
                    <w:spacing w:line="240" w:lineRule="auto"/>
                    <w:jc w:val="center"/>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1号路</w:t>
                  </w:r>
                </w:p>
              </w:tc>
              <w:tc>
                <w:tcPr>
                  <w:tcW w:w="1162" w:type="dxa"/>
                  <w:noWrap w:val="0"/>
                  <w:vAlign w:val="center"/>
                </w:tcPr>
                <w:p w14:paraId="63526446">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31.31</w:t>
                  </w:r>
                </w:p>
              </w:tc>
              <w:tc>
                <w:tcPr>
                  <w:tcW w:w="1162" w:type="dxa"/>
                  <w:noWrap w:val="0"/>
                  <w:vAlign w:val="center"/>
                </w:tcPr>
                <w:p w14:paraId="4C9CDF6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33.29</w:t>
                  </w:r>
                </w:p>
              </w:tc>
              <w:tc>
                <w:tcPr>
                  <w:tcW w:w="1162" w:type="dxa"/>
                  <w:noWrap w:val="0"/>
                  <w:vAlign w:val="center"/>
                </w:tcPr>
                <w:p w14:paraId="305C38F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24.66</w:t>
                  </w:r>
                </w:p>
              </w:tc>
              <w:tc>
                <w:tcPr>
                  <w:tcW w:w="1162" w:type="dxa"/>
                  <w:noWrap w:val="0"/>
                  <w:vAlign w:val="center"/>
                </w:tcPr>
                <w:p w14:paraId="36F7786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24.78</w:t>
                  </w:r>
                </w:p>
              </w:tc>
              <w:tc>
                <w:tcPr>
                  <w:tcW w:w="1162" w:type="dxa"/>
                  <w:noWrap w:val="0"/>
                  <w:vAlign w:val="center"/>
                </w:tcPr>
                <w:p w14:paraId="341E143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23.77</w:t>
                  </w:r>
                </w:p>
              </w:tc>
              <w:tc>
                <w:tcPr>
                  <w:tcW w:w="1163" w:type="dxa"/>
                  <w:noWrap w:val="0"/>
                  <w:vAlign w:val="center"/>
                </w:tcPr>
                <w:p w14:paraId="5E91059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23.42</w:t>
                  </w:r>
                </w:p>
              </w:tc>
            </w:tr>
            <w:tr w14:paraId="031D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0F9CC948">
                  <w:pPr>
                    <w:tabs>
                      <w:tab w:val="left" w:pos="424"/>
                    </w:tabs>
                    <w:snapToGrid w:val="0"/>
                    <w:spacing w:line="240" w:lineRule="auto"/>
                    <w:jc w:val="center"/>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2号路</w:t>
                  </w:r>
                </w:p>
              </w:tc>
              <w:tc>
                <w:tcPr>
                  <w:tcW w:w="1162" w:type="dxa"/>
                  <w:noWrap w:val="0"/>
                  <w:vAlign w:val="center"/>
                </w:tcPr>
                <w:p w14:paraId="29FA70B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32.37</w:t>
                  </w:r>
                </w:p>
              </w:tc>
              <w:tc>
                <w:tcPr>
                  <w:tcW w:w="1162" w:type="dxa"/>
                  <w:noWrap w:val="0"/>
                  <w:vAlign w:val="center"/>
                </w:tcPr>
                <w:p w14:paraId="058817B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33.67</w:t>
                  </w:r>
                </w:p>
              </w:tc>
              <w:tc>
                <w:tcPr>
                  <w:tcW w:w="1162" w:type="dxa"/>
                  <w:noWrap w:val="0"/>
                  <w:vAlign w:val="center"/>
                </w:tcPr>
                <w:p w14:paraId="2CF14431">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24.21</w:t>
                  </w:r>
                </w:p>
              </w:tc>
              <w:tc>
                <w:tcPr>
                  <w:tcW w:w="1162" w:type="dxa"/>
                  <w:noWrap w:val="0"/>
                  <w:vAlign w:val="center"/>
                </w:tcPr>
                <w:p w14:paraId="5DBBEBB5">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23.49</w:t>
                  </w:r>
                </w:p>
              </w:tc>
              <w:tc>
                <w:tcPr>
                  <w:tcW w:w="1162" w:type="dxa"/>
                  <w:noWrap w:val="0"/>
                  <w:vAlign w:val="center"/>
                </w:tcPr>
                <w:p w14:paraId="27EFCB6C">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23.55</w:t>
                  </w:r>
                </w:p>
              </w:tc>
              <w:tc>
                <w:tcPr>
                  <w:tcW w:w="1163" w:type="dxa"/>
                  <w:noWrap w:val="0"/>
                  <w:vAlign w:val="center"/>
                </w:tcPr>
                <w:p w14:paraId="7864D40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23.33</w:t>
                  </w:r>
                </w:p>
              </w:tc>
            </w:tr>
            <w:tr w14:paraId="5D17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7938C887">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3号路</w:t>
                  </w:r>
                </w:p>
              </w:tc>
              <w:tc>
                <w:tcPr>
                  <w:tcW w:w="1162" w:type="dxa"/>
                  <w:noWrap w:val="0"/>
                  <w:vAlign w:val="center"/>
                </w:tcPr>
                <w:p w14:paraId="5BF77C62">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31.31</w:t>
                  </w:r>
                </w:p>
              </w:tc>
              <w:tc>
                <w:tcPr>
                  <w:tcW w:w="1162" w:type="dxa"/>
                  <w:noWrap w:val="0"/>
                  <w:vAlign w:val="center"/>
                </w:tcPr>
                <w:p w14:paraId="4509A72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33.29</w:t>
                  </w:r>
                </w:p>
              </w:tc>
              <w:tc>
                <w:tcPr>
                  <w:tcW w:w="1162" w:type="dxa"/>
                  <w:noWrap w:val="0"/>
                  <w:vAlign w:val="center"/>
                </w:tcPr>
                <w:p w14:paraId="2FF2267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24.66</w:t>
                  </w:r>
                </w:p>
              </w:tc>
              <w:tc>
                <w:tcPr>
                  <w:tcW w:w="1162" w:type="dxa"/>
                  <w:noWrap w:val="0"/>
                  <w:vAlign w:val="center"/>
                </w:tcPr>
                <w:p w14:paraId="75816D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24.78</w:t>
                  </w:r>
                </w:p>
              </w:tc>
              <w:tc>
                <w:tcPr>
                  <w:tcW w:w="1162" w:type="dxa"/>
                  <w:noWrap w:val="0"/>
                  <w:vAlign w:val="center"/>
                </w:tcPr>
                <w:p w14:paraId="6090898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23.77</w:t>
                  </w:r>
                </w:p>
              </w:tc>
              <w:tc>
                <w:tcPr>
                  <w:tcW w:w="1163" w:type="dxa"/>
                  <w:noWrap w:val="0"/>
                  <w:vAlign w:val="center"/>
                </w:tcPr>
                <w:p w14:paraId="264EA16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23.42</w:t>
                  </w:r>
                </w:p>
              </w:tc>
            </w:tr>
            <w:tr w14:paraId="3ACA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403FF5A7">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4号路</w:t>
                  </w:r>
                </w:p>
              </w:tc>
              <w:tc>
                <w:tcPr>
                  <w:tcW w:w="1162" w:type="dxa"/>
                  <w:noWrap w:val="0"/>
                  <w:vAlign w:val="center"/>
                </w:tcPr>
                <w:p w14:paraId="3C94458E">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29.59</w:t>
                  </w:r>
                </w:p>
              </w:tc>
              <w:tc>
                <w:tcPr>
                  <w:tcW w:w="1162" w:type="dxa"/>
                  <w:noWrap w:val="0"/>
                  <w:vAlign w:val="center"/>
                </w:tcPr>
                <w:p w14:paraId="2671907E">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33.02</w:t>
                  </w:r>
                </w:p>
              </w:tc>
              <w:tc>
                <w:tcPr>
                  <w:tcW w:w="1162" w:type="dxa"/>
                  <w:noWrap w:val="0"/>
                  <w:vAlign w:val="center"/>
                </w:tcPr>
                <w:p w14:paraId="716AD62E">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24.81</w:t>
                  </w:r>
                </w:p>
              </w:tc>
              <w:tc>
                <w:tcPr>
                  <w:tcW w:w="1162" w:type="dxa"/>
                  <w:noWrap w:val="0"/>
                  <w:vAlign w:val="center"/>
                </w:tcPr>
                <w:p w14:paraId="47E8B99A">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24.00</w:t>
                  </w:r>
                </w:p>
              </w:tc>
              <w:tc>
                <w:tcPr>
                  <w:tcW w:w="1162" w:type="dxa"/>
                  <w:noWrap w:val="0"/>
                  <w:vAlign w:val="center"/>
                </w:tcPr>
                <w:p w14:paraId="620D3FE9">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23.89</w:t>
                  </w:r>
                </w:p>
              </w:tc>
              <w:tc>
                <w:tcPr>
                  <w:tcW w:w="1163" w:type="dxa"/>
                  <w:noWrap w:val="0"/>
                  <w:vAlign w:val="center"/>
                </w:tcPr>
                <w:p w14:paraId="3D12F89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23.46</w:t>
                  </w:r>
                </w:p>
              </w:tc>
            </w:tr>
            <w:tr w14:paraId="1955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157C1218">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5号路</w:t>
                  </w:r>
                </w:p>
              </w:tc>
              <w:tc>
                <w:tcPr>
                  <w:tcW w:w="1162" w:type="dxa"/>
                  <w:noWrap w:val="0"/>
                  <w:vAlign w:val="center"/>
                </w:tcPr>
                <w:p w14:paraId="6A0E1EC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29.0</w:t>
                  </w:r>
                  <w:r>
                    <w:rPr>
                      <w:rFonts w:hint="default" w:ascii="Times New Roman" w:hAnsi="Times New Roman" w:cs="Times New Roman"/>
                      <w:color w:val="auto"/>
                      <w:sz w:val="21"/>
                      <w:szCs w:val="21"/>
                      <w:highlight w:val="none"/>
                      <w:lang w:val="en-US" w:eastAsia="zh-CN"/>
                    </w:rPr>
                    <w:t>4</w:t>
                  </w:r>
                </w:p>
              </w:tc>
              <w:tc>
                <w:tcPr>
                  <w:tcW w:w="1162" w:type="dxa"/>
                  <w:noWrap w:val="0"/>
                  <w:vAlign w:val="center"/>
                </w:tcPr>
                <w:p w14:paraId="4605B42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33.</w:t>
                  </w:r>
                  <w:r>
                    <w:rPr>
                      <w:rFonts w:hint="eastAsia" w:cs="Times New Roman"/>
                      <w:i w:val="0"/>
                      <w:color w:val="auto"/>
                      <w:kern w:val="0"/>
                      <w:sz w:val="21"/>
                      <w:szCs w:val="21"/>
                      <w:highlight w:val="none"/>
                      <w:u w:val="none"/>
                      <w:lang w:val="en-US" w:eastAsia="zh-CN" w:bidi="ar"/>
                    </w:rPr>
                    <w:t>05</w:t>
                  </w:r>
                </w:p>
              </w:tc>
              <w:tc>
                <w:tcPr>
                  <w:tcW w:w="1162" w:type="dxa"/>
                  <w:noWrap w:val="0"/>
                  <w:vAlign w:val="center"/>
                </w:tcPr>
                <w:p w14:paraId="2DDFF38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24.74</w:t>
                  </w:r>
                </w:p>
              </w:tc>
              <w:tc>
                <w:tcPr>
                  <w:tcW w:w="1162" w:type="dxa"/>
                  <w:noWrap w:val="0"/>
                  <w:vAlign w:val="center"/>
                </w:tcPr>
                <w:p w14:paraId="4630380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24.05</w:t>
                  </w:r>
                </w:p>
              </w:tc>
              <w:tc>
                <w:tcPr>
                  <w:tcW w:w="1162" w:type="dxa"/>
                  <w:noWrap w:val="0"/>
                  <w:vAlign w:val="center"/>
                </w:tcPr>
                <w:p w14:paraId="31218D9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82</w:t>
                  </w:r>
                </w:p>
              </w:tc>
              <w:tc>
                <w:tcPr>
                  <w:tcW w:w="1163" w:type="dxa"/>
                  <w:noWrap w:val="0"/>
                  <w:vAlign w:val="center"/>
                </w:tcPr>
                <w:p w14:paraId="62480FB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23.97</w:t>
                  </w:r>
                </w:p>
              </w:tc>
            </w:tr>
            <w:tr w14:paraId="7716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39802D2C">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6号路</w:t>
                  </w:r>
                </w:p>
              </w:tc>
              <w:tc>
                <w:tcPr>
                  <w:tcW w:w="1162" w:type="dxa"/>
                  <w:noWrap w:val="0"/>
                  <w:vAlign w:val="center"/>
                </w:tcPr>
                <w:p w14:paraId="70B09D58">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32.54</w:t>
                  </w:r>
                </w:p>
              </w:tc>
              <w:tc>
                <w:tcPr>
                  <w:tcW w:w="1162" w:type="dxa"/>
                  <w:noWrap w:val="0"/>
                  <w:vAlign w:val="center"/>
                </w:tcPr>
                <w:p w14:paraId="10FCA030">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33.70</w:t>
                  </w:r>
                </w:p>
              </w:tc>
              <w:tc>
                <w:tcPr>
                  <w:tcW w:w="1162" w:type="dxa"/>
                  <w:noWrap w:val="0"/>
                  <w:vAlign w:val="center"/>
                </w:tcPr>
                <w:p w14:paraId="7D0E5E96">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24.15</w:t>
                  </w:r>
                </w:p>
              </w:tc>
              <w:tc>
                <w:tcPr>
                  <w:tcW w:w="1162" w:type="dxa"/>
                  <w:noWrap w:val="0"/>
                  <w:vAlign w:val="center"/>
                </w:tcPr>
                <w:p w14:paraId="6AE77252">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23.47</w:t>
                  </w:r>
                </w:p>
              </w:tc>
              <w:tc>
                <w:tcPr>
                  <w:tcW w:w="1162" w:type="dxa"/>
                  <w:noWrap w:val="0"/>
                  <w:vAlign w:val="center"/>
                </w:tcPr>
                <w:p w14:paraId="6F6E24A0">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23.52</w:t>
                  </w:r>
                </w:p>
              </w:tc>
              <w:tc>
                <w:tcPr>
                  <w:tcW w:w="1163" w:type="dxa"/>
                  <w:noWrap w:val="0"/>
                  <w:vAlign w:val="center"/>
                </w:tcPr>
                <w:p w14:paraId="770ADF67">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23.22</w:t>
                  </w:r>
                </w:p>
              </w:tc>
            </w:tr>
            <w:tr w14:paraId="0398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86" w:type="dxa"/>
                  <w:noWrap w:val="0"/>
                  <w:vAlign w:val="center"/>
                </w:tcPr>
                <w:p w14:paraId="6DBED6E4">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7号路</w:t>
                  </w:r>
                </w:p>
              </w:tc>
              <w:tc>
                <w:tcPr>
                  <w:tcW w:w="1162" w:type="dxa"/>
                  <w:noWrap w:val="0"/>
                  <w:vAlign w:val="center"/>
                </w:tcPr>
                <w:p w14:paraId="04B5881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29.81</w:t>
                  </w:r>
                </w:p>
              </w:tc>
              <w:tc>
                <w:tcPr>
                  <w:tcW w:w="1162" w:type="dxa"/>
                  <w:noWrap w:val="0"/>
                  <w:vAlign w:val="center"/>
                </w:tcPr>
                <w:p w14:paraId="0CEC48D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33.</w:t>
                  </w:r>
                  <w:r>
                    <w:rPr>
                      <w:rFonts w:hint="eastAsia" w:cs="Times New Roman"/>
                      <w:i w:val="0"/>
                      <w:color w:val="auto"/>
                      <w:kern w:val="0"/>
                      <w:sz w:val="21"/>
                      <w:szCs w:val="21"/>
                      <w:highlight w:val="none"/>
                      <w:u w:val="none"/>
                      <w:lang w:val="en-US" w:eastAsia="zh-CN" w:bidi="ar"/>
                    </w:rPr>
                    <w:t>20</w:t>
                  </w:r>
                </w:p>
              </w:tc>
              <w:tc>
                <w:tcPr>
                  <w:tcW w:w="1162" w:type="dxa"/>
                  <w:noWrap w:val="0"/>
                  <w:vAlign w:val="center"/>
                </w:tcPr>
                <w:p w14:paraId="2758438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w:t>
                  </w:r>
                  <w:r>
                    <w:rPr>
                      <w:rFonts w:hint="eastAsia"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6</w:t>
                  </w:r>
                </w:p>
              </w:tc>
              <w:tc>
                <w:tcPr>
                  <w:tcW w:w="1162" w:type="dxa"/>
                  <w:noWrap w:val="0"/>
                  <w:vAlign w:val="center"/>
                </w:tcPr>
                <w:p w14:paraId="29D17AD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4</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79</w:t>
                  </w:r>
                </w:p>
              </w:tc>
              <w:tc>
                <w:tcPr>
                  <w:tcW w:w="1162" w:type="dxa"/>
                  <w:noWrap w:val="0"/>
                  <w:vAlign w:val="center"/>
                </w:tcPr>
                <w:p w14:paraId="66D234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75</w:t>
                  </w:r>
                </w:p>
              </w:tc>
              <w:tc>
                <w:tcPr>
                  <w:tcW w:w="1163" w:type="dxa"/>
                  <w:noWrap w:val="0"/>
                  <w:vAlign w:val="center"/>
                </w:tcPr>
                <w:p w14:paraId="453FE57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23.96</w:t>
                  </w:r>
                </w:p>
              </w:tc>
            </w:tr>
          </w:tbl>
          <w:p w14:paraId="04FDFAFE">
            <w:pPr>
              <w:keepNext w:val="0"/>
              <w:keepLines w:val="0"/>
              <w:widowControl/>
              <w:numPr>
                <w:ilvl w:val="0"/>
                <w:numId w:val="0"/>
              </w:numPr>
              <w:suppressLineNumbers w:val="0"/>
              <w:spacing w:line="360" w:lineRule="auto"/>
              <w:ind w:firstLine="482" w:firstLineChars="20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eastAsia="zh-CN"/>
              </w:rPr>
              <w:t>表</w:t>
            </w:r>
            <w:r>
              <w:rPr>
                <w:rFonts w:hint="default" w:ascii="Times New Roman" w:hAnsi="Times New Roman" w:cs="Times New Roman"/>
                <w:b/>
                <w:color w:val="auto"/>
                <w:sz w:val="24"/>
                <w:highlight w:val="none"/>
                <w:lang w:val="en-US" w:eastAsia="zh-CN"/>
              </w:rPr>
              <w:t>5-</w:t>
            </w:r>
            <w:r>
              <w:rPr>
                <w:rFonts w:hint="eastAsia" w:cs="Times New Roman"/>
                <w:b/>
                <w:color w:val="auto"/>
                <w:sz w:val="24"/>
                <w:highlight w:val="none"/>
                <w:lang w:val="en-US" w:eastAsia="zh-CN"/>
              </w:rPr>
              <w:t>9</w:t>
            </w:r>
            <w:r>
              <w:rPr>
                <w:rFonts w:hint="default" w:ascii="Times New Roman" w:hAnsi="Times New Roman" w:cs="Times New Roman"/>
                <w:b/>
                <w:color w:val="auto"/>
                <w:sz w:val="24"/>
                <w:highlight w:val="none"/>
                <w:lang w:val="en-US" w:eastAsia="zh-CN"/>
              </w:rPr>
              <w:t xml:space="preserve"> </w:t>
            </w:r>
            <w:r>
              <w:rPr>
                <w:rFonts w:hint="eastAsia" w:cs="Times New Roman"/>
                <w:b/>
                <w:color w:val="auto"/>
                <w:sz w:val="24"/>
                <w:highlight w:val="none"/>
                <w:lang w:val="en-US" w:eastAsia="zh-CN"/>
              </w:rPr>
              <w:t>拟建道路</w:t>
            </w:r>
            <w:r>
              <w:rPr>
                <w:rFonts w:hint="default" w:ascii="Times New Roman" w:hAnsi="Times New Roman" w:cs="Times New Roman"/>
                <w:b/>
                <w:color w:val="auto"/>
                <w:sz w:val="24"/>
                <w:highlight w:val="none"/>
              </w:rPr>
              <w:t>特征年各车型小时交通量（单位：辆/h）</w:t>
            </w:r>
          </w:p>
          <w:tbl>
            <w:tblPr>
              <w:tblStyle w:val="16"/>
              <w:tblW w:w="9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900"/>
              <w:gridCol w:w="1355"/>
              <w:gridCol w:w="1589"/>
              <w:gridCol w:w="1544"/>
              <w:gridCol w:w="1705"/>
              <w:gridCol w:w="1705"/>
            </w:tblGrid>
            <w:tr w14:paraId="2D45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283" w:hRule="atLeast"/>
              </w:trPr>
              <w:tc>
                <w:tcPr>
                  <w:tcW w:w="1186" w:type="dxa"/>
                  <w:vAlign w:val="center"/>
                </w:tcPr>
                <w:p w14:paraId="6347DA4F">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道路名称</w:t>
                  </w:r>
                </w:p>
              </w:tc>
              <w:tc>
                <w:tcPr>
                  <w:tcW w:w="900" w:type="dxa"/>
                  <w:vAlign w:val="center"/>
                </w:tcPr>
                <w:p w14:paraId="1659BDC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车型</w:t>
                  </w:r>
                </w:p>
              </w:tc>
              <w:tc>
                <w:tcPr>
                  <w:tcW w:w="6193" w:type="dxa"/>
                  <w:gridSpan w:val="4"/>
                  <w:vAlign w:val="center"/>
                </w:tcPr>
                <w:p w14:paraId="6354A4D0">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2030年</w:t>
                  </w:r>
                </w:p>
              </w:tc>
            </w:tr>
            <w:tr w14:paraId="19E7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13" w:hRule="atLeast"/>
              </w:trPr>
              <w:tc>
                <w:tcPr>
                  <w:tcW w:w="1186" w:type="dxa"/>
                  <w:vAlign w:val="center"/>
                </w:tcPr>
                <w:p w14:paraId="5739D28B">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900" w:type="dxa"/>
                  <w:vAlign w:val="center"/>
                </w:tcPr>
                <w:p w14:paraId="2C95FF0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p>
              </w:tc>
              <w:tc>
                <w:tcPr>
                  <w:tcW w:w="1355" w:type="dxa"/>
                  <w:vAlign w:val="center"/>
                </w:tcPr>
                <w:p w14:paraId="129308F0">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高峰小时</w:t>
                  </w:r>
                </w:p>
              </w:tc>
              <w:tc>
                <w:tcPr>
                  <w:tcW w:w="1589" w:type="dxa"/>
                  <w:vAlign w:val="center"/>
                </w:tcPr>
                <w:p w14:paraId="269B6F94">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日均</w:t>
                  </w:r>
                </w:p>
              </w:tc>
              <w:tc>
                <w:tcPr>
                  <w:tcW w:w="1544" w:type="dxa"/>
                  <w:vAlign w:val="center"/>
                </w:tcPr>
                <w:p w14:paraId="66563B31">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昼间小时</w:t>
                  </w:r>
                </w:p>
              </w:tc>
              <w:tc>
                <w:tcPr>
                  <w:tcW w:w="1705" w:type="dxa"/>
                  <w:vAlign w:val="center"/>
                </w:tcPr>
                <w:p w14:paraId="56DA3D9C">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夜间小时</w:t>
                  </w:r>
                </w:p>
              </w:tc>
            </w:tr>
            <w:tr w14:paraId="2415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42CA535D">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1号路</w:t>
                  </w:r>
                </w:p>
              </w:tc>
              <w:tc>
                <w:tcPr>
                  <w:tcW w:w="900" w:type="dxa"/>
                  <w:vAlign w:val="center"/>
                </w:tcPr>
                <w:p w14:paraId="47B394C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4D2215E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590</w:t>
                  </w:r>
                </w:p>
              </w:tc>
              <w:tc>
                <w:tcPr>
                  <w:tcW w:w="1589" w:type="dxa"/>
                  <w:vAlign w:val="center"/>
                </w:tcPr>
                <w:p w14:paraId="1EF5278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246</w:t>
                  </w:r>
                </w:p>
              </w:tc>
              <w:tc>
                <w:tcPr>
                  <w:tcW w:w="1544" w:type="dxa"/>
                  <w:vAlign w:val="center"/>
                </w:tcPr>
                <w:p w14:paraId="7631C08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399</w:t>
                  </w:r>
                </w:p>
              </w:tc>
              <w:tc>
                <w:tcPr>
                  <w:tcW w:w="1705" w:type="dxa"/>
                  <w:vAlign w:val="center"/>
                </w:tcPr>
                <w:p w14:paraId="71E0F72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129</w:t>
                  </w:r>
                </w:p>
              </w:tc>
            </w:tr>
            <w:tr w14:paraId="6427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86" w:type="dxa"/>
                  <w:vMerge w:val="continue"/>
                  <w:vAlign w:val="center"/>
                </w:tcPr>
                <w:p w14:paraId="09773371">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53568A4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3E7A37D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295</w:t>
                  </w:r>
                </w:p>
              </w:tc>
              <w:tc>
                <w:tcPr>
                  <w:tcW w:w="1589" w:type="dxa"/>
                  <w:vAlign w:val="center"/>
                </w:tcPr>
                <w:p w14:paraId="67A5761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123</w:t>
                  </w:r>
                </w:p>
              </w:tc>
              <w:tc>
                <w:tcPr>
                  <w:tcW w:w="1544" w:type="dxa"/>
                  <w:vAlign w:val="center"/>
                </w:tcPr>
                <w:p w14:paraId="3B7F159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199</w:t>
                  </w:r>
                </w:p>
              </w:tc>
              <w:tc>
                <w:tcPr>
                  <w:tcW w:w="1705" w:type="dxa"/>
                  <w:vAlign w:val="center"/>
                </w:tcPr>
                <w:p w14:paraId="4A9588D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65</w:t>
                  </w:r>
                </w:p>
              </w:tc>
              <w:tc>
                <w:tcPr>
                  <w:tcW w:w="1705" w:type="dxa"/>
                  <w:vAlign w:val="center"/>
                </w:tcPr>
                <w:p w14:paraId="473EBD8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14:paraId="1D42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3600B34">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54EAD23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6DF08E2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99</w:t>
                  </w:r>
                </w:p>
              </w:tc>
              <w:tc>
                <w:tcPr>
                  <w:tcW w:w="1589" w:type="dxa"/>
                  <w:vAlign w:val="center"/>
                </w:tcPr>
                <w:p w14:paraId="2042A3A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w:t>
                  </w:r>
                </w:p>
              </w:tc>
              <w:tc>
                <w:tcPr>
                  <w:tcW w:w="1544" w:type="dxa"/>
                  <w:vAlign w:val="center"/>
                </w:tcPr>
                <w:p w14:paraId="5FDDB5A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67</w:t>
                  </w:r>
                </w:p>
              </w:tc>
              <w:tc>
                <w:tcPr>
                  <w:tcW w:w="1705" w:type="dxa"/>
                  <w:vAlign w:val="center"/>
                </w:tcPr>
                <w:p w14:paraId="366F3AA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w:t>
                  </w:r>
                </w:p>
              </w:tc>
            </w:tr>
            <w:tr w14:paraId="2035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00E0E9AD">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2号路</w:t>
                  </w:r>
                </w:p>
              </w:tc>
              <w:tc>
                <w:tcPr>
                  <w:tcW w:w="900" w:type="dxa"/>
                  <w:vAlign w:val="center"/>
                </w:tcPr>
                <w:p w14:paraId="768774D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571EB04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338</w:t>
                  </w:r>
                </w:p>
              </w:tc>
              <w:tc>
                <w:tcPr>
                  <w:tcW w:w="1589" w:type="dxa"/>
                  <w:vAlign w:val="center"/>
                </w:tcPr>
                <w:p w14:paraId="59ED4E9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141</w:t>
                  </w:r>
                </w:p>
              </w:tc>
              <w:tc>
                <w:tcPr>
                  <w:tcW w:w="1544" w:type="dxa"/>
                  <w:vAlign w:val="center"/>
                </w:tcPr>
                <w:p w14:paraId="1AFC96B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229</w:t>
                  </w:r>
                </w:p>
              </w:tc>
              <w:tc>
                <w:tcPr>
                  <w:tcW w:w="1705" w:type="dxa"/>
                  <w:vAlign w:val="center"/>
                </w:tcPr>
                <w:p w14:paraId="212E0B1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74</w:t>
                  </w:r>
                </w:p>
              </w:tc>
            </w:tr>
            <w:tr w14:paraId="575C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C8E61A7">
                  <w:pPr>
                    <w:keepNext w:val="0"/>
                    <w:keepLines w:val="0"/>
                    <w:widowControl/>
                    <w:numPr>
                      <w:ilvl w:val="0"/>
                      <w:numId w:val="0"/>
                    </w:numPr>
                    <w:suppressLineNumbers w:val="0"/>
                    <w:spacing w:line="240" w:lineRule="auto"/>
                    <w:jc w:val="center"/>
                    <w:rPr>
                      <w:rFonts w:hint="eastAsia" w:cs="Times New Roman"/>
                      <w:color w:val="auto"/>
                      <w:sz w:val="21"/>
                      <w:szCs w:val="21"/>
                      <w:highlight w:val="none"/>
                      <w:vertAlign w:val="baseline"/>
                      <w:lang w:val="en-US" w:eastAsia="zh-CN"/>
                    </w:rPr>
                  </w:pPr>
                </w:p>
              </w:tc>
              <w:tc>
                <w:tcPr>
                  <w:tcW w:w="900" w:type="dxa"/>
                  <w:vAlign w:val="center"/>
                </w:tcPr>
                <w:p w14:paraId="3750EC8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19C1D1B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169</w:t>
                  </w:r>
                </w:p>
              </w:tc>
              <w:tc>
                <w:tcPr>
                  <w:tcW w:w="1589" w:type="dxa"/>
                  <w:vAlign w:val="center"/>
                </w:tcPr>
                <w:p w14:paraId="4613840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70</w:t>
                  </w:r>
                </w:p>
              </w:tc>
              <w:tc>
                <w:tcPr>
                  <w:tcW w:w="1544" w:type="dxa"/>
                  <w:vAlign w:val="center"/>
                </w:tcPr>
                <w:p w14:paraId="5536B01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114</w:t>
                  </w:r>
                </w:p>
              </w:tc>
              <w:tc>
                <w:tcPr>
                  <w:tcW w:w="1705" w:type="dxa"/>
                  <w:vAlign w:val="center"/>
                </w:tcPr>
                <w:p w14:paraId="2161C61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37</w:t>
                  </w:r>
                </w:p>
              </w:tc>
            </w:tr>
            <w:tr w14:paraId="6C2D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73FEA502">
                  <w:pPr>
                    <w:keepNext w:val="0"/>
                    <w:keepLines w:val="0"/>
                    <w:widowControl/>
                    <w:numPr>
                      <w:ilvl w:val="0"/>
                      <w:numId w:val="0"/>
                    </w:numPr>
                    <w:suppressLineNumbers w:val="0"/>
                    <w:spacing w:line="240" w:lineRule="auto"/>
                    <w:jc w:val="center"/>
                    <w:rPr>
                      <w:rFonts w:hint="eastAsia" w:cs="Times New Roman"/>
                      <w:color w:val="auto"/>
                      <w:sz w:val="21"/>
                      <w:szCs w:val="21"/>
                      <w:highlight w:val="none"/>
                      <w:vertAlign w:val="baseline"/>
                      <w:lang w:val="en-US" w:eastAsia="zh-CN"/>
                    </w:rPr>
                  </w:pPr>
                </w:p>
              </w:tc>
              <w:tc>
                <w:tcPr>
                  <w:tcW w:w="900" w:type="dxa"/>
                  <w:vAlign w:val="center"/>
                </w:tcPr>
                <w:p w14:paraId="13A1F5E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4012C05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56</w:t>
                  </w:r>
                </w:p>
              </w:tc>
              <w:tc>
                <w:tcPr>
                  <w:tcW w:w="1589" w:type="dxa"/>
                  <w:vAlign w:val="center"/>
                </w:tcPr>
                <w:p w14:paraId="52C6795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23</w:t>
                  </w:r>
                </w:p>
              </w:tc>
              <w:tc>
                <w:tcPr>
                  <w:tcW w:w="1544" w:type="dxa"/>
                  <w:vAlign w:val="center"/>
                </w:tcPr>
                <w:p w14:paraId="7AA7303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38</w:t>
                  </w:r>
                </w:p>
              </w:tc>
              <w:tc>
                <w:tcPr>
                  <w:tcW w:w="1705" w:type="dxa"/>
                  <w:vAlign w:val="center"/>
                </w:tcPr>
                <w:p w14:paraId="0D646F3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12</w:t>
                  </w:r>
                </w:p>
              </w:tc>
            </w:tr>
            <w:tr w14:paraId="662F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5F339ECA">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3号路</w:t>
                  </w:r>
                </w:p>
              </w:tc>
              <w:tc>
                <w:tcPr>
                  <w:tcW w:w="900" w:type="dxa"/>
                  <w:vAlign w:val="center"/>
                </w:tcPr>
                <w:p w14:paraId="7A64B80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2678D62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590</w:t>
                  </w:r>
                </w:p>
              </w:tc>
              <w:tc>
                <w:tcPr>
                  <w:tcW w:w="1589" w:type="dxa"/>
                  <w:vAlign w:val="center"/>
                </w:tcPr>
                <w:p w14:paraId="605131F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246</w:t>
                  </w:r>
                </w:p>
              </w:tc>
              <w:tc>
                <w:tcPr>
                  <w:tcW w:w="1544" w:type="dxa"/>
                  <w:vAlign w:val="center"/>
                </w:tcPr>
                <w:p w14:paraId="237A83E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399</w:t>
                  </w:r>
                </w:p>
              </w:tc>
              <w:tc>
                <w:tcPr>
                  <w:tcW w:w="1705" w:type="dxa"/>
                  <w:vAlign w:val="center"/>
                </w:tcPr>
                <w:p w14:paraId="756322A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129</w:t>
                  </w:r>
                </w:p>
              </w:tc>
            </w:tr>
            <w:tr w14:paraId="366D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7F42F4D3">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0D9DA7D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056A382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295</w:t>
                  </w:r>
                </w:p>
              </w:tc>
              <w:tc>
                <w:tcPr>
                  <w:tcW w:w="1589" w:type="dxa"/>
                  <w:vAlign w:val="center"/>
                </w:tcPr>
                <w:p w14:paraId="3F38910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123</w:t>
                  </w:r>
                </w:p>
              </w:tc>
              <w:tc>
                <w:tcPr>
                  <w:tcW w:w="1544" w:type="dxa"/>
                  <w:vAlign w:val="center"/>
                </w:tcPr>
                <w:p w14:paraId="001B450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199</w:t>
                  </w:r>
                </w:p>
              </w:tc>
              <w:tc>
                <w:tcPr>
                  <w:tcW w:w="1705" w:type="dxa"/>
                  <w:vAlign w:val="center"/>
                </w:tcPr>
                <w:p w14:paraId="0C6605A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65</w:t>
                  </w:r>
                </w:p>
              </w:tc>
            </w:tr>
            <w:tr w14:paraId="3BCE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3FB9FDA0">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6DB4031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3FD82F2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99</w:t>
                  </w:r>
                </w:p>
              </w:tc>
              <w:tc>
                <w:tcPr>
                  <w:tcW w:w="1589" w:type="dxa"/>
                  <w:vAlign w:val="center"/>
                </w:tcPr>
                <w:p w14:paraId="30DE9C4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w:t>
                  </w:r>
                </w:p>
              </w:tc>
              <w:tc>
                <w:tcPr>
                  <w:tcW w:w="1544" w:type="dxa"/>
                  <w:vAlign w:val="center"/>
                </w:tcPr>
                <w:p w14:paraId="4D3F484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67</w:t>
                  </w:r>
                </w:p>
              </w:tc>
              <w:tc>
                <w:tcPr>
                  <w:tcW w:w="1705" w:type="dxa"/>
                  <w:vAlign w:val="center"/>
                </w:tcPr>
                <w:p w14:paraId="7B58B35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w:t>
                  </w:r>
                </w:p>
              </w:tc>
            </w:tr>
            <w:tr w14:paraId="7114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90" w:hRule="atLeast"/>
              </w:trPr>
              <w:tc>
                <w:tcPr>
                  <w:tcW w:w="1186" w:type="dxa"/>
                  <w:vMerge w:val="restart"/>
                  <w:vAlign w:val="center"/>
                </w:tcPr>
                <w:p w14:paraId="117A51B8">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w:t>
                  </w:r>
                </w:p>
              </w:tc>
              <w:tc>
                <w:tcPr>
                  <w:tcW w:w="900" w:type="dxa"/>
                  <w:vAlign w:val="center"/>
                </w:tcPr>
                <w:p w14:paraId="1858FB7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736BAD8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737</w:t>
                  </w:r>
                </w:p>
              </w:tc>
              <w:tc>
                <w:tcPr>
                  <w:tcW w:w="1589" w:type="dxa"/>
                  <w:vAlign w:val="center"/>
                </w:tcPr>
                <w:p w14:paraId="72F7EE7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307</w:t>
                  </w:r>
                </w:p>
              </w:tc>
              <w:tc>
                <w:tcPr>
                  <w:tcW w:w="1544" w:type="dxa"/>
                  <w:vAlign w:val="center"/>
                </w:tcPr>
                <w:p w14:paraId="2312DCF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49</w:t>
                  </w:r>
                  <w:r>
                    <w:rPr>
                      <w:rFonts w:hint="eastAsia" w:cs="Times New Roman"/>
                      <w:color w:val="auto"/>
                      <w:sz w:val="21"/>
                      <w:szCs w:val="21"/>
                      <w:highlight w:val="none"/>
                      <w:vertAlign w:val="baseline"/>
                      <w:lang w:val="en-US" w:eastAsia="zh-CN"/>
                    </w:rPr>
                    <w:t>9</w:t>
                  </w:r>
                </w:p>
              </w:tc>
              <w:tc>
                <w:tcPr>
                  <w:tcW w:w="1705" w:type="dxa"/>
                  <w:vAlign w:val="center"/>
                </w:tcPr>
                <w:p w14:paraId="539A60B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cs="Times New Roman"/>
                      <w:color w:val="auto"/>
                      <w:sz w:val="21"/>
                      <w:szCs w:val="21"/>
                      <w:highlight w:val="none"/>
                      <w:vertAlign w:val="baseline"/>
                      <w:lang w:val="en-US" w:eastAsia="zh-CN"/>
                    </w:rPr>
                    <w:t>61</w:t>
                  </w:r>
                </w:p>
              </w:tc>
            </w:tr>
            <w:tr w14:paraId="369C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388297F4">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41A050B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702A231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368</w:t>
                  </w:r>
                </w:p>
              </w:tc>
              <w:tc>
                <w:tcPr>
                  <w:tcW w:w="1589" w:type="dxa"/>
                  <w:vAlign w:val="center"/>
                </w:tcPr>
                <w:p w14:paraId="4C5032D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153</w:t>
                  </w:r>
                </w:p>
              </w:tc>
              <w:tc>
                <w:tcPr>
                  <w:tcW w:w="1544" w:type="dxa"/>
                  <w:vAlign w:val="center"/>
                </w:tcPr>
                <w:p w14:paraId="7E0305A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w:t>
                  </w:r>
                  <w:r>
                    <w:rPr>
                      <w:rFonts w:hint="eastAsia" w:cs="Times New Roman"/>
                      <w:color w:val="auto"/>
                      <w:sz w:val="21"/>
                      <w:szCs w:val="21"/>
                      <w:highlight w:val="none"/>
                      <w:vertAlign w:val="baseline"/>
                      <w:lang w:val="en-US" w:eastAsia="zh-CN"/>
                    </w:rPr>
                    <w:t>9</w:t>
                  </w:r>
                </w:p>
              </w:tc>
              <w:tc>
                <w:tcPr>
                  <w:tcW w:w="1705" w:type="dxa"/>
                  <w:vAlign w:val="center"/>
                </w:tcPr>
                <w:p w14:paraId="586F87F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81</w:t>
                  </w:r>
                </w:p>
              </w:tc>
            </w:tr>
            <w:tr w14:paraId="4B41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01D5FC0">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44D40A5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57898EC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123</w:t>
                  </w:r>
                </w:p>
              </w:tc>
              <w:tc>
                <w:tcPr>
                  <w:tcW w:w="1589" w:type="dxa"/>
                  <w:vAlign w:val="center"/>
                </w:tcPr>
                <w:p w14:paraId="3DFF801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r>
                    <w:rPr>
                      <w:rFonts w:hint="eastAsia" w:cs="Times New Roman"/>
                      <w:color w:val="auto"/>
                      <w:sz w:val="21"/>
                      <w:szCs w:val="21"/>
                      <w:highlight w:val="none"/>
                      <w:vertAlign w:val="baseline"/>
                      <w:lang w:val="en-US" w:eastAsia="zh-CN"/>
                    </w:rPr>
                    <w:t>1</w:t>
                  </w:r>
                </w:p>
              </w:tc>
              <w:tc>
                <w:tcPr>
                  <w:tcW w:w="1544" w:type="dxa"/>
                  <w:vAlign w:val="center"/>
                </w:tcPr>
                <w:p w14:paraId="7B5BC24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r>
                    <w:rPr>
                      <w:rFonts w:hint="eastAsia" w:cs="Times New Roman"/>
                      <w:color w:val="auto"/>
                      <w:sz w:val="21"/>
                      <w:szCs w:val="21"/>
                      <w:highlight w:val="none"/>
                      <w:vertAlign w:val="baseline"/>
                      <w:lang w:val="en-US" w:eastAsia="zh-CN"/>
                    </w:rPr>
                    <w:t>3</w:t>
                  </w:r>
                </w:p>
              </w:tc>
              <w:tc>
                <w:tcPr>
                  <w:tcW w:w="1705" w:type="dxa"/>
                  <w:vAlign w:val="center"/>
                </w:tcPr>
                <w:p w14:paraId="35526A8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r>
                    <w:rPr>
                      <w:rFonts w:hint="eastAsia" w:cs="Times New Roman"/>
                      <w:color w:val="auto"/>
                      <w:sz w:val="21"/>
                      <w:szCs w:val="21"/>
                      <w:highlight w:val="none"/>
                      <w:vertAlign w:val="baseline"/>
                      <w:lang w:val="en-US" w:eastAsia="zh-CN"/>
                    </w:rPr>
                    <w:t>7</w:t>
                  </w:r>
                </w:p>
              </w:tc>
            </w:tr>
            <w:tr w14:paraId="221C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33C0A98A">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5号路</w:t>
                  </w:r>
                </w:p>
              </w:tc>
              <w:tc>
                <w:tcPr>
                  <w:tcW w:w="900" w:type="dxa"/>
                  <w:vAlign w:val="center"/>
                </w:tcPr>
                <w:p w14:paraId="1E94133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792B134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723</w:t>
                  </w:r>
                </w:p>
              </w:tc>
              <w:tc>
                <w:tcPr>
                  <w:tcW w:w="1589" w:type="dxa"/>
                  <w:vAlign w:val="center"/>
                </w:tcPr>
                <w:p w14:paraId="0676DE4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301</w:t>
                  </w:r>
                </w:p>
              </w:tc>
              <w:tc>
                <w:tcPr>
                  <w:tcW w:w="1544" w:type="dxa"/>
                  <w:vAlign w:val="center"/>
                </w:tcPr>
                <w:p w14:paraId="2DCCD19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490</w:t>
                  </w:r>
                </w:p>
              </w:tc>
              <w:tc>
                <w:tcPr>
                  <w:tcW w:w="1705" w:type="dxa"/>
                  <w:vAlign w:val="center"/>
                </w:tcPr>
                <w:p w14:paraId="3C56899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158</w:t>
                  </w:r>
                </w:p>
              </w:tc>
            </w:tr>
            <w:tr w14:paraId="719C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0C90D14C">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74EB1CC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31E79C0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362</w:t>
                  </w:r>
                </w:p>
              </w:tc>
              <w:tc>
                <w:tcPr>
                  <w:tcW w:w="1589" w:type="dxa"/>
                  <w:vAlign w:val="center"/>
                </w:tcPr>
                <w:p w14:paraId="0724890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151</w:t>
                  </w:r>
                </w:p>
              </w:tc>
              <w:tc>
                <w:tcPr>
                  <w:tcW w:w="1544" w:type="dxa"/>
                  <w:vAlign w:val="center"/>
                </w:tcPr>
                <w:p w14:paraId="7206E9E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245</w:t>
                  </w:r>
                </w:p>
              </w:tc>
              <w:tc>
                <w:tcPr>
                  <w:tcW w:w="1705" w:type="dxa"/>
                  <w:vAlign w:val="center"/>
                </w:tcPr>
                <w:p w14:paraId="342980E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79</w:t>
                  </w:r>
                </w:p>
              </w:tc>
            </w:tr>
            <w:tr w14:paraId="6DA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441F2150">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2E0F428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593313C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120</w:t>
                  </w:r>
                </w:p>
              </w:tc>
              <w:tc>
                <w:tcPr>
                  <w:tcW w:w="1589" w:type="dxa"/>
                  <w:vAlign w:val="center"/>
                </w:tcPr>
                <w:p w14:paraId="6376A99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1544" w:type="dxa"/>
                  <w:vAlign w:val="center"/>
                </w:tcPr>
                <w:p w14:paraId="5F15F9B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81</w:t>
                  </w:r>
                </w:p>
              </w:tc>
              <w:tc>
                <w:tcPr>
                  <w:tcW w:w="1705" w:type="dxa"/>
                  <w:vAlign w:val="center"/>
                </w:tcPr>
                <w:p w14:paraId="105B24A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26</w:t>
                  </w:r>
                </w:p>
              </w:tc>
            </w:tr>
            <w:tr w14:paraId="5C74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73F45471">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6号路</w:t>
                  </w:r>
                </w:p>
              </w:tc>
              <w:tc>
                <w:tcPr>
                  <w:tcW w:w="900" w:type="dxa"/>
                  <w:vAlign w:val="center"/>
                </w:tcPr>
                <w:p w14:paraId="3DEA8E6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7D4C2F6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315</w:t>
                  </w:r>
                </w:p>
              </w:tc>
              <w:tc>
                <w:tcPr>
                  <w:tcW w:w="1589" w:type="dxa"/>
                  <w:vAlign w:val="center"/>
                </w:tcPr>
                <w:p w14:paraId="51B4A2D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131</w:t>
                  </w:r>
                </w:p>
              </w:tc>
              <w:tc>
                <w:tcPr>
                  <w:tcW w:w="1544" w:type="dxa"/>
                  <w:vAlign w:val="center"/>
                </w:tcPr>
                <w:p w14:paraId="2A20F77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213</w:t>
                  </w:r>
                </w:p>
              </w:tc>
              <w:tc>
                <w:tcPr>
                  <w:tcW w:w="1705" w:type="dxa"/>
                  <w:vAlign w:val="center"/>
                </w:tcPr>
                <w:p w14:paraId="0E54495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69</w:t>
                  </w:r>
                </w:p>
              </w:tc>
            </w:tr>
            <w:tr w14:paraId="6AFC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68390AF8">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50671BC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5F4AC39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158</w:t>
                  </w:r>
                </w:p>
              </w:tc>
              <w:tc>
                <w:tcPr>
                  <w:tcW w:w="1589" w:type="dxa"/>
                  <w:vAlign w:val="center"/>
                </w:tcPr>
                <w:p w14:paraId="4FE491B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66</w:t>
                  </w:r>
                </w:p>
              </w:tc>
              <w:tc>
                <w:tcPr>
                  <w:tcW w:w="1544" w:type="dxa"/>
                  <w:vAlign w:val="center"/>
                </w:tcPr>
                <w:p w14:paraId="6B27683F">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107</w:t>
                  </w:r>
                </w:p>
              </w:tc>
              <w:tc>
                <w:tcPr>
                  <w:tcW w:w="1705" w:type="dxa"/>
                  <w:vAlign w:val="center"/>
                </w:tcPr>
                <w:p w14:paraId="5D05C250">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w:t>
                  </w:r>
                </w:p>
              </w:tc>
            </w:tr>
            <w:tr w14:paraId="26F8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continue"/>
                  <w:vAlign w:val="center"/>
                </w:tcPr>
                <w:p w14:paraId="7272ED95">
                  <w:pPr>
                    <w:keepNext w:val="0"/>
                    <w:keepLines w:val="0"/>
                    <w:widowControl/>
                    <w:numPr>
                      <w:ilvl w:val="0"/>
                      <w:numId w:val="0"/>
                    </w:numPr>
                    <w:suppressLineNumbers w:val="0"/>
                    <w:spacing w:line="240" w:lineRule="auto"/>
                    <w:ind w:left="0" w:leftChars="0" w:firstLine="0" w:firstLineChars="0"/>
                    <w:jc w:val="center"/>
                    <w:rPr>
                      <w:rFonts w:hint="eastAsia" w:cs="Times New Roman"/>
                      <w:color w:val="auto"/>
                      <w:sz w:val="21"/>
                      <w:szCs w:val="21"/>
                      <w:highlight w:val="none"/>
                      <w:vertAlign w:val="baseline"/>
                      <w:lang w:val="en-US" w:eastAsia="zh-CN"/>
                    </w:rPr>
                  </w:pPr>
                </w:p>
              </w:tc>
              <w:tc>
                <w:tcPr>
                  <w:tcW w:w="900" w:type="dxa"/>
                  <w:vAlign w:val="center"/>
                </w:tcPr>
                <w:p w14:paraId="78E53F3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3E9ADFE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52</w:t>
                  </w:r>
                </w:p>
              </w:tc>
              <w:tc>
                <w:tcPr>
                  <w:tcW w:w="1589" w:type="dxa"/>
                  <w:vAlign w:val="center"/>
                </w:tcPr>
                <w:p w14:paraId="4D3C5F1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w:t>
                  </w:r>
                </w:p>
              </w:tc>
              <w:tc>
                <w:tcPr>
                  <w:tcW w:w="1544" w:type="dxa"/>
                  <w:vAlign w:val="center"/>
                </w:tcPr>
                <w:p w14:paraId="79C7EA68">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w:t>
                  </w:r>
                </w:p>
              </w:tc>
              <w:tc>
                <w:tcPr>
                  <w:tcW w:w="1705" w:type="dxa"/>
                  <w:vAlign w:val="center"/>
                </w:tcPr>
                <w:p w14:paraId="2656AFFE">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w:t>
                  </w:r>
                </w:p>
              </w:tc>
            </w:tr>
            <w:tr w14:paraId="2251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43" w:hRule="atLeast"/>
              </w:trPr>
              <w:tc>
                <w:tcPr>
                  <w:tcW w:w="1186" w:type="dxa"/>
                  <w:vMerge w:val="restart"/>
                  <w:vAlign w:val="center"/>
                </w:tcPr>
                <w:p w14:paraId="6662F873">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7号路</w:t>
                  </w:r>
                </w:p>
              </w:tc>
              <w:tc>
                <w:tcPr>
                  <w:tcW w:w="900" w:type="dxa"/>
                  <w:vAlign w:val="center"/>
                </w:tcPr>
                <w:p w14:paraId="4ADE6775">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小型车</w:t>
                  </w:r>
                </w:p>
              </w:tc>
              <w:tc>
                <w:tcPr>
                  <w:tcW w:w="1355" w:type="dxa"/>
                  <w:vAlign w:val="center"/>
                </w:tcPr>
                <w:p w14:paraId="1129E2A4">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643</w:t>
                  </w:r>
                </w:p>
              </w:tc>
              <w:tc>
                <w:tcPr>
                  <w:tcW w:w="1589" w:type="dxa"/>
                  <w:vAlign w:val="center"/>
                </w:tcPr>
                <w:p w14:paraId="274258A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268</w:t>
                  </w:r>
                </w:p>
              </w:tc>
              <w:tc>
                <w:tcPr>
                  <w:tcW w:w="1544" w:type="dxa"/>
                  <w:vAlign w:val="center"/>
                </w:tcPr>
                <w:p w14:paraId="0EE1887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435</w:t>
                  </w:r>
                </w:p>
              </w:tc>
              <w:tc>
                <w:tcPr>
                  <w:tcW w:w="1705" w:type="dxa"/>
                  <w:vAlign w:val="center"/>
                </w:tcPr>
                <w:p w14:paraId="6AC1143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140</w:t>
                  </w:r>
                </w:p>
              </w:tc>
            </w:tr>
            <w:tr w14:paraId="5BD2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28" w:hRule="atLeast"/>
              </w:trPr>
              <w:tc>
                <w:tcPr>
                  <w:tcW w:w="1186" w:type="dxa"/>
                  <w:vMerge w:val="continue"/>
                  <w:vAlign w:val="center"/>
                </w:tcPr>
                <w:p w14:paraId="716E799C">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900" w:type="dxa"/>
                  <w:vAlign w:val="center"/>
                </w:tcPr>
                <w:p w14:paraId="3A1DAEE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中型车</w:t>
                  </w:r>
                </w:p>
              </w:tc>
              <w:tc>
                <w:tcPr>
                  <w:tcW w:w="1355" w:type="dxa"/>
                  <w:vAlign w:val="center"/>
                </w:tcPr>
                <w:p w14:paraId="26E330F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321</w:t>
                  </w:r>
                </w:p>
              </w:tc>
              <w:tc>
                <w:tcPr>
                  <w:tcW w:w="1589" w:type="dxa"/>
                  <w:vAlign w:val="center"/>
                </w:tcPr>
                <w:p w14:paraId="74AC972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134</w:t>
                  </w:r>
                </w:p>
              </w:tc>
              <w:tc>
                <w:tcPr>
                  <w:tcW w:w="1544" w:type="dxa"/>
                  <w:vAlign w:val="center"/>
                </w:tcPr>
                <w:p w14:paraId="45CA09E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217</w:t>
                  </w:r>
                </w:p>
              </w:tc>
              <w:tc>
                <w:tcPr>
                  <w:tcW w:w="1705" w:type="dxa"/>
                  <w:vAlign w:val="center"/>
                </w:tcPr>
                <w:p w14:paraId="2D9F3C5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74</w:t>
                  </w:r>
                </w:p>
              </w:tc>
            </w:tr>
            <w:tr w14:paraId="4299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05" w:type="dxa"/>
                <w:trHeight w:val="362" w:hRule="atLeast"/>
              </w:trPr>
              <w:tc>
                <w:tcPr>
                  <w:tcW w:w="1186" w:type="dxa"/>
                  <w:vMerge w:val="continue"/>
                  <w:vAlign w:val="center"/>
                </w:tcPr>
                <w:p w14:paraId="2BA99866">
                  <w:pPr>
                    <w:keepNext w:val="0"/>
                    <w:keepLines w:val="0"/>
                    <w:widowControl/>
                    <w:numPr>
                      <w:ilvl w:val="0"/>
                      <w:numId w:val="0"/>
                    </w:numPr>
                    <w:suppressLineNumbers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900" w:type="dxa"/>
                  <w:vAlign w:val="center"/>
                </w:tcPr>
                <w:p w14:paraId="30A7027A">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大型车</w:t>
                  </w:r>
                </w:p>
              </w:tc>
              <w:tc>
                <w:tcPr>
                  <w:tcW w:w="1355" w:type="dxa"/>
                  <w:vAlign w:val="center"/>
                </w:tcPr>
                <w:p w14:paraId="45A77ED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107</w:t>
                  </w:r>
                </w:p>
              </w:tc>
              <w:tc>
                <w:tcPr>
                  <w:tcW w:w="1589" w:type="dxa"/>
                  <w:vAlign w:val="center"/>
                </w:tcPr>
                <w:p w14:paraId="33D9D5E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43</w:t>
                  </w:r>
                </w:p>
              </w:tc>
              <w:tc>
                <w:tcPr>
                  <w:tcW w:w="1544" w:type="dxa"/>
                  <w:vAlign w:val="center"/>
                </w:tcPr>
                <w:p w14:paraId="0917D1F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72</w:t>
                  </w:r>
                </w:p>
              </w:tc>
              <w:tc>
                <w:tcPr>
                  <w:tcW w:w="1705" w:type="dxa"/>
                  <w:vAlign w:val="center"/>
                </w:tcPr>
                <w:p w14:paraId="60214E2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w:t>
                  </w:r>
                </w:p>
              </w:tc>
            </w:tr>
          </w:tbl>
          <w:p w14:paraId="437E94F0">
            <w:pPr>
              <w:keepNext w:val="0"/>
              <w:keepLines w:val="0"/>
              <w:widowControl/>
              <w:numPr>
                <w:ilvl w:val="0"/>
                <w:numId w:val="0"/>
              </w:numPr>
              <w:suppressLineNumbers w:val="0"/>
              <w:spacing w:line="360" w:lineRule="auto"/>
              <w:jc w:val="both"/>
              <w:rPr>
                <w:rFonts w:hint="default" w:ascii="Times New Roman" w:hAnsi="Times New Roman" w:cs="Times New Roman"/>
                <w:b/>
                <w:color w:val="auto"/>
                <w:sz w:val="24"/>
                <w:highlight w:val="none"/>
                <w:lang w:val="en-US" w:eastAsia="zh-CN"/>
              </w:rPr>
            </w:pPr>
          </w:p>
          <w:p w14:paraId="440AA86A">
            <w:pPr>
              <w:tabs>
                <w:tab w:val="left" w:pos="424"/>
              </w:tabs>
              <w:snapToGrid w:val="0"/>
              <w:spacing w:line="276"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表5-</w:t>
            </w:r>
            <w:r>
              <w:rPr>
                <w:rFonts w:hint="eastAsia" w:cs="Times New Roman"/>
                <w:b/>
                <w:color w:val="auto"/>
                <w:sz w:val="24"/>
                <w:highlight w:val="none"/>
                <w:lang w:val="en-US" w:eastAsia="zh-CN"/>
              </w:rPr>
              <w:t>10</w:t>
            </w:r>
            <w:r>
              <w:rPr>
                <w:rFonts w:hint="default" w:ascii="Times New Roman" w:hAnsi="Times New Roman" w:cs="Times New Roman"/>
                <w:b/>
                <w:color w:val="auto"/>
                <w:sz w:val="24"/>
                <w:highlight w:val="none"/>
              </w:rPr>
              <w:t xml:space="preserve">  </w:t>
            </w:r>
            <w:r>
              <w:rPr>
                <w:rFonts w:hint="default" w:ascii="Times New Roman" w:hAnsi="Times New Roman" w:cs="Times New Roman"/>
                <w:b/>
                <w:bCs/>
                <w:color w:val="auto"/>
                <w:sz w:val="24"/>
                <w:highlight w:val="none"/>
              </w:rPr>
              <w:t>拟建道路</w:t>
            </w:r>
            <w:r>
              <w:rPr>
                <w:rFonts w:hint="default" w:ascii="Times New Roman" w:hAnsi="Times New Roman" w:cs="Times New Roman"/>
                <w:b/>
                <w:color w:val="auto"/>
                <w:sz w:val="24"/>
                <w:highlight w:val="none"/>
              </w:rPr>
              <w:t>营运期各车型单车辐射声级源强（dB）</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162"/>
              <w:gridCol w:w="1162"/>
              <w:gridCol w:w="1162"/>
              <w:gridCol w:w="1162"/>
              <w:gridCol w:w="1162"/>
              <w:gridCol w:w="1163"/>
            </w:tblGrid>
            <w:tr w14:paraId="6146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vMerge w:val="restart"/>
                  <w:noWrap w:val="0"/>
                  <w:vAlign w:val="center"/>
                </w:tcPr>
                <w:p w14:paraId="244F72F2">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路段</w:t>
                  </w:r>
                </w:p>
              </w:tc>
              <w:tc>
                <w:tcPr>
                  <w:tcW w:w="2324" w:type="dxa"/>
                  <w:gridSpan w:val="2"/>
                  <w:noWrap w:val="0"/>
                  <w:vAlign w:val="center"/>
                </w:tcPr>
                <w:p w14:paraId="75C596F4">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小型车</w:t>
                  </w:r>
                </w:p>
              </w:tc>
              <w:tc>
                <w:tcPr>
                  <w:tcW w:w="2324" w:type="dxa"/>
                  <w:gridSpan w:val="2"/>
                  <w:noWrap w:val="0"/>
                  <w:vAlign w:val="center"/>
                </w:tcPr>
                <w:p w14:paraId="05A9FDE5">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中型车</w:t>
                  </w:r>
                </w:p>
              </w:tc>
              <w:tc>
                <w:tcPr>
                  <w:tcW w:w="2325" w:type="dxa"/>
                  <w:gridSpan w:val="2"/>
                  <w:noWrap w:val="0"/>
                  <w:vAlign w:val="center"/>
                </w:tcPr>
                <w:p w14:paraId="087E6D67">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大型车</w:t>
                  </w:r>
                </w:p>
              </w:tc>
            </w:tr>
            <w:tr w14:paraId="572C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vMerge w:val="continue"/>
                  <w:noWrap w:val="0"/>
                  <w:vAlign w:val="center"/>
                </w:tcPr>
                <w:p w14:paraId="404DEF1E">
                  <w:pPr>
                    <w:tabs>
                      <w:tab w:val="left" w:pos="424"/>
                    </w:tabs>
                    <w:snapToGrid w:val="0"/>
                    <w:spacing w:line="240" w:lineRule="auto"/>
                    <w:jc w:val="center"/>
                    <w:rPr>
                      <w:rFonts w:hint="default" w:ascii="Times New Roman" w:hAnsi="Times New Roman" w:cs="Times New Roman"/>
                      <w:b/>
                      <w:bCs/>
                      <w:color w:val="auto"/>
                      <w:sz w:val="21"/>
                      <w:szCs w:val="21"/>
                      <w:highlight w:val="none"/>
                    </w:rPr>
                  </w:pPr>
                </w:p>
              </w:tc>
              <w:tc>
                <w:tcPr>
                  <w:tcW w:w="1162" w:type="dxa"/>
                  <w:noWrap w:val="0"/>
                  <w:vAlign w:val="center"/>
                </w:tcPr>
                <w:p w14:paraId="59249B0A">
                  <w:pPr>
                    <w:tabs>
                      <w:tab w:val="left" w:pos="424"/>
                    </w:tabs>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昼间</w:t>
                  </w:r>
                </w:p>
              </w:tc>
              <w:tc>
                <w:tcPr>
                  <w:tcW w:w="1162" w:type="dxa"/>
                  <w:noWrap w:val="0"/>
                  <w:vAlign w:val="center"/>
                </w:tcPr>
                <w:p w14:paraId="6C7B61C9">
                  <w:pPr>
                    <w:tabs>
                      <w:tab w:val="left" w:pos="424"/>
                    </w:tabs>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夜间</w:t>
                  </w:r>
                </w:p>
              </w:tc>
              <w:tc>
                <w:tcPr>
                  <w:tcW w:w="1162" w:type="dxa"/>
                  <w:noWrap w:val="0"/>
                  <w:vAlign w:val="center"/>
                </w:tcPr>
                <w:p w14:paraId="407E383C">
                  <w:pPr>
                    <w:tabs>
                      <w:tab w:val="left" w:pos="424"/>
                    </w:tabs>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昼间</w:t>
                  </w:r>
                </w:p>
              </w:tc>
              <w:tc>
                <w:tcPr>
                  <w:tcW w:w="1162" w:type="dxa"/>
                  <w:noWrap w:val="0"/>
                  <w:vAlign w:val="center"/>
                </w:tcPr>
                <w:p w14:paraId="30B47177">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c>
                <w:tcPr>
                  <w:tcW w:w="1162" w:type="dxa"/>
                  <w:noWrap w:val="0"/>
                  <w:vAlign w:val="center"/>
                </w:tcPr>
                <w:p w14:paraId="0361FF9D">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昼间</w:t>
                  </w:r>
                </w:p>
              </w:tc>
              <w:tc>
                <w:tcPr>
                  <w:tcW w:w="1163" w:type="dxa"/>
                  <w:noWrap w:val="0"/>
                  <w:vAlign w:val="center"/>
                </w:tcPr>
                <w:p w14:paraId="7CB30163">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r>
            <w:tr w14:paraId="51C2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0CBF31DF">
                  <w:pPr>
                    <w:tabs>
                      <w:tab w:val="left" w:pos="424"/>
                    </w:tabs>
                    <w:snapToGrid w:val="0"/>
                    <w:spacing w:line="240" w:lineRule="auto"/>
                    <w:jc w:val="center"/>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1号路</w:t>
                  </w:r>
                </w:p>
              </w:tc>
              <w:tc>
                <w:tcPr>
                  <w:tcW w:w="1162" w:type="dxa"/>
                  <w:noWrap w:val="0"/>
                  <w:vAlign w:val="center"/>
                </w:tcPr>
                <w:p w14:paraId="6E2144F8">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64.55</w:t>
                  </w:r>
                </w:p>
              </w:tc>
              <w:tc>
                <w:tcPr>
                  <w:tcW w:w="1162" w:type="dxa"/>
                  <w:noWrap w:val="0"/>
                  <w:vAlign w:val="center"/>
                </w:tcPr>
                <w:p w14:paraId="72BB0E09">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65.47</w:t>
                  </w:r>
                </w:p>
              </w:tc>
              <w:tc>
                <w:tcPr>
                  <w:tcW w:w="1162" w:type="dxa"/>
                  <w:noWrap w:val="0"/>
                  <w:vAlign w:val="center"/>
                </w:tcPr>
                <w:p w14:paraId="3B46372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65.15</w:t>
                  </w:r>
                </w:p>
              </w:tc>
              <w:tc>
                <w:tcPr>
                  <w:tcW w:w="1162" w:type="dxa"/>
                  <w:noWrap w:val="0"/>
                  <w:vAlign w:val="center"/>
                </w:tcPr>
                <w:p w14:paraId="294204A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65.23</w:t>
                  </w:r>
                </w:p>
              </w:tc>
              <w:tc>
                <w:tcPr>
                  <w:tcW w:w="1162" w:type="dxa"/>
                  <w:noWrap w:val="0"/>
                  <w:vAlign w:val="center"/>
                </w:tcPr>
                <w:p w14:paraId="2D6772C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71.91</w:t>
                  </w:r>
                </w:p>
              </w:tc>
              <w:tc>
                <w:tcPr>
                  <w:tcW w:w="1163" w:type="dxa"/>
                  <w:noWrap w:val="0"/>
                  <w:vAlign w:val="center"/>
                </w:tcPr>
                <w:p w14:paraId="78376DE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71.74</w:t>
                  </w:r>
                </w:p>
              </w:tc>
            </w:tr>
            <w:tr w14:paraId="5713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2A5B6CE0">
                  <w:pPr>
                    <w:tabs>
                      <w:tab w:val="left" w:pos="424"/>
                    </w:tabs>
                    <w:snapToGrid w:val="0"/>
                    <w:spacing w:line="240" w:lineRule="auto"/>
                    <w:jc w:val="center"/>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2号路</w:t>
                  </w:r>
                </w:p>
              </w:tc>
              <w:tc>
                <w:tcPr>
                  <w:tcW w:w="1162" w:type="dxa"/>
                  <w:noWrap w:val="0"/>
                  <w:vAlign w:val="center"/>
                </w:tcPr>
                <w:p w14:paraId="3F96A01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65.05</w:t>
                  </w:r>
                </w:p>
              </w:tc>
              <w:tc>
                <w:tcPr>
                  <w:tcW w:w="1162" w:type="dxa"/>
                  <w:noWrap w:val="0"/>
                  <w:vAlign w:val="center"/>
                </w:tcPr>
                <w:p w14:paraId="1F31508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65.64</w:t>
                  </w:r>
                </w:p>
              </w:tc>
              <w:tc>
                <w:tcPr>
                  <w:tcW w:w="1162" w:type="dxa"/>
                  <w:noWrap w:val="0"/>
                  <w:vAlign w:val="center"/>
                </w:tcPr>
                <w:p w14:paraId="2349FE4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64.82</w:t>
                  </w:r>
                </w:p>
              </w:tc>
              <w:tc>
                <w:tcPr>
                  <w:tcW w:w="1162" w:type="dxa"/>
                  <w:noWrap w:val="0"/>
                  <w:vAlign w:val="center"/>
                </w:tcPr>
                <w:p w14:paraId="5271FBC7">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64.29</w:t>
                  </w:r>
                </w:p>
              </w:tc>
              <w:tc>
                <w:tcPr>
                  <w:tcW w:w="1162" w:type="dxa"/>
                  <w:noWrap w:val="0"/>
                  <w:vAlign w:val="center"/>
                </w:tcPr>
                <w:p w14:paraId="352E812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71.83</w:t>
                  </w:r>
                </w:p>
              </w:tc>
              <w:tc>
                <w:tcPr>
                  <w:tcW w:w="1163" w:type="dxa"/>
                  <w:noWrap w:val="0"/>
                  <w:vAlign w:val="center"/>
                </w:tcPr>
                <w:p w14:paraId="59CAB19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71.68</w:t>
                  </w:r>
                </w:p>
              </w:tc>
            </w:tr>
            <w:tr w14:paraId="2F90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0C80B321">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3号路</w:t>
                  </w:r>
                </w:p>
              </w:tc>
              <w:tc>
                <w:tcPr>
                  <w:tcW w:w="1162" w:type="dxa"/>
                  <w:noWrap w:val="0"/>
                  <w:vAlign w:val="center"/>
                </w:tcPr>
                <w:p w14:paraId="452A825B">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64.55</w:t>
                  </w:r>
                </w:p>
              </w:tc>
              <w:tc>
                <w:tcPr>
                  <w:tcW w:w="1162" w:type="dxa"/>
                  <w:noWrap w:val="0"/>
                  <w:vAlign w:val="center"/>
                </w:tcPr>
                <w:p w14:paraId="4815B1E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65.47</w:t>
                  </w:r>
                </w:p>
              </w:tc>
              <w:tc>
                <w:tcPr>
                  <w:tcW w:w="1162" w:type="dxa"/>
                  <w:noWrap w:val="0"/>
                  <w:vAlign w:val="center"/>
                </w:tcPr>
                <w:p w14:paraId="4FAD23B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65.15</w:t>
                  </w:r>
                </w:p>
              </w:tc>
              <w:tc>
                <w:tcPr>
                  <w:tcW w:w="1162" w:type="dxa"/>
                  <w:noWrap w:val="0"/>
                  <w:vAlign w:val="center"/>
                </w:tcPr>
                <w:p w14:paraId="0CCED07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65.23</w:t>
                  </w:r>
                </w:p>
              </w:tc>
              <w:tc>
                <w:tcPr>
                  <w:tcW w:w="1162" w:type="dxa"/>
                  <w:noWrap w:val="0"/>
                  <w:vAlign w:val="center"/>
                </w:tcPr>
                <w:p w14:paraId="351A719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71.91</w:t>
                  </w:r>
                </w:p>
              </w:tc>
              <w:tc>
                <w:tcPr>
                  <w:tcW w:w="1163" w:type="dxa"/>
                  <w:noWrap w:val="0"/>
                  <w:vAlign w:val="center"/>
                </w:tcPr>
                <w:p w14:paraId="56F56E2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71.74</w:t>
                  </w:r>
                </w:p>
              </w:tc>
            </w:tr>
            <w:tr w14:paraId="6CAE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4D1B014D">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4号路</w:t>
                  </w:r>
                </w:p>
              </w:tc>
              <w:tc>
                <w:tcPr>
                  <w:tcW w:w="1162" w:type="dxa"/>
                  <w:noWrap w:val="0"/>
                  <w:vAlign w:val="center"/>
                </w:tcPr>
                <w:p w14:paraId="7D83A386">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63.69</w:t>
                  </w:r>
                </w:p>
              </w:tc>
              <w:tc>
                <w:tcPr>
                  <w:tcW w:w="1162" w:type="dxa"/>
                  <w:noWrap w:val="0"/>
                  <w:vAlign w:val="center"/>
                </w:tcPr>
                <w:p w14:paraId="039D0425">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65.35</w:t>
                  </w:r>
                </w:p>
              </w:tc>
              <w:tc>
                <w:tcPr>
                  <w:tcW w:w="1162" w:type="dxa"/>
                  <w:noWrap w:val="0"/>
                  <w:vAlign w:val="center"/>
                </w:tcPr>
                <w:p w14:paraId="468725CF">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65.25</w:t>
                  </w:r>
                </w:p>
              </w:tc>
              <w:tc>
                <w:tcPr>
                  <w:tcW w:w="1162" w:type="dxa"/>
                  <w:noWrap w:val="0"/>
                  <w:vAlign w:val="center"/>
                </w:tcPr>
                <w:p w14:paraId="2826BF9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64.67</w:t>
                  </w:r>
                </w:p>
              </w:tc>
              <w:tc>
                <w:tcPr>
                  <w:tcW w:w="1162" w:type="dxa"/>
                  <w:noWrap w:val="0"/>
                  <w:vAlign w:val="center"/>
                </w:tcPr>
                <w:p w14:paraId="050CC358">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72.06</w:t>
                  </w:r>
                </w:p>
              </w:tc>
              <w:tc>
                <w:tcPr>
                  <w:tcW w:w="1163" w:type="dxa"/>
                  <w:noWrap w:val="0"/>
                  <w:vAlign w:val="center"/>
                </w:tcPr>
                <w:p w14:paraId="6CF68345">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71.77</w:t>
                  </w:r>
                </w:p>
              </w:tc>
            </w:tr>
            <w:tr w14:paraId="2FED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35C87697">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5号路</w:t>
                  </w:r>
                </w:p>
              </w:tc>
              <w:tc>
                <w:tcPr>
                  <w:tcW w:w="1162" w:type="dxa"/>
                  <w:noWrap w:val="0"/>
                  <w:vAlign w:val="center"/>
                </w:tcPr>
                <w:p w14:paraId="434FA8C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63.40</w:t>
                  </w:r>
                </w:p>
              </w:tc>
              <w:tc>
                <w:tcPr>
                  <w:tcW w:w="1162" w:type="dxa"/>
                  <w:noWrap w:val="0"/>
                  <w:vAlign w:val="center"/>
                </w:tcPr>
                <w:p w14:paraId="2748369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65.36</w:t>
                  </w:r>
                </w:p>
              </w:tc>
              <w:tc>
                <w:tcPr>
                  <w:tcW w:w="1162" w:type="dxa"/>
                  <w:noWrap w:val="0"/>
                  <w:vAlign w:val="center"/>
                </w:tcPr>
                <w:p w14:paraId="0059544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65.21</w:t>
                  </w:r>
                </w:p>
              </w:tc>
              <w:tc>
                <w:tcPr>
                  <w:tcW w:w="1162" w:type="dxa"/>
                  <w:noWrap w:val="0"/>
                  <w:vAlign w:val="center"/>
                </w:tcPr>
                <w:p w14:paraId="4E120DC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64.71</w:t>
                  </w:r>
                </w:p>
              </w:tc>
              <w:tc>
                <w:tcPr>
                  <w:tcW w:w="1162" w:type="dxa"/>
                  <w:noWrap w:val="0"/>
                  <w:vAlign w:val="center"/>
                </w:tcPr>
                <w:p w14:paraId="7B311D3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72.01</w:t>
                  </w:r>
                </w:p>
              </w:tc>
              <w:tc>
                <w:tcPr>
                  <w:tcW w:w="1163" w:type="dxa"/>
                  <w:noWrap w:val="0"/>
                  <w:vAlign w:val="center"/>
                </w:tcPr>
                <w:p w14:paraId="0581F24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71.11</w:t>
                  </w:r>
                </w:p>
              </w:tc>
            </w:tr>
            <w:tr w14:paraId="6AED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86" w:type="dxa"/>
                  <w:noWrap w:val="0"/>
                  <w:vAlign w:val="center"/>
                </w:tcPr>
                <w:p w14:paraId="1DEF498D">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6号路</w:t>
                  </w:r>
                </w:p>
              </w:tc>
              <w:tc>
                <w:tcPr>
                  <w:tcW w:w="1162" w:type="dxa"/>
                  <w:noWrap w:val="0"/>
                  <w:vAlign w:val="center"/>
                </w:tcPr>
                <w:p w14:paraId="698865AB">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65.13</w:t>
                  </w:r>
                </w:p>
              </w:tc>
              <w:tc>
                <w:tcPr>
                  <w:tcW w:w="1162" w:type="dxa"/>
                  <w:noWrap w:val="0"/>
                  <w:vAlign w:val="center"/>
                </w:tcPr>
                <w:p w14:paraId="4B96A07A">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65.65</w:t>
                  </w:r>
                </w:p>
              </w:tc>
              <w:tc>
                <w:tcPr>
                  <w:tcW w:w="1162" w:type="dxa"/>
                  <w:noWrap w:val="0"/>
                  <w:vAlign w:val="center"/>
                </w:tcPr>
                <w:p w14:paraId="0A9CD315">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64.78</w:t>
                  </w:r>
                </w:p>
              </w:tc>
              <w:tc>
                <w:tcPr>
                  <w:tcW w:w="1162" w:type="dxa"/>
                  <w:noWrap w:val="0"/>
                  <w:vAlign w:val="center"/>
                </w:tcPr>
                <w:p w14:paraId="5B224A5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64.27</w:t>
                  </w:r>
                </w:p>
              </w:tc>
              <w:tc>
                <w:tcPr>
                  <w:tcW w:w="1162" w:type="dxa"/>
                  <w:noWrap w:val="0"/>
                  <w:vAlign w:val="center"/>
                </w:tcPr>
                <w:p w14:paraId="34B3845A">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81.81</w:t>
                  </w:r>
                </w:p>
              </w:tc>
              <w:tc>
                <w:tcPr>
                  <w:tcW w:w="1163" w:type="dxa"/>
                  <w:noWrap w:val="0"/>
                  <w:vAlign w:val="center"/>
                </w:tcPr>
                <w:p w14:paraId="578E4CEF">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71.61</w:t>
                  </w:r>
                </w:p>
              </w:tc>
            </w:tr>
            <w:tr w14:paraId="5E36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86" w:type="dxa"/>
                  <w:noWrap w:val="0"/>
                  <w:vAlign w:val="center"/>
                </w:tcPr>
                <w:p w14:paraId="00CF681B">
                  <w:pPr>
                    <w:tabs>
                      <w:tab w:val="left" w:pos="424"/>
                    </w:tabs>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7号路</w:t>
                  </w:r>
                </w:p>
              </w:tc>
              <w:tc>
                <w:tcPr>
                  <w:tcW w:w="1162" w:type="dxa"/>
                  <w:noWrap w:val="0"/>
                  <w:vAlign w:val="center"/>
                </w:tcPr>
                <w:p w14:paraId="18B9A03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63.80</w:t>
                  </w:r>
                </w:p>
              </w:tc>
              <w:tc>
                <w:tcPr>
                  <w:tcW w:w="1162" w:type="dxa"/>
                  <w:noWrap w:val="0"/>
                  <w:vAlign w:val="center"/>
                </w:tcPr>
                <w:p w14:paraId="48B3123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65.43</w:t>
                  </w:r>
                </w:p>
              </w:tc>
              <w:tc>
                <w:tcPr>
                  <w:tcW w:w="1162" w:type="dxa"/>
                  <w:noWrap w:val="0"/>
                  <w:vAlign w:val="center"/>
                </w:tcPr>
                <w:p w14:paraId="0CFB6F3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64.93</w:t>
                  </w:r>
                </w:p>
              </w:tc>
              <w:tc>
                <w:tcPr>
                  <w:tcW w:w="1162" w:type="dxa"/>
                  <w:noWrap w:val="0"/>
                  <w:vAlign w:val="center"/>
                </w:tcPr>
                <w:p w14:paraId="3611D26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64.62</w:t>
                  </w:r>
                </w:p>
              </w:tc>
              <w:tc>
                <w:tcPr>
                  <w:tcW w:w="1162" w:type="dxa"/>
                  <w:noWrap w:val="0"/>
                  <w:vAlign w:val="center"/>
                </w:tcPr>
                <w:p w14:paraId="59DFA61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71.96</w:t>
                  </w:r>
                </w:p>
              </w:tc>
              <w:tc>
                <w:tcPr>
                  <w:tcW w:w="1163" w:type="dxa"/>
                  <w:noWrap w:val="0"/>
                  <w:vAlign w:val="center"/>
                </w:tcPr>
                <w:p w14:paraId="53A3FEA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72.10</w:t>
                  </w:r>
                </w:p>
              </w:tc>
            </w:tr>
          </w:tbl>
          <w:p w14:paraId="65A37413">
            <w:pPr>
              <w:numPr>
                <w:ilvl w:val="0"/>
                <w:numId w:val="0"/>
              </w:numPr>
              <w:snapToGrid w:val="0"/>
              <w:spacing w:line="360" w:lineRule="auto"/>
              <w:ind w:leftChars="0" w:firstLine="482" w:firstLineChars="20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4.</w:t>
            </w:r>
            <w:r>
              <w:rPr>
                <w:rFonts w:hint="default" w:ascii="Times New Roman" w:hAnsi="Times New Roman" w:eastAsia="宋体" w:cs="Times New Roman"/>
                <w:b/>
                <w:bCs/>
                <w:color w:val="auto"/>
                <w:sz w:val="24"/>
                <w:szCs w:val="22"/>
                <w:highlight w:val="none"/>
                <w:lang w:val="en-US" w:eastAsia="zh-CN"/>
              </w:rPr>
              <w:t>固体废物</w:t>
            </w:r>
          </w:p>
          <w:p w14:paraId="3278C47C">
            <w:pPr>
              <w:numPr>
                <w:ilvl w:val="0"/>
                <w:numId w:val="0"/>
              </w:numPr>
              <w:snapToGrid w:val="0"/>
              <w:spacing w:line="360" w:lineRule="auto"/>
              <w:ind w:leftChars="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本项目属于市政道路，道路沿线不设置服务区、管理区等。项目投入运营后，产生的固体废弃物主要为道路清扫垃圾、绿化垃圾</w:t>
            </w:r>
            <w:r>
              <w:rPr>
                <w:rFonts w:hint="default" w:ascii="Times New Roman" w:hAnsi="Times New Roman" w:cs="Times New Roman"/>
                <w:color w:val="auto"/>
                <w:kern w:val="0"/>
                <w:sz w:val="24"/>
                <w:highlight w:val="none"/>
              </w:rPr>
              <w:t>，其产生量不定，由当地环卫部定期清运处置。</w:t>
            </w:r>
          </w:p>
          <w:p w14:paraId="24636AF0">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道路运输风险</w:t>
            </w:r>
          </w:p>
          <w:p w14:paraId="1CAD98EA">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车辆运载的有害物质发生泄漏时将对周围生态环境、水环境、空气环境、社会环境等产生一定程度影响。项目区内道路车辆一旦发生倾翻使有害物质泄漏事故，对附近水体造成污染。根据道路沿线经济及发展状况，预测道路运输有害的化学品主要有：乙醇、盐酸、农药、化肥等。</w:t>
            </w:r>
          </w:p>
          <w:p w14:paraId="4415B0F3">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6.营运期</w:t>
            </w:r>
            <w:r>
              <w:rPr>
                <w:rFonts w:hint="default" w:ascii="Times New Roman" w:hAnsi="Times New Roman" w:cs="Times New Roman"/>
                <w:b/>
                <w:bCs/>
                <w:color w:val="auto"/>
                <w:sz w:val="24"/>
                <w:highlight w:val="none"/>
              </w:rPr>
              <w:t>生态影响</w:t>
            </w:r>
          </w:p>
          <w:p w14:paraId="7398A346">
            <w:pPr>
              <w:adjustRightInd w:val="0"/>
              <w:snapToGrid w:val="0"/>
              <w:spacing w:line="360" w:lineRule="auto"/>
              <w:ind w:firstLine="482"/>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项目运营后，绿化面积有所增加，生态景观局部改善，因此，项目运营对生态环境影响较小。</w:t>
            </w:r>
          </w:p>
        </w:tc>
      </w:tr>
    </w:tbl>
    <w:p w14:paraId="30DD7495">
      <w:pPr>
        <w:rPr>
          <w:rFonts w:hint="eastAsia"/>
          <w:b/>
          <w:bCs/>
          <w:color w:val="auto"/>
          <w:sz w:val="28"/>
          <w:szCs w:val="28"/>
          <w:highlight w:val="none"/>
          <w:lang w:eastAsia="zh-CN"/>
        </w:rPr>
      </w:pPr>
      <w:r>
        <w:rPr>
          <w:rFonts w:hint="eastAsia"/>
          <w:b/>
          <w:bCs/>
          <w:color w:val="auto"/>
          <w:sz w:val="28"/>
          <w:szCs w:val="28"/>
          <w:highlight w:val="none"/>
          <w:lang w:eastAsia="zh-CN"/>
        </w:rPr>
        <w:br w:type="page"/>
      </w:r>
    </w:p>
    <w:bookmarkEnd w:id="0"/>
    <w:bookmarkEnd w:id="1"/>
    <w:bookmarkEnd w:id="2"/>
    <w:bookmarkEnd w:id="3"/>
    <w:bookmarkEnd w:id="4"/>
    <w:bookmarkEnd w:id="5"/>
    <w:p w14:paraId="4801160F">
      <w:pPr>
        <w:pStyle w:val="3"/>
        <w:bidi w:val="0"/>
      </w:pPr>
      <w:r>
        <w:t>表六、项目主要污染物产生及预计排放情况</w:t>
      </w:r>
    </w:p>
    <w:tbl>
      <w:tblPr>
        <w:tblStyle w:val="15"/>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655"/>
        <w:gridCol w:w="895"/>
        <w:gridCol w:w="1259"/>
        <w:gridCol w:w="1143"/>
        <w:gridCol w:w="1242"/>
        <w:gridCol w:w="2722"/>
      </w:tblGrid>
      <w:tr w14:paraId="54BE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38" w:type="dxa"/>
            <w:tcBorders>
              <w:tl2br w:val="single" w:color="auto" w:sz="4" w:space="0"/>
            </w:tcBorders>
            <w:noWrap w:val="0"/>
            <w:tcMar>
              <w:top w:w="0" w:type="dxa"/>
              <w:left w:w="0" w:type="dxa"/>
              <w:bottom w:w="0" w:type="dxa"/>
              <w:right w:w="0" w:type="dxa"/>
            </w:tcMar>
            <w:vAlign w:val="center"/>
          </w:tcPr>
          <w:p w14:paraId="70F3B7A3">
            <w:pPr>
              <w:adjustRightInd w:val="0"/>
              <w:snapToGrid w:val="0"/>
              <w:spacing w:line="240" w:lineRule="auto"/>
              <w:ind w:left="-7" w:leftChars="-3" w:right="-107" w:firstLine="210" w:firstLineChars="10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内容</w:t>
            </w:r>
          </w:p>
          <w:p w14:paraId="17E071D9">
            <w:pPr>
              <w:pStyle w:val="9"/>
              <w:adjustRightInd w:val="0"/>
              <w:snapToGrid w:val="0"/>
              <w:spacing w:before="20"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类型</w:t>
            </w:r>
          </w:p>
        </w:tc>
        <w:tc>
          <w:tcPr>
            <w:tcW w:w="1550" w:type="dxa"/>
            <w:gridSpan w:val="2"/>
            <w:noWrap w:val="0"/>
            <w:tcMar>
              <w:top w:w="0" w:type="dxa"/>
              <w:left w:w="0" w:type="dxa"/>
              <w:bottom w:w="0" w:type="dxa"/>
              <w:right w:w="0" w:type="dxa"/>
            </w:tcMar>
            <w:vAlign w:val="center"/>
          </w:tcPr>
          <w:p w14:paraId="5DE8FFBA">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排放源</w:t>
            </w:r>
          </w:p>
        </w:tc>
        <w:tc>
          <w:tcPr>
            <w:tcW w:w="1259" w:type="dxa"/>
            <w:noWrap w:val="0"/>
            <w:tcMar>
              <w:top w:w="0" w:type="dxa"/>
              <w:left w:w="0" w:type="dxa"/>
              <w:bottom w:w="0" w:type="dxa"/>
              <w:right w:w="0" w:type="dxa"/>
            </w:tcMar>
            <w:vAlign w:val="center"/>
          </w:tcPr>
          <w:p w14:paraId="49A0E39D">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污染物名称</w:t>
            </w:r>
          </w:p>
        </w:tc>
        <w:tc>
          <w:tcPr>
            <w:tcW w:w="2385" w:type="dxa"/>
            <w:gridSpan w:val="2"/>
            <w:noWrap w:val="0"/>
            <w:tcMar>
              <w:top w:w="0" w:type="dxa"/>
              <w:left w:w="0" w:type="dxa"/>
              <w:bottom w:w="0" w:type="dxa"/>
              <w:right w:w="0" w:type="dxa"/>
            </w:tcMar>
            <w:vAlign w:val="center"/>
          </w:tcPr>
          <w:p w14:paraId="00B94618">
            <w:pPr>
              <w:spacing w:line="240" w:lineRule="auto"/>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处理前产生浓度及产生量（单位）</w:t>
            </w:r>
          </w:p>
        </w:tc>
        <w:tc>
          <w:tcPr>
            <w:tcW w:w="2722" w:type="dxa"/>
            <w:noWrap w:val="0"/>
            <w:tcMar>
              <w:top w:w="0" w:type="dxa"/>
              <w:left w:w="0" w:type="dxa"/>
              <w:bottom w:w="0" w:type="dxa"/>
              <w:right w:w="0" w:type="dxa"/>
            </w:tcMar>
            <w:vAlign w:val="center"/>
          </w:tcPr>
          <w:p w14:paraId="1D68E452">
            <w:pPr>
              <w:spacing w:line="240" w:lineRule="auto"/>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排放浓度及排放量（单位）</w:t>
            </w:r>
          </w:p>
        </w:tc>
      </w:tr>
      <w:tr w14:paraId="0ABD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8" w:type="dxa"/>
            <w:vMerge w:val="restart"/>
            <w:noWrap w:val="0"/>
            <w:tcMar>
              <w:top w:w="0" w:type="dxa"/>
              <w:left w:w="0" w:type="dxa"/>
              <w:bottom w:w="0" w:type="dxa"/>
              <w:right w:w="0" w:type="dxa"/>
            </w:tcMar>
            <w:vAlign w:val="center"/>
          </w:tcPr>
          <w:p w14:paraId="1733EC11">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w:t>
            </w:r>
          </w:p>
          <w:p w14:paraId="756EF5F3">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气</w:t>
            </w:r>
          </w:p>
          <w:p w14:paraId="2F2EA8CE">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污</w:t>
            </w:r>
          </w:p>
          <w:p w14:paraId="47014CE1">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染</w:t>
            </w:r>
          </w:p>
          <w:p w14:paraId="6028F724">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物</w:t>
            </w:r>
          </w:p>
        </w:tc>
        <w:tc>
          <w:tcPr>
            <w:tcW w:w="655" w:type="dxa"/>
            <w:vMerge w:val="restart"/>
            <w:noWrap w:val="0"/>
            <w:tcMar>
              <w:top w:w="0" w:type="dxa"/>
              <w:left w:w="0" w:type="dxa"/>
              <w:bottom w:w="0" w:type="dxa"/>
              <w:right w:w="0" w:type="dxa"/>
            </w:tcMar>
            <w:vAlign w:val="center"/>
          </w:tcPr>
          <w:p w14:paraId="4BFE2198">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w:t>
            </w:r>
          </w:p>
        </w:tc>
        <w:tc>
          <w:tcPr>
            <w:tcW w:w="895" w:type="dxa"/>
            <w:noWrap w:val="0"/>
            <w:tcMar>
              <w:top w:w="0" w:type="dxa"/>
              <w:left w:w="0" w:type="dxa"/>
              <w:bottom w:w="0" w:type="dxa"/>
              <w:right w:w="0" w:type="dxa"/>
            </w:tcMar>
            <w:vAlign w:val="center"/>
          </w:tcPr>
          <w:p w14:paraId="3FB61DF8">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施工扬尘</w:t>
            </w:r>
          </w:p>
        </w:tc>
        <w:tc>
          <w:tcPr>
            <w:tcW w:w="1259" w:type="dxa"/>
            <w:tcBorders>
              <w:bottom w:val="single" w:color="auto" w:sz="2" w:space="0"/>
            </w:tcBorders>
            <w:noWrap w:val="0"/>
            <w:tcMar>
              <w:top w:w="0" w:type="dxa"/>
              <w:left w:w="0" w:type="dxa"/>
              <w:bottom w:w="0" w:type="dxa"/>
              <w:right w:w="0" w:type="dxa"/>
            </w:tcMar>
            <w:vAlign w:val="center"/>
          </w:tcPr>
          <w:p w14:paraId="06142C8A">
            <w:pPr>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扬尘</w:t>
            </w:r>
          </w:p>
        </w:tc>
        <w:tc>
          <w:tcPr>
            <w:tcW w:w="2385" w:type="dxa"/>
            <w:gridSpan w:val="2"/>
            <w:noWrap w:val="0"/>
            <w:tcMar>
              <w:top w:w="0" w:type="dxa"/>
              <w:left w:w="0" w:type="dxa"/>
              <w:bottom w:w="0" w:type="dxa"/>
              <w:right w:w="0" w:type="dxa"/>
            </w:tcMar>
            <w:vAlign w:val="center"/>
          </w:tcPr>
          <w:p w14:paraId="4A856E47">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产生量：764.2t</w:t>
            </w:r>
          </w:p>
        </w:tc>
        <w:tc>
          <w:tcPr>
            <w:tcW w:w="2722" w:type="dxa"/>
            <w:noWrap w:val="0"/>
            <w:tcMar>
              <w:top w:w="0" w:type="dxa"/>
              <w:left w:w="0" w:type="dxa"/>
              <w:bottom w:w="0" w:type="dxa"/>
              <w:right w:w="0" w:type="dxa"/>
            </w:tcMar>
            <w:vAlign w:val="center"/>
          </w:tcPr>
          <w:p w14:paraId="438E5B71">
            <w:pPr>
              <w:adjustRightInd w:val="0"/>
              <w:snapToGrid w:val="0"/>
              <w:spacing w:line="240" w:lineRule="auto"/>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排放量：少量</w:t>
            </w:r>
          </w:p>
        </w:tc>
      </w:tr>
      <w:tr w14:paraId="075F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738" w:type="dxa"/>
            <w:vMerge w:val="continue"/>
            <w:noWrap w:val="0"/>
            <w:tcMar>
              <w:top w:w="0" w:type="dxa"/>
              <w:left w:w="0" w:type="dxa"/>
              <w:bottom w:w="0" w:type="dxa"/>
              <w:right w:w="0" w:type="dxa"/>
            </w:tcMar>
            <w:vAlign w:val="center"/>
          </w:tcPr>
          <w:p w14:paraId="17079DF3">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noWrap w:val="0"/>
            <w:tcMar>
              <w:top w:w="0" w:type="dxa"/>
              <w:left w:w="0" w:type="dxa"/>
              <w:bottom w:w="0" w:type="dxa"/>
              <w:right w:w="0" w:type="dxa"/>
            </w:tcMar>
            <w:vAlign w:val="center"/>
          </w:tcPr>
          <w:p w14:paraId="36918693">
            <w:pPr>
              <w:adjustRightInd w:val="0"/>
              <w:snapToGrid w:val="0"/>
              <w:spacing w:line="240" w:lineRule="auto"/>
              <w:jc w:val="center"/>
              <w:rPr>
                <w:rFonts w:ascii="Times New Roman" w:hAnsi="Times New Roman" w:cs="Times New Roman"/>
                <w:color w:val="auto"/>
                <w:sz w:val="21"/>
                <w:szCs w:val="21"/>
                <w:highlight w:val="none"/>
              </w:rPr>
            </w:pPr>
          </w:p>
        </w:tc>
        <w:tc>
          <w:tcPr>
            <w:tcW w:w="895" w:type="dxa"/>
            <w:noWrap w:val="0"/>
            <w:tcMar>
              <w:top w:w="0" w:type="dxa"/>
              <w:left w:w="0" w:type="dxa"/>
              <w:bottom w:w="0" w:type="dxa"/>
              <w:right w:w="0" w:type="dxa"/>
            </w:tcMar>
            <w:vAlign w:val="center"/>
          </w:tcPr>
          <w:p w14:paraId="10AEFA30">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汽车尾气及机械废气</w:t>
            </w:r>
          </w:p>
        </w:tc>
        <w:tc>
          <w:tcPr>
            <w:tcW w:w="1259" w:type="dxa"/>
            <w:tcBorders>
              <w:bottom w:val="single" w:color="auto" w:sz="2" w:space="0"/>
            </w:tcBorders>
            <w:noWrap w:val="0"/>
            <w:tcMar>
              <w:top w:w="0" w:type="dxa"/>
              <w:left w:w="0" w:type="dxa"/>
              <w:bottom w:w="0" w:type="dxa"/>
              <w:right w:w="0" w:type="dxa"/>
            </w:tcMar>
            <w:vAlign w:val="center"/>
          </w:tcPr>
          <w:p w14:paraId="7786F054">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CO、NO</w:t>
            </w:r>
            <w:r>
              <w:rPr>
                <w:rFonts w:ascii="Times New Roman" w:hAnsi="Times New Roman" w:cs="Times New Roman"/>
                <w:color w:val="auto"/>
                <w:sz w:val="21"/>
                <w:szCs w:val="21"/>
                <w:highlight w:val="none"/>
                <w:vertAlign w:val="subscript"/>
              </w:rPr>
              <w:t>x</w:t>
            </w:r>
          </w:p>
        </w:tc>
        <w:tc>
          <w:tcPr>
            <w:tcW w:w="2385" w:type="dxa"/>
            <w:gridSpan w:val="2"/>
            <w:noWrap w:val="0"/>
            <w:tcMar>
              <w:top w:w="0" w:type="dxa"/>
              <w:left w:w="0" w:type="dxa"/>
              <w:bottom w:w="0" w:type="dxa"/>
              <w:right w:w="0" w:type="dxa"/>
            </w:tcMar>
            <w:vAlign w:val="center"/>
          </w:tcPr>
          <w:p w14:paraId="0FD7147C">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产生量：少量</w:t>
            </w:r>
          </w:p>
        </w:tc>
        <w:tc>
          <w:tcPr>
            <w:tcW w:w="2722" w:type="dxa"/>
            <w:noWrap w:val="0"/>
            <w:tcMar>
              <w:top w:w="0" w:type="dxa"/>
              <w:left w:w="0" w:type="dxa"/>
              <w:bottom w:w="0" w:type="dxa"/>
              <w:right w:w="0" w:type="dxa"/>
            </w:tcMar>
            <w:vAlign w:val="center"/>
          </w:tcPr>
          <w:p w14:paraId="62502CB6">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排放量：少量</w:t>
            </w:r>
          </w:p>
        </w:tc>
      </w:tr>
      <w:tr w14:paraId="4BFA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738" w:type="dxa"/>
            <w:vMerge w:val="continue"/>
            <w:noWrap w:val="0"/>
            <w:tcMar>
              <w:top w:w="0" w:type="dxa"/>
              <w:left w:w="0" w:type="dxa"/>
              <w:bottom w:w="0" w:type="dxa"/>
              <w:right w:w="0" w:type="dxa"/>
            </w:tcMar>
            <w:vAlign w:val="center"/>
          </w:tcPr>
          <w:p w14:paraId="38BEC99B">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noWrap w:val="0"/>
            <w:tcMar>
              <w:top w:w="0" w:type="dxa"/>
              <w:left w:w="0" w:type="dxa"/>
              <w:bottom w:w="0" w:type="dxa"/>
              <w:right w:w="0" w:type="dxa"/>
            </w:tcMar>
            <w:vAlign w:val="center"/>
          </w:tcPr>
          <w:p w14:paraId="42C945BB">
            <w:pPr>
              <w:adjustRightInd w:val="0"/>
              <w:snapToGrid w:val="0"/>
              <w:spacing w:line="240" w:lineRule="auto"/>
              <w:jc w:val="center"/>
              <w:rPr>
                <w:rFonts w:ascii="Times New Roman" w:hAnsi="Times New Roman" w:cs="Times New Roman"/>
                <w:color w:val="auto"/>
                <w:sz w:val="21"/>
                <w:szCs w:val="21"/>
                <w:highlight w:val="none"/>
              </w:rPr>
            </w:pPr>
          </w:p>
        </w:tc>
        <w:tc>
          <w:tcPr>
            <w:tcW w:w="895" w:type="dxa"/>
            <w:noWrap w:val="0"/>
            <w:tcMar>
              <w:top w:w="0" w:type="dxa"/>
              <w:left w:w="0" w:type="dxa"/>
              <w:bottom w:w="0" w:type="dxa"/>
              <w:right w:w="0" w:type="dxa"/>
            </w:tcMar>
            <w:vAlign w:val="center"/>
          </w:tcPr>
          <w:p w14:paraId="15CB8545">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沥青</w:t>
            </w:r>
          </w:p>
        </w:tc>
        <w:tc>
          <w:tcPr>
            <w:tcW w:w="1259" w:type="dxa"/>
            <w:tcBorders>
              <w:bottom w:val="single" w:color="auto" w:sz="2" w:space="0"/>
            </w:tcBorders>
            <w:noWrap w:val="0"/>
            <w:tcMar>
              <w:top w:w="0" w:type="dxa"/>
              <w:left w:w="0" w:type="dxa"/>
              <w:bottom w:w="0" w:type="dxa"/>
              <w:right w:w="0" w:type="dxa"/>
            </w:tcMar>
            <w:vAlign w:val="center"/>
          </w:tcPr>
          <w:p w14:paraId="649F0F93">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沥青烟</w:t>
            </w:r>
          </w:p>
        </w:tc>
        <w:tc>
          <w:tcPr>
            <w:tcW w:w="2385" w:type="dxa"/>
            <w:gridSpan w:val="2"/>
            <w:tcBorders>
              <w:bottom w:val="single" w:color="auto" w:sz="2" w:space="0"/>
            </w:tcBorders>
            <w:noWrap w:val="0"/>
            <w:tcMar>
              <w:top w:w="0" w:type="dxa"/>
              <w:left w:w="0" w:type="dxa"/>
              <w:bottom w:w="0" w:type="dxa"/>
              <w:right w:w="0" w:type="dxa"/>
            </w:tcMar>
            <w:vAlign w:val="center"/>
          </w:tcPr>
          <w:p w14:paraId="2138D7DD">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产生量：少量</w:t>
            </w:r>
          </w:p>
        </w:tc>
        <w:tc>
          <w:tcPr>
            <w:tcW w:w="2722" w:type="dxa"/>
            <w:tcBorders>
              <w:bottom w:val="single" w:color="auto" w:sz="2" w:space="0"/>
            </w:tcBorders>
            <w:noWrap w:val="0"/>
            <w:tcMar>
              <w:top w:w="0" w:type="dxa"/>
              <w:left w:w="0" w:type="dxa"/>
              <w:bottom w:w="0" w:type="dxa"/>
              <w:right w:w="0" w:type="dxa"/>
            </w:tcMar>
            <w:vAlign w:val="center"/>
          </w:tcPr>
          <w:p w14:paraId="421B6859">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排放量：少量</w:t>
            </w:r>
          </w:p>
        </w:tc>
      </w:tr>
      <w:tr w14:paraId="65F8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38" w:type="dxa"/>
            <w:vMerge w:val="continue"/>
            <w:noWrap w:val="0"/>
            <w:tcMar>
              <w:top w:w="0" w:type="dxa"/>
              <w:left w:w="0" w:type="dxa"/>
              <w:bottom w:w="0" w:type="dxa"/>
              <w:right w:w="0" w:type="dxa"/>
            </w:tcMar>
            <w:vAlign w:val="center"/>
          </w:tcPr>
          <w:p w14:paraId="28E98D2E">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restart"/>
            <w:noWrap w:val="0"/>
            <w:tcMar>
              <w:top w:w="0" w:type="dxa"/>
              <w:left w:w="0" w:type="dxa"/>
              <w:bottom w:w="0" w:type="dxa"/>
              <w:right w:w="0" w:type="dxa"/>
            </w:tcMar>
            <w:vAlign w:val="center"/>
          </w:tcPr>
          <w:p w14:paraId="6223C4B2">
            <w:pPr>
              <w:adjustRightInd w:val="0"/>
              <w:snapToGrid w:val="0"/>
              <w:spacing w:line="240" w:lineRule="auto"/>
              <w:jc w:val="cente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营运期</w:t>
            </w:r>
          </w:p>
        </w:tc>
        <w:tc>
          <w:tcPr>
            <w:tcW w:w="895" w:type="dxa"/>
            <w:vMerge w:val="restart"/>
            <w:noWrap w:val="0"/>
            <w:tcMar>
              <w:top w:w="0" w:type="dxa"/>
              <w:left w:w="0" w:type="dxa"/>
              <w:bottom w:w="0" w:type="dxa"/>
              <w:right w:w="0" w:type="dxa"/>
            </w:tcMar>
            <w:vAlign w:val="center"/>
          </w:tcPr>
          <w:p w14:paraId="7EEF65E0">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汽车尾气</w:t>
            </w:r>
          </w:p>
          <w:p w14:paraId="6C750D87">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（高峰期源强）</w:t>
            </w:r>
          </w:p>
        </w:tc>
        <w:tc>
          <w:tcPr>
            <w:tcW w:w="1259" w:type="dxa"/>
            <w:tcBorders>
              <w:bottom w:val="single" w:color="auto" w:sz="2" w:space="0"/>
            </w:tcBorders>
            <w:noWrap w:val="0"/>
            <w:tcMar>
              <w:top w:w="0" w:type="dxa"/>
              <w:left w:w="0" w:type="dxa"/>
              <w:bottom w:w="0" w:type="dxa"/>
              <w:right w:w="0" w:type="dxa"/>
            </w:tcMar>
            <w:vAlign w:val="center"/>
          </w:tcPr>
          <w:p w14:paraId="2A3714BD">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w:t>
            </w:r>
          </w:p>
        </w:tc>
        <w:tc>
          <w:tcPr>
            <w:tcW w:w="2385" w:type="dxa"/>
            <w:gridSpan w:val="2"/>
            <w:tcBorders>
              <w:bottom w:val="single" w:color="auto" w:sz="2" w:space="0"/>
            </w:tcBorders>
            <w:noWrap w:val="0"/>
            <w:tcMar>
              <w:top w:w="0" w:type="dxa"/>
              <w:left w:w="0" w:type="dxa"/>
              <w:bottom w:w="0" w:type="dxa"/>
              <w:right w:w="0" w:type="dxa"/>
            </w:tcMar>
            <w:vAlign w:val="center"/>
          </w:tcPr>
          <w:p w14:paraId="744F8FD7">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0.0527</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0.4914</w:t>
            </w:r>
            <w:r>
              <w:rPr>
                <w:rFonts w:ascii="Times New Roman" w:hAnsi="Times New Roman" w:cs="Times New Roman"/>
                <w:b w:val="0"/>
                <w:bCs w:val="0"/>
                <w:color w:val="auto"/>
                <w:sz w:val="21"/>
                <w:szCs w:val="21"/>
                <w:highlight w:val="none"/>
              </w:rPr>
              <w:t>mg/（s.m）</w:t>
            </w:r>
          </w:p>
        </w:tc>
        <w:tc>
          <w:tcPr>
            <w:tcW w:w="2722" w:type="dxa"/>
            <w:tcBorders>
              <w:bottom w:val="single" w:color="auto" w:sz="2" w:space="0"/>
            </w:tcBorders>
            <w:noWrap w:val="0"/>
            <w:tcMar>
              <w:top w:w="0" w:type="dxa"/>
              <w:left w:w="0" w:type="dxa"/>
              <w:bottom w:w="0" w:type="dxa"/>
              <w:right w:w="0" w:type="dxa"/>
            </w:tcMar>
            <w:vAlign w:val="center"/>
          </w:tcPr>
          <w:p w14:paraId="78DEFF6E">
            <w:pPr>
              <w:spacing w:line="240" w:lineRule="auto"/>
              <w:jc w:val="center"/>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0.0527</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0.4914</w:t>
            </w:r>
            <w:r>
              <w:rPr>
                <w:rFonts w:ascii="Times New Roman" w:hAnsi="Times New Roman" w:cs="Times New Roman"/>
                <w:b w:val="0"/>
                <w:bCs w:val="0"/>
                <w:color w:val="auto"/>
                <w:sz w:val="21"/>
                <w:szCs w:val="21"/>
                <w:highlight w:val="none"/>
              </w:rPr>
              <w:t>mg/（s.m）</w:t>
            </w:r>
          </w:p>
        </w:tc>
      </w:tr>
      <w:tr w14:paraId="366D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jc w:val="center"/>
        </w:trPr>
        <w:tc>
          <w:tcPr>
            <w:tcW w:w="738" w:type="dxa"/>
            <w:vMerge w:val="continue"/>
            <w:noWrap w:val="0"/>
            <w:tcMar>
              <w:top w:w="0" w:type="dxa"/>
              <w:left w:w="0" w:type="dxa"/>
              <w:bottom w:w="0" w:type="dxa"/>
              <w:right w:w="0" w:type="dxa"/>
            </w:tcMar>
            <w:vAlign w:val="center"/>
          </w:tcPr>
          <w:p w14:paraId="2F3A8A26">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noWrap w:val="0"/>
            <w:tcMar>
              <w:top w:w="0" w:type="dxa"/>
              <w:left w:w="0" w:type="dxa"/>
              <w:bottom w:w="0" w:type="dxa"/>
              <w:right w:w="0" w:type="dxa"/>
            </w:tcMar>
            <w:vAlign w:val="center"/>
          </w:tcPr>
          <w:p w14:paraId="0DD8585D">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p>
        </w:tc>
        <w:tc>
          <w:tcPr>
            <w:tcW w:w="895" w:type="dxa"/>
            <w:vMerge w:val="continue"/>
            <w:noWrap w:val="0"/>
            <w:tcMar>
              <w:top w:w="0" w:type="dxa"/>
              <w:left w:w="0" w:type="dxa"/>
              <w:bottom w:w="0" w:type="dxa"/>
              <w:right w:w="0" w:type="dxa"/>
            </w:tcMar>
            <w:vAlign w:val="center"/>
          </w:tcPr>
          <w:p w14:paraId="7B9D852D">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p>
        </w:tc>
        <w:tc>
          <w:tcPr>
            <w:tcW w:w="1259" w:type="dxa"/>
            <w:tcBorders>
              <w:bottom w:val="single" w:color="auto" w:sz="2" w:space="0"/>
            </w:tcBorders>
            <w:noWrap w:val="0"/>
            <w:tcMar>
              <w:top w:w="0" w:type="dxa"/>
              <w:left w:w="0" w:type="dxa"/>
              <w:bottom w:w="0" w:type="dxa"/>
              <w:right w:w="0" w:type="dxa"/>
            </w:tcMar>
            <w:vAlign w:val="center"/>
          </w:tcPr>
          <w:p w14:paraId="166F259D">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NO</w:t>
            </w:r>
            <w:r>
              <w:rPr>
                <w:rFonts w:ascii="Times New Roman" w:hAnsi="Times New Roman" w:cs="Times New Roman"/>
                <w:color w:val="auto"/>
                <w:sz w:val="21"/>
                <w:szCs w:val="21"/>
                <w:highlight w:val="none"/>
                <w:vertAlign w:val="subscript"/>
              </w:rPr>
              <w:t>2</w:t>
            </w:r>
          </w:p>
        </w:tc>
        <w:tc>
          <w:tcPr>
            <w:tcW w:w="2385" w:type="dxa"/>
            <w:gridSpan w:val="2"/>
            <w:tcBorders>
              <w:bottom w:val="single" w:color="auto" w:sz="2" w:space="0"/>
            </w:tcBorders>
            <w:noWrap w:val="0"/>
            <w:tcMar>
              <w:top w:w="0" w:type="dxa"/>
              <w:left w:w="0" w:type="dxa"/>
              <w:bottom w:w="0" w:type="dxa"/>
              <w:right w:w="0" w:type="dxa"/>
            </w:tcMar>
            <w:vAlign w:val="center"/>
          </w:tcPr>
          <w:p w14:paraId="2189E1BE">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0084</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0396</w:t>
            </w:r>
            <w:r>
              <w:rPr>
                <w:rFonts w:ascii="Times New Roman" w:hAnsi="Times New Roman" w:cs="Times New Roman"/>
                <w:b w:val="0"/>
                <w:bCs w:val="0"/>
                <w:color w:val="auto"/>
                <w:sz w:val="21"/>
                <w:szCs w:val="21"/>
                <w:highlight w:val="none"/>
              </w:rPr>
              <w:t>mg/（s.m）</w:t>
            </w:r>
          </w:p>
        </w:tc>
        <w:tc>
          <w:tcPr>
            <w:tcW w:w="2722" w:type="dxa"/>
            <w:tcBorders>
              <w:bottom w:val="single" w:color="auto" w:sz="2" w:space="0"/>
            </w:tcBorders>
            <w:noWrap w:val="0"/>
            <w:tcMar>
              <w:top w:w="0" w:type="dxa"/>
              <w:left w:w="0" w:type="dxa"/>
              <w:bottom w:w="0" w:type="dxa"/>
              <w:right w:w="0" w:type="dxa"/>
            </w:tcMar>
            <w:vAlign w:val="center"/>
          </w:tcPr>
          <w:p w14:paraId="43045BC2">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0084</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0396</w:t>
            </w:r>
            <w:r>
              <w:rPr>
                <w:rFonts w:ascii="Times New Roman" w:hAnsi="Times New Roman" w:cs="Times New Roman"/>
                <w:b w:val="0"/>
                <w:bCs w:val="0"/>
                <w:color w:val="auto"/>
                <w:sz w:val="21"/>
                <w:szCs w:val="21"/>
                <w:highlight w:val="none"/>
              </w:rPr>
              <w:t>mg/（s.m）</w:t>
            </w:r>
          </w:p>
        </w:tc>
      </w:tr>
      <w:tr w14:paraId="4A2A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738" w:type="dxa"/>
            <w:vMerge w:val="restart"/>
            <w:noWrap w:val="0"/>
            <w:tcMar>
              <w:top w:w="0" w:type="dxa"/>
              <w:left w:w="0" w:type="dxa"/>
              <w:bottom w:w="0" w:type="dxa"/>
              <w:right w:w="0" w:type="dxa"/>
            </w:tcMar>
            <w:vAlign w:val="center"/>
          </w:tcPr>
          <w:p w14:paraId="097518FE">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水</w:t>
            </w:r>
          </w:p>
          <w:p w14:paraId="2B558894">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污</w:t>
            </w:r>
          </w:p>
          <w:p w14:paraId="59A5D389">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染</w:t>
            </w:r>
          </w:p>
          <w:p w14:paraId="07E4CD14">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物</w:t>
            </w:r>
          </w:p>
        </w:tc>
        <w:tc>
          <w:tcPr>
            <w:tcW w:w="655" w:type="dxa"/>
            <w:vMerge w:val="restart"/>
            <w:tcBorders>
              <w:right w:val="single" w:color="auto" w:sz="4" w:space="0"/>
            </w:tcBorders>
            <w:noWrap w:val="0"/>
            <w:tcMar>
              <w:top w:w="0" w:type="dxa"/>
              <w:left w:w="0" w:type="dxa"/>
              <w:bottom w:w="0" w:type="dxa"/>
              <w:right w:w="0" w:type="dxa"/>
            </w:tcMar>
            <w:vAlign w:val="center"/>
          </w:tcPr>
          <w:p w14:paraId="4BA68290">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w:t>
            </w:r>
          </w:p>
        </w:tc>
        <w:tc>
          <w:tcPr>
            <w:tcW w:w="895" w:type="dxa"/>
            <w:tcBorders>
              <w:right w:val="single" w:color="auto" w:sz="2" w:space="0"/>
            </w:tcBorders>
            <w:noWrap w:val="0"/>
            <w:tcMar>
              <w:top w:w="0" w:type="dxa"/>
              <w:left w:w="0" w:type="dxa"/>
              <w:bottom w:w="0" w:type="dxa"/>
              <w:right w:w="0" w:type="dxa"/>
            </w:tcMar>
            <w:vAlign w:val="center"/>
          </w:tcPr>
          <w:p w14:paraId="0A504F5C">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施工机械</w:t>
            </w:r>
          </w:p>
        </w:tc>
        <w:tc>
          <w:tcPr>
            <w:tcW w:w="1259" w:type="dxa"/>
            <w:tcBorders>
              <w:top w:val="single" w:color="auto" w:sz="2" w:space="0"/>
              <w:left w:val="single" w:color="auto" w:sz="2" w:space="0"/>
              <w:right w:val="single" w:color="auto" w:sz="2" w:space="0"/>
            </w:tcBorders>
            <w:noWrap w:val="0"/>
            <w:tcMar>
              <w:top w:w="0" w:type="dxa"/>
              <w:left w:w="0" w:type="dxa"/>
              <w:bottom w:w="0" w:type="dxa"/>
              <w:right w:w="0" w:type="dxa"/>
            </w:tcMar>
            <w:vAlign w:val="center"/>
          </w:tcPr>
          <w:p w14:paraId="4EB7A783">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2385" w:type="dxa"/>
            <w:gridSpan w:val="2"/>
            <w:tcBorders>
              <w:top w:val="single" w:color="auto" w:sz="2" w:space="0"/>
              <w:left w:val="single" w:color="auto" w:sz="2" w:space="0"/>
              <w:right w:val="single" w:color="auto" w:sz="2" w:space="0"/>
            </w:tcBorders>
            <w:noWrap w:val="0"/>
            <w:tcMar>
              <w:top w:w="0" w:type="dxa"/>
              <w:left w:w="0" w:type="dxa"/>
              <w:bottom w:w="0" w:type="dxa"/>
              <w:right w:w="0" w:type="dxa"/>
            </w:tcMar>
            <w:vAlign w:val="center"/>
          </w:tcPr>
          <w:p w14:paraId="5C99867D">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产生浓度：/</w:t>
            </w:r>
          </w:p>
          <w:p w14:paraId="6B83DAE9">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产生量：少量</w:t>
            </w:r>
          </w:p>
        </w:tc>
        <w:tc>
          <w:tcPr>
            <w:tcW w:w="2722"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14:paraId="7D920867">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经临时沉砂池收集沉淀后，回用于场地洒水降尘，不外排</w:t>
            </w:r>
          </w:p>
        </w:tc>
      </w:tr>
      <w:tr w14:paraId="0715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54" w:hRule="atLeast"/>
          <w:jc w:val="center"/>
        </w:trPr>
        <w:tc>
          <w:tcPr>
            <w:tcW w:w="738" w:type="dxa"/>
            <w:vMerge w:val="continue"/>
            <w:noWrap w:val="0"/>
            <w:tcMar>
              <w:top w:w="0" w:type="dxa"/>
              <w:left w:w="0" w:type="dxa"/>
              <w:bottom w:w="0" w:type="dxa"/>
              <w:right w:w="0" w:type="dxa"/>
            </w:tcMar>
            <w:vAlign w:val="center"/>
          </w:tcPr>
          <w:p w14:paraId="4902CE81">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tcBorders>
              <w:right w:val="single" w:color="auto" w:sz="4" w:space="0"/>
            </w:tcBorders>
            <w:noWrap w:val="0"/>
            <w:tcMar>
              <w:top w:w="0" w:type="dxa"/>
              <w:left w:w="0" w:type="dxa"/>
              <w:bottom w:w="0" w:type="dxa"/>
              <w:right w:w="0" w:type="dxa"/>
            </w:tcMar>
            <w:vAlign w:val="center"/>
          </w:tcPr>
          <w:p w14:paraId="21BE1ADA">
            <w:pPr>
              <w:adjustRightInd w:val="0"/>
              <w:snapToGrid w:val="0"/>
              <w:spacing w:line="240" w:lineRule="auto"/>
              <w:jc w:val="center"/>
              <w:rPr>
                <w:rFonts w:ascii="Times New Roman" w:hAnsi="Times New Roman" w:cs="Times New Roman"/>
                <w:color w:val="auto"/>
                <w:sz w:val="21"/>
                <w:szCs w:val="21"/>
                <w:highlight w:val="none"/>
              </w:rPr>
            </w:pPr>
          </w:p>
        </w:tc>
        <w:tc>
          <w:tcPr>
            <w:tcW w:w="895" w:type="dxa"/>
            <w:tcBorders>
              <w:right w:val="single" w:color="auto" w:sz="2" w:space="0"/>
            </w:tcBorders>
            <w:noWrap w:val="0"/>
            <w:tcMar>
              <w:top w:w="0" w:type="dxa"/>
              <w:left w:w="0" w:type="dxa"/>
              <w:bottom w:w="0" w:type="dxa"/>
              <w:right w:w="0" w:type="dxa"/>
            </w:tcMar>
            <w:vAlign w:val="center"/>
          </w:tcPr>
          <w:p w14:paraId="485F06E1">
            <w:pPr>
              <w:adjustRightInd w:val="0"/>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跨水域路段施工废水</w:t>
            </w:r>
          </w:p>
        </w:tc>
        <w:tc>
          <w:tcPr>
            <w:tcW w:w="1259" w:type="dxa"/>
            <w:tcBorders>
              <w:top w:val="single" w:color="auto" w:sz="2" w:space="0"/>
              <w:left w:val="single" w:color="auto" w:sz="2" w:space="0"/>
              <w:right w:val="single" w:color="auto" w:sz="2" w:space="0"/>
            </w:tcBorders>
            <w:noWrap w:val="0"/>
            <w:tcMar>
              <w:top w:w="0" w:type="dxa"/>
              <w:left w:w="0" w:type="dxa"/>
              <w:bottom w:w="0" w:type="dxa"/>
              <w:right w:w="0" w:type="dxa"/>
            </w:tcMar>
            <w:vAlign w:val="center"/>
          </w:tcPr>
          <w:p w14:paraId="200A4298">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SS</w:t>
            </w:r>
          </w:p>
        </w:tc>
        <w:tc>
          <w:tcPr>
            <w:tcW w:w="2385" w:type="dxa"/>
            <w:gridSpan w:val="2"/>
            <w:tcBorders>
              <w:top w:val="single" w:color="auto" w:sz="2" w:space="0"/>
              <w:left w:val="single" w:color="auto" w:sz="2" w:space="0"/>
              <w:right w:val="single" w:color="auto" w:sz="2" w:space="0"/>
            </w:tcBorders>
            <w:noWrap w:val="0"/>
            <w:tcMar>
              <w:top w:w="0" w:type="dxa"/>
              <w:left w:w="0" w:type="dxa"/>
              <w:bottom w:w="0" w:type="dxa"/>
              <w:right w:w="0" w:type="dxa"/>
            </w:tcMar>
            <w:vAlign w:val="center"/>
          </w:tcPr>
          <w:p w14:paraId="4014833F">
            <w:pPr>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产生浓度：</w:t>
            </w:r>
            <w:r>
              <w:rPr>
                <w:rFonts w:hint="eastAsia" w:cs="Times New Roman"/>
                <w:color w:val="auto"/>
                <w:sz w:val="21"/>
                <w:szCs w:val="21"/>
                <w:highlight w:val="none"/>
                <w:lang w:val="en-US" w:eastAsia="zh-CN"/>
              </w:rPr>
              <w:t>/</w:t>
            </w:r>
          </w:p>
          <w:p w14:paraId="38591C83">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产生量：少量</w:t>
            </w:r>
          </w:p>
        </w:tc>
        <w:tc>
          <w:tcPr>
            <w:tcW w:w="2722"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14:paraId="25760A45">
            <w:pPr>
              <w:adjustRightInd w:val="0"/>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收集于沉砂池处理后，回用于项目洒水降尘，不外排</w:t>
            </w:r>
          </w:p>
        </w:tc>
      </w:tr>
      <w:tr w14:paraId="679D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4" w:hRule="atLeast"/>
          <w:jc w:val="center"/>
        </w:trPr>
        <w:tc>
          <w:tcPr>
            <w:tcW w:w="738" w:type="dxa"/>
            <w:vMerge w:val="continue"/>
            <w:noWrap w:val="0"/>
            <w:tcMar>
              <w:top w:w="0" w:type="dxa"/>
              <w:left w:w="0" w:type="dxa"/>
              <w:bottom w:w="0" w:type="dxa"/>
              <w:right w:w="0" w:type="dxa"/>
            </w:tcMar>
            <w:vAlign w:val="center"/>
          </w:tcPr>
          <w:p w14:paraId="225B4130">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tcBorders>
              <w:right w:val="single" w:color="auto" w:sz="4" w:space="0"/>
            </w:tcBorders>
            <w:noWrap w:val="0"/>
            <w:tcMar>
              <w:top w:w="0" w:type="dxa"/>
              <w:left w:w="0" w:type="dxa"/>
              <w:bottom w:w="0" w:type="dxa"/>
              <w:right w:w="0" w:type="dxa"/>
            </w:tcMar>
            <w:vAlign w:val="center"/>
          </w:tcPr>
          <w:p w14:paraId="17C14F22">
            <w:pPr>
              <w:adjustRightInd w:val="0"/>
              <w:snapToGrid w:val="0"/>
              <w:spacing w:line="240" w:lineRule="auto"/>
              <w:jc w:val="center"/>
              <w:rPr>
                <w:rFonts w:ascii="Times New Roman" w:hAnsi="Times New Roman" w:cs="Times New Roman"/>
                <w:color w:val="auto"/>
                <w:sz w:val="21"/>
                <w:szCs w:val="21"/>
                <w:highlight w:val="none"/>
              </w:rPr>
            </w:pPr>
          </w:p>
        </w:tc>
        <w:tc>
          <w:tcPr>
            <w:tcW w:w="895" w:type="dxa"/>
            <w:tcBorders>
              <w:right w:val="single" w:color="auto" w:sz="2" w:space="0"/>
            </w:tcBorders>
            <w:noWrap w:val="0"/>
            <w:tcMar>
              <w:top w:w="0" w:type="dxa"/>
              <w:left w:w="0" w:type="dxa"/>
              <w:bottom w:w="0" w:type="dxa"/>
              <w:right w:w="0" w:type="dxa"/>
            </w:tcMar>
            <w:vAlign w:val="center"/>
          </w:tcPr>
          <w:p w14:paraId="390DBD99">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施工人员</w:t>
            </w:r>
          </w:p>
        </w:tc>
        <w:tc>
          <w:tcPr>
            <w:tcW w:w="1259" w:type="dxa"/>
            <w:tcBorders>
              <w:top w:val="single" w:color="auto" w:sz="2" w:space="0"/>
              <w:left w:val="single" w:color="auto" w:sz="2" w:space="0"/>
              <w:right w:val="single" w:color="auto" w:sz="2" w:space="0"/>
            </w:tcBorders>
            <w:noWrap w:val="0"/>
            <w:tcMar>
              <w:top w:w="0" w:type="dxa"/>
              <w:left w:w="0" w:type="dxa"/>
              <w:bottom w:w="0" w:type="dxa"/>
              <w:right w:w="0" w:type="dxa"/>
            </w:tcMar>
            <w:vAlign w:val="center"/>
          </w:tcPr>
          <w:p w14:paraId="068F25DA">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COD、SS、BOD</w:t>
            </w:r>
            <w:r>
              <w:rPr>
                <w:rFonts w:ascii="Times New Roman" w:hAnsi="Times New Roman" w:cs="Times New Roman"/>
                <w:color w:val="auto"/>
                <w:sz w:val="21"/>
                <w:szCs w:val="21"/>
                <w:highlight w:val="none"/>
                <w:vertAlign w:val="subscript"/>
              </w:rPr>
              <w:t>5</w:t>
            </w:r>
          </w:p>
        </w:tc>
        <w:tc>
          <w:tcPr>
            <w:tcW w:w="2385" w:type="dxa"/>
            <w:gridSpan w:val="2"/>
            <w:tcBorders>
              <w:top w:val="single" w:color="auto" w:sz="2" w:space="0"/>
              <w:left w:val="single" w:color="auto" w:sz="2" w:space="0"/>
              <w:right w:val="single" w:color="auto" w:sz="2" w:space="0"/>
            </w:tcBorders>
            <w:noWrap w:val="0"/>
            <w:tcMar>
              <w:top w:w="0" w:type="dxa"/>
              <w:left w:w="0" w:type="dxa"/>
              <w:bottom w:w="0" w:type="dxa"/>
              <w:right w:w="0" w:type="dxa"/>
            </w:tcMar>
            <w:vAlign w:val="center"/>
          </w:tcPr>
          <w:p w14:paraId="3990CED7">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产生浓度：/</w:t>
            </w:r>
          </w:p>
          <w:p w14:paraId="0301093A">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产生量：</w:t>
            </w:r>
            <w:r>
              <w:rPr>
                <w:rFonts w:hint="eastAsia" w:ascii="Times New Roman" w:hAnsi="Times New Roman" w:cs="Times New Roman"/>
                <w:color w:val="auto"/>
                <w:sz w:val="21"/>
                <w:szCs w:val="21"/>
                <w:highlight w:val="none"/>
                <w:lang w:val="en-US" w:eastAsia="zh-CN"/>
              </w:rPr>
              <w:t>248.2t</w:t>
            </w:r>
          </w:p>
        </w:tc>
        <w:tc>
          <w:tcPr>
            <w:tcW w:w="2722"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14:paraId="6123F6F8">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施工人员生活污水</w:t>
            </w:r>
            <w:bookmarkStart w:id="12" w:name="OLE_LINK17"/>
            <w:r>
              <w:rPr>
                <w:rFonts w:ascii="Times New Roman" w:hAnsi="Times New Roman" w:cs="Times New Roman"/>
                <w:color w:val="auto"/>
                <w:sz w:val="21"/>
                <w:szCs w:val="21"/>
                <w:highlight w:val="none"/>
              </w:rPr>
              <w:t>经临时沉砂池收集沉淀后，回用于场地洒水降尘，不外排</w:t>
            </w:r>
            <w:bookmarkEnd w:id="12"/>
          </w:p>
        </w:tc>
      </w:tr>
      <w:tr w14:paraId="45DD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4" w:hRule="atLeast"/>
          <w:jc w:val="center"/>
        </w:trPr>
        <w:tc>
          <w:tcPr>
            <w:tcW w:w="738" w:type="dxa"/>
            <w:vMerge w:val="continue"/>
            <w:noWrap w:val="0"/>
            <w:tcMar>
              <w:top w:w="0" w:type="dxa"/>
              <w:left w:w="0" w:type="dxa"/>
              <w:bottom w:w="0" w:type="dxa"/>
              <w:right w:w="0" w:type="dxa"/>
            </w:tcMar>
            <w:textDirection w:val="tbRlV"/>
            <w:vAlign w:val="center"/>
          </w:tcPr>
          <w:p w14:paraId="22A2FFE9">
            <w:pPr>
              <w:adjustRightInd w:val="0"/>
              <w:snapToGrid w:val="0"/>
              <w:spacing w:before="20" w:after="20" w:line="240" w:lineRule="auto"/>
              <w:ind w:left="113" w:right="113"/>
              <w:jc w:val="center"/>
              <w:rPr>
                <w:rFonts w:ascii="Times New Roman" w:hAnsi="Times New Roman" w:cs="Times New Roman"/>
                <w:color w:val="auto"/>
                <w:sz w:val="21"/>
                <w:szCs w:val="21"/>
                <w:highlight w:val="none"/>
              </w:rPr>
            </w:pPr>
          </w:p>
        </w:tc>
        <w:tc>
          <w:tcPr>
            <w:tcW w:w="655" w:type="dxa"/>
            <w:tcBorders>
              <w:top w:val="single" w:color="auto" w:sz="4" w:space="0"/>
              <w:right w:val="single" w:color="auto" w:sz="4" w:space="0"/>
            </w:tcBorders>
            <w:noWrap w:val="0"/>
            <w:tcMar>
              <w:top w:w="0" w:type="dxa"/>
              <w:left w:w="0" w:type="dxa"/>
              <w:bottom w:w="0" w:type="dxa"/>
              <w:right w:w="0" w:type="dxa"/>
            </w:tcMar>
            <w:vAlign w:val="center"/>
          </w:tcPr>
          <w:p w14:paraId="61C59B8F">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运营期</w:t>
            </w:r>
          </w:p>
        </w:tc>
        <w:tc>
          <w:tcPr>
            <w:tcW w:w="895" w:type="dxa"/>
            <w:tcBorders>
              <w:top w:val="single" w:color="auto" w:sz="4" w:space="0"/>
              <w:right w:val="single" w:color="auto" w:sz="2" w:space="0"/>
            </w:tcBorders>
            <w:noWrap w:val="0"/>
            <w:tcMar>
              <w:top w:w="0" w:type="dxa"/>
              <w:left w:w="0" w:type="dxa"/>
              <w:bottom w:w="0" w:type="dxa"/>
              <w:right w:w="0" w:type="dxa"/>
            </w:tcMar>
            <w:vAlign w:val="center"/>
          </w:tcPr>
          <w:p w14:paraId="51BBAB55">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路面径流</w:t>
            </w:r>
          </w:p>
        </w:tc>
        <w:tc>
          <w:tcPr>
            <w:tcW w:w="1259" w:type="dxa"/>
            <w:tcBorders>
              <w:top w:val="single" w:color="auto" w:sz="4"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14:paraId="70B0C9CB">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2385" w:type="dxa"/>
            <w:gridSpan w:val="2"/>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14:paraId="798EE360">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产生浓度：/</w:t>
            </w:r>
          </w:p>
          <w:p w14:paraId="354816B8">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产生量：少量</w:t>
            </w:r>
          </w:p>
        </w:tc>
        <w:tc>
          <w:tcPr>
            <w:tcW w:w="2722"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14:paraId="43C944A0">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排放浓度：/</w:t>
            </w:r>
          </w:p>
          <w:p w14:paraId="6A7EB225">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排放量：少量</w:t>
            </w:r>
          </w:p>
          <w:p w14:paraId="4E4EC954">
            <w:pPr>
              <w:adjustRightInd w:val="0"/>
              <w:snapToGrid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ascii="Times New Roman" w:hAnsi="Times New Roman" w:cs="Times New Roman"/>
                <w:bCs/>
                <w:color w:val="auto"/>
                <w:sz w:val="21"/>
                <w:szCs w:val="21"/>
                <w:highlight w:val="none"/>
              </w:rPr>
              <w:t>排放方式：</w:t>
            </w:r>
            <w:r>
              <w:rPr>
                <w:rFonts w:hint="eastAsia" w:ascii="Times New Roman" w:hAnsi="Times New Roman" w:cs="Times New Roman"/>
                <w:bCs/>
                <w:color w:val="auto"/>
                <w:sz w:val="21"/>
                <w:szCs w:val="21"/>
                <w:highlight w:val="none"/>
                <w:lang w:eastAsia="zh-CN"/>
              </w:rPr>
              <w:t>经雨水管道排入就近河流</w:t>
            </w:r>
          </w:p>
        </w:tc>
      </w:tr>
      <w:tr w14:paraId="7A5E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8" w:type="dxa"/>
            <w:vMerge w:val="restart"/>
            <w:noWrap w:val="0"/>
            <w:tcMar>
              <w:top w:w="0" w:type="dxa"/>
              <w:left w:w="0" w:type="dxa"/>
              <w:bottom w:w="0" w:type="dxa"/>
              <w:right w:w="0" w:type="dxa"/>
            </w:tcMar>
            <w:vAlign w:val="center"/>
          </w:tcPr>
          <w:p w14:paraId="1E26C0CA">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固体</w:t>
            </w:r>
          </w:p>
          <w:p w14:paraId="2C1B0F9F">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废物</w:t>
            </w:r>
          </w:p>
        </w:tc>
        <w:tc>
          <w:tcPr>
            <w:tcW w:w="655" w:type="dxa"/>
            <w:vMerge w:val="restart"/>
            <w:noWrap w:val="0"/>
            <w:tcMar>
              <w:top w:w="0" w:type="dxa"/>
              <w:left w:w="0" w:type="dxa"/>
              <w:bottom w:w="0" w:type="dxa"/>
              <w:right w:w="0" w:type="dxa"/>
            </w:tcMar>
            <w:vAlign w:val="center"/>
          </w:tcPr>
          <w:p w14:paraId="103ADAE7">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w:t>
            </w:r>
          </w:p>
        </w:tc>
        <w:tc>
          <w:tcPr>
            <w:tcW w:w="895" w:type="dxa"/>
            <w:vMerge w:val="restart"/>
            <w:noWrap w:val="0"/>
            <w:tcMar>
              <w:top w:w="0" w:type="dxa"/>
              <w:left w:w="0" w:type="dxa"/>
              <w:bottom w:w="0" w:type="dxa"/>
              <w:right w:w="0" w:type="dxa"/>
            </w:tcMar>
            <w:vAlign w:val="center"/>
          </w:tcPr>
          <w:p w14:paraId="2C2CBF78">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施工场地</w:t>
            </w:r>
          </w:p>
        </w:tc>
        <w:tc>
          <w:tcPr>
            <w:tcW w:w="1259" w:type="dxa"/>
            <w:tcBorders>
              <w:top w:val="single" w:color="auto" w:sz="2" w:space="0"/>
            </w:tcBorders>
            <w:noWrap w:val="0"/>
            <w:tcMar>
              <w:top w:w="0" w:type="dxa"/>
              <w:left w:w="0" w:type="dxa"/>
              <w:bottom w:w="0" w:type="dxa"/>
              <w:right w:w="0" w:type="dxa"/>
            </w:tcMar>
            <w:vAlign w:val="center"/>
          </w:tcPr>
          <w:p w14:paraId="4FB5804F">
            <w:pPr>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弃土</w:t>
            </w:r>
          </w:p>
        </w:tc>
        <w:tc>
          <w:tcPr>
            <w:tcW w:w="1143" w:type="dxa"/>
            <w:tcBorders>
              <w:top w:val="single" w:color="auto" w:sz="2" w:space="0"/>
            </w:tcBorders>
            <w:noWrap w:val="0"/>
            <w:tcMar>
              <w:top w:w="0" w:type="dxa"/>
              <w:left w:w="0" w:type="dxa"/>
              <w:bottom w:w="0" w:type="dxa"/>
              <w:right w:w="0" w:type="dxa"/>
            </w:tcMar>
            <w:vAlign w:val="center"/>
          </w:tcPr>
          <w:p w14:paraId="3CC41E7A">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242" w:type="dxa"/>
            <w:tcBorders>
              <w:top w:val="single" w:color="auto" w:sz="2" w:space="0"/>
            </w:tcBorders>
            <w:noWrap w:val="0"/>
            <w:tcMar>
              <w:top w:w="0" w:type="dxa"/>
              <w:left w:w="0" w:type="dxa"/>
              <w:bottom w:w="0" w:type="dxa"/>
              <w:right w:w="0" w:type="dxa"/>
            </w:tcMar>
            <w:vAlign w:val="center"/>
          </w:tcPr>
          <w:p w14:paraId="19CA6FAE">
            <w:pPr>
              <w:snapToGrid w:val="0"/>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301132m</w:t>
            </w:r>
            <w:r>
              <w:rPr>
                <w:rFonts w:hint="eastAsia" w:cs="Times New Roman" w:eastAsiaTheme="minorEastAsia"/>
                <w:color w:val="auto"/>
                <w:sz w:val="21"/>
                <w:szCs w:val="21"/>
                <w:highlight w:val="none"/>
                <w:vertAlign w:val="superscript"/>
                <w:lang w:val="en-US" w:eastAsia="zh-CN"/>
              </w:rPr>
              <w:t>3</w:t>
            </w:r>
          </w:p>
        </w:tc>
        <w:tc>
          <w:tcPr>
            <w:tcW w:w="2722" w:type="dxa"/>
            <w:tcBorders>
              <w:top w:val="single" w:color="auto" w:sz="2" w:space="0"/>
            </w:tcBorders>
            <w:noWrap w:val="0"/>
            <w:tcMar>
              <w:top w:w="0" w:type="dxa"/>
              <w:left w:w="0" w:type="dxa"/>
              <w:bottom w:w="0" w:type="dxa"/>
              <w:right w:w="0" w:type="dxa"/>
            </w:tcMar>
            <w:vAlign w:val="center"/>
          </w:tcPr>
          <w:p w14:paraId="417A9782">
            <w:pPr>
              <w:adjustRightInd w:val="0"/>
              <w:snapToGrid w:val="0"/>
              <w:spacing w:line="240" w:lineRule="auto"/>
              <w:jc w:val="center"/>
              <w:rPr>
                <w:rFonts w:ascii="Times New Roman" w:hAnsi="Times New Roman" w:cs="Times New Roman"/>
                <w:color w:val="auto"/>
                <w:sz w:val="21"/>
                <w:szCs w:val="21"/>
                <w:highlight w:val="none"/>
              </w:rPr>
            </w:pPr>
            <w:r>
              <w:rPr>
                <w:rFonts w:hint="eastAsia" w:ascii="Times New Roman" w:hAnsi="Times New Roman"/>
                <w:color w:val="auto"/>
                <w:sz w:val="21"/>
                <w:szCs w:val="21"/>
              </w:rPr>
              <w:t>产生的废</w:t>
            </w:r>
            <w:r>
              <w:rPr>
                <w:rFonts w:hint="eastAsia"/>
                <w:color w:val="auto"/>
                <w:sz w:val="21"/>
                <w:szCs w:val="21"/>
                <w:lang w:eastAsia="zh-CN"/>
              </w:rPr>
              <w:t>土</w:t>
            </w:r>
            <w:r>
              <w:rPr>
                <w:rFonts w:hint="eastAsia" w:ascii="Times New Roman" w:hAnsi="Times New Roman"/>
                <w:color w:val="auto"/>
                <w:sz w:val="21"/>
                <w:szCs w:val="21"/>
              </w:rPr>
              <w:t>运至</w:t>
            </w:r>
            <w:r>
              <w:rPr>
                <w:rFonts w:hint="eastAsia"/>
                <w:color w:val="auto"/>
                <w:sz w:val="21"/>
                <w:szCs w:val="21"/>
                <w:lang w:eastAsia="zh-CN"/>
              </w:rPr>
              <w:t>合法</w:t>
            </w:r>
            <w:r>
              <w:rPr>
                <w:rFonts w:hint="eastAsia" w:ascii="Times New Roman" w:hAnsi="Times New Roman"/>
                <w:color w:val="auto"/>
                <w:sz w:val="21"/>
                <w:szCs w:val="21"/>
              </w:rPr>
              <w:t>弃</w:t>
            </w:r>
            <w:r>
              <w:rPr>
                <w:rFonts w:hint="eastAsia"/>
                <w:color w:val="auto"/>
                <w:sz w:val="21"/>
                <w:szCs w:val="21"/>
                <w:lang w:eastAsia="zh-CN"/>
              </w:rPr>
              <w:t>土</w:t>
            </w:r>
            <w:r>
              <w:rPr>
                <w:rFonts w:hint="eastAsia" w:ascii="Times New Roman" w:hAnsi="Times New Roman"/>
                <w:color w:val="auto"/>
                <w:sz w:val="21"/>
                <w:szCs w:val="21"/>
              </w:rPr>
              <w:t>场进行处置</w:t>
            </w:r>
          </w:p>
        </w:tc>
      </w:tr>
      <w:tr w14:paraId="0A7F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4" w:hRule="atLeast"/>
          <w:jc w:val="center"/>
        </w:trPr>
        <w:tc>
          <w:tcPr>
            <w:tcW w:w="738" w:type="dxa"/>
            <w:vMerge w:val="continue"/>
            <w:noWrap w:val="0"/>
            <w:tcMar>
              <w:top w:w="0" w:type="dxa"/>
              <w:left w:w="0" w:type="dxa"/>
              <w:bottom w:w="0" w:type="dxa"/>
              <w:right w:w="0" w:type="dxa"/>
            </w:tcMar>
            <w:vAlign w:val="center"/>
          </w:tcPr>
          <w:p w14:paraId="59F952E8">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noWrap w:val="0"/>
            <w:tcMar>
              <w:top w:w="0" w:type="dxa"/>
              <w:left w:w="0" w:type="dxa"/>
              <w:bottom w:w="0" w:type="dxa"/>
              <w:right w:w="0" w:type="dxa"/>
            </w:tcMar>
            <w:vAlign w:val="center"/>
          </w:tcPr>
          <w:p w14:paraId="2F94CB9E">
            <w:pPr>
              <w:adjustRightInd w:val="0"/>
              <w:snapToGrid w:val="0"/>
              <w:spacing w:line="240" w:lineRule="auto"/>
              <w:jc w:val="center"/>
              <w:rPr>
                <w:rFonts w:ascii="Times New Roman" w:hAnsi="Times New Roman" w:cs="Times New Roman"/>
                <w:color w:val="auto"/>
                <w:sz w:val="21"/>
                <w:szCs w:val="21"/>
                <w:highlight w:val="none"/>
              </w:rPr>
            </w:pPr>
          </w:p>
        </w:tc>
        <w:tc>
          <w:tcPr>
            <w:tcW w:w="895" w:type="dxa"/>
            <w:vMerge w:val="continue"/>
            <w:noWrap w:val="0"/>
            <w:tcMar>
              <w:top w:w="0" w:type="dxa"/>
              <w:left w:w="0" w:type="dxa"/>
              <w:bottom w:w="0" w:type="dxa"/>
              <w:right w:w="0" w:type="dxa"/>
            </w:tcMar>
            <w:vAlign w:val="center"/>
          </w:tcPr>
          <w:p w14:paraId="7F013B4B">
            <w:pPr>
              <w:adjustRightInd w:val="0"/>
              <w:snapToGrid w:val="0"/>
              <w:spacing w:line="240" w:lineRule="auto"/>
              <w:jc w:val="center"/>
              <w:rPr>
                <w:rFonts w:ascii="Times New Roman" w:hAnsi="Times New Roman" w:cs="Times New Roman"/>
                <w:color w:val="auto"/>
                <w:sz w:val="21"/>
                <w:szCs w:val="21"/>
                <w:highlight w:val="none"/>
              </w:rPr>
            </w:pPr>
          </w:p>
        </w:tc>
        <w:tc>
          <w:tcPr>
            <w:tcW w:w="1259" w:type="dxa"/>
            <w:tcBorders>
              <w:top w:val="single" w:color="auto" w:sz="2" w:space="0"/>
            </w:tcBorders>
            <w:noWrap w:val="0"/>
            <w:tcMar>
              <w:top w:w="0" w:type="dxa"/>
              <w:left w:w="0" w:type="dxa"/>
              <w:bottom w:w="0" w:type="dxa"/>
              <w:right w:w="0" w:type="dxa"/>
            </w:tcMar>
            <w:vAlign w:val="center"/>
          </w:tcPr>
          <w:p w14:paraId="32786ACE">
            <w:pPr>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施工垃圾</w:t>
            </w:r>
          </w:p>
        </w:tc>
        <w:tc>
          <w:tcPr>
            <w:tcW w:w="1143" w:type="dxa"/>
            <w:tcBorders>
              <w:top w:val="single" w:color="auto" w:sz="2" w:space="0"/>
            </w:tcBorders>
            <w:noWrap w:val="0"/>
            <w:tcMar>
              <w:top w:w="0" w:type="dxa"/>
              <w:left w:w="0" w:type="dxa"/>
              <w:bottom w:w="0" w:type="dxa"/>
              <w:right w:w="0" w:type="dxa"/>
            </w:tcMar>
            <w:vAlign w:val="center"/>
          </w:tcPr>
          <w:p w14:paraId="4F690601">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242" w:type="dxa"/>
            <w:tcBorders>
              <w:top w:val="single" w:color="auto" w:sz="2" w:space="0"/>
            </w:tcBorders>
            <w:noWrap w:val="0"/>
            <w:tcMar>
              <w:top w:w="0" w:type="dxa"/>
              <w:left w:w="0" w:type="dxa"/>
              <w:bottom w:w="0" w:type="dxa"/>
              <w:right w:w="0" w:type="dxa"/>
            </w:tcMar>
            <w:vAlign w:val="center"/>
          </w:tcPr>
          <w:p w14:paraId="2C9941A1">
            <w:pPr>
              <w:snapToGrid w:val="0"/>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120</w:t>
            </w:r>
            <w:r>
              <w:rPr>
                <w:rFonts w:ascii="Times New Roman" w:hAnsi="Times New Roman" w:cs="Times New Roman"/>
                <w:color w:val="auto"/>
                <w:sz w:val="21"/>
                <w:szCs w:val="21"/>
                <w:highlight w:val="none"/>
              </w:rPr>
              <w:t>t</w:t>
            </w:r>
          </w:p>
        </w:tc>
        <w:tc>
          <w:tcPr>
            <w:tcW w:w="2722" w:type="dxa"/>
            <w:tcBorders>
              <w:top w:val="single" w:color="auto" w:sz="2" w:space="0"/>
            </w:tcBorders>
            <w:noWrap w:val="0"/>
            <w:tcMar>
              <w:top w:w="0" w:type="dxa"/>
              <w:left w:w="0" w:type="dxa"/>
              <w:bottom w:w="0" w:type="dxa"/>
              <w:right w:w="0" w:type="dxa"/>
            </w:tcMar>
            <w:vAlign w:val="center"/>
          </w:tcPr>
          <w:p w14:paraId="2CC96B5B">
            <w:pPr>
              <w:spacing w:line="240" w:lineRule="auto"/>
              <w:rPr>
                <w:rFonts w:ascii="Times New Roman" w:hAnsi="Times New Roman" w:cs="Times New Roman"/>
                <w:color w:val="auto"/>
                <w:sz w:val="21"/>
                <w:szCs w:val="21"/>
                <w:highlight w:val="none"/>
              </w:rPr>
            </w:pPr>
            <w:r>
              <w:rPr>
                <w:rFonts w:hint="eastAsia" w:ascii="Times New Roman" w:hAnsi="Times New Roman"/>
                <w:kern w:val="18"/>
                <w:sz w:val="21"/>
                <w:szCs w:val="21"/>
              </w:rPr>
              <w:t>按照《城市建筑垃圾管理规定》的规定充分回收利用，不能利用的部分应给予收集，不能随意丢弃，由施工单位运至建设部门指定地点进行妥善处置。</w:t>
            </w:r>
          </w:p>
        </w:tc>
      </w:tr>
      <w:tr w14:paraId="0564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8" w:type="dxa"/>
            <w:vMerge w:val="continue"/>
            <w:noWrap w:val="0"/>
            <w:tcMar>
              <w:top w:w="0" w:type="dxa"/>
              <w:left w:w="0" w:type="dxa"/>
              <w:bottom w:w="0" w:type="dxa"/>
              <w:right w:w="0" w:type="dxa"/>
            </w:tcMar>
            <w:vAlign w:val="center"/>
          </w:tcPr>
          <w:p w14:paraId="39EDB7BB">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noWrap w:val="0"/>
            <w:tcMar>
              <w:top w:w="0" w:type="dxa"/>
              <w:left w:w="0" w:type="dxa"/>
              <w:bottom w:w="0" w:type="dxa"/>
              <w:right w:w="0" w:type="dxa"/>
            </w:tcMar>
            <w:vAlign w:val="center"/>
          </w:tcPr>
          <w:p w14:paraId="53FD8A22">
            <w:pPr>
              <w:adjustRightInd w:val="0"/>
              <w:snapToGrid w:val="0"/>
              <w:spacing w:line="240" w:lineRule="auto"/>
              <w:jc w:val="center"/>
              <w:rPr>
                <w:rFonts w:ascii="Times New Roman" w:hAnsi="Times New Roman" w:cs="Times New Roman"/>
                <w:color w:val="auto"/>
                <w:sz w:val="21"/>
                <w:szCs w:val="21"/>
                <w:highlight w:val="none"/>
              </w:rPr>
            </w:pPr>
          </w:p>
        </w:tc>
        <w:tc>
          <w:tcPr>
            <w:tcW w:w="895" w:type="dxa"/>
            <w:vMerge w:val="continue"/>
            <w:noWrap w:val="0"/>
            <w:tcMar>
              <w:top w:w="0" w:type="dxa"/>
              <w:left w:w="0" w:type="dxa"/>
              <w:bottom w:w="0" w:type="dxa"/>
              <w:right w:w="0" w:type="dxa"/>
            </w:tcMar>
            <w:vAlign w:val="center"/>
          </w:tcPr>
          <w:p w14:paraId="63B49381">
            <w:pPr>
              <w:adjustRightInd w:val="0"/>
              <w:snapToGrid w:val="0"/>
              <w:spacing w:line="240" w:lineRule="auto"/>
              <w:jc w:val="center"/>
              <w:rPr>
                <w:rFonts w:ascii="Times New Roman" w:hAnsi="Times New Roman" w:cs="Times New Roman"/>
                <w:color w:val="auto"/>
                <w:sz w:val="21"/>
                <w:szCs w:val="21"/>
                <w:highlight w:val="none"/>
              </w:rPr>
            </w:pPr>
          </w:p>
        </w:tc>
        <w:tc>
          <w:tcPr>
            <w:tcW w:w="1259" w:type="dxa"/>
            <w:tcBorders>
              <w:top w:val="single" w:color="auto" w:sz="2" w:space="0"/>
              <w:bottom w:val="single" w:color="auto" w:sz="4" w:space="0"/>
            </w:tcBorders>
            <w:noWrap w:val="0"/>
            <w:tcMar>
              <w:top w:w="0" w:type="dxa"/>
              <w:left w:w="0" w:type="dxa"/>
              <w:bottom w:w="0" w:type="dxa"/>
              <w:right w:w="0" w:type="dxa"/>
            </w:tcMar>
            <w:vAlign w:val="center"/>
          </w:tcPr>
          <w:p w14:paraId="61AD5CBF">
            <w:pPr>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生活垃圾</w:t>
            </w:r>
          </w:p>
        </w:tc>
        <w:tc>
          <w:tcPr>
            <w:tcW w:w="1143" w:type="dxa"/>
            <w:tcBorders>
              <w:top w:val="single" w:color="auto" w:sz="2" w:space="0"/>
            </w:tcBorders>
            <w:noWrap w:val="0"/>
            <w:tcMar>
              <w:top w:w="0" w:type="dxa"/>
              <w:left w:w="0" w:type="dxa"/>
              <w:bottom w:w="0" w:type="dxa"/>
              <w:right w:w="0" w:type="dxa"/>
            </w:tcMar>
            <w:vAlign w:val="center"/>
          </w:tcPr>
          <w:p w14:paraId="72402F2A">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1242" w:type="dxa"/>
            <w:tcBorders>
              <w:top w:val="single" w:color="auto" w:sz="2" w:space="0"/>
            </w:tcBorders>
            <w:noWrap w:val="0"/>
            <w:tcMar>
              <w:top w:w="0" w:type="dxa"/>
              <w:left w:w="0" w:type="dxa"/>
              <w:bottom w:w="0" w:type="dxa"/>
              <w:right w:w="0" w:type="dxa"/>
            </w:tcMar>
            <w:vAlign w:val="center"/>
          </w:tcPr>
          <w:p w14:paraId="0F6D137B">
            <w:pPr>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7.3</w:t>
            </w:r>
            <w:r>
              <w:rPr>
                <w:rFonts w:ascii="Times New Roman" w:hAnsi="Times New Roman" w:cs="Times New Roman"/>
                <w:color w:val="000000" w:themeColor="text1"/>
                <w:sz w:val="21"/>
                <w:szCs w:val="21"/>
                <w:highlight w:val="none"/>
                <w14:textFill>
                  <w14:solidFill>
                    <w14:schemeClr w14:val="tx1"/>
                  </w14:solidFill>
                </w14:textFill>
              </w:rPr>
              <w:t>t</w:t>
            </w:r>
          </w:p>
        </w:tc>
        <w:tc>
          <w:tcPr>
            <w:tcW w:w="2722" w:type="dxa"/>
            <w:tcBorders>
              <w:top w:val="single" w:color="auto" w:sz="2" w:space="0"/>
            </w:tcBorders>
            <w:noWrap w:val="0"/>
            <w:tcMar>
              <w:top w:w="0" w:type="dxa"/>
              <w:left w:w="0" w:type="dxa"/>
              <w:bottom w:w="0" w:type="dxa"/>
              <w:right w:w="0" w:type="dxa"/>
            </w:tcMar>
            <w:vAlign w:val="center"/>
          </w:tcPr>
          <w:p w14:paraId="315BBD1C">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统一收集后，委托环卫部门进行处理</w:t>
            </w:r>
          </w:p>
        </w:tc>
      </w:tr>
      <w:tr w14:paraId="2E16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738" w:type="dxa"/>
            <w:vMerge w:val="continue"/>
            <w:noWrap w:val="0"/>
            <w:tcMar>
              <w:top w:w="0" w:type="dxa"/>
              <w:left w:w="0" w:type="dxa"/>
              <w:bottom w:w="0" w:type="dxa"/>
              <w:right w:w="0" w:type="dxa"/>
            </w:tcMar>
            <w:vAlign w:val="center"/>
          </w:tcPr>
          <w:p w14:paraId="74EB650E">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noWrap w:val="0"/>
            <w:tcMar>
              <w:top w:w="0" w:type="dxa"/>
              <w:left w:w="0" w:type="dxa"/>
              <w:bottom w:w="0" w:type="dxa"/>
              <w:right w:w="0" w:type="dxa"/>
            </w:tcMar>
            <w:vAlign w:val="center"/>
          </w:tcPr>
          <w:p w14:paraId="6C262B8E">
            <w:pPr>
              <w:adjustRightInd w:val="0"/>
              <w:snapToGrid w:val="0"/>
              <w:spacing w:line="240" w:lineRule="auto"/>
              <w:jc w:val="center"/>
              <w:rPr>
                <w:rFonts w:ascii="Times New Roman" w:hAnsi="Times New Roman" w:cs="Times New Roman"/>
                <w:color w:val="auto"/>
                <w:sz w:val="21"/>
                <w:szCs w:val="21"/>
                <w:highlight w:val="none"/>
              </w:rPr>
            </w:pPr>
          </w:p>
        </w:tc>
        <w:tc>
          <w:tcPr>
            <w:tcW w:w="895" w:type="dxa"/>
            <w:vMerge w:val="continue"/>
            <w:noWrap w:val="0"/>
            <w:tcMar>
              <w:top w:w="0" w:type="dxa"/>
              <w:left w:w="0" w:type="dxa"/>
              <w:bottom w:w="0" w:type="dxa"/>
              <w:right w:w="0" w:type="dxa"/>
            </w:tcMar>
            <w:vAlign w:val="center"/>
          </w:tcPr>
          <w:p w14:paraId="35B9BFF4">
            <w:pPr>
              <w:adjustRightInd w:val="0"/>
              <w:snapToGrid w:val="0"/>
              <w:spacing w:line="240" w:lineRule="auto"/>
              <w:jc w:val="center"/>
              <w:rPr>
                <w:rFonts w:ascii="Times New Roman" w:hAnsi="Times New Roman" w:cs="Times New Roman"/>
                <w:color w:val="auto"/>
                <w:sz w:val="21"/>
                <w:szCs w:val="21"/>
                <w:highlight w:val="none"/>
              </w:rPr>
            </w:pPr>
          </w:p>
        </w:tc>
        <w:tc>
          <w:tcPr>
            <w:tcW w:w="1259" w:type="dxa"/>
            <w:tcBorders>
              <w:top w:val="single" w:color="auto" w:sz="4" w:space="0"/>
              <w:bottom w:val="single" w:color="auto" w:sz="4" w:space="0"/>
            </w:tcBorders>
            <w:noWrap w:val="0"/>
            <w:tcMar>
              <w:top w:w="0" w:type="dxa"/>
              <w:left w:w="0" w:type="dxa"/>
              <w:bottom w:w="0" w:type="dxa"/>
              <w:right w:w="0" w:type="dxa"/>
            </w:tcMar>
            <w:vAlign w:val="center"/>
          </w:tcPr>
          <w:p w14:paraId="38052323">
            <w:pPr>
              <w:pStyle w:val="26"/>
              <w:spacing w:line="240" w:lineRule="auto"/>
              <w:ind w:left="0" w:right="0" w:firstLine="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废油</w:t>
            </w:r>
          </w:p>
        </w:tc>
        <w:tc>
          <w:tcPr>
            <w:tcW w:w="2385" w:type="dxa"/>
            <w:gridSpan w:val="2"/>
            <w:tcBorders>
              <w:top w:val="single" w:color="auto" w:sz="2" w:space="0"/>
            </w:tcBorders>
            <w:noWrap w:val="0"/>
            <w:tcMar>
              <w:top w:w="0" w:type="dxa"/>
              <w:left w:w="0" w:type="dxa"/>
              <w:bottom w:w="0" w:type="dxa"/>
              <w:right w:w="0" w:type="dxa"/>
            </w:tcMar>
            <w:vAlign w:val="center"/>
          </w:tcPr>
          <w:p w14:paraId="26F2F355">
            <w:pPr>
              <w:pStyle w:val="26"/>
              <w:spacing w:line="240" w:lineRule="auto"/>
              <w:ind w:left="0" w:right="0" w:firstLine="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产生量：少量</w:t>
            </w:r>
          </w:p>
        </w:tc>
        <w:tc>
          <w:tcPr>
            <w:tcW w:w="2722" w:type="dxa"/>
            <w:tcBorders>
              <w:top w:val="single" w:color="auto" w:sz="2" w:space="0"/>
            </w:tcBorders>
            <w:noWrap w:val="0"/>
            <w:tcMar>
              <w:top w:w="0" w:type="dxa"/>
              <w:left w:w="0" w:type="dxa"/>
              <w:bottom w:w="0" w:type="dxa"/>
              <w:right w:w="0" w:type="dxa"/>
            </w:tcMar>
            <w:vAlign w:val="center"/>
          </w:tcPr>
          <w:p w14:paraId="6E2DDB40">
            <w:pPr>
              <w:spacing w:line="240" w:lineRule="auto"/>
              <w:rPr>
                <w:rFonts w:hint="eastAsia" w:ascii="Times New Roman" w:hAnsi="Times New Roman" w:eastAsia="宋体"/>
                <w:sz w:val="21"/>
                <w:szCs w:val="21"/>
                <w:lang w:eastAsia="zh-CN"/>
              </w:rPr>
            </w:pPr>
            <w:r>
              <w:rPr>
                <w:rFonts w:hint="eastAsia"/>
                <w:sz w:val="21"/>
                <w:szCs w:val="21"/>
                <w:lang w:eastAsia="zh-CN"/>
              </w:rPr>
              <w:t>废油由维修点统一收集后交由有资质单位处置</w:t>
            </w:r>
          </w:p>
        </w:tc>
      </w:tr>
      <w:tr w14:paraId="451A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738" w:type="dxa"/>
            <w:vMerge w:val="continue"/>
            <w:noWrap w:val="0"/>
            <w:tcMar>
              <w:top w:w="0" w:type="dxa"/>
              <w:left w:w="0" w:type="dxa"/>
              <w:bottom w:w="0" w:type="dxa"/>
              <w:right w:w="0" w:type="dxa"/>
            </w:tcMar>
            <w:vAlign w:val="center"/>
          </w:tcPr>
          <w:p w14:paraId="24A47CEE">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vMerge w:val="continue"/>
            <w:noWrap w:val="0"/>
            <w:tcMar>
              <w:top w:w="0" w:type="dxa"/>
              <w:left w:w="0" w:type="dxa"/>
              <w:bottom w:w="0" w:type="dxa"/>
              <w:right w:w="0" w:type="dxa"/>
            </w:tcMar>
            <w:vAlign w:val="center"/>
          </w:tcPr>
          <w:p w14:paraId="41A1E47E">
            <w:pPr>
              <w:adjustRightInd w:val="0"/>
              <w:snapToGrid w:val="0"/>
              <w:spacing w:line="240" w:lineRule="auto"/>
              <w:jc w:val="center"/>
              <w:rPr>
                <w:rFonts w:ascii="Times New Roman" w:hAnsi="Times New Roman" w:cs="Times New Roman"/>
                <w:color w:val="auto"/>
                <w:sz w:val="21"/>
                <w:szCs w:val="21"/>
                <w:highlight w:val="none"/>
              </w:rPr>
            </w:pPr>
          </w:p>
        </w:tc>
        <w:tc>
          <w:tcPr>
            <w:tcW w:w="895" w:type="dxa"/>
            <w:vMerge w:val="continue"/>
            <w:noWrap w:val="0"/>
            <w:tcMar>
              <w:top w:w="0" w:type="dxa"/>
              <w:left w:w="0" w:type="dxa"/>
              <w:bottom w:w="0" w:type="dxa"/>
              <w:right w:w="0" w:type="dxa"/>
            </w:tcMar>
            <w:vAlign w:val="center"/>
          </w:tcPr>
          <w:p w14:paraId="0EC2E2F0">
            <w:pPr>
              <w:adjustRightInd w:val="0"/>
              <w:snapToGrid w:val="0"/>
              <w:spacing w:line="240" w:lineRule="auto"/>
              <w:jc w:val="center"/>
              <w:rPr>
                <w:rFonts w:ascii="Times New Roman" w:hAnsi="Times New Roman" w:cs="Times New Roman"/>
                <w:color w:val="auto"/>
                <w:sz w:val="21"/>
                <w:szCs w:val="21"/>
                <w:highlight w:val="none"/>
              </w:rPr>
            </w:pPr>
          </w:p>
        </w:tc>
        <w:tc>
          <w:tcPr>
            <w:tcW w:w="1259" w:type="dxa"/>
            <w:tcBorders>
              <w:top w:val="single" w:color="auto" w:sz="4" w:space="0"/>
              <w:bottom w:val="single" w:color="auto" w:sz="4" w:space="0"/>
            </w:tcBorders>
            <w:noWrap w:val="0"/>
            <w:tcMar>
              <w:top w:w="0" w:type="dxa"/>
              <w:left w:w="0" w:type="dxa"/>
              <w:bottom w:w="0" w:type="dxa"/>
              <w:right w:w="0" w:type="dxa"/>
            </w:tcMar>
            <w:vAlign w:val="center"/>
          </w:tcPr>
          <w:p w14:paraId="6B8636F1">
            <w:pPr>
              <w:pStyle w:val="26"/>
              <w:spacing w:line="240" w:lineRule="auto"/>
              <w:ind w:left="0" w:right="0" w:firstLine="0"/>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废沥青</w:t>
            </w:r>
          </w:p>
        </w:tc>
        <w:tc>
          <w:tcPr>
            <w:tcW w:w="2385" w:type="dxa"/>
            <w:gridSpan w:val="2"/>
            <w:tcBorders>
              <w:top w:val="single" w:color="auto" w:sz="2" w:space="0"/>
            </w:tcBorders>
            <w:noWrap w:val="0"/>
            <w:tcMar>
              <w:top w:w="0" w:type="dxa"/>
              <w:left w:w="0" w:type="dxa"/>
              <w:bottom w:w="0" w:type="dxa"/>
              <w:right w:w="0" w:type="dxa"/>
            </w:tcMar>
            <w:vAlign w:val="center"/>
          </w:tcPr>
          <w:p w14:paraId="05BD9CF2">
            <w:pPr>
              <w:pStyle w:val="26"/>
              <w:spacing w:line="240" w:lineRule="auto"/>
              <w:ind w:left="0" w:right="0" w:firstLine="0"/>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产生量：不定量</w:t>
            </w:r>
          </w:p>
        </w:tc>
        <w:tc>
          <w:tcPr>
            <w:tcW w:w="2722" w:type="dxa"/>
            <w:tcBorders>
              <w:top w:val="single" w:color="auto" w:sz="2" w:space="0"/>
            </w:tcBorders>
            <w:noWrap w:val="0"/>
            <w:tcMar>
              <w:top w:w="0" w:type="dxa"/>
              <w:left w:w="0" w:type="dxa"/>
              <w:bottom w:w="0" w:type="dxa"/>
              <w:right w:w="0" w:type="dxa"/>
            </w:tcMar>
            <w:vAlign w:val="center"/>
          </w:tcPr>
          <w:p w14:paraId="6E183B25">
            <w:pPr>
              <w:spacing w:line="240" w:lineRule="auto"/>
              <w:rPr>
                <w:rFonts w:hint="eastAsia" w:ascii="Times New Roman" w:hAnsi="Times New Roman" w:eastAsia="宋体" w:cs="Times New Roman"/>
                <w:color w:val="auto"/>
                <w:sz w:val="21"/>
                <w:szCs w:val="21"/>
                <w:highlight w:val="none"/>
                <w:lang w:eastAsia="zh-CN"/>
              </w:rPr>
            </w:pPr>
            <w:r>
              <w:rPr>
                <w:rFonts w:ascii="Times New Roman" w:hAnsi="Times New Roman"/>
                <w:sz w:val="21"/>
                <w:szCs w:val="21"/>
              </w:rPr>
              <w:t>废</w:t>
            </w:r>
            <w:r>
              <w:rPr>
                <w:rFonts w:hint="eastAsia" w:ascii="Times New Roman" w:hAnsi="Times New Roman"/>
                <w:sz w:val="21"/>
                <w:szCs w:val="21"/>
              </w:rPr>
              <w:t>沥青经施工人员</w:t>
            </w:r>
            <w:r>
              <w:rPr>
                <w:rFonts w:ascii="Times New Roman" w:hAnsi="Times New Roman"/>
                <w:sz w:val="21"/>
                <w:szCs w:val="21"/>
              </w:rPr>
              <w:t>统一收集后，</w:t>
            </w:r>
            <w:r>
              <w:rPr>
                <w:rFonts w:hint="eastAsia" w:ascii="Times New Roman" w:hAnsi="Times New Roman"/>
                <w:sz w:val="21"/>
                <w:szCs w:val="21"/>
              </w:rPr>
              <w:t>交由</w:t>
            </w:r>
            <w:r>
              <w:rPr>
                <w:rFonts w:hint="eastAsia"/>
                <w:sz w:val="21"/>
                <w:szCs w:val="21"/>
                <w:lang w:eastAsia="zh-CN"/>
              </w:rPr>
              <w:t>搅拌站回收</w:t>
            </w:r>
          </w:p>
        </w:tc>
      </w:tr>
      <w:tr w14:paraId="46C2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8" w:type="dxa"/>
            <w:vMerge w:val="continue"/>
            <w:noWrap w:val="0"/>
            <w:tcMar>
              <w:top w:w="0" w:type="dxa"/>
              <w:left w:w="0" w:type="dxa"/>
              <w:bottom w:w="0" w:type="dxa"/>
              <w:right w:w="0" w:type="dxa"/>
            </w:tcMar>
            <w:vAlign w:val="center"/>
          </w:tcPr>
          <w:p w14:paraId="589F5C4D">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tcBorders>
              <w:top w:val="single" w:color="auto" w:sz="4" w:space="0"/>
            </w:tcBorders>
            <w:noWrap w:val="0"/>
            <w:tcMar>
              <w:top w:w="0" w:type="dxa"/>
              <w:left w:w="0" w:type="dxa"/>
              <w:bottom w:w="0" w:type="dxa"/>
              <w:right w:w="0" w:type="dxa"/>
            </w:tcMar>
            <w:vAlign w:val="center"/>
          </w:tcPr>
          <w:p w14:paraId="693F3B36">
            <w:pPr>
              <w:adjustRightInd w:val="0"/>
              <w:snapToGrid w:val="0"/>
              <w:spacing w:line="240" w:lineRule="auto"/>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营运期</w:t>
            </w:r>
          </w:p>
        </w:tc>
        <w:tc>
          <w:tcPr>
            <w:tcW w:w="895" w:type="dxa"/>
            <w:tcBorders>
              <w:top w:val="single" w:color="auto" w:sz="4" w:space="0"/>
            </w:tcBorders>
            <w:noWrap w:val="0"/>
            <w:tcMar>
              <w:top w:w="0" w:type="dxa"/>
              <w:left w:w="0" w:type="dxa"/>
              <w:bottom w:w="0" w:type="dxa"/>
              <w:right w:w="0" w:type="dxa"/>
            </w:tcMar>
            <w:vAlign w:val="center"/>
          </w:tcPr>
          <w:p w14:paraId="7D93977C">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路面垃圾</w:t>
            </w:r>
          </w:p>
        </w:tc>
        <w:tc>
          <w:tcPr>
            <w:tcW w:w="1259" w:type="dxa"/>
            <w:tcBorders>
              <w:top w:val="single" w:color="auto" w:sz="4" w:space="0"/>
              <w:bottom w:val="single" w:color="auto" w:sz="4" w:space="0"/>
            </w:tcBorders>
            <w:noWrap w:val="0"/>
            <w:tcMar>
              <w:top w:w="0" w:type="dxa"/>
              <w:left w:w="0" w:type="dxa"/>
              <w:bottom w:w="0" w:type="dxa"/>
              <w:right w:w="0" w:type="dxa"/>
            </w:tcMar>
            <w:vAlign w:val="center"/>
          </w:tcPr>
          <w:p w14:paraId="48E62A4A">
            <w:pPr>
              <w:pStyle w:val="26"/>
              <w:spacing w:line="240" w:lineRule="auto"/>
              <w:ind w:left="0" w:right="0"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垃圾</w:t>
            </w:r>
          </w:p>
        </w:tc>
        <w:tc>
          <w:tcPr>
            <w:tcW w:w="1143" w:type="dxa"/>
            <w:tcBorders>
              <w:top w:val="single" w:color="auto" w:sz="2" w:space="0"/>
            </w:tcBorders>
            <w:noWrap w:val="0"/>
            <w:tcMar>
              <w:top w:w="0" w:type="dxa"/>
              <w:left w:w="0" w:type="dxa"/>
              <w:bottom w:w="0" w:type="dxa"/>
              <w:right w:w="0" w:type="dxa"/>
            </w:tcMar>
            <w:vAlign w:val="center"/>
          </w:tcPr>
          <w:p w14:paraId="46BA4D43">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242" w:type="dxa"/>
            <w:tcBorders>
              <w:top w:val="single" w:color="auto" w:sz="2" w:space="0"/>
            </w:tcBorders>
            <w:noWrap w:val="0"/>
            <w:tcMar>
              <w:top w:w="0" w:type="dxa"/>
              <w:left w:w="0" w:type="dxa"/>
              <w:bottom w:w="0" w:type="dxa"/>
              <w:right w:w="0" w:type="dxa"/>
            </w:tcMar>
            <w:vAlign w:val="center"/>
          </w:tcPr>
          <w:p w14:paraId="68C7C7C3">
            <w:pPr>
              <w:pStyle w:val="26"/>
              <w:spacing w:line="240" w:lineRule="auto"/>
              <w:ind w:left="0" w:right="0"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722" w:type="dxa"/>
            <w:tcBorders>
              <w:top w:val="single" w:color="auto" w:sz="2" w:space="0"/>
            </w:tcBorders>
            <w:noWrap w:val="0"/>
            <w:tcMar>
              <w:top w:w="0" w:type="dxa"/>
              <w:left w:w="0" w:type="dxa"/>
              <w:bottom w:w="0" w:type="dxa"/>
              <w:right w:w="0" w:type="dxa"/>
            </w:tcMar>
            <w:vAlign w:val="center"/>
          </w:tcPr>
          <w:p w14:paraId="2D89618C">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委托环卫部门统一清运处理</w:t>
            </w:r>
          </w:p>
        </w:tc>
      </w:tr>
      <w:tr w14:paraId="09BE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738" w:type="dxa"/>
            <w:vMerge w:val="restart"/>
            <w:noWrap w:val="0"/>
            <w:tcMar>
              <w:top w:w="0" w:type="dxa"/>
              <w:left w:w="0" w:type="dxa"/>
              <w:bottom w:w="0" w:type="dxa"/>
              <w:right w:w="0" w:type="dxa"/>
            </w:tcMar>
            <w:vAlign w:val="center"/>
          </w:tcPr>
          <w:p w14:paraId="7D556E81">
            <w:pPr>
              <w:adjustRightInd w:val="0"/>
              <w:snapToGrid w:val="0"/>
              <w:spacing w:before="20" w:after="20"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噪声</w:t>
            </w:r>
          </w:p>
        </w:tc>
        <w:tc>
          <w:tcPr>
            <w:tcW w:w="655" w:type="dxa"/>
            <w:noWrap w:val="0"/>
            <w:tcMar>
              <w:top w:w="0" w:type="dxa"/>
              <w:left w:w="0" w:type="dxa"/>
              <w:bottom w:w="0" w:type="dxa"/>
              <w:right w:w="0" w:type="dxa"/>
            </w:tcMar>
            <w:vAlign w:val="center"/>
          </w:tcPr>
          <w:p w14:paraId="7C26A808">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w:t>
            </w:r>
          </w:p>
        </w:tc>
        <w:tc>
          <w:tcPr>
            <w:tcW w:w="895" w:type="dxa"/>
            <w:noWrap w:val="0"/>
            <w:tcMar>
              <w:top w:w="0" w:type="dxa"/>
              <w:left w:w="0" w:type="dxa"/>
              <w:bottom w:w="0" w:type="dxa"/>
              <w:right w:w="0" w:type="dxa"/>
            </w:tcMar>
            <w:vAlign w:val="center"/>
          </w:tcPr>
          <w:p w14:paraId="1606F3F8">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施工机械</w:t>
            </w:r>
          </w:p>
        </w:tc>
        <w:tc>
          <w:tcPr>
            <w:tcW w:w="1259" w:type="dxa"/>
            <w:noWrap w:val="0"/>
            <w:tcMar>
              <w:top w:w="0" w:type="dxa"/>
              <w:left w:w="0" w:type="dxa"/>
              <w:bottom w:w="0" w:type="dxa"/>
              <w:right w:w="0" w:type="dxa"/>
            </w:tcMar>
            <w:vAlign w:val="center"/>
          </w:tcPr>
          <w:p w14:paraId="1F6DBAA0">
            <w:pPr>
              <w:adjustRightInd w:val="0"/>
              <w:snapToGrid w:val="0"/>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施工机械噪声</w:t>
            </w:r>
          </w:p>
        </w:tc>
        <w:tc>
          <w:tcPr>
            <w:tcW w:w="2385" w:type="dxa"/>
            <w:gridSpan w:val="2"/>
            <w:noWrap w:val="0"/>
            <w:tcMar>
              <w:top w:w="0" w:type="dxa"/>
              <w:left w:w="0" w:type="dxa"/>
              <w:bottom w:w="0" w:type="dxa"/>
              <w:right w:w="0" w:type="dxa"/>
            </w:tcMar>
            <w:vAlign w:val="center"/>
          </w:tcPr>
          <w:p w14:paraId="35C19405">
            <w:pPr>
              <w:adjustRightInd w:val="0"/>
              <w:snapToGrid w:val="0"/>
              <w:spacing w:line="240" w:lineRule="auto"/>
              <w:jc w:val="center"/>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48.2</w:t>
            </w: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81.1</w:t>
            </w:r>
            <w:r>
              <w:rPr>
                <w:rFonts w:ascii="Times New Roman" w:hAnsi="Times New Roman" w:cs="Times New Roman"/>
                <w:color w:val="auto"/>
                <w:sz w:val="21"/>
                <w:szCs w:val="21"/>
                <w:highlight w:val="none"/>
              </w:rPr>
              <w:t>dB(A)</w:t>
            </w:r>
          </w:p>
        </w:tc>
        <w:tc>
          <w:tcPr>
            <w:tcW w:w="2722" w:type="dxa"/>
            <w:noWrap w:val="0"/>
            <w:tcMar>
              <w:top w:w="0" w:type="dxa"/>
              <w:left w:w="0" w:type="dxa"/>
              <w:bottom w:w="0" w:type="dxa"/>
              <w:right w:w="0" w:type="dxa"/>
            </w:tcMar>
            <w:vAlign w:val="center"/>
          </w:tcPr>
          <w:p w14:paraId="13219E91">
            <w:pPr>
              <w:spacing w:line="240" w:lineRule="auto"/>
              <w:rPr>
                <w:rFonts w:ascii="Times New Roman" w:hAnsi="Times New Roman" w:cs="Times New Roman"/>
                <w:color w:val="auto"/>
                <w:sz w:val="21"/>
                <w:szCs w:val="21"/>
                <w:highlight w:val="none"/>
              </w:rPr>
            </w:pPr>
            <w:r>
              <w:rPr>
                <w:rFonts w:ascii="Times New Roman" w:hAnsi="Times New Roman" w:cs="Times New Roman"/>
                <w:snapToGrid w:val="0"/>
                <w:color w:val="auto"/>
                <w:kern w:val="0"/>
                <w:sz w:val="21"/>
                <w:szCs w:val="21"/>
                <w:highlight w:val="none"/>
              </w:rPr>
              <w:t>《建筑施工场界环境噪声排放标准》（GB12523-2011）</w:t>
            </w:r>
          </w:p>
        </w:tc>
      </w:tr>
      <w:tr w14:paraId="32C7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738" w:type="dxa"/>
            <w:vMerge w:val="continue"/>
            <w:noWrap w:val="0"/>
            <w:tcMar>
              <w:top w:w="0" w:type="dxa"/>
              <w:left w:w="0" w:type="dxa"/>
              <w:bottom w:w="0" w:type="dxa"/>
              <w:right w:w="0" w:type="dxa"/>
            </w:tcMar>
            <w:vAlign w:val="center"/>
          </w:tcPr>
          <w:p w14:paraId="79E463BE">
            <w:pPr>
              <w:adjustRightInd w:val="0"/>
              <w:snapToGrid w:val="0"/>
              <w:spacing w:before="20" w:after="20" w:line="240" w:lineRule="auto"/>
              <w:jc w:val="center"/>
              <w:rPr>
                <w:rFonts w:ascii="Times New Roman" w:hAnsi="Times New Roman" w:cs="Times New Roman"/>
                <w:color w:val="auto"/>
                <w:sz w:val="21"/>
                <w:szCs w:val="21"/>
                <w:highlight w:val="none"/>
              </w:rPr>
            </w:pPr>
          </w:p>
        </w:tc>
        <w:tc>
          <w:tcPr>
            <w:tcW w:w="655" w:type="dxa"/>
            <w:noWrap w:val="0"/>
            <w:tcMar>
              <w:top w:w="0" w:type="dxa"/>
              <w:left w:w="0" w:type="dxa"/>
              <w:bottom w:w="0" w:type="dxa"/>
              <w:right w:w="0" w:type="dxa"/>
            </w:tcMar>
            <w:vAlign w:val="center"/>
          </w:tcPr>
          <w:p w14:paraId="05D16694">
            <w:pPr>
              <w:adjustRightInd w:val="0"/>
              <w:snapToGrid w:val="0"/>
              <w:spacing w:line="240" w:lineRule="auto"/>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营运期</w:t>
            </w:r>
          </w:p>
        </w:tc>
        <w:tc>
          <w:tcPr>
            <w:tcW w:w="895" w:type="dxa"/>
            <w:noWrap w:val="0"/>
            <w:tcMar>
              <w:top w:w="0" w:type="dxa"/>
              <w:left w:w="0" w:type="dxa"/>
              <w:bottom w:w="0" w:type="dxa"/>
              <w:right w:w="0" w:type="dxa"/>
            </w:tcMar>
            <w:vAlign w:val="center"/>
          </w:tcPr>
          <w:p w14:paraId="39869DD8">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机动车</w:t>
            </w:r>
          </w:p>
        </w:tc>
        <w:tc>
          <w:tcPr>
            <w:tcW w:w="1259" w:type="dxa"/>
            <w:noWrap w:val="0"/>
            <w:tcMar>
              <w:top w:w="0" w:type="dxa"/>
              <w:left w:w="0" w:type="dxa"/>
              <w:bottom w:w="0" w:type="dxa"/>
              <w:right w:w="0" w:type="dxa"/>
            </w:tcMar>
            <w:vAlign w:val="center"/>
          </w:tcPr>
          <w:p w14:paraId="5D312A64">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车辆噪声</w:t>
            </w:r>
          </w:p>
        </w:tc>
        <w:tc>
          <w:tcPr>
            <w:tcW w:w="2385" w:type="dxa"/>
            <w:gridSpan w:val="2"/>
            <w:noWrap w:val="0"/>
            <w:tcMar>
              <w:top w:w="0" w:type="dxa"/>
              <w:left w:w="0" w:type="dxa"/>
              <w:bottom w:w="0" w:type="dxa"/>
              <w:right w:w="0" w:type="dxa"/>
            </w:tcMar>
            <w:vAlign w:val="center"/>
          </w:tcPr>
          <w:p w14:paraId="67CB918B">
            <w:pPr>
              <w:adjustRightInd w:val="0"/>
              <w:snapToGrid w:val="0"/>
              <w:spacing w:line="240"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30.54</w:t>
            </w:r>
            <w:r>
              <w:rPr>
                <w:rFonts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eastAsia" w:cs="Times New Roman"/>
                <w:color w:val="000000" w:themeColor="text1"/>
                <w:sz w:val="21"/>
                <w:szCs w:val="21"/>
                <w:highlight w:val="none"/>
                <w:lang w:val="en-US" w:eastAsia="zh-CN"/>
                <w14:textFill>
                  <w14:solidFill>
                    <w14:schemeClr w14:val="tx1"/>
                  </w14:solidFill>
                </w14:textFill>
              </w:rPr>
              <w:t>2.05</w:t>
            </w:r>
            <w:r>
              <w:rPr>
                <w:rFonts w:ascii="Times New Roman" w:hAnsi="Times New Roman" w:cs="Times New Roman"/>
                <w:color w:val="000000" w:themeColor="text1"/>
                <w:sz w:val="21"/>
                <w:szCs w:val="21"/>
                <w:highlight w:val="none"/>
                <w14:textFill>
                  <w14:solidFill>
                    <w14:schemeClr w14:val="tx1"/>
                  </w14:solidFill>
                </w14:textFill>
              </w:rPr>
              <w:t>dB(A)</w:t>
            </w:r>
          </w:p>
        </w:tc>
        <w:tc>
          <w:tcPr>
            <w:tcW w:w="2722" w:type="dxa"/>
            <w:noWrap w:val="0"/>
            <w:tcMar>
              <w:top w:w="0" w:type="dxa"/>
              <w:left w:w="0" w:type="dxa"/>
              <w:bottom w:w="0" w:type="dxa"/>
              <w:right w:w="0" w:type="dxa"/>
            </w:tcMar>
            <w:vAlign w:val="center"/>
          </w:tcPr>
          <w:p w14:paraId="602E143C">
            <w:pPr>
              <w:spacing w:line="240" w:lineRule="auto"/>
              <w:jc w:val="center"/>
              <w:rPr>
                <w:rFonts w:ascii="Times New Roman" w:hAnsi="Times New Roman" w:cs="Times New Roman"/>
                <w:color w:val="FF0000"/>
                <w:sz w:val="21"/>
                <w:szCs w:val="21"/>
                <w:highlight w:val="none"/>
              </w:rPr>
            </w:pPr>
            <w:r>
              <w:rPr>
                <w:rFonts w:ascii="Times New Roman" w:hAnsi="Times New Roman" w:cs="Times New Roman"/>
                <w:b w:val="0"/>
                <w:bCs w:val="0"/>
                <w:color w:val="000000" w:themeColor="text1"/>
                <w:sz w:val="21"/>
                <w:szCs w:val="21"/>
                <w:highlight w:val="none"/>
                <w14:textFill>
                  <w14:solidFill>
                    <w14:schemeClr w14:val="tx1"/>
                  </w14:solidFill>
                </w14:textFill>
              </w:rPr>
              <w:t>《声环境质量标准》（GB3096-2008）中2类及4a类标准</w:t>
            </w:r>
          </w:p>
        </w:tc>
      </w:tr>
      <w:tr w14:paraId="75E6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0" w:hRule="atLeast"/>
          <w:jc w:val="center"/>
        </w:trPr>
        <w:tc>
          <w:tcPr>
            <w:tcW w:w="8654" w:type="dxa"/>
            <w:gridSpan w:val="7"/>
            <w:noWrap w:val="0"/>
            <w:vAlign w:val="top"/>
          </w:tcPr>
          <w:p w14:paraId="012FC7EE">
            <w:pPr>
              <w:adjustRightInd w:val="0"/>
              <w:snapToGrid w:val="0"/>
              <w:spacing w:line="24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主要生态影响（不够时可附另页）</w:t>
            </w:r>
          </w:p>
          <w:p w14:paraId="1AB5D2F7">
            <w:pPr>
              <w:spacing w:line="360" w:lineRule="auto"/>
              <w:ind w:firstLine="480" w:firstLineChars="200"/>
              <w:rPr>
                <w:rFonts w:hint="eastAsia" w:ascii="Times New Roman" w:hAnsi="Times New Roman" w:cs="Times New Roman" w:eastAsiaTheme="minorEastAsia"/>
                <w:color w:val="auto"/>
                <w:sz w:val="21"/>
                <w:szCs w:val="21"/>
                <w:highlight w:val="none"/>
                <w:lang w:eastAsia="zh-CN"/>
              </w:rPr>
            </w:pPr>
            <w:r>
              <w:rPr>
                <w:rFonts w:ascii="Times New Roman" w:hAnsi="Times New Roman" w:cs="Times New Roman"/>
                <w:color w:val="auto"/>
                <w:sz w:val="24"/>
                <w:szCs w:val="24"/>
                <w:highlight w:val="none"/>
              </w:rPr>
              <w:t>道路建设对生态环境的影响大部分发生在施工期，施工期对生态环境影响和破坏的途径主要是主体工程占用和分割土地，改变土地利用性质，使沿线土地减少；路基取土开挖路堑、弃土破坏地形、地貌和植被，并破坏土壤结构和肥力；工程活动扰动了自然的生态平衡，对沿线生物的生存将产生一定程度不利影</w:t>
            </w:r>
            <w:r>
              <w:rPr>
                <w:rFonts w:hint="eastAsia" w:ascii="Times New Roman" w:hAnsi="Times New Roman" w:cs="Times New Roman"/>
                <w:color w:val="auto"/>
                <w:sz w:val="24"/>
                <w:szCs w:val="24"/>
                <w:highlight w:val="none"/>
                <w:lang w:eastAsia="zh-CN"/>
              </w:rPr>
              <w:t>响。</w:t>
            </w:r>
          </w:p>
        </w:tc>
      </w:tr>
    </w:tbl>
    <w:p w14:paraId="21724D01">
      <w:pPr>
        <w:rPr>
          <w:rFonts w:hint="eastAsia"/>
          <w:b/>
          <w:bCs/>
          <w:color w:val="auto"/>
          <w:sz w:val="28"/>
          <w:szCs w:val="28"/>
          <w:highlight w:val="none"/>
          <w:lang w:eastAsia="zh-CN"/>
        </w:rPr>
      </w:pPr>
      <w:r>
        <w:rPr>
          <w:rFonts w:hint="eastAsia"/>
          <w:b/>
          <w:bCs/>
          <w:color w:val="auto"/>
          <w:sz w:val="28"/>
          <w:szCs w:val="28"/>
          <w:highlight w:val="none"/>
          <w:lang w:eastAsia="zh-CN"/>
        </w:rPr>
        <w:br w:type="page"/>
      </w:r>
    </w:p>
    <w:p w14:paraId="6005B54F">
      <w:pPr>
        <w:pStyle w:val="3"/>
        <w:bidi w:val="0"/>
        <w:rPr>
          <w:rFonts w:hint="eastAsia"/>
          <w:lang w:val="en-US" w:eastAsia="zh-CN"/>
        </w:rPr>
      </w:pPr>
      <w:r>
        <w:rPr>
          <w:rFonts w:hint="eastAsia"/>
          <w:lang w:val="en-US" w:eastAsia="zh-CN"/>
        </w:rPr>
        <w:t>表七、环境影响分析</w:t>
      </w:r>
    </w:p>
    <w:tbl>
      <w:tblPr>
        <w:tblStyle w:val="1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D20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3" w:hRule="atLeast"/>
        </w:trPr>
        <w:tc>
          <w:tcPr>
            <w:tcW w:w="8520" w:type="dxa"/>
          </w:tcPr>
          <w:p w14:paraId="7DD056D1">
            <w:pPr>
              <w:numPr>
                <w:ilvl w:val="0"/>
                <w:numId w:val="28"/>
              </w:numPr>
              <w:spacing w:line="360" w:lineRule="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施工期环境影响分析</w:t>
            </w:r>
          </w:p>
          <w:p w14:paraId="3CA026B0">
            <w:pPr>
              <w:numPr>
                <w:ilvl w:val="0"/>
                <w:numId w:val="29"/>
              </w:numPr>
              <w:spacing w:line="360" w:lineRule="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施工期环境空气影响分析</w:t>
            </w:r>
          </w:p>
          <w:p w14:paraId="05766737">
            <w:pPr>
              <w:autoSpaceDE w:val="0"/>
              <w:autoSpaceDN w:val="0"/>
              <w:adjustRightInd w:val="0"/>
              <w:spacing w:line="360" w:lineRule="auto"/>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lang w:eastAsia="zh-CN"/>
              </w:rPr>
              <w:t>本道路工程路面采用沥青混凝土，</w:t>
            </w:r>
            <w:r>
              <w:rPr>
                <w:rFonts w:hint="default" w:ascii="Times New Roman" w:hAnsi="Times New Roman" w:cs="Times New Roman"/>
                <w:color w:val="auto"/>
                <w:kern w:val="0"/>
                <w:sz w:val="24"/>
                <w:highlight w:val="none"/>
              </w:rPr>
              <w:t>施工过程中土石方开挖、填筑、铺装路面、路面养护、施工材料的运输、堆放，施工排放的废气等工程行为均会对环境空气造成污染，其主要污染物为TSP</w:t>
            </w:r>
            <w:r>
              <w:rPr>
                <w:rFonts w:hint="eastAsia" w:cs="Times New Roman"/>
                <w:color w:val="auto"/>
                <w:kern w:val="0"/>
                <w:sz w:val="24"/>
                <w:highlight w:val="none"/>
                <w:lang w:eastAsia="zh-CN"/>
              </w:rPr>
              <w:t>、汽车尾气、机械废气和</w:t>
            </w:r>
            <w:r>
              <w:rPr>
                <w:rFonts w:hint="default" w:ascii="Times New Roman" w:hAnsi="Times New Roman" w:cs="Times New Roman"/>
                <w:color w:val="auto"/>
                <w:kern w:val="0"/>
                <w:sz w:val="24"/>
                <w:highlight w:val="none"/>
                <w:lang w:eastAsia="zh-CN"/>
              </w:rPr>
              <w:t>沥青</w:t>
            </w:r>
            <w:r>
              <w:rPr>
                <w:rFonts w:hint="eastAsia" w:cs="Times New Roman"/>
                <w:color w:val="auto"/>
                <w:kern w:val="0"/>
                <w:sz w:val="24"/>
                <w:highlight w:val="none"/>
                <w:lang w:eastAsia="zh-CN"/>
              </w:rPr>
              <w:t>挥</w:t>
            </w:r>
            <w:r>
              <w:rPr>
                <w:rFonts w:hint="default" w:ascii="Times New Roman" w:hAnsi="Times New Roman" w:cs="Times New Roman"/>
                <w:color w:val="auto"/>
                <w:kern w:val="0"/>
                <w:sz w:val="24"/>
                <w:highlight w:val="none"/>
                <w:lang w:eastAsia="zh-CN"/>
              </w:rPr>
              <w:t>发的</w:t>
            </w:r>
            <w:r>
              <w:rPr>
                <w:rFonts w:hint="default" w:ascii="Times New Roman" w:hAnsi="Times New Roman" w:cs="Times New Roman"/>
                <w:color w:val="auto"/>
                <w:kern w:val="0"/>
                <w:sz w:val="24"/>
                <w:highlight w:val="none"/>
              </w:rPr>
              <w:t>沥青烟。</w:t>
            </w:r>
          </w:p>
          <w:p w14:paraId="5EF10A6B">
            <w:pPr>
              <w:numPr>
                <w:ilvl w:val="0"/>
                <w:numId w:val="30"/>
              </w:numPr>
              <w:autoSpaceDE w:val="0"/>
              <w:autoSpaceDN w:val="0"/>
              <w:adjustRightInd w:val="0"/>
              <w:spacing w:line="360" w:lineRule="auto"/>
              <w:ind w:firstLine="480" w:firstLineChars="200"/>
              <w:jc w:val="left"/>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扬尘</w:t>
            </w:r>
          </w:p>
          <w:p w14:paraId="2483A8DA">
            <w:pPr>
              <w:adjustRightInd w:val="0"/>
              <w:snapToGrid w:val="0"/>
              <w:spacing w:line="360" w:lineRule="auto"/>
              <w:ind w:firstLine="480" w:firstLineChars="200"/>
              <w:rPr>
                <w:rFonts w:hint="default" w:ascii="Times New Roman" w:hAnsi="Times New Roman" w:cs="Times New Roman"/>
                <w:color w:val="auto"/>
                <w:sz w:val="24"/>
                <w:highlight w:val="none"/>
              </w:rPr>
            </w:pPr>
            <w:bookmarkStart w:id="13" w:name="_Toc25431"/>
            <w:bookmarkStart w:id="14" w:name="_Toc7937"/>
            <w:bookmarkStart w:id="15" w:name="_Toc13041"/>
            <w:bookmarkStart w:id="16" w:name="_Toc8883"/>
            <w:r>
              <w:rPr>
                <w:rFonts w:hint="default" w:ascii="Times New Roman" w:hAnsi="Times New Roman" w:cs="Times New Roman"/>
                <w:color w:val="auto"/>
                <w:sz w:val="24"/>
                <w:highlight w:val="none"/>
              </w:rPr>
              <w:t>施工活动产生的扬尘主要产生于土石方开挖、填筑、路基平整、土方临时堆存等会产生大量的粉尘，经空气动力输送、扩散分布于施工段周围的大气环境中，属于短时间、无组织排放。</w:t>
            </w:r>
            <w:r>
              <w:rPr>
                <w:rFonts w:hint="eastAsia" w:cs="Times New Roman"/>
                <w:color w:val="auto"/>
                <w:sz w:val="24"/>
                <w:highlight w:val="none"/>
                <w:lang w:eastAsia="zh-CN"/>
              </w:rPr>
              <w:t>根据工程分析可得，在施工过程中</w:t>
            </w:r>
            <w:r>
              <w:rPr>
                <w:rFonts w:hint="eastAsia" w:cs="Times New Roman"/>
                <w:color w:val="auto"/>
                <w:sz w:val="24"/>
                <w:highlight w:val="none"/>
                <w:lang w:val="en-US" w:eastAsia="zh-CN"/>
              </w:rPr>
              <w:t>TSP产生量为53.63t，PM</w:t>
            </w:r>
            <w:r>
              <w:rPr>
                <w:rFonts w:hint="eastAsia" w:cs="Times New Roman"/>
                <w:color w:val="auto"/>
                <w:sz w:val="24"/>
                <w:highlight w:val="none"/>
                <w:vertAlign w:val="subscript"/>
                <w:lang w:val="en-US" w:eastAsia="zh-CN"/>
              </w:rPr>
              <w:t>2.5</w:t>
            </w:r>
            <w:r>
              <w:rPr>
                <w:rFonts w:hint="eastAsia" w:cs="Times New Roman"/>
                <w:color w:val="auto"/>
                <w:sz w:val="24"/>
                <w:highlight w:val="none"/>
                <w:vertAlign w:val="baseline"/>
                <w:lang w:val="en-US" w:eastAsia="zh-CN"/>
              </w:rPr>
              <w:t>产生量为442.43t，PM</w:t>
            </w:r>
            <w:r>
              <w:rPr>
                <w:rFonts w:hint="eastAsia" w:cs="Times New Roman"/>
                <w:color w:val="auto"/>
                <w:sz w:val="24"/>
                <w:highlight w:val="none"/>
                <w:vertAlign w:val="subscript"/>
                <w:lang w:val="en-US" w:eastAsia="zh-CN"/>
              </w:rPr>
              <w:t>10</w:t>
            </w:r>
            <w:r>
              <w:rPr>
                <w:rFonts w:hint="eastAsia" w:cs="Times New Roman"/>
                <w:color w:val="auto"/>
                <w:sz w:val="24"/>
                <w:highlight w:val="none"/>
                <w:vertAlign w:val="baseline"/>
                <w:lang w:val="en-US" w:eastAsia="zh-CN"/>
              </w:rPr>
              <w:t>产生量为268.14t，施工期产生的扬尘总量为764.2t</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根据同类工程实际调查资料，施工扬尘粒径较大，多数沉降于施工场地，少数形成飘尘。</w:t>
            </w:r>
            <w:r>
              <w:rPr>
                <w:rFonts w:hint="default" w:ascii="Times New Roman" w:hAnsi="Times New Roman" w:cs="Times New Roman"/>
                <w:color w:val="auto"/>
                <w:sz w:val="24"/>
                <w:highlight w:val="none"/>
              </w:rPr>
              <w:t>根据类比分析，在天气晴朗、施工现场未定时洒水的情况下，经类比TSP浓度监测结果见表7-1。</w:t>
            </w:r>
            <w:bookmarkEnd w:id="13"/>
            <w:bookmarkEnd w:id="14"/>
            <w:bookmarkEnd w:id="15"/>
            <w:bookmarkEnd w:id="16"/>
          </w:p>
          <w:p w14:paraId="387DE83E">
            <w:pPr>
              <w:snapToGrid w:val="0"/>
              <w:spacing w:line="276"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表7-1  施工现场TSP浓度</w:t>
            </w:r>
          </w:p>
          <w:tbl>
            <w:tblPr>
              <w:tblStyle w:val="15"/>
              <w:tblpPr w:leftFromText="180" w:rightFromText="180" w:vertAnchor="text" w:horzAnchor="page" w:tblpX="113" w:tblpY="2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637"/>
              <w:gridCol w:w="1677"/>
              <w:gridCol w:w="1659"/>
              <w:gridCol w:w="1713"/>
            </w:tblGrid>
            <w:tr w14:paraId="61C4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noWrap w:val="0"/>
                  <w:vAlign w:val="center"/>
                </w:tcPr>
                <w:p w14:paraId="4259D36A">
                  <w:pPr>
                    <w:snapToGrid w:val="0"/>
                    <w:spacing w:line="240" w:lineRule="auto"/>
                    <w:jc w:val="center"/>
                    <w:rPr>
                      <w:rFonts w:hint="default" w:ascii="Times New Roman" w:hAnsi="Times New Roman" w:cs="Times New Roman"/>
                      <w:color w:val="auto"/>
                      <w:sz w:val="21"/>
                      <w:szCs w:val="21"/>
                      <w:highlight w:val="none"/>
                    </w:rPr>
                  </w:pPr>
                  <w:bookmarkStart w:id="17" w:name="_Toc11674"/>
                  <w:bookmarkStart w:id="18" w:name="_Toc4699"/>
                  <w:bookmarkStart w:id="19" w:name="_Toc25480"/>
                  <w:bookmarkStart w:id="20" w:name="_Toc15447"/>
                  <w:r>
                    <w:rPr>
                      <w:rFonts w:hint="default" w:ascii="Times New Roman" w:hAnsi="Times New Roman" w:cs="Times New Roman"/>
                      <w:color w:val="auto"/>
                      <w:sz w:val="21"/>
                      <w:szCs w:val="21"/>
                      <w:highlight w:val="none"/>
                    </w:rPr>
                    <w:t>施工内容</w:t>
                  </w:r>
                </w:p>
              </w:tc>
              <w:tc>
                <w:tcPr>
                  <w:tcW w:w="1638" w:type="dxa"/>
                  <w:noWrap w:val="0"/>
                  <w:vAlign w:val="center"/>
                </w:tcPr>
                <w:p w14:paraId="40091DC2">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起尘因素</w:t>
                  </w:r>
                </w:p>
              </w:tc>
              <w:tc>
                <w:tcPr>
                  <w:tcW w:w="1678" w:type="dxa"/>
                  <w:noWrap w:val="0"/>
                  <w:vAlign w:val="center"/>
                </w:tcPr>
                <w:p w14:paraId="71FBC69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风速（m/s）</w:t>
                  </w:r>
                </w:p>
              </w:tc>
              <w:tc>
                <w:tcPr>
                  <w:tcW w:w="1660" w:type="dxa"/>
                  <w:noWrap w:val="0"/>
                  <w:vAlign w:val="center"/>
                </w:tcPr>
                <w:p w14:paraId="7C892F5E">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距离（m）</w:t>
                  </w:r>
                </w:p>
              </w:tc>
              <w:tc>
                <w:tcPr>
                  <w:tcW w:w="1714" w:type="dxa"/>
                  <w:noWrap w:val="0"/>
                  <w:vAlign w:val="center"/>
                </w:tcPr>
                <w:p w14:paraId="3205002B">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r>
            <w:tr w14:paraId="298C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restart"/>
                  <w:noWrap w:val="0"/>
                  <w:vAlign w:val="center"/>
                </w:tcPr>
                <w:p w14:paraId="0B0E105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土方</w:t>
                  </w:r>
                </w:p>
              </w:tc>
              <w:tc>
                <w:tcPr>
                  <w:tcW w:w="1638" w:type="dxa"/>
                  <w:vMerge w:val="restart"/>
                  <w:noWrap w:val="0"/>
                  <w:vAlign w:val="center"/>
                </w:tcPr>
                <w:p w14:paraId="41B21153">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装卸、运输、现场施工</w:t>
                  </w:r>
                </w:p>
              </w:tc>
              <w:tc>
                <w:tcPr>
                  <w:tcW w:w="1678" w:type="dxa"/>
                  <w:vMerge w:val="restart"/>
                  <w:noWrap w:val="0"/>
                  <w:vAlign w:val="center"/>
                </w:tcPr>
                <w:p w14:paraId="51C097BE">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1660" w:type="dxa"/>
                  <w:noWrap w:val="0"/>
                  <w:vAlign w:val="center"/>
                </w:tcPr>
                <w:p w14:paraId="10BF99F0">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1714" w:type="dxa"/>
                  <w:noWrap w:val="0"/>
                  <w:vAlign w:val="center"/>
                </w:tcPr>
                <w:p w14:paraId="6B7AFE70">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w:t>
                  </w:r>
                </w:p>
              </w:tc>
            </w:tr>
            <w:tr w14:paraId="4FDA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continue"/>
                  <w:noWrap w:val="0"/>
                  <w:vAlign w:val="center"/>
                </w:tcPr>
                <w:p w14:paraId="57BBD4F7">
                  <w:pPr>
                    <w:snapToGrid w:val="0"/>
                    <w:spacing w:line="240" w:lineRule="auto"/>
                    <w:jc w:val="center"/>
                    <w:rPr>
                      <w:rFonts w:hint="default" w:ascii="Times New Roman" w:hAnsi="Times New Roman" w:cs="Times New Roman"/>
                      <w:color w:val="auto"/>
                      <w:sz w:val="21"/>
                      <w:szCs w:val="21"/>
                      <w:highlight w:val="none"/>
                    </w:rPr>
                  </w:pPr>
                </w:p>
              </w:tc>
              <w:tc>
                <w:tcPr>
                  <w:tcW w:w="1638" w:type="dxa"/>
                  <w:vMerge w:val="continue"/>
                  <w:noWrap w:val="0"/>
                  <w:vAlign w:val="center"/>
                </w:tcPr>
                <w:p w14:paraId="60D3870B">
                  <w:pPr>
                    <w:snapToGrid w:val="0"/>
                    <w:spacing w:line="240" w:lineRule="auto"/>
                    <w:jc w:val="center"/>
                    <w:rPr>
                      <w:rFonts w:hint="default" w:ascii="Times New Roman" w:hAnsi="Times New Roman" w:cs="Times New Roman"/>
                      <w:color w:val="auto"/>
                      <w:sz w:val="21"/>
                      <w:szCs w:val="21"/>
                      <w:highlight w:val="none"/>
                    </w:rPr>
                  </w:pPr>
                </w:p>
              </w:tc>
              <w:tc>
                <w:tcPr>
                  <w:tcW w:w="1678" w:type="dxa"/>
                  <w:vMerge w:val="continue"/>
                  <w:noWrap w:val="0"/>
                  <w:vAlign w:val="center"/>
                </w:tcPr>
                <w:p w14:paraId="569E4374">
                  <w:pPr>
                    <w:snapToGrid w:val="0"/>
                    <w:spacing w:line="240" w:lineRule="auto"/>
                    <w:jc w:val="center"/>
                    <w:rPr>
                      <w:rFonts w:hint="default" w:ascii="Times New Roman" w:hAnsi="Times New Roman" w:cs="Times New Roman"/>
                      <w:color w:val="auto"/>
                      <w:sz w:val="21"/>
                      <w:szCs w:val="21"/>
                      <w:highlight w:val="none"/>
                    </w:rPr>
                  </w:pPr>
                </w:p>
              </w:tc>
              <w:tc>
                <w:tcPr>
                  <w:tcW w:w="1660" w:type="dxa"/>
                  <w:noWrap w:val="0"/>
                  <w:vAlign w:val="center"/>
                </w:tcPr>
                <w:p w14:paraId="3D31E45E">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714" w:type="dxa"/>
                  <w:noWrap w:val="0"/>
                  <w:vAlign w:val="center"/>
                </w:tcPr>
                <w:p w14:paraId="1462FE8B">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w:t>
                  </w:r>
                </w:p>
              </w:tc>
            </w:tr>
            <w:tr w14:paraId="127C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2" w:type="dxa"/>
                  <w:vMerge w:val="continue"/>
                  <w:noWrap w:val="0"/>
                  <w:vAlign w:val="center"/>
                </w:tcPr>
                <w:p w14:paraId="5017F344">
                  <w:pPr>
                    <w:snapToGrid w:val="0"/>
                    <w:spacing w:line="240" w:lineRule="auto"/>
                    <w:jc w:val="center"/>
                    <w:rPr>
                      <w:rFonts w:hint="default" w:ascii="Times New Roman" w:hAnsi="Times New Roman" w:cs="Times New Roman"/>
                      <w:color w:val="auto"/>
                      <w:sz w:val="21"/>
                      <w:szCs w:val="21"/>
                      <w:highlight w:val="none"/>
                    </w:rPr>
                  </w:pPr>
                </w:p>
              </w:tc>
              <w:tc>
                <w:tcPr>
                  <w:tcW w:w="1638" w:type="dxa"/>
                  <w:vMerge w:val="continue"/>
                  <w:noWrap w:val="0"/>
                  <w:vAlign w:val="center"/>
                </w:tcPr>
                <w:p w14:paraId="75B7D7FB">
                  <w:pPr>
                    <w:snapToGrid w:val="0"/>
                    <w:spacing w:line="240" w:lineRule="auto"/>
                    <w:jc w:val="center"/>
                    <w:rPr>
                      <w:rFonts w:hint="default" w:ascii="Times New Roman" w:hAnsi="Times New Roman" w:cs="Times New Roman"/>
                      <w:color w:val="auto"/>
                      <w:sz w:val="21"/>
                      <w:szCs w:val="21"/>
                      <w:highlight w:val="none"/>
                    </w:rPr>
                  </w:pPr>
                </w:p>
              </w:tc>
              <w:tc>
                <w:tcPr>
                  <w:tcW w:w="1678" w:type="dxa"/>
                  <w:vMerge w:val="continue"/>
                  <w:noWrap w:val="0"/>
                  <w:vAlign w:val="center"/>
                </w:tcPr>
                <w:p w14:paraId="77F2C3E0">
                  <w:pPr>
                    <w:snapToGrid w:val="0"/>
                    <w:spacing w:line="240" w:lineRule="auto"/>
                    <w:jc w:val="center"/>
                    <w:rPr>
                      <w:rFonts w:hint="default" w:ascii="Times New Roman" w:hAnsi="Times New Roman" w:cs="Times New Roman"/>
                      <w:color w:val="auto"/>
                      <w:sz w:val="21"/>
                      <w:szCs w:val="21"/>
                      <w:highlight w:val="none"/>
                    </w:rPr>
                  </w:pPr>
                </w:p>
              </w:tc>
              <w:tc>
                <w:tcPr>
                  <w:tcW w:w="1660" w:type="dxa"/>
                  <w:noWrap w:val="0"/>
                  <w:vAlign w:val="center"/>
                </w:tcPr>
                <w:p w14:paraId="1D4589A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1714" w:type="dxa"/>
                  <w:noWrap w:val="0"/>
                  <w:vAlign w:val="center"/>
                </w:tcPr>
                <w:p w14:paraId="78330805">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14:paraId="1AB1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restart"/>
                  <w:noWrap w:val="0"/>
                  <w:vAlign w:val="center"/>
                </w:tcPr>
                <w:p w14:paraId="752007B8">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灰土</w:t>
                  </w:r>
                </w:p>
              </w:tc>
              <w:tc>
                <w:tcPr>
                  <w:tcW w:w="1638" w:type="dxa"/>
                  <w:vMerge w:val="restart"/>
                  <w:noWrap w:val="0"/>
                  <w:vAlign w:val="center"/>
                </w:tcPr>
                <w:p w14:paraId="4DA5BE44">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装卸、混合、运输</w:t>
                  </w:r>
                </w:p>
              </w:tc>
              <w:tc>
                <w:tcPr>
                  <w:tcW w:w="1678" w:type="dxa"/>
                  <w:vMerge w:val="restart"/>
                  <w:noWrap w:val="0"/>
                  <w:vAlign w:val="center"/>
                </w:tcPr>
                <w:p w14:paraId="4B4E175E">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1660" w:type="dxa"/>
                  <w:noWrap w:val="0"/>
                  <w:vAlign w:val="center"/>
                </w:tcPr>
                <w:p w14:paraId="47EEF3B3">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1714" w:type="dxa"/>
                  <w:noWrap w:val="0"/>
                  <w:vAlign w:val="center"/>
                </w:tcPr>
                <w:p w14:paraId="515EE3B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w:t>
                  </w:r>
                </w:p>
              </w:tc>
            </w:tr>
            <w:tr w14:paraId="7F1E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continue"/>
                  <w:noWrap w:val="0"/>
                  <w:vAlign w:val="center"/>
                </w:tcPr>
                <w:p w14:paraId="7B3246F0">
                  <w:pPr>
                    <w:snapToGrid w:val="0"/>
                    <w:spacing w:line="240" w:lineRule="auto"/>
                    <w:jc w:val="center"/>
                    <w:rPr>
                      <w:rFonts w:hint="default" w:ascii="Times New Roman" w:hAnsi="Times New Roman" w:cs="Times New Roman"/>
                      <w:color w:val="auto"/>
                      <w:sz w:val="21"/>
                      <w:szCs w:val="21"/>
                      <w:highlight w:val="none"/>
                    </w:rPr>
                  </w:pPr>
                </w:p>
              </w:tc>
              <w:tc>
                <w:tcPr>
                  <w:tcW w:w="1638" w:type="dxa"/>
                  <w:vMerge w:val="continue"/>
                  <w:noWrap w:val="0"/>
                  <w:vAlign w:val="center"/>
                </w:tcPr>
                <w:p w14:paraId="214D8485">
                  <w:pPr>
                    <w:snapToGrid w:val="0"/>
                    <w:spacing w:line="240" w:lineRule="auto"/>
                    <w:jc w:val="center"/>
                    <w:rPr>
                      <w:rFonts w:hint="default" w:ascii="Times New Roman" w:hAnsi="Times New Roman" w:cs="Times New Roman"/>
                      <w:color w:val="auto"/>
                      <w:sz w:val="21"/>
                      <w:szCs w:val="21"/>
                      <w:highlight w:val="none"/>
                    </w:rPr>
                  </w:pPr>
                </w:p>
              </w:tc>
              <w:tc>
                <w:tcPr>
                  <w:tcW w:w="1678" w:type="dxa"/>
                  <w:vMerge w:val="continue"/>
                  <w:noWrap w:val="0"/>
                  <w:vAlign w:val="center"/>
                </w:tcPr>
                <w:p w14:paraId="48A9F30F">
                  <w:pPr>
                    <w:snapToGrid w:val="0"/>
                    <w:spacing w:line="240" w:lineRule="auto"/>
                    <w:jc w:val="center"/>
                    <w:rPr>
                      <w:rFonts w:hint="default" w:ascii="Times New Roman" w:hAnsi="Times New Roman" w:cs="Times New Roman"/>
                      <w:color w:val="auto"/>
                      <w:sz w:val="21"/>
                      <w:szCs w:val="21"/>
                      <w:highlight w:val="none"/>
                    </w:rPr>
                  </w:pPr>
                </w:p>
              </w:tc>
              <w:tc>
                <w:tcPr>
                  <w:tcW w:w="1660" w:type="dxa"/>
                  <w:noWrap w:val="0"/>
                  <w:vAlign w:val="center"/>
                </w:tcPr>
                <w:p w14:paraId="224842F7">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714" w:type="dxa"/>
                  <w:noWrap w:val="0"/>
                  <w:vAlign w:val="center"/>
                </w:tcPr>
                <w:p w14:paraId="15E9DD24">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r>
            <w:tr w14:paraId="197D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continue"/>
                  <w:noWrap w:val="0"/>
                  <w:vAlign w:val="center"/>
                </w:tcPr>
                <w:p w14:paraId="52920E50">
                  <w:pPr>
                    <w:snapToGrid w:val="0"/>
                    <w:spacing w:line="240" w:lineRule="auto"/>
                    <w:jc w:val="center"/>
                    <w:rPr>
                      <w:rFonts w:hint="default" w:ascii="Times New Roman" w:hAnsi="Times New Roman" w:cs="Times New Roman"/>
                      <w:color w:val="auto"/>
                      <w:sz w:val="21"/>
                      <w:szCs w:val="21"/>
                      <w:highlight w:val="none"/>
                    </w:rPr>
                  </w:pPr>
                </w:p>
              </w:tc>
              <w:tc>
                <w:tcPr>
                  <w:tcW w:w="1638" w:type="dxa"/>
                  <w:vMerge w:val="continue"/>
                  <w:noWrap w:val="0"/>
                  <w:vAlign w:val="center"/>
                </w:tcPr>
                <w:p w14:paraId="1EFB45D0">
                  <w:pPr>
                    <w:snapToGrid w:val="0"/>
                    <w:spacing w:line="240" w:lineRule="auto"/>
                    <w:jc w:val="center"/>
                    <w:rPr>
                      <w:rFonts w:hint="default" w:ascii="Times New Roman" w:hAnsi="Times New Roman" w:cs="Times New Roman"/>
                      <w:color w:val="auto"/>
                      <w:sz w:val="21"/>
                      <w:szCs w:val="21"/>
                      <w:highlight w:val="none"/>
                    </w:rPr>
                  </w:pPr>
                </w:p>
              </w:tc>
              <w:tc>
                <w:tcPr>
                  <w:tcW w:w="1678" w:type="dxa"/>
                  <w:vMerge w:val="continue"/>
                  <w:noWrap w:val="0"/>
                  <w:vAlign w:val="center"/>
                </w:tcPr>
                <w:p w14:paraId="573B57B3">
                  <w:pPr>
                    <w:snapToGrid w:val="0"/>
                    <w:spacing w:line="240" w:lineRule="auto"/>
                    <w:jc w:val="center"/>
                    <w:rPr>
                      <w:rFonts w:hint="default" w:ascii="Times New Roman" w:hAnsi="Times New Roman" w:cs="Times New Roman"/>
                      <w:color w:val="auto"/>
                      <w:sz w:val="21"/>
                      <w:szCs w:val="21"/>
                      <w:highlight w:val="none"/>
                    </w:rPr>
                  </w:pPr>
                </w:p>
              </w:tc>
              <w:tc>
                <w:tcPr>
                  <w:tcW w:w="1660" w:type="dxa"/>
                  <w:noWrap w:val="0"/>
                  <w:vAlign w:val="center"/>
                </w:tcPr>
                <w:p w14:paraId="11A9747F">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1714" w:type="dxa"/>
                  <w:noWrap w:val="0"/>
                  <w:vAlign w:val="center"/>
                </w:tcPr>
                <w:p w14:paraId="7E9313C5">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w:t>
                  </w:r>
                </w:p>
              </w:tc>
            </w:tr>
            <w:tr w14:paraId="6475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restart"/>
                  <w:noWrap w:val="0"/>
                  <w:vAlign w:val="center"/>
                </w:tcPr>
                <w:p w14:paraId="055F0C65">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石料</w:t>
                  </w:r>
                </w:p>
              </w:tc>
              <w:tc>
                <w:tcPr>
                  <w:tcW w:w="1638" w:type="dxa"/>
                  <w:vMerge w:val="restart"/>
                  <w:noWrap w:val="0"/>
                  <w:vAlign w:val="center"/>
                </w:tcPr>
                <w:p w14:paraId="593E55B5">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w:t>
                  </w:r>
                </w:p>
              </w:tc>
              <w:tc>
                <w:tcPr>
                  <w:tcW w:w="1678" w:type="dxa"/>
                  <w:vMerge w:val="restart"/>
                  <w:noWrap w:val="0"/>
                  <w:vAlign w:val="center"/>
                </w:tcPr>
                <w:p w14:paraId="57849BD3">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1660" w:type="dxa"/>
                  <w:noWrap w:val="0"/>
                  <w:vAlign w:val="center"/>
                </w:tcPr>
                <w:p w14:paraId="1C4EABF8">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1714" w:type="dxa"/>
                  <w:noWrap w:val="0"/>
                  <w:vAlign w:val="center"/>
                </w:tcPr>
                <w:p w14:paraId="7F10A6F2">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w:t>
                  </w:r>
                </w:p>
              </w:tc>
            </w:tr>
            <w:tr w14:paraId="29C8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2" w:type="dxa"/>
                  <w:vMerge w:val="continue"/>
                  <w:noWrap w:val="0"/>
                  <w:vAlign w:val="center"/>
                </w:tcPr>
                <w:p w14:paraId="520F41D9">
                  <w:pPr>
                    <w:snapToGrid w:val="0"/>
                    <w:spacing w:line="240" w:lineRule="auto"/>
                    <w:jc w:val="center"/>
                    <w:rPr>
                      <w:rFonts w:hint="default" w:ascii="Times New Roman" w:hAnsi="Times New Roman" w:cs="Times New Roman"/>
                      <w:color w:val="auto"/>
                      <w:sz w:val="21"/>
                      <w:szCs w:val="21"/>
                      <w:highlight w:val="none"/>
                    </w:rPr>
                  </w:pPr>
                </w:p>
              </w:tc>
              <w:tc>
                <w:tcPr>
                  <w:tcW w:w="1638" w:type="dxa"/>
                  <w:vMerge w:val="continue"/>
                  <w:noWrap w:val="0"/>
                  <w:vAlign w:val="center"/>
                </w:tcPr>
                <w:p w14:paraId="241A6322">
                  <w:pPr>
                    <w:snapToGrid w:val="0"/>
                    <w:spacing w:line="240" w:lineRule="auto"/>
                    <w:jc w:val="center"/>
                    <w:rPr>
                      <w:rFonts w:hint="default" w:ascii="Times New Roman" w:hAnsi="Times New Roman" w:cs="Times New Roman"/>
                      <w:color w:val="auto"/>
                      <w:sz w:val="21"/>
                      <w:szCs w:val="21"/>
                      <w:highlight w:val="none"/>
                    </w:rPr>
                  </w:pPr>
                </w:p>
              </w:tc>
              <w:tc>
                <w:tcPr>
                  <w:tcW w:w="1678" w:type="dxa"/>
                  <w:vMerge w:val="continue"/>
                  <w:noWrap w:val="0"/>
                  <w:vAlign w:val="center"/>
                </w:tcPr>
                <w:p w14:paraId="22B0C77A">
                  <w:pPr>
                    <w:snapToGrid w:val="0"/>
                    <w:spacing w:line="240" w:lineRule="auto"/>
                    <w:jc w:val="center"/>
                    <w:rPr>
                      <w:rFonts w:hint="default" w:ascii="Times New Roman" w:hAnsi="Times New Roman" w:cs="Times New Roman"/>
                      <w:color w:val="auto"/>
                      <w:sz w:val="21"/>
                      <w:szCs w:val="21"/>
                      <w:highlight w:val="none"/>
                    </w:rPr>
                  </w:pPr>
                </w:p>
              </w:tc>
              <w:tc>
                <w:tcPr>
                  <w:tcW w:w="1660" w:type="dxa"/>
                  <w:noWrap w:val="0"/>
                  <w:vAlign w:val="center"/>
                </w:tcPr>
                <w:p w14:paraId="75B11659">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714" w:type="dxa"/>
                  <w:noWrap w:val="0"/>
                  <w:vAlign w:val="center"/>
                </w:tcPr>
                <w:p w14:paraId="075A651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w:t>
                  </w:r>
                </w:p>
              </w:tc>
            </w:tr>
            <w:tr w14:paraId="30AE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continue"/>
                  <w:noWrap w:val="0"/>
                  <w:vAlign w:val="center"/>
                </w:tcPr>
                <w:p w14:paraId="5B32017D">
                  <w:pPr>
                    <w:snapToGrid w:val="0"/>
                    <w:spacing w:line="240" w:lineRule="auto"/>
                    <w:jc w:val="center"/>
                    <w:rPr>
                      <w:rFonts w:hint="default" w:ascii="Times New Roman" w:hAnsi="Times New Roman" w:cs="Times New Roman"/>
                      <w:color w:val="auto"/>
                      <w:sz w:val="21"/>
                      <w:szCs w:val="21"/>
                      <w:highlight w:val="none"/>
                    </w:rPr>
                  </w:pPr>
                </w:p>
              </w:tc>
              <w:tc>
                <w:tcPr>
                  <w:tcW w:w="1638" w:type="dxa"/>
                  <w:vMerge w:val="continue"/>
                  <w:noWrap w:val="0"/>
                  <w:vAlign w:val="center"/>
                </w:tcPr>
                <w:p w14:paraId="09A86876">
                  <w:pPr>
                    <w:snapToGrid w:val="0"/>
                    <w:spacing w:line="240" w:lineRule="auto"/>
                    <w:jc w:val="center"/>
                    <w:rPr>
                      <w:rFonts w:hint="default" w:ascii="Times New Roman" w:hAnsi="Times New Roman" w:cs="Times New Roman"/>
                      <w:color w:val="auto"/>
                      <w:sz w:val="21"/>
                      <w:szCs w:val="21"/>
                      <w:highlight w:val="none"/>
                    </w:rPr>
                  </w:pPr>
                </w:p>
              </w:tc>
              <w:tc>
                <w:tcPr>
                  <w:tcW w:w="1678" w:type="dxa"/>
                  <w:vMerge w:val="continue"/>
                  <w:noWrap w:val="0"/>
                  <w:vAlign w:val="center"/>
                </w:tcPr>
                <w:p w14:paraId="23A4C4E7">
                  <w:pPr>
                    <w:snapToGrid w:val="0"/>
                    <w:spacing w:line="240" w:lineRule="auto"/>
                    <w:jc w:val="center"/>
                    <w:rPr>
                      <w:rFonts w:hint="default" w:ascii="Times New Roman" w:hAnsi="Times New Roman" w:cs="Times New Roman"/>
                      <w:color w:val="auto"/>
                      <w:sz w:val="21"/>
                      <w:szCs w:val="21"/>
                      <w:highlight w:val="none"/>
                    </w:rPr>
                  </w:pPr>
                </w:p>
              </w:tc>
              <w:tc>
                <w:tcPr>
                  <w:tcW w:w="1660" w:type="dxa"/>
                  <w:noWrap w:val="0"/>
                  <w:vAlign w:val="center"/>
                </w:tcPr>
                <w:p w14:paraId="1DB26AEA">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1714" w:type="dxa"/>
                  <w:noWrap w:val="0"/>
                  <w:vAlign w:val="center"/>
                </w:tcPr>
                <w:p w14:paraId="7A50E7BB">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bookmarkEnd w:id="17"/>
            <w:bookmarkEnd w:id="18"/>
            <w:bookmarkEnd w:id="19"/>
            <w:bookmarkEnd w:id="20"/>
          </w:tbl>
          <w:p w14:paraId="532299B9">
            <w:pPr>
              <w:snapToGrid w:val="0"/>
              <w:spacing w:line="360" w:lineRule="auto"/>
              <w:ind w:firstLine="480" w:firstLineChars="200"/>
              <w:rPr>
                <w:rFonts w:hint="default" w:ascii="Times New Roman" w:hAnsi="Times New Roman" w:cs="Times New Roman"/>
                <w:color w:val="auto"/>
                <w:sz w:val="24"/>
                <w:highlight w:val="none"/>
              </w:rPr>
            </w:pPr>
            <w:bookmarkStart w:id="21" w:name="_Toc7460"/>
            <w:bookmarkStart w:id="22" w:name="_Toc27783"/>
            <w:bookmarkStart w:id="23" w:name="_Toc31595"/>
            <w:bookmarkStart w:id="24" w:name="_Toc11394"/>
            <w:r>
              <w:rPr>
                <w:rFonts w:hint="default" w:ascii="Times New Roman" w:hAnsi="Times New Roman" w:cs="Times New Roman"/>
                <w:color w:val="auto"/>
                <w:sz w:val="24"/>
                <w:highlight w:val="none"/>
              </w:rPr>
              <w:t>由表7-1分析可知，项目施工在土方装卸、运输、施工及石料运输中，距现场100m处环境空气中TSP浓度高达19.7mg/m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，150m处环境空气中TSP浓度仍达5.0mg/m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highlight w:val="none"/>
                <w:lang w:eastAsia="zh-CN"/>
              </w:rPr>
              <w:t>调查</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距离本项目最近的大气环境保护目标为位于项目</w:t>
            </w:r>
            <w:r>
              <w:rPr>
                <w:rFonts w:hint="default" w:ascii="Times New Roman" w:hAnsi="Times New Roman" w:cs="Times New Roman"/>
                <w:color w:val="auto"/>
                <w:sz w:val="24"/>
                <w:highlight w:val="none"/>
                <w:lang w:eastAsia="zh-CN"/>
              </w:rPr>
              <w:t>西北侧</w:t>
            </w:r>
            <w:r>
              <w:rPr>
                <w:rFonts w:hint="eastAsia" w:cs="Times New Roman"/>
                <w:color w:val="auto"/>
                <w:sz w:val="24"/>
                <w:highlight w:val="none"/>
                <w:lang w:val="en-US" w:eastAsia="zh-CN"/>
              </w:rPr>
              <w:t>150m范围内</w:t>
            </w:r>
            <w:r>
              <w:rPr>
                <w:rFonts w:hint="default" w:ascii="Times New Roman" w:hAnsi="Times New Roman" w:cs="Times New Roman"/>
                <w:color w:val="auto"/>
                <w:sz w:val="24"/>
                <w:highlight w:val="none"/>
                <w:lang w:eastAsia="zh-CN"/>
              </w:rPr>
              <w:t>的芒烘村、拉院村、芒辛村、芒赛村、芒乃村</w:t>
            </w:r>
            <w:r>
              <w:rPr>
                <w:rFonts w:hint="eastAsia" w:cs="Times New Roman"/>
                <w:color w:val="auto"/>
                <w:sz w:val="24"/>
                <w:highlight w:val="none"/>
                <w:lang w:val="en-US" w:eastAsia="zh-CN"/>
              </w:rPr>
              <w:t>环境空气已超标。</w:t>
            </w:r>
          </w:p>
          <w:bookmarkEnd w:id="21"/>
          <w:bookmarkEnd w:id="22"/>
          <w:bookmarkEnd w:id="23"/>
          <w:bookmarkEnd w:id="24"/>
          <w:p w14:paraId="318FB42F">
            <w:pPr>
              <w:pStyle w:val="38"/>
              <w:spacing w:line="360" w:lineRule="auto"/>
              <w:rPr>
                <w:rFonts w:hint="default"/>
              </w:rPr>
            </w:pPr>
            <w:r>
              <w:rPr>
                <w:rFonts w:hint="eastAsia"/>
                <w:lang w:eastAsia="zh-CN"/>
              </w:rPr>
              <w:t>本项目在施工过程中</w:t>
            </w:r>
            <w:r>
              <w:rPr>
                <w:rFonts w:hint="eastAsia"/>
              </w:rPr>
              <w:t>施工道路周围设置100%围挡；施工过程中边开挖边遮盖，对开挖面、土方、砂石料等裸露部分采用遮阳网100%覆盖，并对其随时洒水降尘；对施工路面进行100%硬化，同时进行洒水降尘；在土方挖运、回填过程中对整个施工区域进行100%洒水降尘；设置车辆清洗池对进出项目施工区的运输车辆轮胎进行100%清洗，定期对</w:t>
            </w:r>
            <w:r>
              <w:rPr>
                <w:rFonts w:hint="eastAsia"/>
                <w:lang w:eastAsia="zh-CN"/>
              </w:rPr>
              <w:t>沉砂</w:t>
            </w:r>
            <w:r>
              <w:rPr>
                <w:rFonts w:hint="eastAsia"/>
              </w:rPr>
              <w:t>池进行清掏，同时运输车辆必须用苫布对厢体所运物料遮盖严实；对施工现场裸露场地进行100%覆盖，并随时洒水抑尘。因此，本项目施工期能够达到扬尘防治措施“6个100%”的要求，对周围环境影响较小。</w:t>
            </w:r>
          </w:p>
          <w:p w14:paraId="1178E60F">
            <w:pPr>
              <w:numPr>
                <w:ilvl w:val="0"/>
                <w:numId w:val="30"/>
              </w:numPr>
              <w:snapToGrid w:val="0"/>
              <w:spacing w:line="360" w:lineRule="auto"/>
              <w:ind w:left="0" w:leftChars="0" w:firstLine="480" w:firstLineChars="200"/>
              <w:rPr>
                <w:rFonts w:hint="default" w:ascii="Times New Roman" w:hAnsi="Times New Roman" w:cs="Times New Roman"/>
                <w:color w:val="auto"/>
                <w:sz w:val="24"/>
                <w:highlight w:val="none"/>
              </w:rPr>
            </w:pPr>
            <w:bookmarkStart w:id="25" w:name="_Toc5645"/>
            <w:bookmarkStart w:id="26" w:name="_Toc32199"/>
            <w:bookmarkStart w:id="27" w:name="_Toc18043"/>
            <w:bookmarkStart w:id="28" w:name="_Toc23975"/>
            <w:r>
              <w:rPr>
                <w:rFonts w:hint="default" w:ascii="Times New Roman" w:hAnsi="Times New Roman" w:cs="Times New Roman"/>
                <w:b w:val="0"/>
                <w:bCs w:val="0"/>
                <w:color w:val="auto"/>
                <w:sz w:val="24"/>
                <w:highlight w:val="none"/>
              </w:rPr>
              <w:t>汽车尾气、机械废气及沥青烟污染分析</w:t>
            </w:r>
            <w:bookmarkEnd w:id="25"/>
            <w:bookmarkEnd w:id="26"/>
            <w:bookmarkEnd w:id="27"/>
            <w:bookmarkEnd w:id="28"/>
            <w:bookmarkStart w:id="29" w:name="_Toc23181"/>
            <w:bookmarkStart w:id="30" w:name="_Toc2671"/>
            <w:bookmarkStart w:id="31" w:name="_Toc23607"/>
            <w:bookmarkStart w:id="32" w:name="_Toc18988"/>
          </w:p>
          <w:p w14:paraId="2303AD79">
            <w:pPr>
              <w:numPr>
                <w:ilvl w:val="0"/>
                <w:numId w:val="0"/>
              </w:numPr>
              <w:snapToGrid w:val="0"/>
              <w:spacing w:line="360" w:lineRule="auto"/>
              <w:ind w:left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①汽车、机械废气影响分析</w:t>
            </w:r>
          </w:p>
          <w:p w14:paraId="05207CC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本项目施工过程使用的施工机械包括装载机、压路机、推土机、挖掘机及运输车辆等排放燃油废气，主要污染物为CO、NO</w:t>
            </w:r>
            <w:r>
              <w:rPr>
                <w:rFonts w:hint="default" w:ascii="Times New Roman" w:hAnsi="Times New Roman" w:cs="Times New Roman"/>
                <w:color w:val="auto"/>
                <w:sz w:val="24"/>
                <w:highlight w:val="none"/>
                <w:vertAlign w:val="subscript"/>
              </w:rPr>
              <w:t>X</w:t>
            </w:r>
            <w:r>
              <w:rPr>
                <w:rFonts w:hint="default" w:ascii="Times New Roman" w:hAnsi="Times New Roman" w:cs="Times New Roman"/>
                <w:color w:val="auto"/>
                <w:sz w:val="24"/>
                <w:highlight w:val="none"/>
              </w:rPr>
              <w:t>和烟尘。</w:t>
            </w:r>
            <w:bookmarkEnd w:id="29"/>
            <w:bookmarkEnd w:id="30"/>
            <w:bookmarkEnd w:id="31"/>
            <w:bookmarkEnd w:id="32"/>
          </w:p>
          <w:p w14:paraId="5EE50F69">
            <w:pPr>
              <w:snapToGrid w:val="0"/>
              <w:spacing w:line="360" w:lineRule="auto"/>
              <w:ind w:firstLine="480" w:firstLineChars="200"/>
              <w:rPr>
                <w:rFonts w:hint="default" w:ascii="Times New Roman" w:hAnsi="Times New Roman" w:cs="Times New Roman"/>
                <w:color w:val="auto"/>
                <w:sz w:val="24"/>
                <w:highlight w:val="none"/>
              </w:rPr>
            </w:pPr>
            <w:bookmarkStart w:id="33" w:name="_Toc9479"/>
            <w:bookmarkStart w:id="34" w:name="_Toc20664"/>
            <w:bookmarkStart w:id="35" w:name="_Toc29106"/>
            <w:bookmarkStart w:id="36" w:name="_Toc27037"/>
            <w:r>
              <w:rPr>
                <w:rFonts w:hint="default" w:ascii="Times New Roman" w:hAnsi="Times New Roman" w:cs="Times New Roman"/>
                <w:color w:val="auto"/>
                <w:sz w:val="24"/>
                <w:highlight w:val="none"/>
              </w:rPr>
              <w:t>由于燃油平均使用量较小，排放方式为无组织排放，其影响主要局限于施工作业区内，对周围环境影响较小。</w:t>
            </w:r>
            <w:bookmarkEnd w:id="33"/>
            <w:bookmarkEnd w:id="34"/>
            <w:bookmarkEnd w:id="35"/>
            <w:bookmarkEnd w:id="36"/>
          </w:p>
          <w:p w14:paraId="6DA73C33">
            <w:pPr>
              <w:snapToGrid w:val="0"/>
              <w:spacing w:line="360" w:lineRule="auto"/>
              <w:ind w:firstLine="480" w:firstLineChars="200"/>
              <w:rPr>
                <w:rFonts w:hint="default" w:ascii="Times New Roman" w:hAnsi="Times New Roman" w:cs="Times New Roman"/>
                <w:color w:val="auto"/>
                <w:sz w:val="24"/>
                <w:highlight w:val="none"/>
              </w:rPr>
            </w:pPr>
            <w:bookmarkStart w:id="37" w:name="_Toc27525"/>
            <w:bookmarkStart w:id="38" w:name="_Toc2406"/>
            <w:bookmarkStart w:id="39" w:name="_Toc11818"/>
            <w:bookmarkStart w:id="40" w:name="_Toc17064"/>
            <w:r>
              <w:rPr>
                <w:rFonts w:hint="default" w:ascii="Times New Roman" w:hAnsi="Times New Roman" w:cs="Times New Roman"/>
                <w:color w:val="auto"/>
                <w:sz w:val="24"/>
                <w:highlight w:val="none"/>
              </w:rPr>
              <w:t>②沥青烟影响分析</w:t>
            </w:r>
          </w:p>
          <w:bookmarkEnd w:id="37"/>
          <w:bookmarkEnd w:id="38"/>
          <w:bookmarkEnd w:id="39"/>
          <w:bookmarkEnd w:id="40"/>
          <w:p w14:paraId="47AAD4E6">
            <w:pPr>
              <w:numPr>
                <w:ilvl w:val="0"/>
                <w:numId w:val="0"/>
              </w:numPr>
              <w:snapToGrid w:val="0"/>
              <w:spacing w:line="360" w:lineRule="auto"/>
              <w:ind w:firstLine="480" w:firstLineChars="200"/>
              <w:rPr>
                <w:rFonts w:hint="default" w:ascii="Times New Roman" w:hAnsi="Times New Roman" w:eastAsia="宋体" w:cs="Times New Roman"/>
                <w:color w:val="auto"/>
                <w:sz w:val="24"/>
                <w:highlight w:val="none"/>
                <w:lang w:eastAsia="zh-CN"/>
              </w:rPr>
            </w:pPr>
            <w:bookmarkStart w:id="41" w:name="_Toc16546"/>
            <w:bookmarkStart w:id="42" w:name="_Toc20225"/>
            <w:bookmarkStart w:id="43" w:name="_Toc24182"/>
            <w:bookmarkStart w:id="44" w:name="_Toc28127"/>
            <w:r>
              <w:rPr>
                <w:rFonts w:hint="default" w:ascii="Times New Roman" w:hAnsi="Times New Roman" w:cs="Times New Roman"/>
                <w:color w:val="auto"/>
                <w:sz w:val="24"/>
                <w:highlight w:val="none"/>
              </w:rPr>
              <w:t>本工程全线均为沥青混凝土路面，</w:t>
            </w:r>
            <w:r>
              <w:rPr>
                <w:rFonts w:hint="default" w:ascii="Times New Roman" w:hAnsi="Times New Roman" w:eastAsia="宋体" w:cs="Times New Roman"/>
                <w:color w:val="000000"/>
                <w:kern w:val="0"/>
                <w:sz w:val="24"/>
                <w:szCs w:val="24"/>
                <w:lang w:val="en-US" w:eastAsia="zh-CN" w:bidi="ar"/>
              </w:rPr>
              <w:t>沥青混凝土运输过程中产生沥青烟，</w:t>
            </w:r>
            <w:r>
              <w:rPr>
                <w:rFonts w:hint="default" w:ascii="Times New Roman" w:hAnsi="Times New Roman" w:eastAsia="宋体" w:cs="Times New Roman"/>
                <w:color w:val="auto"/>
                <w:sz w:val="24"/>
                <w:szCs w:val="24"/>
                <w:highlight w:val="none"/>
              </w:rPr>
              <w:t>沥</w:t>
            </w:r>
            <w:r>
              <w:rPr>
                <w:rFonts w:hint="default" w:ascii="Times New Roman" w:hAnsi="Times New Roman" w:eastAsia="宋体" w:cs="Times New Roman"/>
                <w:color w:val="auto"/>
                <w:sz w:val="24"/>
                <w:highlight w:val="none"/>
              </w:rPr>
              <w:t>青铺摊过程中将产生少量的沥青烟。有监测数据表明，沥青中释放出的有毒物质，随温度的降低数量减少</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sz w:val="24"/>
              </w:rPr>
              <w:t>根据大羊坊沥青混凝土搅拌站的现场检测结果可以推论在工程铺设沥青混凝土路面时，沥青烟是可以达标排放的</w:t>
            </w:r>
            <w:r>
              <w:rPr>
                <w:rFonts w:hint="default" w:ascii="Times New Roman" w:hAnsi="Times New Roman" w:cs="Times New Roman"/>
                <w:sz w:val="24"/>
                <w:lang w:eastAsia="zh-CN"/>
              </w:rPr>
              <w:t>，</w:t>
            </w:r>
            <w:r>
              <w:rPr>
                <w:rFonts w:hint="default" w:ascii="Times New Roman" w:hAnsi="Times New Roman" w:eastAsia="宋体" w:cs="Times New Roman"/>
                <w:color w:val="auto"/>
                <w:sz w:val="24"/>
                <w:highlight w:val="none"/>
              </w:rPr>
              <w:t>因此对大气环境影响范围一般比较小</w:t>
            </w:r>
            <w:r>
              <w:rPr>
                <w:rFonts w:hint="default" w:ascii="Times New Roman" w:hAnsi="Times New Roman" w:eastAsia="宋体" w:cs="Times New Roman"/>
                <w:color w:val="auto"/>
                <w:sz w:val="24"/>
                <w:highlight w:val="none"/>
                <w:lang w:eastAsia="zh-CN"/>
              </w:rPr>
              <w:t>。</w:t>
            </w:r>
            <w:bookmarkEnd w:id="41"/>
            <w:bookmarkEnd w:id="42"/>
            <w:bookmarkEnd w:id="43"/>
            <w:bookmarkEnd w:id="44"/>
          </w:p>
          <w:p w14:paraId="0FEB4859">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）对关心点影响</w:t>
            </w:r>
          </w:p>
          <w:p w14:paraId="60BE9616">
            <w:pPr>
              <w:pStyle w:val="38"/>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在项目建设期间，对关心点</w:t>
            </w:r>
            <w:r>
              <w:rPr>
                <w:rFonts w:hint="default" w:ascii="Times New Roman" w:hAnsi="Times New Roman" w:cs="Times New Roman"/>
                <w:color w:val="auto"/>
                <w:sz w:val="24"/>
                <w:highlight w:val="none"/>
                <w:lang w:eastAsia="zh-CN"/>
              </w:rPr>
              <w:t>芒烘村、拉院村、芒辛村、芒赛村、芒乃村</w:t>
            </w:r>
            <w:r>
              <w:rPr>
                <w:rFonts w:hint="default" w:ascii="Times New Roman" w:hAnsi="Times New Roman" w:cs="Times New Roman"/>
                <w:color w:val="auto"/>
                <w:sz w:val="24"/>
                <w:highlight w:val="none"/>
              </w:rPr>
              <w:t>等，项目施工期间对其会产生一定的影响，特别是大风天气，扬尘对周围居民的生活影响会增大，</w:t>
            </w:r>
            <w:r>
              <w:rPr>
                <w:rFonts w:hint="eastAsia" w:cs="Times New Roman"/>
                <w:color w:val="auto"/>
                <w:sz w:val="24"/>
                <w:highlight w:val="none"/>
                <w:lang w:eastAsia="zh-CN"/>
              </w:rPr>
              <w:t>因此，</w:t>
            </w:r>
            <w:r>
              <w:t>在施工过程中要加强管理，</w:t>
            </w:r>
            <w:r>
              <w:rPr>
                <w:rFonts w:hint="eastAsia"/>
              </w:rPr>
              <w:t>施工道路硬化，</w:t>
            </w:r>
            <w:r>
              <w:t>粉状散装材料要封闭存放，施工时采取洒水降尘，同时在项目边界处设围挡等措施，以减缓施工扬尘对周围居民及企业工作人员的影响</w:t>
            </w:r>
            <w:r>
              <w:rPr>
                <w:rFonts w:hint="eastAsia"/>
              </w:rPr>
              <w:t>，</w:t>
            </w:r>
            <w:r>
              <w:t>满足《大气污染物综合排放标准》（GB16297-1996）中无组织排放监控浓度限值1.0mg/m</w:t>
            </w:r>
            <w:r>
              <w:rPr>
                <w:vertAlign w:val="superscript"/>
              </w:rPr>
              <w:t>3</w:t>
            </w:r>
            <w:r>
              <w:t>要求。</w:t>
            </w:r>
          </w:p>
          <w:p w14:paraId="32B52499">
            <w:pPr>
              <w:numPr>
                <w:ilvl w:val="0"/>
                <w:numId w:val="0"/>
              </w:numPr>
              <w:snapToGrid w:val="0"/>
              <w:spacing w:line="360" w:lineRule="auto"/>
              <w:ind w:leftChars="200"/>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eastAsia="zh-CN"/>
              </w:rPr>
              <w:t>）扬尘对周边农作物的影响</w:t>
            </w:r>
          </w:p>
          <w:p w14:paraId="0EDEB7F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本项目用地及周围现状为农用地，项目施工期产生的粉尘会对周边农作物产生影响，项目施工期产生的施工扬尘降落在农作物上将会抑制农作物的生长，其影响范围主要为施工场地周边</w:t>
            </w:r>
            <w:r>
              <w:rPr>
                <w:rFonts w:hint="default" w:ascii="Times New Roman" w:hAnsi="Times New Roman" w:eastAsia="宋体" w:cs="Times New Roman"/>
                <w:color w:val="auto"/>
                <w:sz w:val="24"/>
                <w:szCs w:val="24"/>
                <w:lang w:val="en-US" w:eastAsia="zh-CN"/>
              </w:rPr>
              <w:t>150m范围内，项目在施工期通过采取洒水降尘、设置编织布围栏等措施可大大减少扬尘的产生量，因此，项目施工期产生扬尘对周边农作物影响较小。</w:t>
            </w:r>
          </w:p>
          <w:p w14:paraId="0C22F6EE">
            <w:pPr>
              <w:pStyle w:val="5"/>
              <w:snapToGrid w:val="0"/>
              <w:spacing w:line="360" w:lineRule="auto"/>
              <w:ind w:firstLine="48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拟采取的大气防治措施：</w:t>
            </w:r>
          </w:p>
          <w:p w14:paraId="665A55F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建设单位应严格做到文明施工，减小施工期大气污染物对环境敏感点的影响。具体措施如下：</w:t>
            </w:r>
          </w:p>
          <w:p w14:paraId="33F6A03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w:t>
            </w:r>
            <w:r>
              <w:rPr>
                <w:rFonts w:hint="eastAsia" w:cs="Times New Roman"/>
                <w:color w:val="000000"/>
                <w:kern w:val="0"/>
                <w:sz w:val="24"/>
                <w:szCs w:val="24"/>
                <w:lang w:val="en-US" w:eastAsia="zh-CN" w:bidi="ar"/>
              </w:rPr>
              <w:t>道路采取封闭施工，项目边界采用2.5m遮挡</w:t>
            </w:r>
            <w:r>
              <w:rPr>
                <w:rFonts w:hint="default" w:ascii="Times New Roman" w:hAnsi="Times New Roman" w:eastAsia="宋体" w:cs="Times New Roman"/>
                <w:color w:val="000000"/>
                <w:kern w:val="0"/>
                <w:sz w:val="24"/>
                <w:szCs w:val="24"/>
                <w:lang w:val="en-US" w:eastAsia="zh-CN" w:bidi="ar"/>
              </w:rPr>
              <w:t>围</w:t>
            </w:r>
            <w:r>
              <w:rPr>
                <w:rFonts w:hint="eastAsia" w:cs="Times New Roman"/>
                <w:color w:val="000000"/>
                <w:kern w:val="0"/>
                <w:sz w:val="24"/>
                <w:szCs w:val="24"/>
                <w:lang w:val="en-US" w:eastAsia="zh-CN" w:bidi="ar"/>
              </w:rPr>
              <w:t>墙</w:t>
            </w:r>
            <w:r>
              <w:rPr>
                <w:rFonts w:hint="default" w:ascii="Times New Roman" w:hAnsi="Times New Roman" w:eastAsia="宋体" w:cs="Times New Roman"/>
                <w:color w:val="000000"/>
                <w:kern w:val="0"/>
                <w:sz w:val="24"/>
                <w:szCs w:val="24"/>
                <w:lang w:val="en-US" w:eastAsia="zh-CN" w:bidi="ar"/>
              </w:rPr>
              <w:t>，以减少施工扬尘的扩散，减轻扬尘对周围居民的污染。</w:t>
            </w:r>
          </w:p>
          <w:p w14:paraId="075031C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w:t>
            </w:r>
            <w:r>
              <w:rPr>
                <w:rFonts w:hint="eastAsia" w:cs="Times New Roman"/>
                <w:color w:val="000000"/>
                <w:kern w:val="0"/>
                <w:sz w:val="24"/>
                <w:szCs w:val="24"/>
                <w:lang w:val="en-US" w:eastAsia="zh-CN" w:bidi="ar"/>
              </w:rPr>
              <w:t>在土方挖运、回填过程中</w:t>
            </w:r>
            <w:r>
              <w:rPr>
                <w:rFonts w:hint="default" w:ascii="Times New Roman" w:hAnsi="Times New Roman" w:eastAsia="宋体" w:cs="Times New Roman"/>
                <w:color w:val="000000"/>
                <w:kern w:val="0"/>
                <w:sz w:val="24"/>
                <w:szCs w:val="24"/>
                <w:lang w:val="en-US" w:eastAsia="zh-CN" w:bidi="ar"/>
              </w:rPr>
              <w:t>对</w:t>
            </w:r>
            <w:r>
              <w:rPr>
                <w:rFonts w:hint="eastAsia" w:cs="Times New Roman"/>
                <w:color w:val="000000"/>
                <w:kern w:val="0"/>
                <w:sz w:val="24"/>
                <w:szCs w:val="24"/>
                <w:lang w:val="en-US" w:eastAsia="zh-CN" w:bidi="ar"/>
              </w:rPr>
              <w:t>施工现场</w:t>
            </w:r>
            <w:r>
              <w:rPr>
                <w:rFonts w:hint="default" w:ascii="Times New Roman" w:hAnsi="Times New Roman" w:eastAsia="宋体" w:cs="Times New Roman"/>
                <w:color w:val="000000"/>
                <w:kern w:val="0"/>
                <w:sz w:val="24"/>
                <w:szCs w:val="24"/>
                <w:lang w:val="en-US" w:eastAsia="zh-CN" w:bidi="ar"/>
              </w:rPr>
              <w:t xml:space="preserve">要常洒水，以保持表面湿润，减少扬尘产生量。 </w:t>
            </w:r>
          </w:p>
          <w:p w14:paraId="03EACA9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③运输原材料如水泥、白灰及施工垃圾等车辆要严密遮盖，避免尘粒沿途散落。对施工现场车辆来往抛撒下来的灰土应及时清扫，减少扬尘产生。</w:t>
            </w:r>
          </w:p>
          <w:p w14:paraId="0EF8E0F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④</w:t>
            </w:r>
            <w:r>
              <w:rPr>
                <w:rFonts w:hint="eastAsia" w:cs="Times New Roman"/>
                <w:color w:val="000000"/>
                <w:kern w:val="0"/>
                <w:sz w:val="24"/>
                <w:szCs w:val="24"/>
                <w:lang w:val="en-US" w:eastAsia="zh-CN" w:bidi="ar"/>
              </w:rPr>
              <w:t>施工现场有雾炮机进行喷雾抑尘，</w:t>
            </w:r>
            <w:r>
              <w:rPr>
                <w:rFonts w:hint="default" w:ascii="Times New Roman" w:hAnsi="Times New Roman" w:eastAsia="宋体" w:cs="Times New Roman"/>
                <w:color w:val="000000"/>
                <w:kern w:val="0"/>
                <w:sz w:val="24"/>
                <w:szCs w:val="24"/>
                <w:lang w:val="en-US" w:eastAsia="zh-CN" w:bidi="ar"/>
              </w:rPr>
              <w:t>减少扬尘产生量，减轻扬尘对公众健康的影响。</w:t>
            </w:r>
          </w:p>
          <w:p w14:paraId="6B4A80C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⑤各竖井在施工时，周边应用棚布围栏，这样既可以防止扬尘飞扬，又可避免过路行人陷入。</w:t>
            </w:r>
          </w:p>
          <w:p w14:paraId="442006E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⑥对施工路面经行硬化处理，设置车辆清洗设备，对进出项目场地的车辆经行清洗。</w:t>
            </w:r>
          </w:p>
          <w:p w14:paraId="03C0EFE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通过经采取上述措施后，施工期废气对沿线环境和敏感点的影响可接受，且项目施工影响周期短，其影响随施工活动的结束而消失。</w:t>
            </w:r>
          </w:p>
          <w:p w14:paraId="000EF34A">
            <w:pPr>
              <w:keepNext w:val="0"/>
              <w:keepLines w:val="0"/>
              <w:widowControl/>
              <w:numPr>
                <w:ilvl w:val="0"/>
                <w:numId w:val="29"/>
              </w:numPr>
              <w:suppressLineNumbers w:val="0"/>
              <w:spacing w:line="360" w:lineRule="auto"/>
              <w:ind w:left="0" w:leftChars="0" w:firstLine="0" w:firstLineChars="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施工期噪声环境影响分析</w:t>
            </w:r>
          </w:p>
          <w:p w14:paraId="7D1D385E">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1）主要噪声源</w:t>
            </w:r>
          </w:p>
          <w:p w14:paraId="52E4E2A2">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根据工程分析，项目施工期主要噪声源情况见下表。</w:t>
            </w:r>
          </w:p>
          <w:p w14:paraId="72AAA01C">
            <w:pPr>
              <w:pStyle w:val="27"/>
              <w:numPr>
                <w:ilvl w:val="0"/>
                <w:numId w:val="0"/>
              </w:numPr>
              <w:snapToGrid w:val="0"/>
              <w:spacing w:line="276" w:lineRule="auto"/>
              <w:ind w:left="288"/>
              <w:rPr>
                <w:rFonts w:hint="default" w:ascii="Times New Roman" w:hAnsi="Times New Roman" w:cs="Times New Roman"/>
                <w:color w:val="auto"/>
                <w:highlight w:val="none"/>
              </w:rPr>
            </w:pPr>
            <w:r>
              <w:rPr>
                <w:rFonts w:hint="default" w:ascii="Times New Roman" w:hAnsi="Times New Roman" w:cs="Times New Roman"/>
                <w:color w:val="auto"/>
                <w:highlight w:val="none"/>
              </w:rPr>
              <w:t>表7-2  施工期主要噪声源</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2469"/>
              <w:gridCol w:w="2875"/>
              <w:gridCol w:w="1733"/>
            </w:tblGrid>
            <w:tr w14:paraId="6A14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216964F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63AFFBC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噪声源</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73676BA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测点距施工机械距离（m）</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6541BE9">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噪声级（dB（A））</w:t>
                  </w:r>
                </w:p>
              </w:tc>
            </w:tr>
            <w:tr w14:paraId="0B25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3345AC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012BDA0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3F9C004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FB23EF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86</w:t>
                  </w:r>
                </w:p>
              </w:tc>
            </w:tr>
            <w:tr w14:paraId="4B1B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1BD24E6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6A0BBE7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07BDAEE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593DD9B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84</w:t>
                  </w:r>
                </w:p>
              </w:tc>
            </w:tr>
            <w:tr w14:paraId="47FE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98E328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536C6E18">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平地机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5DAE33B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BD3C58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w:t>
                  </w:r>
                </w:p>
              </w:tc>
            </w:tr>
            <w:tr w14:paraId="5275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13BA238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6C4B939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摊铺机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7F258FB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A569D1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82</w:t>
                  </w:r>
                </w:p>
              </w:tc>
            </w:tr>
            <w:tr w14:paraId="3C01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2C2C62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7A920F1F">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压路机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4E9C987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24E6EE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86</w:t>
                  </w:r>
                </w:p>
              </w:tc>
            </w:tr>
            <w:tr w14:paraId="6B53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112EA7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73CD56F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钢筋加工机械</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7A0ABAF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21FBC6E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r>
            <w:tr w14:paraId="543E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9FEE97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4E98A88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振捣机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2C3F563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5ED2D11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86</w:t>
                  </w:r>
                </w:p>
              </w:tc>
            </w:tr>
            <w:tr w14:paraId="22C2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2460B2F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6FC9BDB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钻机</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1F85DC5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1243D24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87</w:t>
                  </w:r>
                </w:p>
              </w:tc>
            </w:tr>
            <w:tr w14:paraId="5838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0EE1FF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2416385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发电机组</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32EA254F">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CB4BEC9">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98</w:t>
                  </w:r>
                </w:p>
              </w:tc>
            </w:tr>
            <w:tr w14:paraId="019A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27DB81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471" w:type="dxa"/>
                  <w:tcBorders>
                    <w:top w:val="single" w:color="auto" w:sz="4" w:space="0"/>
                    <w:left w:val="single" w:color="auto" w:sz="4" w:space="0"/>
                    <w:bottom w:val="single" w:color="auto" w:sz="4" w:space="0"/>
                    <w:right w:val="single" w:color="auto" w:sz="4" w:space="0"/>
                  </w:tcBorders>
                  <w:noWrap w:val="0"/>
                  <w:vAlign w:val="center"/>
                </w:tcPr>
                <w:p w14:paraId="606CEA4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2877" w:type="dxa"/>
                  <w:tcBorders>
                    <w:top w:val="single" w:color="auto" w:sz="4" w:space="0"/>
                    <w:left w:val="single" w:color="auto" w:sz="4" w:space="0"/>
                    <w:bottom w:val="single" w:color="auto" w:sz="4" w:space="0"/>
                    <w:right w:val="single" w:color="auto" w:sz="4" w:space="0"/>
                  </w:tcBorders>
                  <w:noWrap w:val="0"/>
                  <w:vAlign w:val="center"/>
                </w:tcPr>
                <w:p w14:paraId="251BF06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43B365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w:t>
                  </w:r>
                </w:p>
              </w:tc>
            </w:tr>
          </w:tbl>
          <w:p w14:paraId="68D4E6C3">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2）施工机械噪声预测模式</w:t>
            </w:r>
          </w:p>
          <w:p w14:paraId="6D9FFB77">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施工噪声可近视为点声源处理。根据点声源噪声衰减模式，可估算出离声源不同距离处的噪声值，预测模式如下：</w:t>
            </w:r>
          </w:p>
          <w:p w14:paraId="49FAF32E">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本次评价场界噪声预测采用点源衰减模式，把项目区作为一个整体预测，预测施工机械随距离的衰减情况。预测只计算声源至受声点的几何发散衰减，不考虑声屏障、空气吸收等衰减。预测公式如下：</w:t>
            </w:r>
          </w:p>
          <w:p w14:paraId="6A808F38">
            <w:pPr>
              <w:pStyle w:val="29"/>
              <w:widowControl w:val="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Lp（r）=Lp（r0）- 20lg（r/r</w:t>
            </w:r>
            <w:r>
              <w:rPr>
                <w:rFonts w:hint="default" w:ascii="Times New Roman" w:hAnsi="Times New Roman" w:cs="Times New Roman"/>
                <w:color w:val="auto"/>
                <w:szCs w:val="24"/>
                <w:highlight w:val="none"/>
                <w:vertAlign w:val="subscript"/>
              </w:rPr>
              <w:t>0</w:t>
            </w:r>
            <w:r>
              <w:rPr>
                <w:rFonts w:hint="default" w:ascii="Times New Roman" w:hAnsi="Times New Roman" w:cs="Times New Roman"/>
                <w:color w:val="auto"/>
                <w:szCs w:val="24"/>
                <w:highlight w:val="none"/>
              </w:rPr>
              <w:t>）</w:t>
            </w:r>
          </w:p>
          <w:p w14:paraId="4AAA39AC">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式中：Lp（r）—距离声源r 处的倍频带声压级，dB；</w:t>
            </w:r>
          </w:p>
          <w:p w14:paraId="585C47C7">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Lp（r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）—参考位置r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 xml:space="preserve"> 处的倍频带声压级，dB；</w:t>
            </w:r>
          </w:p>
          <w:p w14:paraId="3FF7CE27">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r—预测点距离声源的距离，m；</w:t>
            </w:r>
          </w:p>
          <w:p w14:paraId="0022DA53">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—参考位置距离声源的距离，m；</w:t>
            </w:r>
          </w:p>
          <w:p w14:paraId="4097550B">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3）预测结果</w:t>
            </w:r>
          </w:p>
          <w:p w14:paraId="68A188A3">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运用上述公式对道路施工机械噪声的影响进行预测，其结果见表7-3。</w:t>
            </w:r>
          </w:p>
          <w:p w14:paraId="57E0367A">
            <w:pPr>
              <w:pStyle w:val="27"/>
              <w:numPr>
                <w:ilvl w:val="0"/>
                <w:numId w:val="0"/>
              </w:numPr>
              <w:spacing w:line="276" w:lineRule="auto"/>
              <w:ind w:left="420"/>
              <w:rPr>
                <w:rFonts w:hint="default" w:ascii="Times New Roman" w:hAnsi="Times New Roman" w:cs="Times New Roman"/>
                <w:color w:val="auto"/>
                <w:highlight w:val="none"/>
              </w:rPr>
            </w:pPr>
            <w:r>
              <w:rPr>
                <w:rFonts w:hint="default" w:ascii="Times New Roman" w:hAnsi="Times New Roman" w:cs="Times New Roman"/>
                <w:color w:val="auto"/>
                <w:highlight w:val="none"/>
              </w:rPr>
              <w:t>表7-3  施工机械随距离的衰减情况</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603"/>
              <w:gridCol w:w="612"/>
              <w:gridCol w:w="613"/>
              <w:gridCol w:w="624"/>
              <w:gridCol w:w="647"/>
              <w:gridCol w:w="614"/>
              <w:gridCol w:w="789"/>
              <w:gridCol w:w="761"/>
              <w:gridCol w:w="747"/>
              <w:gridCol w:w="752"/>
            </w:tblGrid>
            <w:tr w14:paraId="19BB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vMerge w:val="restart"/>
                  <w:tcBorders>
                    <w:top w:val="single" w:color="auto" w:sz="4" w:space="0"/>
                    <w:left w:val="single" w:color="auto" w:sz="4" w:space="0"/>
                    <w:bottom w:val="single" w:color="auto" w:sz="4" w:space="0"/>
                    <w:right w:val="single" w:color="auto" w:sz="4" w:space="0"/>
                  </w:tcBorders>
                  <w:noWrap w:val="0"/>
                  <w:vAlign w:val="center"/>
                </w:tcPr>
                <w:p w14:paraId="456ACA9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机械名称</w:t>
                  </w:r>
                </w:p>
              </w:tc>
              <w:tc>
                <w:tcPr>
                  <w:tcW w:w="6788" w:type="dxa"/>
                  <w:gridSpan w:val="10"/>
                  <w:tcBorders>
                    <w:top w:val="single" w:color="auto" w:sz="4" w:space="0"/>
                    <w:left w:val="single" w:color="auto" w:sz="4" w:space="0"/>
                    <w:bottom w:val="single" w:color="auto" w:sz="4" w:space="0"/>
                    <w:right w:val="single" w:color="auto" w:sz="4" w:space="0"/>
                  </w:tcBorders>
                  <w:noWrap w:val="0"/>
                  <w:vAlign w:val="center"/>
                </w:tcPr>
                <w:p w14:paraId="3E47C199">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噪声预测值dB(A)</w:t>
                  </w:r>
                </w:p>
              </w:tc>
            </w:tr>
            <w:tr w14:paraId="7B9C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vMerge w:val="continue"/>
                  <w:tcBorders>
                    <w:top w:val="single" w:color="auto" w:sz="4" w:space="0"/>
                    <w:left w:val="single" w:color="auto" w:sz="4" w:space="0"/>
                    <w:bottom w:val="single" w:color="auto" w:sz="4" w:space="0"/>
                    <w:right w:val="single" w:color="auto" w:sz="4" w:space="0"/>
                  </w:tcBorders>
                  <w:noWrap w:val="0"/>
                  <w:vAlign w:val="center"/>
                </w:tcPr>
                <w:p w14:paraId="2B63038E">
                  <w:pPr>
                    <w:widowControl/>
                    <w:spacing w:line="240" w:lineRule="auto"/>
                    <w:jc w:val="left"/>
                    <w:rPr>
                      <w:rFonts w:hint="default" w:ascii="Times New Roman" w:hAnsi="Times New Roman" w:cs="Times New Roman"/>
                      <w:color w:val="auto"/>
                      <w:sz w:val="21"/>
                      <w:szCs w:val="21"/>
                      <w:highlight w:val="none"/>
                    </w:rPr>
                  </w:pPr>
                </w:p>
              </w:tc>
              <w:tc>
                <w:tcPr>
                  <w:tcW w:w="604" w:type="dxa"/>
                  <w:tcBorders>
                    <w:top w:val="single" w:color="auto" w:sz="4" w:space="0"/>
                    <w:left w:val="single" w:color="auto" w:sz="4" w:space="0"/>
                    <w:bottom w:val="single" w:color="auto" w:sz="4" w:space="0"/>
                    <w:right w:val="single" w:color="auto" w:sz="4" w:space="0"/>
                  </w:tcBorders>
                  <w:noWrap w:val="0"/>
                  <w:vAlign w:val="center"/>
                </w:tcPr>
                <w:p w14:paraId="2599DCA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10m</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284155F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20m</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0B59FE8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30m</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422B4E8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40m</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032C9BC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60m</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3D651C3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80m</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471DB71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100m</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74727A4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150m</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3AEA51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200m</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0B580AB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300m</w:t>
                  </w:r>
                </w:p>
              </w:tc>
            </w:tr>
            <w:tr w14:paraId="1D05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1F5FA18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7BED021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69B9AA3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52EC697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32B5426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3886CAC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5791E68F">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5087295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0586B4F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08AE878">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4D23E40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r>
            <w:tr w14:paraId="5419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7A7617D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9F7065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7FD64B4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1A5CF77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2425F43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4A18C2B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57F8E80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600E543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00AC93B8">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990DCC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5945A47F">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34.5</w:t>
                  </w:r>
                </w:p>
              </w:tc>
            </w:tr>
            <w:tr w14:paraId="47AA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6FF11BF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平地机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6911AE8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36AF45C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6A22160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14E3F11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307C6A3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1764C71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7BB10D59">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681A318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3926A2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40C51B9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40.5</w:t>
                  </w:r>
                </w:p>
              </w:tc>
            </w:tr>
            <w:tr w14:paraId="7E24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1E991B9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摊铺机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3A41BC5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78D8578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4B5E5FC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125B40B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41B3B5F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3338C87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04C17D0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13CE7C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96EFD9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5FFCE3F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32.5</w:t>
                  </w:r>
                </w:p>
              </w:tc>
            </w:tr>
            <w:tr w14:paraId="3063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52DD8B9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压路机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007778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27BD45A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6313499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367D717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71B72BDF">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2B0475F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5486C47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14D16B6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13D4A59">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27B5DF6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r>
            <w:tr w14:paraId="3C5C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1AAF0BF9">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钢筋加工机械</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6B23C8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66.0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44C6183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48F810D9">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7173C43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2CFCF27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6D63F1B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68A9820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389C6AA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525095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61EAD8A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30.5</w:t>
                  </w:r>
                </w:p>
              </w:tc>
            </w:tr>
            <w:tr w14:paraId="74D6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3E391E8F">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振捣机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71A741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299ECDC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4CDDB5E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73EC6BB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463AA0A3">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75BFAFD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603EF79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1FF0CAA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18262F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56DEA10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r>
            <w:tr w14:paraId="08FF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69AD4C2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钻机</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224E0F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67.9</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1D4E8DC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396FFC00">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763F114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121FCFE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15EFFEF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435165A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627FB77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7328A9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175B8B6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37.5</w:t>
                  </w:r>
                </w:p>
              </w:tc>
            </w:tr>
            <w:tr w14:paraId="3917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01431308">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发电机组</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A3FC38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519DB5D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3176A8F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64.1</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5FED35D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61.9</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7E064C6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58.7</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42D01D1F">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56.4</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7AAF830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3C84D56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62C957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7952A05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45.5</w:t>
                  </w:r>
                </w:p>
              </w:tc>
            </w:tr>
            <w:tr w14:paraId="4802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34787FE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6FEBA59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71.0</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0A7A3628">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59.0</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4715DED7">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55.5</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6B15172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53.0</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752425F5">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49.4</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1653D33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46.9</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526C36AD">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51349D8">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CD28BCA">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1740F06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35.5</w:t>
                  </w:r>
                </w:p>
              </w:tc>
            </w:tr>
            <w:tr w14:paraId="0B1E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499B9128">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叠加值</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456CD5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81.1</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4C589DF4">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71.8</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703615C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68.0</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23330311">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67.2</w:t>
                  </w:r>
                </w:p>
              </w:tc>
              <w:tc>
                <w:tcPr>
                  <w:tcW w:w="651" w:type="dxa"/>
                  <w:tcBorders>
                    <w:top w:val="single" w:color="auto" w:sz="4" w:space="0"/>
                    <w:left w:val="single" w:color="auto" w:sz="4" w:space="0"/>
                    <w:bottom w:val="single" w:color="auto" w:sz="4" w:space="0"/>
                    <w:right w:val="single" w:color="auto" w:sz="4" w:space="0"/>
                  </w:tcBorders>
                  <w:noWrap w:val="0"/>
                  <w:vAlign w:val="center"/>
                </w:tcPr>
                <w:p w14:paraId="429A5C22">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62.3</w:t>
                  </w:r>
                </w:p>
              </w:tc>
              <w:tc>
                <w:tcPr>
                  <w:tcW w:w="615" w:type="dxa"/>
                  <w:tcBorders>
                    <w:top w:val="single" w:color="auto" w:sz="4" w:space="0"/>
                    <w:left w:val="single" w:color="auto" w:sz="4" w:space="0"/>
                    <w:bottom w:val="single" w:color="auto" w:sz="4" w:space="0"/>
                    <w:right w:val="single" w:color="auto" w:sz="4" w:space="0"/>
                  </w:tcBorders>
                  <w:noWrap w:val="0"/>
                  <w:vAlign w:val="center"/>
                </w:tcPr>
                <w:p w14:paraId="0DE8749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59.0</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A79D1EB">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57.7</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212E7D4C">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54.2</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359E5B6">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51.7</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3F46EF8E">
                  <w:pPr>
                    <w:pStyle w:val="2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48.2</w:t>
                  </w:r>
                </w:p>
              </w:tc>
            </w:tr>
          </w:tbl>
          <w:p w14:paraId="31521102">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4）结果分析</w:t>
            </w:r>
          </w:p>
          <w:p w14:paraId="1C2E3324">
            <w:pPr>
              <w:spacing w:line="360" w:lineRule="auto"/>
              <w:ind w:firstLine="482"/>
              <w:rPr>
                <w:rFonts w:hint="default" w:ascii="Times New Roman" w:hAnsi="Times New Roman" w:cs="Times New Roman"/>
                <w:color w:val="auto"/>
                <w:sz w:val="24"/>
                <w:highlight w:val="none"/>
              </w:rPr>
            </w:pPr>
            <w:bookmarkStart w:id="45" w:name="OLE_LINK21"/>
            <w:r>
              <w:rPr>
                <w:rFonts w:hint="default" w:ascii="Times New Roman" w:hAnsi="Times New Roman" w:cs="Times New Roman"/>
                <w:color w:val="auto"/>
                <w:sz w:val="24"/>
                <w:highlight w:val="none"/>
              </w:rPr>
              <w:t>根据《建筑施工场界环境噪声排放标准》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 12523-2011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，本道路工程机械执行标准为：昼间70dB（A）、夜间55dB（A）。</w:t>
            </w:r>
            <w:bookmarkEnd w:id="45"/>
            <w:r>
              <w:rPr>
                <w:rFonts w:hint="default" w:ascii="Times New Roman" w:hAnsi="Times New Roman" w:cs="Times New Roman"/>
                <w:color w:val="auto"/>
                <w:sz w:val="24"/>
                <w:highlight w:val="none"/>
              </w:rPr>
              <w:t>根据表7-3，</w:t>
            </w:r>
            <w:bookmarkStart w:id="46" w:name="OLE_LINK22"/>
            <w:r>
              <w:rPr>
                <w:rFonts w:hint="default" w:ascii="Times New Roman" w:hAnsi="Times New Roman" w:cs="Times New Roman"/>
                <w:color w:val="auto"/>
                <w:sz w:val="24"/>
                <w:highlight w:val="none"/>
              </w:rPr>
              <w:t>昼间施工机械距施工场界</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0m外可达到《建筑施工场界环境噪声排放标准》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 12523-2011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；夜间施工机械距场界1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0m可达到《建筑施工场界环境噪声排放标准》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 12523-2011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标准限值的要求。</w:t>
            </w:r>
            <w:bookmarkEnd w:id="46"/>
          </w:p>
          <w:p w14:paraId="64181FC9">
            <w:pPr>
              <w:pStyle w:val="8"/>
              <w:snapToGrid w:val="0"/>
              <w:spacing w:line="360" w:lineRule="auto"/>
              <w:ind w:firstLine="535"/>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①道路噪声因不同的施工机械影响的范围相差很大，昼夜间施工场界噪声标准不同，夜间施工噪声的影响范围比昼间大得多，在实际施工过程中可能出现多台施工机械同时在一起作业，则此时噪声的影响范围比预测值大，而如果施工场周边有障碍物、植被，再考虑空气吸收的附加衰减量时，噪声的影响范围可能比预测值小。</w:t>
            </w:r>
          </w:p>
          <w:p w14:paraId="33D43224">
            <w:pPr>
              <w:pStyle w:val="8"/>
              <w:snapToGrid w:val="0"/>
              <w:spacing w:line="360" w:lineRule="auto"/>
              <w:ind w:firstLine="535"/>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②施工噪声主要发生在路基施工、路面施工阶段，做好上述时期施工期的噪声防护和治理工作十分重要。</w:t>
            </w:r>
          </w:p>
          <w:p w14:paraId="019CD97C">
            <w:pPr>
              <w:pStyle w:val="8"/>
              <w:snapToGrid w:val="0"/>
              <w:spacing w:line="360" w:lineRule="auto"/>
              <w:ind w:firstLine="535"/>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为进一步降低施工期噪声对关心点的影响，本项目提出以下治理、防治措施：</w:t>
            </w:r>
          </w:p>
          <w:p w14:paraId="0253E0A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（1）对各声源设备进行合理布局，并在</w:t>
            </w:r>
            <w:r>
              <w:rPr>
                <w:rFonts w:hint="default" w:ascii="Times New Roman" w:hAnsi="Times New Roman" w:cs="Times New Roman"/>
                <w:color w:val="auto"/>
                <w:spacing w:val="6"/>
                <w:sz w:val="24"/>
                <w:highlight w:val="none"/>
              </w:rPr>
              <w:t>施工现场周边设置遮挡高度2.5m的围挡。</w:t>
            </w:r>
          </w:p>
          <w:p w14:paraId="4DE9D41C">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cs="Times New Roman"/>
                <w:color w:val="auto"/>
                <w:sz w:val="24"/>
                <w:highlight w:val="none"/>
              </w:rPr>
              <w:t>（2）</w:t>
            </w:r>
            <w:r>
              <w:rPr>
                <w:rFonts w:hint="default" w:ascii="Times New Roman" w:hAnsi="Times New Roman" w:eastAsia="宋体" w:cs="Times New Roman"/>
                <w:color w:val="000000"/>
                <w:kern w:val="0"/>
                <w:sz w:val="24"/>
                <w:szCs w:val="24"/>
                <w:lang w:val="en-US" w:eastAsia="zh-CN" w:bidi="ar"/>
              </w:rPr>
              <w:t xml:space="preserve">对于施工期间噪声污染防治措施，应严格执行 GB12523-2011《建 </w:t>
            </w:r>
          </w:p>
          <w:p w14:paraId="6B265E90">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000000"/>
                <w:kern w:val="0"/>
                <w:sz w:val="24"/>
                <w:szCs w:val="24"/>
                <w:lang w:val="en-US" w:eastAsia="zh-CN" w:bidi="ar"/>
              </w:rPr>
              <w:t>筑施工场界噪声限值》中的规定。加强管理和调度，提高工效，午间和夜间应避免或禁止施工。</w:t>
            </w:r>
          </w:p>
          <w:p w14:paraId="1A65E5B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（3）工程运输车辆禁止使用音量高于95分贝的喇叭，合理选择运输路线，避免利用村庄或住宅小区周边道路通行，车辆行经居民集中区等敏感区域时采取减速、禁鸣措施。</w:t>
            </w:r>
          </w:p>
          <w:p w14:paraId="466683C5">
            <w:pPr>
              <w:adjustRightInd w:val="0"/>
              <w:snapToGrid w:val="0"/>
              <w:spacing w:line="360" w:lineRule="auto"/>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（4）在满足施工需要的前提下，尽可能选取噪声低、振动小、能耗小的先进设备。加强对施工机械的维护保养，避免由于设备性能差而使机械噪声增大的现象发生。</w:t>
            </w:r>
          </w:p>
          <w:p w14:paraId="662F43E5">
            <w:pPr>
              <w:adjustRightInd w:val="0"/>
              <w:snapToGrid w:val="0"/>
              <w:spacing w:line="360" w:lineRule="auto"/>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（5）加强施工区内动力机械设备管理，将可在固定地点施工的机械设置在临时建筑房内作业，使较强声源尽可能远离道路两侧居民住宅等敏感区域。</w:t>
            </w:r>
          </w:p>
          <w:p w14:paraId="2413C8A6">
            <w:pPr>
              <w:adjustRightInd w:val="0"/>
              <w:snapToGrid w:val="0"/>
              <w:spacing w:line="360" w:lineRule="auto"/>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（6）加强对施工人员的环境宣传和教育，使他们认真落实各项降噪措施，做到文明施工。</w:t>
            </w:r>
          </w:p>
          <w:p w14:paraId="426A88A6">
            <w:pPr>
              <w:pStyle w:val="8"/>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总体来看，施工噪声是间歇性和短期的，可以通过采取相应措施对其进行缓解，并随着施工期的结束而消失。</w:t>
            </w:r>
          </w:p>
          <w:p w14:paraId="7B53054A">
            <w:pPr>
              <w:pStyle w:val="8"/>
              <w:numPr>
                <w:ilvl w:val="0"/>
                <w:numId w:val="0"/>
              </w:numPr>
              <w:snapToGrid w:val="0"/>
              <w:spacing w:line="360" w:lineRule="auto"/>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3.施工期固体废弃物的排放和处置分析</w:t>
            </w:r>
          </w:p>
          <w:p w14:paraId="5C3A98E1">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固体废弃物主要有施工过程产生的废弃土石方、施工垃圾</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生活垃圾</w:t>
            </w:r>
            <w:r>
              <w:rPr>
                <w:rFonts w:hint="eastAsia" w:cs="Times New Roman"/>
                <w:color w:val="auto"/>
                <w:sz w:val="24"/>
                <w:highlight w:val="none"/>
                <w:lang w:eastAsia="zh-CN"/>
              </w:rPr>
              <w:t>、废沥青和废油</w:t>
            </w:r>
            <w:r>
              <w:rPr>
                <w:rFonts w:hint="default" w:ascii="Times New Roman" w:hAnsi="Times New Roman" w:cs="Times New Roman"/>
                <w:color w:val="auto"/>
                <w:sz w:val="24"/>
                <w:highlight w:val="none"/>
              </w:rPr>
              <w:t>。</w:t>
            </w:r>
          </w:p>
          <w:p w14:paraId="63D95D5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根据工程分析，工程施工期间废弃土方产生量为</w:t>
            </w:r>
            <w:r>
              <w:rPr>
                <w:rFonts w:hint="eastAsia" w:cs="Times New Roman"/>
                <w:color w:val="auto"/>
                <w:sz w:val="24"/>
                <w:highlight w:val="none"/>
                <w:lang w:val="en-US" w:eastAsia="zh-CN"/>
              </w:rPr>
              <w:t>301132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；废弃土石方</w:t>
            </w:r>
            <w:r>
              <w:rPr>
                <w:rFonts w:hint="eastAsia" w:cs="Times New Roman"/>
                <w:color w:val="auto"/>
                <w:sz w:val="24"/>
                <w:highlight w:val="none"/>
                <w:lang w:eastAsia="zh-CN"/>
              </w:rPr>
              <w:t>和表土</w:t>
            </w:r>
            <w:r>
              <w:rPr>
                <w:rFonts w:hint="default" w:ascii="Times New Roman" w:hAnsi="Times New Roman" w:cs="Times New Roman"/>
                <w:color w:val="auto"/>
                <w:sz w:val="24"/>
                <w:highlight w:val="none"/>
              </w:rPr>
              <w:t>运至合法弃</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场进行</w:t>
            </w:r>
            <w:r>
              <w:rPr>
                <w:rFonts w:hint="eastAsia" w:cs="Times New Roman"/>
                <w:color w:val="auto"/>
                <w:sz w:val="24"/>
                <w:highlight w:val="none"/>
                <w:lang w:eastAsia="zh-CN"/>
              </w:rPr>
              <w:t>处理</w:t>
            </w:r>
            <w:r>
              <w:rPr>
                <w:rFonts w:hint="default" w:ascii="Times New Roman" w:hAnsi="Times New Roman" w:cs="Times New Roman"/>
                <w:color w:val="auto"/>
                <w:sz w:val="24"/>
                <w:highlight w:val="none"/>
              </w:rPr>
              <w:t>；施工垃圾主要为建设过程中产生的废弃施工材料，如木材、钢材、混凝土凝块及污泥等，产生量约</w:t>
            </w:r>
            <w:r>
              <w:rPr>
                <w:rFonts w:hint="eastAsia" w:ascii="Times New Roman" w:hAnsi="Times New Roman" w:cs="Times New Roman"/>
                <w:color w:val="auto"/>
                <w:sz w:val="24"/>
                <w:highlight w:val="none"/>
                <w:lang w:val="en-US" w:eastAsia="zh-CN"/>
              </w:rPr>
              <w:t>120</w:t>
            </w:r>
            <w:r>
              <w:rPr>
                <w:rFonts w:hint="default" w:ascii="Times New Roman" w:hAnsi="Times New Roman" w:cs="Times New Roman"/>
                <w:color w:val="auto"/>
                <w:sz w:val="24"/>
                <w:highlight w:val="none"/>
              </w:rPr>
              <w:t>t，其中，木材、钢材等容易回收利用，</w:t>
            </w:r>
            <w:r>
              <w:rPr>
                <w:rFonts w:hint="default" w:ascii="Times New Roman" w:hAnsi="Times New Roman" w:cs="Times New Roman"/>
                <w:color w:val="auto"/>
                <w:sz w:val="24"/>
                <w:highlight w:val="none"/>
                <w:lang w:eastAsia="zh-CN"/>
              </w:rPr>
              <w:t>按照</w:t>
            </w:r>
            <w:r>
              <w:rPr>
                <w:rFonts w:hint="default" w:ascii="Times New Roman" w:hAnsi="Times New Roman" w:cs="Times New Roman"/>
                <w:kern w:val="18"/>
                <w:sz w:val="24"/>
              </w:rPr>
              <w:t>《城市建筑垃圾管理规定》</w:t>
            </w:r>
            <w:r>
              <w:rPr>
                <w:rFonts w:hint="default" w:ascii="Times New Roman" w:hAnsi="Times New Roman" w:cs="Times New Roman"/>
                <w:color w:val="auto"/>
                <w:sz w:val="24"/>
                <w:highlight w:val="none"/>
              </w:rPr>
              <w:t>要求委托有资质单位外运至合法的弃渣场处理；</w:t>
            </w:r>
            <w:r>
              <w:rPr>
                <w:rFonts w:hint="default" w:ascii="Times New Roman" w:hAnsi="Times New Roman" w:cs="Times New Roman"/>
                <w:color w:val="000000" w:themeColor="text1"/>
                <w:sz w:val="24"/>
                <w:highlight w:val="none"/>
                <w14:textFill>
                  <w14:solidFill>
                    <w14:schemeClr w14:val="tx1"/>
                  </w14:solidFill>
                </w14:textFill>
              </w:rPr>
              <w:t>本项目生活垃圾产生量</w:t>
            </w:r>
            <w:r>
              <w:rPr>
                <w:rFonts w:hint="eastAsia" w:ascii="Times New Roman" w:hAnsi="Times New Roman" w:cs="Times New Roman"/>
                <w:color w:val="000000" w:themeColor="text1"/>
                <w:sz w:val="24"/>
                <w:highlight w:val="none"/>
                <w:lang w:val="en-US" w:eastAsia="zh-CN"/>
                <w14:textFill>
                  <w14:solidFill>
                    <w14:schemeClr w14:val="tx1"/>
                  </w14:solidFill>
                </w14:textFill>
              </w:rPr>
              <w:t>7.3</w:t>
            </w:r>
            <w:r>
              <w:rPr>
                <w:rFonts w:hint="default" w:ascii="Times New Roman" w:hAnsi="Times New Roman" w:cs="Times New Roman"/>
                <w:color w:val="000000" w:themeColor="text1"/>
                <w:sz w:val="24"/>
                <w:highlight w:val="none"/>
                <w14:textFill>
                  <w14:solidFill>
                    <w14:schemeClr w14:val="tx1"/>
                  </w14:solidFill>
                </w14:textFill>
              </w:rPr>
              <w:t>t</w:t>
            </w:r>
            <w:r>
              <w:rPr>
                <w:rFonts w:hint="default" w:ascii="Times New Roman" w:hAnsi="Times New Roman" w:cs="Times New Roman"/>
                <w:color w:val="auto"/>
                <w:sz w:val="24"/>
                <w:highlight w:val="none"/>
              </w:rPr>
              <w:t>，生活垃圾中主要含有有机物、纸、塑料、金属、玻璃陶瓷等，其中有机物所占比例最大，约为40％。生活垃圾统一收集后委托环卫部门进行清运处理</w:t>
            </w:r>
            <w:r>
              <w:rPr>
                <w:rFonts w:hint="eastAsia" w:cs="Times New Roman"/>
                <w:color w:val="auto"/>
                <w:sz w:val="24"/>
                <w:highlight w:val="none"/>
                <w:lang w:eastAsia="zh-CN"/>
              </w:rPr>
              <w:t>；本项目产生的废沥青经施工人员统一收集后，交由搅拌站回收；</w:t>
            </w:r>
            <w:r>
              <w:rPr>
                <w:rFonts w:hint="eastAsia" w:ascii="Times New Roman" w:hAnsi="Times New Roman"/>
                <w:sz w:val="24"/>
                <w:szCs w:val="24"/>
              </w:rPr>
              <w:t>本项目施工机械维修到维修点进行维修，产生的废油由维修点</w:t>
            </w:r>
            <w:r>
              <w:rPr>
                <w:rFonts w:ascii="Times New Roman" w:hAnsi="Times New Roman"/>
                <w:sz w:val="24"/>
                <w:szCs w:val="24"/>
              </w:rPr>
              <w:t>统一收集后定期交由有资质的单位进行处置</w:t>
            </w:r>
            <w:r>
              <w:rPr>
                <w:rFonts w:hint="eastAsia" w:ascii="Times New Roman" w:hAnsi="Times New Roman"/>
                <w:sz w:val="24"/>
                <w:szCs w:val="24"/>
              </w:rPr>
              <w:t>，因此项目区无废油产生</w:t>
            </w:r>
            <w:r>
              <w:rPr>
                <w:rFonts w:hint="default" w:ascii="Times New Roman" w:hAnsi="Times New Roman" w:cs="Times New Roman"/>
                <w:color w:val="auto"/>
                <w:sz w:val="24"/>
                <w:highlight w:val="none"/>
              </w:rPr>
              <w:t>。</w:t>
            </w:r>
          </w:p>
          <w:p w14:paraId="27F744DF">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综上所述，项目施工期产生的固体废弃物处置得当，不会对当地的环境造成不良影响。</w:t>
            </w:r>
          </w:p>
          <w:p w14:paraId="4DD24649">
            <w:pPr>
              <w:pStyle w:val="8"/>
              <w:numPr>
                <w:ilvl w:val="0"/>
                <w:numId w:val="0"/>
              </w:numPr>
              <w:snapToGrid w:val="0"/>
              <w:spacing w:line="360" w:lineRule="auto"/>
              <w:ind w:leftChars="0"/>
              <w:jc w:val="left"/>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4.施工期水环境影响分析</w:t>
            </w:r>
          </w:p>
          <w:p w14:paraId="76B8C757">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（1）施工暴雨径流对周围地表水环境的影响</w:t>
            </w:r>
          </w:p>
          <w:p w14:paraId="098CC50C">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根据工程分析，项目</w:t>
            </w:r>
            <w:r>
              <w:rPr>
                <w:rFonts w:hint="eastAsia" w:cs="Times New Roman"/>
                <w:color w:val="auto"/>
                <w:sz w:val="24"/>
                <w:highlight w:val="none"/>
                <w:lang w:eastAsia="zh-CN"/>
              </w:rPr>
              <w:t>产生的表土和</w:t>
            </w:r>
            <w:r>
              <w:rPr>
                <w:rFonts w:hint="default" w:ascii="Times New Roman" w:hAnsi="Times New Roman" w:cs="Times New Roman"/>
                <w:color w:val="auto"/>
                <w:sz w:val="24"/>
                <w:highlight w:val="none"/>
              </w:rPr>
              <w:t>废弃土石方运至合法弃</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场进行处理。</w:t>
            </w:r>
          </w:p>
          <w:p w14:paraId="1EA8FAF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域主要以水力侵蚀为主，现状水土流失为微度侵蚀。本项目路基施工建设将涉及开挖大量土石方、临时堆放、回填等，以上施工过程将破坏拟建道路占地地表原有植被，造成地表表土裸露，加剧区域水土流失。</w:t>
            </w:r>
          </w:p>
          <w:p w14:paraId="1ADE893C">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降低施工期水土流失对水环境的影响，施工单位应树立全局观念，做好协调工作，路基土石方调运严格按照设计进行，严禁任意取弃；在路基施工过程中，严格要求，设置截排水及防护工程，有效控制工程区内的水土流失。此外，土石方临时堆场等要远离水体区域，并采取一定的措施，如对建筑材料进行遮盖、做好临时截排设施、在土石方临时堆场采用土工布覆盖、周围用</w:t>
            </w:r>
            <w:r>
              <w:rPr>
                <w:rFonts w:hint="eastAsia" w:cs="Times New Roman"/>
                <w:color w:val="auto"/>
                <w:sz w:val="24"/>
                <w:highlight w:val="none"/>
                <w:lang w:eastAsia="zh-CN"/>
              </w:rPr>
              <w:t>编织袋</w:t>
            </w:r>
            <w:r>
              <w:rPr>
                <w:rFonts w:hint="default" w:ascii="Times New Roman" w:hAnsi="Times New Roman" w:cs="Times New Roman"/>
                <w:color w:val="auto"/>
                <w:sz w:val="24"/>
                <w:highlight w:val="none"/>
              </w:rPr>
              <w:t>进行拦挡并设置截排沟、沉砂池等。在采取相应的防护治理措施后可大大减少因降雨而产生的携带泥沙的地表径流，水土流失可得到有效控制；同时，地表径流需经设置的临时截排水沟及沉砂池收集处理后回用于项目区洒水降尘，回用不完的部分按</w:t>
            </w:r>
            <w:r>
              <w:rPr>
                <w:rFonts w:hint="eastAsia" w:cs="Times New Roman"/>
                <w:color w:val="auto"/>
                <w:sz w:val="24"/>
                <w:highlight w:val="none"/>
                <w:lang w:val="en-US" w:eastAsia="zh-CN"/>
              </w:rPr>
              <w:t>照</w:t>
            </w:r>
            <w:r>
              <w:rPr>
                <w:rFonts w:hint="default" w:ascii="Times New Roman" w:hAnsi="Times New Roman" w:cs="Times New Roman"/>
                <w:color w:val="auto"/>
                <w:sz w:val="24"/>
                <w:highlight w:val="none"/>
              </w:rPr>
              <w:t>排水部门指定的排水方式及排放口进行排放，防止道路建设对地表水体产生的不利影响。有效控制对水环境影响。</w:t>
            </w:r>
          </w:p>
          <w:p w14:paraId="28E2914B">
            <w:pPr>
              <w:snapToGrid w:val="0"/>
              <w:spacing w:line="360" w:lineRule="auto"/>
              <w:ind w:firstLine="470" w:firstLineChars="196"/>
              <w:rPr>
                <w:rFonts w:hint="default" w:ascii="Times New Roman" w:hAnsi="Times New Roman" w:cs="Times New Roman"/>
                <w:b/>
                <w:bCs/>
                <w:color w:val="auto"/>
                <w:sz w:val="24"/>
                <w:highlight w:val="none"/>
                <w:lang w:val="zh-CN"/>
              </w:rPr>
            </w:pPr>
            <w:r>
              <w:rPr>
                <w:rFonts w:hint="default" w:ascii="Times New Roman" w:hAnsi="Times New Roman" w:cs="Times New Roman"/>
                <w:color w:val="auto"/>
                <w:sz w:val="24"/>
                <w:highlight w:val="none"/>
              </w:rPr>
              <w:t>（2）施工废水对水环境的影响分析</w:t>
            </w:r>
          </w:p>
          <w:p w14:paraId="39F1C3E6">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施工废水主要为施工车辆、机械设备冲洗将产生少量冲洗废水，这些废水中主要含有较高浓度的悬浮物和油污，若不经处理直接外排，流入周边河流，导致周边水体污染。</w:t>
            </w:r>
          </w:p>
          <w:p w14:paraId="51E71F93">
            <w:pPr>
              <w:snapToGrid w:val="0"/>
              <w:spacing w:line="360" w:lineRule="auto"/>
              <w:ind w:firstLine="470" w:firstLineChars="196"/>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施工机械冲洗产生的含油废水产生量较少，影响范围集中在施工场内的地表土壤。此外，在施工场周边设置临时排水沟及沉淀池，含油废水在遇上雨水冲涮携带，主要通过排水沟进入临时沉淀池，经沉淀池处理后回用于项目区洒</w:t>
            </w:r>
            <w:r>
              <w:rPr>
                <w:rFonts w:hint="default" w:ascii="Times New Roman" w:hAnsi="Times New Roman" w:cs="Times New Roman"/>
                <w:color w:val="000000" w:themeColor="text1"/>
                <w:sz w:val="24"/>
                <w:highlight w:val="none"/>
                <w14:textFill>
                  <w14:solidFill>
                    <w14:schemeClr w14:val="tx1"/>
                  </w14:solidFill>
                </w14:textFill>
              </w:rPr>
              <w:t>水降尘，对周围地表水体的影响不大</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08B13369">
            <w:pPr>
              <w:snapToGrid w:val="0"/>
              <w:spacing w:line="360" w:lineRule="auto"/>
              <w:ind w:firstLine="470" w:firstLineChars="196"/>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（3）施工人员生活污水影响分析</w:t>
            </w:r>
          </w:p>
          <w:p w14:paraId="123E3D02">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施工人员产生的生活污水是施工期废水的来源之一。根据工程分析，施工期生活污水产生量为</w:t>
            </w:r>
            <w:r>
              <w:rPr>
                <w:rFonts w:hint="eastAsia" w:cs="Times New Roman"/>
                <w:color w:val="auto"/>
                <w:sz w:val="24"/>
                <w:highlight w:val="none"/>
                <w:lang w:val="en-US" w:eastAsia="zh-CN"/>
              </w:rPr>
              <w:t>248.2</w:t>
            </w:r>
            <w:r>
              <w:rPr>
                <w:rFonts w:hint="default" w:ascii="Times New Roman" w:hAnsi="Times New Roman" w:cs="Times New Roman"/>
                <w:color w:val="auto"/>
                <w:sz w:val="24"/>
                <w:highlight w:val="none"/>
              </w:rPr>
              <w:t>t/a。施工人员不在工地食宿，厕所使用附近村民旱厕，生活污水主要来自施工人员洗手废水，主要污染物含COD、BOD、氨氮和悬浮物等。施工人员产生的少量生活污水经沉砂池收集沉淀后回用于场地洒水降尘，不外排，项目施工人员生活污水对附近水体影响不大。</w:t>
            </w:r>
          </w:p>
          <w:p w14:paraId="563DFB64">
            <w:pPr>
              <w:numPr>
                <w:ilvl w:val="0"/>
                <w:numId w:val="0"/>
              </w:numPr>
              <w:snapToGrid w:val="0"/>
              <w:spacing w:line="360" w:lineRule="auto"/>
              <w:ind w:leftChars="200"/>
              <w:rPr>
                <w:rFonts w:hint="eastAsia"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4</w:t>
            </w:r>
            <w:r>
              <w:rPr>
                <w:rFonts w:hint="eastAsia" w:cs="Times New Roman"/>
                <w:color w:val="auto"/>
                <w:sz w:val="24"/>
                <w:highlight w:val="none"/>
                <w:lang w:eastAsia="zh-CN"/>
              </w:rPr>
              <w:t>）跨水域路段施工废水影响分析</w:t>
            </w:r>
          </w:p>
          <w:p w14:paraId="49BA18D0">
            <w:pPr>
              <w:keepNext w:val="0"/>
              <w:keepLines w:val="0"/>
              <w:widowControl/>
              <w:suppressLineNumbers w:val="0"/>
              <w:spacing w:line="360" w:lineRule="auto"/>
              <w:ind w:firstLine="480" w:firstLineChars="200"/>
              <w:jc w:val="left"/>
              <w:rPr>
                <w:rFonts w:ascii="Times New Roman" w:hAnsi="Times New Roman"/>
                <w:sz w:val="24"/>
              </w:rPr>
            </w:pPr>
            <w:r>
              <w:rPr>
                <w:rFonts w:hint="eastAsia" w:cs="Times New Roman"/>
                <w:color w:val="auto"/>
                <w:sz w:val="24"/>
                <w:highlight w:val="none"/>
                <w:lang w:eastAsia="zh-CN"/>
              </w:rPr>
              <w:t>本项目道路与多条规划及现状河道相交，由于河流规模较小，本项目桥梁施工无水下桥墩，</w:t>
            </w:r>
            <w:r>
              <w:rPr>
                <w:rFonts w:ascii="Times New Roman" w:hAnsi="Times New Roman"/>
                <w:sz w:val="24"/>
              </w:rPr>
              <w:t>桥梁下部施工不会直接扰动地表水体，</w:t>
            </w:r>
            <w:r>
              <w:rPr>
                <w:rFonts w:hint="eastAsia" w:ascii="Times New Roman" w:hAnsi="Times New Roman"/>
                <w:sz w:val="24"/>
                <w:lang w:eastAsia="zh-CN"/>
              </w:rPr>
              <w:t>桥梁上部分采用</w:t>
            </w:r>
            <w:r>
              <w:rPr>
                <w:rFonts w:ascii="宋体" w:hAnsi="宋体" w:eastAsia="宋体" w:cs="宋体"/>
                <w:color w:val="000000"/>
                <w:kern w:val="0"/>
                <w:sz w:val="24"/>
                <w:szCs w:val="24"/>
                <w:lang w:val="en-US" w:eastAsia="zh-CN" w:bidi="ar"/>
              </w:rPr>
              <w:t>装配式部分预应力混凝土箱梁</w:t>
            </w:r>
            <w:r>
              <w:rPr>
                <w:rFonts w:hint="eastAsia" w:ascii="宋体" w:hAnsi="宋体" w:eastAsia="宋体" w:cs="宋体"/>
                <w:color w:val="000000"/>
                <w:kern w:val="0"/>
                <w:sz w:val="24"/>
                <w:szCs w:val="24"/>
                <w:lang w:val="en-US" w:eastAsia="zh-CN" w:bidi="ar"/>
              </w:rPr>
              <w:t>，直接从厂家购买。在桥梁</w:t>
            </w:r>
            <w:r>
              <w:rPr>
                <w:rFonts w:ascii="Times New Roman" w:hAnsi="Times New Roman"/>
                <w:sz w:val="24"/>
              </w:rPr>
              <w:t>施工</w:t>
            </w:r>
            <w:r>
              <w:rPr>
                <w:rFonts w:hint="eastAsia" w:ascii="Times New Roman" w:hAnsi="Times New Roman"/>
                <w:sz w:val="24"/>
                <w:lang w:eastAsia="zh-CN"/>
              </w:rPr>
              <w:t>过程</w:t>
            </w:r>
            <w:r>
              <w:rPr>
                <w:rFonts w:ascii="Times New Roman" w:hAnsi="Times New Roman"/>
                <w:sz w:val="24"/>
              </w:rPr>
              <w:t>中有少</w:t>
            </w:r>
            <w:r>
              <w:rPr>
                <w:rFonts w:hint="eastAsia" w:ascii="Times New Roman" w:hAnsi="Times New Roman"/>
                <w:sz w:val="24"/>
                <w:lang w:eastAsia="zh-CN"/>
              </w:rPr>
              <w:t>量</w:t>
            </w:r>
            <w:r>
              <w:rPr>
                <w:rFonts w:ascii="Times New Roman" w:hAnsi="Times New Roman"/>
                <w:sz w:val="24"/>
              </w:rPr>
              <w:t>泥浆和</w:t>
            </w:r>
            <w:r>
              <w:rPr>
                <w:rFonts w:hint="eastAsia" w:ascii="Times New Roman" w:hAnsi="Times New Roman"/>
                <w:sz w:val="24"/>
                <w:lang w:eastAsia="zh-CN"/>
              </w:rPr>
              <w:t>施工</w:t>
            </w:r>
            <w:r>
              <w:rPr>
                <w:rFonts w:ascii="Times New Roman" w:hAnsi="Times New Roman"/>
                <w:sz w:val="24"/>
              </w:rPr>
              <w:t>废水产生，</w:t>
            </w:r>
            <w:r>
              <w:rPr>
                <w:rFonts w:hint="eastAsia" w:ascii="Times New Roman" w:hAnsi="Times New Roman"/>
                <w:sz w:val="24"/>
                <w:lang w:eastAsia="zh-CN"/>
              </w:rPr>
              <w:t>桥梁</w:t>
            </w:r>
            <w:r>
              <w:rPr>
                <w:rFonts w:ascii="Times New Roman" w:hAnsi="Times New Roman"/>
                <w:sz w:val="24"/>
              </w:rPr>
              <w:t>所</w:t>
            </w:r>
            <w:r>
              <w:rPr>
                <w:rFonts w:hint="eastAsia" w:ascii="Times New Roman" w:hAnsi="Times New Roman"/>
                <w:sz w:val="24"/>
                <w:lang w:eastAsia="zh-CN"/>
              </w:rPr>
              <w:t>产生</w:t>
            </w:r>
            <w:r>
              <w:rPr>
                <w:rFonts w:ascii="Times New Roman" w:hAnsi="Times New Roman"/>
                <w:sz w:val="24"/>
              </w:rPr>
              <w:t>的泥浆</w:t>
            </w:r>
            <w:r>
              <w:rPr>
                <w:rFonts w:hint="eastAsia" w:ascii="Times New Roman" w:hAnsi="Times New Roman"/>
                <w:sz w:val="24"/>
                <w:lang w:eastAsia="zh-CN"/>
              </w:rPr>
              <w:t>和施工废水</w:t>
            </w:r>
            <w:r>
              <w:rPr>
                <w:rFonts w:ascii="Times New Roman" w:hAnsi="Times New Roman"/>
                <w:sz w:val="24"/>
              </w:rPr>
              <w:t>收集</w:t>
            </w:r>
            <w:r>
              <w:rPr>
                <w:rFonts w:hint="eastAsia" w:ascii="Times New Roman" w:hAnsi="Times New Roman"/>
                <w:sz w:val="24"/>
                <w:lang w:eastAsia="zh-CN"/>
              </w:rPr>
              <w:t>于沉砂池</w:t>
            </w:r>
            <w:r>
              <w:rPr>
                <w:rFonts w:ascii="Times New Roman" w:hAnsi="Times New Roman"/>
                <w:sz w:val="24"/>
              </w:rPr>
              <w:t>处理</w:t>
            </w:r>
            <w:r>
              <w:rPr>
                <w:rFonts w:hint="eastAsia" w:ascii="Times New Roman" w:hAnsi="Times New Roman"/>
                <w:sz w:val="24"/>
                <w:lang w:eastAsia="zh-CN"/>
              </w:rPr>
              <w:t>后，回用于场地洒水降尘，不外排</w:t>
            </w:r>
            <w:r>
              <w:rPr>
                <w:rFonts w:ascii="Times New Roman" w:hAnsi="Times New Roman"/>
                <w:sz w:val="24"/>
              </w:rPr>
              <w:t>。</w:t>
            </w:r>
          </w:p>
          <w:p w14:paraId="04AE8CFF">
            <w:pPr>
              <w:keepNext w:val="0"/>
              <w:keepLines w:val="0"/>
              <w:widowControl/>
              <w:numPr>
                <w:ilvl w:val="0"/>
                <w:numId w:val="0"/>
              </w:numPr>
              <w:suppressLineNumbers w:val="0"/>
              <w:spacing w:line="360" w:lineRule="auto"/>
              <w:ind w:leftChars="196"/>
              <w:jc w:val="left"/>
              <w:rPr>
                <w:rFonts w:hint="eastAsia"/>
                <w:sz w:val="24"/>
                <w:lang w:eastAsia="zh-CN"/>
              </w:rPr>
            </w:pPr>
            <w:r>
              <w:rPr>
                <w:rFonts w:hint="eastAsia"/>
                <w:sz w:val="24"/>
                <w:lang w:eastAsia="zh-CN"/>
              </w:rPr>
              <w:t>（</w:t>
            </w:r>
            <w:r>
              <w:rPr>
                <w:rFonts w:hint="eastAsia"/>
                <w:sz w:val="24"/>
                <w:lang w:val="en-US" w:eastAsia="zh-CN"/>
              </w:rPr>
              <w:t>5</w:t>
            </w:r>
            <w:r>
              <w:rPr>
                <w:rFonts w:hint="eastAsia"/>
                <w:sz w:val="24"/>
                <w:lang w:eastAsia="zh-CN"/>
              </w:rPr>
              <w:t>）芒市大河影响分析</w:t>
            </w:r>
          </w:p>
          <w:p w14:paraId="1DD82CD1">
            <w:pPr>
              <w:snapToGrid w:val="0"/>
              <w:spacing w:line="360" w:lineRule="auto"/>
              <w:ind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芒市大河距离本项目710m，施工产生的废水、泥浆经沉砂池收集沉淀后回用于场地洒水降尘，不外排，不会流入芒市大河内；施工产生的施工垃圾及时处理，不会对芒市大河的水质产生影响，施工期对芒市大河的影响不大。</w:t>
            </w:r>
          </w:p>
          <w:p w14:paraId="62C5029D">
            <w:pPr>
              <w:snapToGrid w:val="0"/>
              <w:spacing w:line="360" w:lineRule="auto"/>
              <w:ind w:firstLine="470" w:firstLineChars="196"/>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综上所述，项目施工期废弃土石方在采取措施后水土流失得到控制，产生的废水经沉砂池收集沉淀后回用于场地洒水降尘，不外排，对环境产生的影响不大，且</w:t>
            </w:r>
            <w:r>
              <w:rPr>
                <w:rFonts w:hint="default" w:ascii="Times New Roman" w:hAnsi="Times New Roman" w:cs="Times New Roman"/>
                <w:color w:val="auto"/>
                <w:sz w:val="24"/>
                <w:highlight w:val="none"/>
              </w:rPr>
              <w:t>项目施工影响周期短，其影响随施工活动的结束而消失。</w:t>
            </w:r>
          </w:p>
          <w:p w14:paraId="2CA63160">
            <w:pPr>
              <w:pStyle w:val="8"/>
              <w:snapToGrid w:val="0"/>
              <w:spacing w:line="360" w:lineRule="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5.生态环境影响分析</w:t>
            </w:r>
          </w:p>
          <w:p w14:paraId="4336BC41">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道路建设对生态环境的影响大部分发生在施工期，施工期对生态环境影响和破坏的途径主要是主体工程占用和分割土地，改变土地利用性质，使沿线土地减少；路基取土开挖路堑、弃土破坏地形、地貌和植被，并破坏土壤结构和肥力；工程活动扰动了自然的生态平衡，对沿线生物的生存将产生一定程度不利影响。</w:t>
            </w:r>
          </w:p>
          <w:p w14:paraId="5D3FC096">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道路建设占地使土地利用价值发生了改变，占用</w:t>
            </w:r>
            <w:r>
              <w:rPr>
                <w:rFonts w:hint="default" w:ascii="Times New Roman" w:hAnsi="Times New Roman" w:cs="Times New Roman"/>
                <w:color w:val="auto"/>
                <w:sz w:val="24"/>
                <w:highlight w:val="none"/>
                <w:lang w:eastAsia="zh-CN"/>
              </w:rPr>
              <w:t>农林用地</w:t>
            </w:r>
            <w:r>
              <w:rPr>
                <w:rFonts w:hint="default" w:ascii="Times New Roman" w:hAnsi="Times New Roman" w:cs="Times New Roman"/>
                <w:color w:val="auto"/>
                <w:sz w:val="24"/>
                <w:highlight w:val="none"/>
              </w:rPr>
              <w:t>等改变了原有的土地利用性质，使占地范围的土地全部转换为交通建设用地，但本项目的建成</w:t>
            </w:r>
            <w:r>
              <w:rPr>
                <w:rFonts w:hint="default" w:ascii="Times New Roman" w:hAnsi="Times New Roman" w:cs="Times New Roman"/>
                <w:color w:val="auto"/>
                <w:sz w:val="24"/>
                <w:highlight w:val="none"/>
                <w:lang w:eastAsia="zh-CN"/>
              </w:rPr>
              <w:t>使交通条件变化，进而</w:t>
            </w:r>
            <w:r>
              <w:rPr>
                <w:rFonts w:hint="default" w:ascii="Times New Roman" w:hAnsi="Times New Roman" w:cs="Times New Roman"/>
                <w:color w:val="auto"/>
                <w:sz w:val="24"/>
                <w:highlight w:val="none"/>
              </w:rPr>
              <w:t>促进</w:t>
            </w:r>
            <w:r>
              <w:rPr>
                <w:rFonts w:hint="default" w:ascii="Times New Roman" w:hAnsi="Times New Roman" w:cs="Times New Roman"/>
                <w:color w:val="auto"/>
                <w:sz w:val="24"/>
                <w:highlight w:val="none"/>
                <w:lang w:eastAsia="zh-CN"/>
              </w:rPr>
              <w:t>芒市</w:t>
            </w:r>
            <w:r>
              <w:rPr>
                <w:rFonts w:hint="default" w:ascii="Times New Roman" w:hAnsi="Times New Roman" w:cs="Times New Roman"/>
                <w:color w:val="auto"/>
                <w:sz w:val="24"/>
                <w:highlight w:val="none"/>
              </w:rPr>
              <w:t>的</w:t>
            </w:r>
            <w:r>
              <w:rPr>
                <w:rFonts w:hint="default" w:ascii="Times New Roman" w:hAnsi="Times New Roman" w:cs="Times New Roman"/>
                <w:color w:val="auto"/>
                <w:sz w:val="24"/>
                <w:highlight w:val="none"/>
                <w:lang w:eastAsia="zh-CN"/>
              </w:rPr>
              <w:t>发展，</w:t>
            </w:r>
            <w:r>
              <w:rPr>
                <w:rFonts w:hint="default" w:ascii="Times New Roman" w:hAnsi="Times New Roman" w:cs="Times New Roman"/>
                <w:color w:val="auto"/>
                <w:sz w:val="24"/>
                <w:highlight w:val="none"/>
              </w:rPr>
              <w:t>推</w:t>
            </w:r>
            <w:r>
              <w:rPr>
                <w:rFonts w:hint="default" w:ascii="Times New Roman" w:hAnsi="Times New Roman" w:cs="Times New Roman"/>
                <w:color w:val="auto"/>
                <w:sz w:val="24"/>
                <w:highlight w:val="none"/>
                <w:lang w:eastAsia="zh-CN"/>
              </w:rPr>
              <w:t>动芒市</w:t>
            </w:r>
            <w:r>
              <w:rPr>
                <w:rFonts w:hint="default" w:ascii="Times New Roman" w:hAnsi="Times New Roman" w:cs="Times New Roman"/>
                <w:color w:val="auto"/>
                <w:sz w:val="24"/>
                <w:highlight w:val="none"/>
              </w:rPr>
              <w:t>经济社会发展。</w:t>
            </w:r>
          </w:p>
          <w:p w14:paraId="1490C455">
            <w:pPr>
              <w:pStyle w:val="30"/>
              <w:snapToGrid w:val="0"/>
              <w:ind w:firstLine="48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（2）对动植物资源的影响分析</w:t>
            </w:r>
          </w:p>
          <w:p w14:paraId="39AE03A0">
            <w:pPr>
              <w:pStyle w:val="3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随着工程建设项目的实施，项目建设用地上原有植被遭到破坏，工程建设项目使用林地对野生动植物物种、种群数量及其生存环境将产生一定影响。</w:t>
            </w:r>
          </w:p>
          <w:p w14:paraId="608AF094">
            <w:pPr>
              <w:pStyle w:val="3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由于拟用地内没有重点保护野生动植物分布，项目区的植被类型和植物种类与周边区域相同，且植被较为常见，分布的植物也为当地分布较广、较常见的植物，项目建设对项目周边区域的生物多样性影响不大。</w:t>
            </w:r>
          </w:p>
          <w:p w14:paraId="2BBFD660">
            <w:pPr>
              <w:numPr>
                <w:ilvl w:val="0"/>
                <w:numId w:val="0"/>
              </w:numPr>
              <w:snapToGrid w:val="0"/>
              <w:spacing w:line="360" w:lineRule="auto"/>
              <w:ind w:left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施工“三场”设置及合理性分析</w:t>
            </w:r>
          </w:p>
          <w:p w14:paraId="066AE715">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①取土场和砂石料场</w:t>
            </w:r>
          </w:p>
          <w:p w14:paraId="73D86FAD">
            <w:pPr>
              <w:snapToGrid w:val="0"/>
              <w:spacing w:line="360" w:lineRule="auto"/>
              <w:ind w:firstLine="470" w:firstLineChars="196"/>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项目建设中所需砂石料从周边合法开发商处采购。项目回填土部分来源于项目区开挖的土方，部分从合法取土场外购，</w:t>
            </w:r>
            <w:r>
              <w:rPr>
                <w:rFonts w:hint="default" w:ascii="Times New Roman" w:hAnsi="Times New Roman" w:cs="Times New Roman"/>
                <w:bCs/>
                <w:color w:val="auto"/>
                <w:sz w:val="24"/>
                <w:highlight w:val="none"/>
              </w:rPr>
              <w:t>项目不再新设</w:t>
            </w:r>
            <w:r>
              <w:rPr>
                <w:rFonts w:hint="eastAsia" w:cs="Times New Roman"/>
                <w:bCs/>
                <w:color w:val="auto"/>
                <w:sz w:val="24"/>
                <w:highlight w:val="none"/>
                <w:lang w:eastAsia="zh-CN"/>
              </w:rPr>
              <w:t>堆料场</w:t>
            </w:r>
            <w:r>
              <w:rPr>
                <w:rFonts w:hint="default" w:ascii="Times New Roman" w:hAnsi="Times New Roman" w:cs="Times New Roman"/>
                <w:bCs/>
                <w:color w:val="auto"/>
                <w:sz w:val="24"/>
                <w:highlight w:val="none"/>
              </w:rPr>
              <w:t>。</w:t>
            </w:r>
          </w:p>
          <w:p w14:paraId="02E1D71E">
            <w:pPr>
              <w:snapToGrid w:val="0"/>
              <w:spacing w:line="360" w:lineRule="auto"/>
              <w:ind w:firstLine="470" w:firstLineChars="196"/>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②临时堆</w:t>
            </w:r>
            <w:r>
              <w:rPr>
                <w:rFonts w:hint="eastAsia" w:cs="Times New Roman"/>
                <w:bCs/>
                <w:color w:val="auto"/>
                <w:sz w:val="24"/>
                <w:highlight w:val="none"/>
                <w:lang w:eastAsia="zh-CN"/>
              </w:rPr>
              <w:t>土</w:t>
            </w:r>
            <w:r>
              <w:rPr>
                <w:rFonts w:hint="default" w:ascii="Times New Roman" w:hAnsi="Times New Roman" w:cs="Times New Roman"/>
                <w:bCs/>
                <w:color w:val="auto"/>
                <w:sz w:val="24"/>
                <w:highlight w:val="none"/>
              </w:rPr>
              <w:t>场设置环境合理性分析</w:t>
            </w:r>
          </w:p>
          <w:p w14:paraId="79300770">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rPr>
            </w:pPr>
            <w:r>
              <w:rPr>
                <w:rFonts w:ascii="Times New Roman" w:hAnsi="Times New Roman"/>
                <w:kern w:val="0"/>
                <w:sz w:val="24"/>
              </w:rPr>
              <w:t>根据工程施工设计</w:t>
            </w:r>
            <w:r>
              <w:rPr>
                <w:rFonts w:hint="eastAsia" w:ascii="Times New Roman" w:hAnsi="Times New Roman"/>
                <w:kern w:val="0"/>
                <w:sz w:val="24"/>
                <w:lang w:eastAsia="zh-CN"/>
              </w:rPr>
              <w:t>，</w:t>
            </w:r>
            <w:r>
              <w:rPr>
                <w:rFonts w:ascii="Times New Roman" w:hAnsi="Times New Roman"/>
                <w:kern w:val="0"/>
                <w:sz w:val="24"/>
              </w:rPr>
              <w:t>开挖后需回填的土方则就近堆放在沟槽边上，不再新增土方临时堆放场地。</w:t>
            </w:r>
            <w:r>
              <w:rPr>
                <w:rFonts w:hint="default" w:ascii="Times New Roman" w:hAnsi="Times New Roman" w:cs="Times New Roman"/>
                <w:color w:val="auto"/>
                <w:sz w:val="24"/>
                <w:highlight w:val="none"/>
              </w:rPr>
              <w:t>对堆</w:t>
            </w:r>
            <w:r>
              <w:rPr>
                <w:rFonts w:hint="eastAsia" w:cs="Times New Roman"/>
                <w:color w:val="auto"/>
                <w:sz w:val="24"/>
                <w:highlight w:val="none"/>
                <w:lang w:eastAsia="zh-CN"/>
              </w:rPr>
              <w:t>放的位置</w:t>
            </w:r>
            <w:r>
              <w:rPr>
                <w:rFonts w:hint="default" w:ascii="Times New Roman" w:hAnsi="Times New Roman" w:cs="Times New Roman"/>
                <w:color w:val="auto"/>
                <w:sz w:val="24"/>
                <w:highlight w:val="none"/>
              </w:rPr>
              <w:t>采用防尘布进行遮盖，降低了噪声和粉尘对区域敏感点额影响。</w:t>
            </w:r>
          </w:p>
          <w:p w14:paraId="4BF666BC">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③弃土场</w:t>
            </w:r>
          </w:p>
          <w:p w14:paraId="1CB8D3E1">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rPr>
            </w:pPr>
            <w:r>
              <w:rPr>
                <w:rFonts w:ascii="Times New Roman" w:hAnsi="Times New Roman"/>
                <w:kern w:val="0"/>
                <w:sz w:val="24"/>
              </w:rPr>
              <w:t>本工程施工中开挖土方均按照“随挖、随运、随填”的施工评价进行，因此，本工程施工中</w:t>
            </w:r>
            <w:r>
              <w:rPr>
                <w:rFonts w:hint="eastAsia" w:ascii="Times New Roman" w:hAnsi="Times New Roman"/>
                <w:kern w:val="0"/>
                <w:sz w:val="24"/>
                <w:lang w:eastAsia="zh-CN"/>
              </w:rPr>
              <w:t>弃</w:t>
            </w:r>
            <w:r>
              <w:rPr>
                <w:rFonts w:hint="eastAsia"/>
                <w:kern w:val="0"/>
                <w:sz w:val="24"/>
                <w:lang w:eastAsia="zh-CN"/>
              </w:rPr>
              <w:t>土</w:t>
            </w:r>
            <w:r>
              <w:rPr>
                <w:rFonts w:ascii="Times New Roman" w:hAnsi="Times New Roman"/>
                <w:kern w:val="0"/>
                <w:sz w:val="24"/>
              </w:rPr>
              <w:t>均直接外运</w:t>
            </w:r>
            <w:r>
              <w:rPr>
                <w:rFonts w:hint="eastAsia"/>
                <w:kern w:val="0"/>
                <w:sz w:val="24"/>
                <w:lang w:eastAsia="zh-CN"/>
              </w:rPr>
              <w:t>至合法弃土场</w:t>
            </w:r>
            <w:r>
              <w:rPr>
                <w:rFonts w:ascii="Times New Roman" w:hAnsi="Times New Roman"/>
                <w:kern w:val="0"/>
                <w:sz w:val="24"/>
              </w:rPr>
              <w:t>，不需新增</w:t>
            </w:r>
            <w:r>
              <w:rPr>
                <w:rFonts w:hint="eastAsia" w:ascii="Times New Roman" w:hAnsi="Times New Roman"/>
                <w:kern w:val="0"/>
                <w:sz w:val="24"/>
                <w:lang w:eastAsia="zh-CN"/>
              </w:rPr>
              <w:t>弃土</w:t>
            </w:r>
            <w:r>
              <w:rPr>
                <w:rFonts w:ascii="Times New Roman" w:hAnsi="Times New Roman"/>
                <w:kern w:val="0"/>
                <w:sz w:val="24"/>
              </w:rPr>
              <w:t>场</w:t>
            </w:r>
            <w:r>
              <w:rPr>
                <w:rFonts w:hint="eastAsia" w:ascii="Times New Roman" w:hAnsi="Times New Roman"/>
                <w:kern w:val="0"/>
                <w:sz w:val="24"/>
                <w:lang w:eastAsia="zh-CN"/>
              </w:rPr>
              <w:t>。</w:t>
            </w:r>
          </w:p>
          <w:p w14:paraId="3BE10B7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④施</w:t>
            </w:r>
            <w:r>
              <w:rPr>
                <w:rFonts w:hint="default" w:ascii="Times New Roman" w:hAnsi="Times New Roman" w:cs="Times New Roman"/>
                <w:color w:val="auto"/>
                <w:sz w:val="24"/>
                <w:highlight w:val="none"/>
                <w:lang w:eastAsia="zh-CN"/>
              </w:rPr>
              <w:t>工</w:t>
            </w:r>
            <w:r>
              <w:rPr>
                <w:rFonts w:hint="default" w:ascii="Times New Roman" w:hAnsi="Times New Roman" w:cs="Times New Roman"/>
                <w:color w:val="auto"/>
                <w:sz w:val="24"/>
                <w:highlight w:val="none"/>
              </w:rPr>
              <w:t>场地和施工便道</w:t>
            </w:r>
          </w:p>
          <w:p w14:paraId="6293F5F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kern w:val="0"/>
                <w:sz w:val="24"/>
                <w:highlight w:val="none"/>
              </w:rPr>
              <w:t>本工程施工场地拟采取围挡措施，且对施工场地进行洒水，降低了场地作业噪声和扬尘对区域环境影响较小，能为环境所接受。</w:t>
            </w:r>
          </w:p>
          <w:p w14:paraId="7C172AE6">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施工便道：在道路</w:t>
            </w:r>
            <w:r>
              <w:rPr>
                <w:rFonts w:hint="default" w:ascii="Times New Roman" w:hAnsi="Times New Roman" w:eastAsia="宋体" w:cs="Times New Roman"/>
                <w:color w:val="000000"/>
                <w:kern w:val="0"/>
                <w:sz w:val="24"/>
                <w:szCs w:val="24"/>
                <w:lang w:val="en-US" w:eastAsia="zh-CN" w:bidi="ar"/>
              </w:rPr>
              <w:t>周边城市路网较完备，运输较为方便，经调运能够满足本道路建设对天然筑路材料之需要，</w:t>
            </w:r>
            <w:r>
              <w:rPr>
                <w:rFonts w:hint="default" w:ascii="Times New Roman" w:hAnsi="Times New Roman" w:cs="Times New Roman"/>
                <w:color w:val="auto"/>
                <w:sz w:val="24"/>
                <w:highlight w:val="none"/>
              </w:rPr>
              <w:t>施工期间不再新建施工便道。</w:t>
            </w:r>
          </w:p>
          <w:p w14:paraId="6FB24B03">
            <w:pPr>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综上所述，项目区内不设置</w:t>
            </w:r>
            <w:r>
              <w:rPr>
                <w:rFonts w:hint="eastAsia" w:cs="Times New Roman"/>
                <w:color w:val="auto"/>
                <w:sz w:val="24"/>
                <w:highlight w:val="none"/>
                <w:lang w:eastAsia="zh-CN"/>
              </w:rPr>
              <w:t>堆</w:t>
            </w:r>
            <w:r>
              <w:rPr>
                <w:rFonts w:hint="default" w:ascii="Times New Roman" w:hAnsi="Times New Roman" w:cs="Times New Roman"/>
                <w:color w:val="auto"/>
                <w:sz w:val="24"/>
                <w:highlight w:val="none"/>
              </w:rPr>
              <w:t>料</w:t>
            </w:r>
            <w:r>
              <w:rPr>
                <w:rFonts w:hint="eastAsia" w:cs="Times New Roman"/>
                <w:color w:val="auto"/>
                <w:sz w:val="24"/>
                <w:highlight w:val="none"/>
                <w:lang w:eastAsia="zh-CN"/>
              </w:rPr>
              <w:t>场</w:t>
            </w:r>
            <w:r>
              <w:rPr>
                <w:rFonts w:hint="default" w:ascii="Times New Roman" w:hAnsi="Times New Roman" w:cs="Times New Roman"/>
                <w:color w:val="auto"/>
                <w:sz w:val="24"/>
                <w:highlight w:val="none"/>
              </w:rPr>
              <w:t>，项目设置的临时堆</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场等对周边环境影响小，能为环境所接受，从环境保护角度考虑，本项目施工期的施工场地、临时堆</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场等选址合理。</w:t>
            </w:r>
          </w:p>
          <w:p w14:paraId="57685D64">
            <w:pPr>
              <w:numPr>
                <w:ilvl w:val="0"/>
                <w:numId w:val="31"/>
              </w:numPr>
              <w:spacing w:line="360" w:lineRule="auto"/>
              <w:outlineLvl w:val="0"/>
              <w:rPr>
                <w:rFonts w:hint="default" w:ascii="Times New Roman" w:hAnsi="Times New Roman" w:cs="Times New Roman"/>
                <w:b/>
                <w:bCs/>
                <w:color w:val="auto"/>
                <w:sz w:val="24"/>
                <w:highlight w:val="none"/>
              </w:rPr>
            </w:pPr>
            <w:bookmarkStart w:id="47" w:name="_Toc28642"/>
            <w:r>
              <w:rPr>
                <w:rFonts w:hint="default" w:ascii="Times New Roman" w:hAnsi="Times New Roman" w:cs="Times New Roman"/>
                <w:b/>
                <w:bCs/>
                <w:color w:val="auto"/>
                <w:sz w:val="24"/>
                <w:highlight w:val="none"/>
              </w:rPr>
              <w:t>管线布设的影响</w:t>
            </w:r>
            <w:bookmarkEnd w:id="47"/>
          </w:p>
          <w:p w14:paraId="71D1DEA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（1）现有管线情况</w:t>
            </w:r>
          </w:p>
          <w:p w14:paraId="3CCFCED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w:t>
            </w:r>
            <w:r>
              <w:rPr>
                <w:rFonts w:hint="default" w:ascii="Times New Roman" w:hAnsi="Times New Roman" w:cs="Times New Roman"/>
                <w:color w:val="auto"/>
                <w:sz w:val="24"/>
                <w:highlight w:val="none"/>
                <w:lang w:eastAsia="zh-CN"/>
              </w:rPr>
              <w:t>项目</w:t>
            </w:r>
            <w:r>
              <w:rPr>
                <w:rFonts w:hint="default" w:ascii="Times New Roman" w:hAnsi="Times New Roman" w:cs="Times New Roman"/>
                <w:color w:val="auto"/>
                <w:sz w:val="24"/>
                <w:highlight w:val="none"/>
              </w:rPr>
              <w:t>属于新建项目，目前工程范围内无任何管线，无穿越管道工程存在。</w:t>
            </w:r>
          </w:p>
          <w:p w14:paraId="54408BE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管线布设的社会影响</w:t>
            </w:r>
          </w:p>
          <w:p w14:paraId="6666339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①管线施工作业时，产生的废土，在其堆放地点若不采取有效的贮存保管措施或管理不善，将有可能造成新的水土流失。</w:t>
            </w:r>
          </w:p>
          <w:p w14:paraId="190B3695">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管线布置与连通前应认真的现场勘察，与电力、通讯、供水、燃气等各部门协调沟通，做好调查工作；施工过程应加强管理、文明施工；如有影响居民用水、用电等情况应提前告知；提高风险防范意识，制定施工期安全风险应急预案。建议采用综合管沟，</w:t>
            </w:r>
            <w:r>
              <w:rPr>
                <w:rFonts w:hint="eastAsia" w:cs="Times New Roman"/>
                <w:color w:val="auto"/>
                <w:sz w:val="24"/>
                <w:highlight w:val="none"/>
                <w:lang w:eastAsia="zh-CN"/>
              </w:rPr>
              <w:t>预留布设空间</w:t>
            </w:r>
            <w:r>
              <w:rPr>
                <w:rFonts w:hint="default" w:ascii="Times New Roman" w:hAnsi="Times New Roman" w:cs="Times New Roman"/>
                <w:color w:val="auto"/>
                <w:sz w:val="24"/>
                <w:highlight w:val="none"/>
              </w:rPr>
              <w:t>，避免今后重复开挖造成资源浪费及影响周边居民。</w:t>
            </w:r>
          </w:p>
          <w:p w14:paraId="00C1EF9D">
            <w:pPr>
              <w:numPr>
                <w:ilvl w:val="0"/>
                <w:numId w:val="31"/>
              </w:numPr>
              <w:adjustRightInd w:val="0"/>
              <w:snapToGrid w:val="0"/>
              <w:spacing w:line="360" w:lineRule="auto"/>
              <w:ind w:left="0" w:leftChars="0" w:firstLine="0" w:firstLineChars="0"/>
              <w:rPr>
                <w:rFonts w:hint="default" w:ascii="Times New Roman" w:hAnsi="Times New Roman" w:cs="Times New Roman"/>
                <w:b/>
                <w:bCs/>
                <w:color w:val="auto"/>
                <w:sz w:val="24"/>
                <w:highlight w:val="none"/>
              </w:rPr>
            </w:pPr>
            <w:bookmarkStart w:id="48" w:name="_Toc10246"/>
            <w:r>
              <w:rPr>
                <w:rFonts w:hint="default" w:ascii="Times New Roman" w:hAnsi="Times New Roman" w:cs="Times New Roman"/>
                <w:b/>
                <w:bCs/>
                <w:color w:val="auto"/>
                <w:sz w:val="24"/>
                <w:highlight w:val="none"/>
              </w:rPr>
              <w:t>对现有交通的影响</w:t>
            </w:r>
            <w:bookmarkEnd w:id="48"/>
          </w:p>
          <w:p w14:paraId="305C1282">
            <w:pPr>
              <w:numPr>
                <w:ilvl w:val="0"/>
                <w:numId w:val="0"/>
              </w:numPr>
              <w:adjustRightInd w:val="0"/>
              <w:snapToGrid w:val="0"/>
              <w:spacing w:line="360" w:lineRule="auto"/>
              <w:ind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项目</w:t>
            </w:r>
            <w:r>
              <w:rPr>
                <w:rFonts w:hint="default" w:ascii="Times New Roman" w:hAnsi="Times New Roman" w:cs="Times New Roman"/>
                <w:color w:val="auto"/>
                <w:sz w:val="24"/>
                <w:highlight w:val="none"/>
              </w:rPr>
              <w:t>对现有道路的利用造成交通环境变差，并给当地居民的出行带来不便。但是由于拟建道路周边尚处于待开发状态，居住区较少，人流稀疏，拟建道路的建设及占用现有道路作为施工道路不会对周围群众的出行造成大的影响。</w:t>
            </w:r>
          </w:p>
          <w:p w14:paraId="0F940BE5">
            <w:pPr>
              <w:numPr>
                <w:ilvl w:val="0"/>
                <w:numId w:val="28"/>
              </w:numPr>
              <w:adjustRightInd w:val="0"/>
              <w:snapToGrid w:val="0"/>
              <w:spacing w:line="360" w:lineRule="auto"/>
              <w:ind w:left="0" w:leftChars="0" w:firstLine="0" w:firstLineChars="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营运期环境影响分析</w:t>
            </w:r>
          </w:p>
          <w:p w14:paraId="6867194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结合建设项目污染物排放特点，分析对空气、水、声环境及生态环境的影响，说明分析依据，进行定量预测。</w:t>
            </w:r>
          </w:p>
          <w:p w14:paraId="01306833">
            <w:pPr>
              <w:numPr>
                <w:ilvl w:val="0"/>
                <w:numId w:val="32"/>
              </w:num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大气环境影响分析</w:t>
            </w:r>
          </w:p>
          <w:p w14:paraId="7B49270F">
            <w:pPr>
              <w:spacing w:line="360" w:lineRule="auto"/>
              <w:ind w:firstLine="480" w:firstLineChars="200"/>
              <w:rPr>
                <w:rFonts w:hint="default" w:ascii="Times New Roman" w:hAnsi="Times New Roman" w:cs="Times New Roman"/>
                <w:sz w:val="24"/>
              </w:rPr>
            </w:pPr>
            <w:bookmarkStart w:id="49" w:name="_Toc274929322"/>
            <w:r>
              <w:rPr>
                <w:rFonts w:hint="default" w:ascii="Times New Roman" w:hAnsi="Times New Roman" w:cs="Times New Roman"/>
                <w:sz w:val="24"/>
              </w:rPr>
              <w:t>运营期大气污染物主要来自汽车尾气。汽车尾气中污染物主要来自曲轴箱漏气、燃油系统挥发和排气管的排放，主要有CO、NO</w:t>
            </w:r>
            <w:r>
              <w:rPr>
                <w:rFonts w:hint="default" w:ascii="Times New Roman" w:hAnsi="Times New Roman" w:cs="Times New Roman"/>
                <w:sz w:val="24"/>
                <w:vertAlign w:val="subscript"/>
              </w:rPr>
              <w:t>2</w:t>
            </w:r>
            <w:r>
              <w:rPr>
                <w:rFonts w:hint="default" w:ascii="Times New Roman" w:hAnsi="Times New Roman" w:cs="Times New Roman"/>
                <w:sz w:val="24"/>
              </w:rPr>
              <w:t>、THC等。</w:t>
            </w:r>
          </w:p>
          <w:p w14:paraId="20E492D5">
            <w:pPr>
              <w:adjustRightIn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（1）排放源强</w:t>
            </w:r>
          </w:p>
          <w:p w14:paraId="74CC5086">
            <w:pPr>
              <w:pStyle w:val="23"/>
              <w:spacing w:line="360" w:lineRule="auto"/>
              <w:ind w:firstLine="436" w:firstLineChars="182"/>
              <w:rPr>
                <w:rFonts w:hint="default" w:ascii="Times New Roman" w:hAnsi="Times New Roman" w:cs="Times New Roman"/>
                <w:sz w:val="24"/>
              </w:rPr>
            </w:pP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rPr>
              <w:t>、CO源强排放量预测结果见表7-4。</w:t>
            </w:r>
            <w:bookmarkEnd w:id="49"/>
          </w:p>
          <w:p w14:paraId="20E8AF57">
            <w:pPr>
              <w:spacing w:line="360" w:lineRule="auto"/>
              <w:ind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表</w:t>
            </w:r>
            <w:r>
              <w:rPr>
                <w:rFonts w:hint="default" w:ascii="Times New Roman" w:hAnsi="Times New Roman" w:eastAsia="宋体" w:cs="Times New Roman"/>
                <w:b/>
                <w:bCs/>
                <w:color w:val="auto"/>
                <w:sz w:val="24"/>
                <w:highlight w:val="none"/>
                <w:lang w:val="en-US" w:eastAsia="zh-CN"/>
              </w:rPr>
              <w:t>7-4拟建道路</w:t>
            </w:r>
            <w:r>
              <w:rPr>
                <w:rFonts w:hint="default" w:ascii="Times New Roman" w:hAnsi="Times New Roman" w:eastAsia="宋体" w:cs="Times New Roman"/>
                <w:b/>
                <w:bCs/>
                <w:color w:val="auto"/>
                <w:sz w:val="24"/>
                <w:highlight w:val="none"/>
              </w:rPr>
              <w:t>废气污染排放源强   单位：mg/（s.m）</w:t>
            </w:r>
          </w:p>
          <w:tbl>
            <w:tblPr>
              <w:tblStyle w:val="16"/>
              <w:tblW w:w="8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1388"/>
              <w:gridCol w:w="1388"/>
              <w:gridCol w:w="1392"/>
              <w:gridCol w:w="1388"/>
              <w:gridCol w:w="1393"/>
            </w:tblGrid>
            <w:tr w14:paraId="49F4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restart"/>
                  <w:vAlign w:val="center"/>
                </w:tcPr>
                <w:p w14:paraId="24927888">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道路</w:t>
                  </w:r>
                </w:p>
              </w:tc>
              <w:tc>
                <w:tcPr>
                  <w:tcW w:w="1388" w:type="dxa"/>
                  <w:vMerge w:val="restart"/>
                  <w:vAlign w:val="center"/>
                </w:tcPr>
                <w:p w14:paraId="0945387C">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车型</w:t>
                  </w:r>
                </w:p>
              </w:tc>
              <w:tc>
                <w:tcPr>
                  <w:tcW w:w="2780" w:type="dxa"/>
                  <w:gridSpan w:val="2"/>
                  <w:vAlign w:val="center"/>
                </w:tcPr>
                <w:p w14:paraId="067172EA">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CO</w:t>
                  </w:r>
                </w:p>
              </w:tc>
              <w:tc>
                <w:tcPr>
                  <w:tcW w:w="2781" w:type="dxa"/>
                  <w:gridSpan w:val="2"/>
                  <w:vAlign w:val="center"/>
                </w:tcPr>
                <w:p w14:paraId="2CAE12DA">
                  <w:pPr>
                    <w:spacing w:line="24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NO</w:t>
                  </w:r>
                  <w:r>
                    <w:rPr>
                      <w:rFonts w:hint="default" w:ascii="Times New Roman" w:hAnsi="Times New Roman" w:cs="Times New Roman"/>
                      <w:color w:val="auto"/>
                      <w:sz w:val="21"/>
                      <w:szCs w:val="21"/>
                      <w:highlight w:val="none"/>
                      <w:vertAlign w:val="subscript"/>
                      <w:lang w:val="en-US" w:eastAsia="zh-CN"/>
                    </w:rPr>
                    <w:t>2</w:t>
                  </w:r>
                </w:p>
              </w:tc>
            </w:tr>
            <w:tr w14:paraId="77B0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88" w:type="dxa"/>
                  <w:vMerge w:val="continue"/>
                  <w:vAlign w:val="center"/>
                </w:tcPr>
                <w:p w14:paraId="5CF6D860">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88" w:type="dxa"/>
                  <w:vMerge w:val="continue"/>
                  <w:vAlign w:val="center"/>
                </w:tcPr>
                <w:p w14:paraId="56FE7A53">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601D2600">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高峰期</w:t>
                  </w:r>
                </w:p>
              </w:tc>
              <w:tc>
                <w:tcPr>
                  <w:tcW w:w="1392" w:type="dxa"/>
                  <w:vAlign w:val="center"/>
                </w:tcPr>
                <w:p w14:paraId="1AE6F637">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日均</w:t>
                  </w:r>
                </w:p>
              </w:tc>
              <w:tc>
                <w:tcPr>
                  <w:tcW w:w="1388" w:type="dxa"/>
                  <w:vAlign w:val="center"/>
                </w:tcPr>
                <w:p w14:paraId="52CC03D2">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高峰期</w:t>
                  </w:r>
                </w:p>
              </w:tc>
              <w:tc>
                <w:tcPr>
                  <w:tcW w:w="1393" w:type="dxa"/>
                  <w:vAlign w:val="center"/>
                </w:tcPr>
                <w:p w14:paraId="46F5DBB7">
                  <w:pPr>
                    <w:spacing w:line="240" w:lineRule="auto"/>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日均</w:t>
                  </w:r>
                </w:p>
              </w:tc>
            </w:tr>
            <w:tr w14:paraId="120C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restart"/>
                  <w:vAlign w:val="center"/>
                </w:tcPr>
                <w:p w14:paraId="5D92724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1号路</w:t>
                  </w:r>
                </w:p>
              </w:tc>
              <w:tc>
                <w:tcPr>
                  <w:tcW w:w="1388" w:type="dxa"/>
                  <w:vAlign w:val="center"/>
                </w:tcPr>
                <w:p w14:paraId="584D1BF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小型车</w:t>
                  </w:r>
                </w:p>
              </w:tc>
              <w:tc>
                <w:tcPr>
                  <w:tcW w:w="1388" w:type="dxa"/>
                  <w:vAlign w:val="center"/>
                </w:tcPr>
                <w:p w14:paraId="02561E6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6.392</w:t>
                  </w:r>
                </w:p>
              </w:tc>
              <w:tc>
                <w:tcPr>
                  <w:tcW w:w="1392" w:type="dxa"/>
                  <w:vAlign w:val="center"/>
                </w:tcPr>
                <w:p w14:paraId="24071A88">
                  <w:pPr>
                    <w:tabs>
                      <w:tab w:val="left" w:pos="361"/>
                    </w:tabs>
                    <w:spacing w:line="240" w:lineRule="auto"/>
                    <w:jc w:val="left"/>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ab/>
                  </w:r>
                  <w:r>
                    <w:rPr>
                      <w:rFonts w:hint="eastAsia" w:cs="Times New Roman"/>
                      <w:color w:val="auto"/>
                      <w:sz w:val="21"/>
                      <w:szCs w:val="21"/>
                      <w:highlight w:val="none"/>
                      <w:vertAlign w:val="baseline"/>
                      <w:lang w:val="en-US" w:eastAsia="zh-CN"/>
                    </w:rPr>
                    <w:t>2.665</w:t>
                  </w:r>
                </w:p>
              </w:tc>
              <w:tc>
                <w:tcPr>
                  <w:tcW w:w="1388" w:type="dxa"/>
                  <w:vAlign w:val="center"/>
                </w:tcPr>
                <w:p w14:paraId="772DD8D3">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0.152</w:t>
                  </w:r>
                </w:p>
              </w:tc>
              <w:tc>
                <w:tcPr>
                  <w:tcW w:w="1393" w:type="dxa"/>
                  <w:vAlign w:val="center"/>
                </w:tcPr>
                <w:p w14:paraId="54CF65F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0.063</w:t>
                  </w:r>
                </w:p>
              </w:tc>
            </w:tr>
            <w:tr w14:paraId="27D2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continue"/>
                  <w:vAlign w:val="center"/>
                </w:tcPr>
                <w:p w14:paraId="118B50DD">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88" w:type="dxa"/>
                  <w:vAlign w:val="center"/>
                </w:tcPr>
                <w:p w14:paraId="13F558E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中型车</w:t>
                  </w:r>
                </w:p>
              </w:tc>
              <w:tc>
                <w:tcPr>
                  <w:tcW w:w="1388" w:type="dxa"/>
                  <w:vAlign w:val="center"/>
                </w:tcPr>
                <w:p w14:paraId="03D0B32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2.799</w:t>
                  </w:r>
                </w:p>
              </w:tc>
              <w:tc>
                <w:tcPr>
                  <w:tcW w:w="1392" w:type="dxa"/>
                  <w:vAlign w:val="center"/>
                </w:tcPr>
                <w:p w14:paraId="07880B1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1.167</w:t>
                  </w:r>
                </w:p>
              </w:tc>
              <w:tc>
                <w:tcPr>
                  <w:tcW w:w="1388" w:type="dxa"/>
                  <w:vAlign w:val="center"/>
                </w:tcPr>
                <w:p w14:paraId="524D264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0.296</w:t>
                  </w:r>
                </w:p>
              </w:tc>
              <w:tc>
                <w:tcPr>
                  <w:tcW w:w="1393" w:type="dxa"/>
                  <w:vAlign w:val="center"/>
                </w:tcPr>
                <w:p w14:paraId="7D259B4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0.124</w:t>
                  </w:r>
                </w:p>
              </w:tc>
            </w:tr>
            <w:tr w14:paraId="2033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continue"/>
                  <w:vAlign w:val="center"/>
                </w:tcPr>
                <w:p w14:paraId="6562BEA7">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88" w:type="dxa"/>
                  <w:vAlign w:val="center"/>
                </w:tcPr>
                <w:p w14:paraId="0675DDA4">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大型车</w:t>
                  </w:r>
                </w:p>
              </w:tc>
              <w:tc>
                <w:tcPr>
                  <w:tcW w:w="1388" w:type="dxa"/>
                  <w:vAlign w:val="center"/>
                </w:tcPr>
                <w:p w14:paraId="1AAF43A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0.166</w:t>
                  </w:r>
                </w:p>
              </w:tc>
              <w:tc>
                <w:tcPr>
                  <w:tcW w:w="1392" w:type="dxa"/>
                  <w:vAlign w:val="center"/>
                </w:tcPr>
                <w:p w14:paraId="6F27FA9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0.069</w:t>
                  </w:r>
                </w:p>
              </w:tc>
              <w:tc>
                <w:tcPr>
                  <w:tcW w:w="1388" w:type="dxa"/>
                  <w:vAlign w:val="center"/>
                </w:tcPr>
                <w:p w14:paraId="3AF8BCF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0.229</w:t>
                  </w:r>
                </w:p>
              </w:tc>
              <w:tc>
                <w:tcPr>
                  <w:tcW w:w="1393" w:type="dxa"/>
                  <w:vAlign w:val="center"/>
                </w:tcPr>
                <w:p w14:paraId="36E3E3A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0.095</w:t>
                  </w:r>
                </w:p>
              </w:tc>
            </w:tr>
            <w:tr w14:paraId="69AA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776" w:type="dxa"/>
                  <w:gridSpan w:val="2"/>
                  <w:vAlign w:val="center"/>
                </w:tcPr>
                <w:p w14:paraId="7B29580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88" w:type="dxa"/>
                  <w:vAlign w:val="center"/>
                </w:tcPr>
                <w:p w14:paraId="23A1916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sum(C3:C5)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9.357</w:t>
                  </w:r>
                  <w:r>
                    <w:rPr>
                      <w:rFonts w:hint="default" w:ascii="Times New Roman" w:hAnsi="Times New Roman" w:cs="Times New Roman"/>
                      <w:color w:val="auto"/>
                      <w:sz w:val="21"/>
                      <w:szCs w:val="21"/>
                      <w:highlight w:val="none"/>
                      <w:vertAlign w:val="baseline"/>
                      <w:lang w:val="en-US" w:eastAsia="zh-CN"/>
                    </w:rPr>
                    <w:fldChar w:fldCharType="end"/>
                  </w:r>
                </w:p>
              </w:tc>
              <w:tc>
                <w:tcPr>
                  <w:tcW w:w="1392" w:type="dxa"/>
                  <w:vAlign w:val="center"/>
                </w:tcPr>
                <w:p w14:paraId="5103699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sum(D3:D5)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3.901</w:t>
                  </w:r>
                  <w:r>
                    <w:rPr>
                      <w:rFonts w:hint="default" w:ascii="Times New Roman" w:hAnsi="Times New Roman" w:cs="Times New Roman"/>
                      <w:color w:val="auto"/>
                      <w:sz w:val="21"/>
                      <w:szCs w:val="21"/>
                      <w:highlight w:val="none"/>
                      <w:vertAlign w:val="baseline"/>
                      <w:lang w:val="en-US" w:eastAsia="zh-CN"/>
                    </w:rPr>
                    <w:fldChar w:fldCharType="end"/>
                  </w:r>
                </w:p>
              </w:tc>
              <w:tc>
                <w:tcPr>
                  <w:tcW w:w="1388" w:type="dxa"/>
                  <w:vAlign w:val="center"/>
                </w:tcPr>
                <w:p w14:paraId="7AC5653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0.677</w:t>
                  </w:r>
                </w:p>
              </w:tc>
              <w:tc>
                <w:tcPr>
                  <w:tcW w:w="1393" w:type="dxa"/>
                  <w:vAlign w:val="center"/>
                </w:tcPr>
                <w:p w14:paraId="2CE5A65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0.282</w:t>
                  </w:r>
                </w:p>
              </w:tc>
            </w:tr>
            <w:tr w14:paraId="41FA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restart"/>
                  <w:vAlign w:val="center"/>
                </w:tcPr>
                <w:p w14:paraId="72F572C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2号路</w:t>
                  </w:r>
                </w:p>
              </w:tc>
              <w:tc>
                <w:tcPr>
                  <w:tcW w:w="1388" w:type="dxa"/>
                  <w:vAlign w:val="center"/>
                </w:tcPr>
                <w:p w14:paraId="20E307BF">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88" w:type="dxa"/>
                  <w:vAlign w:val="center"/>
                </w:tcPr>
                <w:p w14:paraId="63CF4DF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3.662</w:t>
                  </w:r>
                </w:p>
              </w:tc>
              <w:tc>
                <w:tcPr>
                  <w:tcW w:w="1392" w:type="dxa"/>
                  <w:vAlign w:val="center"/>
                </w:tcPr>
                <w:p w14:paraId="46E41CC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1.528</w:t>
                  </w:r>
                </w:p>
              </w:tc>
              <w:tc>
                <w:tcPr>
                  <w:tcW w:w="1388" w:type="dxa"/>
                  <w:vAlign w:val="center"/>
                </w:tcPr>
                <w:p w14:paraId="06B210C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0.087</w:t>
                  </w:r>
                </w:p>
              </w:tc>
              <w:tc>
                <w:tcPr>
                  <w:tcW w:w="1393" w:type="dxa"/>
                  <w:vAlign w:val="center"/>
                </w:tcPr>
                <w:p w14:paraId="43C8D34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0.036</w:t>
                  </w:r>
                </w:p>
              </w:tc>
            </w:tr>
            <w:tr w14:paraId="7A02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continue"/>
                  <w:vAlign w:val="center"/>
                </w:tcPr>
                <w:p w14:paraId="73C2647B">
                  <w:pPr>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388" w:type="dxa"/>
                  <w:vAlign w:val="center"/>
                </w:tcPr>
                <w:p w14:paraId="09AE1057">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88" w:type="dxa"/>
                  <w:vAlign w:val="center"/>
                </w:tcPr>
                <w:p w14:paraId="70E351D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1.604</w:t>
                  </w:r>
                </w:p>
              </w:tc>
              <w:tc>
                <w:tcPr>
                  <w:tcW w:w="1392" w:type="dxa"/>
                  <w:vAlign w:val="center"/>
                </w:tcPr>
                <w:p w14:paraId="389D3783">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0.664</w:t>
                  </w:r>
                </w:p>
              </w:tc>
              <w:tc>
                <w:tcPr>
                  <w:tcW w:w="1388" w:type="dxa"/>
                  <w:vAlign w:val="center"/>
                </w:tcPr>
                <w:p w14:paraId="018E888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0.170</w:t>
                  </w:r>
                </w:p>
              </w:tc>
              <w:tc>
                <w:tcPr>
                  <w:tcW w:w="1393" w:type="dxa"/>
                  <w:vAlign w:val="center"/>
                </w:tcPr>
                <w:p w14:paraId="2E5EF40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0.070</w:t>
                  </w:r>
                </w:p>
              </w:tc>
            </w:tr>
            <w:tr w14:paraId="5A33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continue"/>
                  <w:vAlign w:val="center"/>
                </w:tcPr>
                <w:p w14:paraId="402D9939">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p>
              </w:tc>
              <w:tc>
                <w:tcPr>
                  <w:tcW w:w="1388" w:type="dxa"/>
                  <w:vAlign w:val="center"/>
                </w:tcPr>
                <w:p w14:paraId="5AE73052">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88" w:type="dxa"/>
                  <w:vAlign w:val="center"/>
                </w:tcPr>
                <w:p w14:paraId="3D2EEB82">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0.094</w:t>
                  </w:r>
                </w:p>
              </w:tc>
              <w:tc>
                <w:tcPr>
                  <w:tcW w:w="1392" w:type="dxa"/>
                  <w:vAlign w:val="center"/>
                </w:tcPr>
                <w:p w14:paraId="23A6E123">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0.039</w:t>
                  </w:r>
                </w:p>
              </w:tc>
              <w:tc>
                <w:tcPr>
                  <w:tcW w:w="1388" w:type="dxa"/>
                  <w:vAlign w:val="center"/>
                </w:tcPr>
                <w:p w14:paraId="7165212E">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0.129</w:t>
                  </w:r>
                </w:p>
              </w:tc>
              <w:tc>
                <w:tcPr>
                  <w:tcW w:w="1393" w:type="dxa"/>
                  <w:vAlign w:val="center"/>
                </w:tcPr>
                <w:p w14:paraId="6A5C5184">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0.053</w:t>
                  </w:r>
                </w:p>
              </w:tc>
            </w:tr>
            <w:tr w14:paraId="3A00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76" w:type="dxa"/>
                  <w:gridSpan w:val="2"/>
                  <w:vAlign w:val="center"/>
                </w:tcPr>
                <w:p w14:paraId="61D9FB25">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合计</w:t>
                  </w:r>
                </w:p>
              </w:tc>
              <w:tc>
                <w:tcPr>
                  <w:tcW w:w="1388" w:type="dxa"/>
                  <w:vAlign w:val="center"/>
                </w:tcPr>
                <w:p w14:paraId="5D78960B">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fldChar w:fldCharType="begin"/>
                  </w:r>
                  <w:r>
                    <w:rPr>
                      <w:rFonts w:hint="default" w:ascii="Times New Roman" w:hAnsi="Times New Roman" w:cs="Times New Roman" w:eastAsiaTheme="minorEastAsia"/>
                      <w:color w:val="auto"/>
                      <w:sz w:val="21"/>
                      <w:szCs w:val="21"/>
                      <w:highlight w:val="none"/>
                      <w:vertAlign w:val="baseline"/>
                      <w:lang w:val="en-US" w:eastAsia="zh-CN"/>
                    </w:rPr>
                    <w:instrText xml:space="preserve"> = sum(C7:C9) \* MERGEFORMAT </w:instrText>
                  </w:r>
                  <w:r>
                    <w:rPr>
                      <w:rFonts w:hint="default" w:ascii="Times New Roman" w:hAnsi="Times New Roman" w:cs="Times New Roman" w:eastAsiaTheme="minorEastAsia"/>
                      <w:color w:val="auto"/>
                      <w:sz w:val="21"/>
                      <w:szCs w:val="21"/>
                      <w:highlight w:val="none"/>
                      <w:vertAlign w:val="baseline"/>
                      <w:lang w:val="en-US" w:eastAsia="zh-CN"/>
                    </w:rPr>
                    <w:fldChar w:fldCharType="separate"/>
                  </w:r>
                  <w:r>
                    <w:rPr>
                      <w:rFonts w:hint="default" w:ascii="Times New Roman" w:hAnsi="Times New Roman" w:cs="Times New Roman" w:eastAsiaTheme="minorEastAsia"/>
                      <w:color w:val="auto"/>
                      <w:sz w:val="21"/>
                      <w:szCs w:val="21"/>
                      <w:highlight w:val="none"/>
                      <w:vertAlign w:val="baseline"/>
                      <w:lang w:val="en-US" w:eastAsia="zh-CN"/>
                    </w:rPr>
                    <w:t>5.36</w:t>
                  </w:r>
                  <w:r>
                    <w:rPr>
                      <w:rFonts w:hint="default" w:ascii="Times New Roman" w:hAnsi="Times New Roman" w:cs="Times New Roman" w:eastAsiaTheme="minorEastAsia"/>
                      <w:color w:val="auto"/>
                      <w:sz w:val="21"/>
                      <w:szCs w:val="21"/>
                      <w:highlight w:val="none"/>
                      <w:vertAlign w:val="baseline"/>
                      <w:lang w:val="en-US" w:eastAsia="zh-CN"/>
                    </w:rPr>
                    <w:fldChar w:fldCharType="end"/>
                  </w:r>
                </w:p>
              </w:tc>
              <w:tc>
                <w:tcPr>
                  <w:tcW w:w="1392" w:type="dxa"/>
                  <w:vAlign w:val="center"/>
                </w:tcPr>
                <w:p w14:paraId="02F72EDB">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2.231</w:t>
                  </w:r>
                </w:p>
              </w:tc>
              <w:tc>
                <w:tcPr>
                  <w:tcW w:w="1388" w:type="dxa"/>
                  <w:vAlign w:val="center"/>
                </w:tcPr>
                <w:p w14:paraId="2735C368">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0.386</w:t>
                  </w:r>
                </w:p>
              </w:tc>
              <w:tc>
                <w:tcPr>
                  <w:tcW w:w="1393" w:type="dxa"/>
                  <w:vAlign w:val="center"/>
                </w:tcPr>
                <w:p w14:paraId="3E34344F">
                  <w:pPr>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0.159</w:t>
                  </w:r>
                </w:p>
              </w:tc>
            </w:tr>
            <w:tr w14:paraId="472B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88" w:type="dxa"/>
                  <w:vMerge w:val="restart"/>
                  <w:vAlign w:val="center"/>
                </w:tcPr>
                <w:p w14:paraId="38117B85">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3号路</w:t>
                  </w:r>
                </w:p>
              </w:tc>
              <w:tc>
                <w:tcPr>
                  <w:tcW w:w="1388" w:type="dxa"/>
                  <w:vAlign w:val="center"/>
                </w:tcPr>
                <w:p w14:paraId="5D08DDA4">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88" w:type="dxa"/>
                  <w:vAlign w:val="center"/>
                </w:tcPr>
                <w:p w14:paraId="454CE1B6">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6.392</w:t>
                  </w:r>
                </w:p>
              </w:tc>
              <w:tc>
                <w:tcPr>
                  <w:tcW w:w="1392" w:type="dxa"/>
                  <w:vAlign w:val="center"/>
                </w:tcPr>
                <w:p w14:paraId="4EF0C68C">
                  <w:pPr>
                    <w:tabs>
                      <w:tab w:val="left" w:pos="361"/>
                    </w:tabs>
                    <w:spacing w:line="240" w:lineRule="auto"/>
                    <w:ind w:firstLine="0" w:firstLineChars="0"/>
                    <w:jc w:val="left"/>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ab/>
                  </w:r>
                  <w:r>
                    <w:rPr>
                      <w:rFonts w:hint="eastAsia" w:cs="Times New Roman"/>
                      <w:color w:val="auto"/>
                      <w:sz w:val="21"/>
                      <w:szCs w:val="21"/>
                      <w:highlight w:val="none"/>
                      <w:vertAlign w:val="baseline"/>
                      <w:lang w:val="en-US" w:eastAsia="zh-CN"/>
                    </w:rPr>
                    <w:t>2.665</w:t>
                  </w:r>
                </w:p>
              </w:tc>
              <w:tc>
                <w:tcPr>
                  <w:tcW w:w="1388" w:type="dxa"/>
                  <w:vAlign w:val="center"/>
                </w:tcPr>
                <w:p w14:paraId="7A1A350A">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0.152</w:t>
                  </w:r>
                </w:p>
              </w:tc>
              <w:tc>
                <w:tcPr>
                  <w:tcW w:w="1393" w:type="dxa"/>
                  <w:vAlign w:val="center"/>
                </w:tcPr>
                <w:p w14:paraId="0B6DEF4B">
                  <w:pPr>
                    <w:spacing w:line="240" w:lineRule="auto"/>
                    <w:ind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0.063</w:t>
                  </w:r>
                </w:p>
              </w:tc>
            </w:tr>
            <w:tr w14:paraId="7EE6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0BF03017">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0CEED5DA">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88" w:type="dxa"/>
                  <w:vAlign w:val="center"/>
                </w:tcPr>
                <w:p w14:paraId="1FF285F2">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2.799</w:t>
                  </w:r>
                </w:p>
              </w:tc>
              <w:tc>
                <w:tcPr>
                  <w:tcW w:w="1392" w:type="dxa"/>
                  <w:vAlign w:val="center"/>
                </w:tcPr>
                <w:p w14:paraId="40CB3924">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1.167</w:t>
                  </w:r>
                </w:p>
              </w:tc>
              <w:tc>
                <w:tcPr>
                  <w:tcW w:w="1388" w:type="dxa"/>
                  <w:vAlign w:val="center"/>
                </w:tcPr>
                <w:p w14:paraId="453729C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0.296</w:t>
                  </w:r>
                </w:p>
              </w:tc>
              <w:tc>
                <w:tcPr>
                  <w:tcW w:w="1393" w:type="dxa"/>
                  <w:vAlign w:val="center"/>
                </w:tcPr>
                <w:p w14:paraId="2FAE8D5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0.124</w:t>
                  </w:r>
                </w:p>
              </w:tc>
            </w:tr>
            <w:tr w14:paraId="25BF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6D40E9BB">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438879AE">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88" w:type="dxa"/>
                  <w:vAlign w:val="center"/>
                </w:tcPr>
                <w:p w14:paraId="1D09E8B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0.166</w:t>
                  </w:r>
                </w:p>
              </w:tc>
              <w:tc>
                <w:tcPr>
                  <w:tcW w:w="1392" w:type="dxa"/>
                  <w:vAlign w:val="center"/>
                </w:tcPr>
                <w:p w14:paraId="18C6F73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0.069</w:t>
                  </w:r>
                </w:p>
              </w:tc>
              <w:tc>
                <w:tcPr>
                  <w:tcW w:w="1388" w:type="dxa"/>
                  <w:vAlign w:val="center"/>
                </w:tcPr>
                <w:p w14:paraId="2F356462">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0.229</w:t>
                  </w:r>
                </w:p>
              </w:tc>
              <w:tc>
                <w:tcPr>
                  <w:tcW w:w="1393" w:type="dxa"/>
                  <w:vAlign w:val="center"/>
                </w:tcPr>
                <w:p w14:paraId="6CD553EF">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0.095</w:t>
                  </w:r>
                </w:p>
              </w:tc>
            </w:tr>
            <w:tr w14:paraId="6EFB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76" w:type="dxa"/>
                  <w:gridSpan w:val="2"/>
                  <w:vAlign w:val="center"/>
                </w:tcPr>
                <w:p w14:paraId="4557C59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88" w:type="dxa"/>
                  <w:vAlign w:val="center"/>
                </w:tcPr>
                <w:p w14:paraId="25B291DB">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sum(C3:C5)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9.357</w:t>
                  </w:r>
                  <w:r>
                    <w:rPr>
                      <w:rFonts w:hint="default" w:ascii="Times New Roman" w:hAnsi="Times New Roman" w:cs="Times New Roman"/>
                      <w:color w:val="auto"/>
                      <w:sz w:val="21"/>
                      <w:szCs w:val="21"/>
                      <w:highlight w:val="none"/>
                      <w:vertAlign w:val="baseline"/>
                      <w:lang w:val="en-US" w:eastAsia="zh-CN"/>
                    </w:rPr>
                    <w:fldChar w:fldCharType="end"/>
                  </w:r>
                </w:p>
              </w:tc>
              <w:tc>
                <w:tcPr>
                  <w:tcW w:w="1392" w:type="dxa"/>
                  <w:vAlign w:val="center"/>
                </w:tcPr>
                <w:p w14:paraId="259FF0C0">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sum(D3:D5)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t>3.901</w:t>
                  </w:r>
                  <w:r>
                    <w:rPr>
                      <w:rFonts w:hint="default" w:ascii="Times New Roman" w:hAnsi="Times New Roman" w:cs="Times New Roman"/>
                      <w:color w:val="auto"/>
                      <w:sz w:val="21"/>
                      <w:szCs w:val="21"/>
                      <w:highlight w:val="none"/>
                      <w:vertAlign w:val="baseline"/>
                      <w:lang w:val="en-US" w:eastAsia="zh-CN"/>
                    </w:rPr>
                    <w:fldChar w:fldCharType="end"/>
                  </w:r>
                </w:p>
              </w:tc>
              <w:tc>
                <w:tcPr>
                  <w:tcW w:w="1388" w:type="dxa"/>
                  <w:vAlign w:val="center"/>
                </w:tcPr>
                <w:p w14:paraId="45C1BEE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0.677</w:t>
                  </w:r>
                </w:p>
              </w:tc>
              <w:tc>
                <w:tcPr>
                  <w:tcW w:w="1393" w:type="dxa"/>
                  <w:vAlign w:val="center"/>
                </w:tcPr>
                <w:p w14:paraId="349DD0B2">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0.282</w:t>
                  </w:r>
                </w:p>
              </w:tc>
            </w:tr>
            <w:tr w14:paraId="39FD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restart"/>
                  <w:vAlign w:val="center"/>
                </w:tcPr>
                <w:p w14:paraId="476B0CD3">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4号路</w:t>
                  </w:r>
                </w:p>
              </w:tc>
              <w:tc>
                <w:tcPr>
                  <w:tcW w:w="1388" w:type="dxa"/>
                  <w:vAlign w:val="center"/>
                </w:tcPr>
                <w:p w14:paraId="48E22B81">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88" w:type="dxa"/>
                  <w:vAlign w:val="center"/>
                </w:tcPr>
                <w:p w14:paraId="56724303">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7.984</w:t>
                  </w:r>
                </w:p>
              </w:tc>
              <w:tc>
                <w:tcPr>
                  <w:tcW w:w="1392" w:type="dxa"/>
                  <w:vAlign w:val="center"/>
                </w:tcPr>
                <w:p w14:paraId="43832D7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3.326</w:t>
                  </w:r>
                </w:p>
              </w:tc>
              <w:tc>
                <w:tcPr>
                  <w:tcW w:w="1388" w:type="dxa"/>
                  <w:vAlign w:val="center"/>
                </w:tcPr>
                <w:p w14:paraId="0089FEE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0.190</w:t>
                  </w:r>
                </w:p>
              </w:tc>
              <w:tc>
                <w:tcPr>
                  <w:tcW w:w="1393" w:type="dxa"/>
                  <w:vAlign w:val="center"/>
                </w:tcPr>
                <w:p w14:paraId="4BCA49AA">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0.079</w:t>
                  </w:r>
                </w:p>
              </w:tc>
            </w:tr>
            <w:tr w14:paraId="6448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06B81372">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5DDF6F07">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88" w:type="dxa"/>
                  <w:vAlign w:val="center"/>
                </w:tcPr>
                <w:p w14:paraId="2B34790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3.492</w:t>
                  </w:r>
                </w:p>
              </w:tc>
              <w:tc>
                <w:tcPr>
                  <w:tcW w:w="1392" w:type="dxa"/>
                  <w:vAlign w:val="center"/>
                </w:tcPr>
                <w:p w14:paraId="331F33D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1.452</w:t>
                  </w:r>
                </w:p>
              </w:tc>
              <w:tc>
                <w:tcPr>
                  <w:tcW w:w="1388" w:type="dxa"/>
                  <w:vAlign w:val="center"/>
                </w:tcPr>
                <w:p w14:paraId="3FA2F78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0.369</w:t>
                  </w:r>
                </w:p>
              </w:tc>
              <w:tc>
                <w:tcPr>
                  <w:tcW w:w="1393" w:type="dxa"/>
                  <w:vAlign w:val="center"/>
                </w:tcPr>
                <w:p w14:paraId="39D8570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0.154</w:t>
                  </w:r>
                </w:p>
              </w:tc>
            </w:tr>
            <w:tr w14:paraId="01D6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519D442C">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2912BCC1">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88" w:type="dxa"/>
                  <w:vAlign w:val="center"/>
                </w:tcPr>
                <w:p w14:paraId="772ED92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0.206</w:t>
                  </w:r>
                </w:p>
              </w:tc>
              <w:tc>
                <w:tcPr>
                  <w:tcW w:w="1392" w:type="dxa"/>
                  <w:vAlign w:val="center"/>
                </w:tcPr>
                <w:p w14:paraId="4FF96DA2">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0.086</w:t>
                  </w:r>
                </w:p>
              </w:tc>
              <w:tc>
                <w:tcPr>
                  <w:tcW w:w="1388" w:type="dxa"/>
                  <w:vAlign w:val="center"/>
                </w:tcPr>
                <w:p w14:paraId="27E1592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0.284</w:t>
                  </w:r>
                </w:p>
              </w:tc>
              <w:tc>
                <w:tcPr>
                  <w:tcW w:w="1393" w:type="dxa"/>
                  <w:vAlign w:val="center"/>
                </w:tcPr>
                <w:p w14:paraId="084AB7F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0.118</w:t>
                  </w:r>
                </w:p>
              </w:tc>
            </w:tr>
            <w:tr w14:paraId="4B8D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76" w:type="dxa"/>
                  <w:gridSpan w:val="2"/>
                  <w:vAlign w:val="center"/>
                </w:tcPr>
                <w:p w14:paraId="1D6943D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88" w:type="dxa"/>
                  <w:vAlign w:val="center"/>
                </w:tcPr>
                <w:p w14:paraId="02335F3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11.682</w:t>
                  </w:r>
                </w:p>
              </w:tc>
              <w:tc>
                <w:tcPr>
                  <w:tcW w:w="1392" w:type="dxa"/>
                  <w:vAlign w:val="center"/>
                </w:tcPr>
                <w:p w14:paraId="47720D0C">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4.864</w:t>
                  </w:r>
                </w:p>
              </w:tc>
              <w:tc>
                <w:tcPr>
                  <w:tcW w:w="1388" w:type="dxa"/>
                  <w:vAlign w:val="center"/>
                </w:tcPr>
                <w:p w14:paraId="07A0AA9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0.843</w:t>
                  </w:r>
                </w:p>
              </w:tc>
              <w:tc>
                <w:tcPr>
                  <w:tcW w:w="1393" w:type="dxa"/>
                  <w:vAlign w:val="center"/>
                </w:tcPr>
                <w:p w14:paraId="3D9855B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0.351</w:t>
                  </w:r>
                </w:p>
              </w:tc>
            </w:tr>
            <w:tr w14:paraId="3CEB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restart"/>
                  <w:vAlign w:val="center"/>
                </w:tcPr>
                <w:p w14:paraId="766517F6">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5号路</w:t>
                  </w:r>
                </w:p>
              </w:tc>
              <w:tc>
                <w:tcPr>
                  <w:tcW w:w="1388" w:type="dxa"/>
                  <w:vAlign w:val="center"/>
                </w:tcPr>
                <w:p w14:paraId="224466FE">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88" w:type="dxa"/>
                  <w:vAlign w:val="center"/>
                </w:tcPr>
                <w:p w14:paraId="2726F50E">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7.833</w:t>
                  </w:r>
                </w:p>
              </w:tc>
              <w:tc>
                <w:tcPr>
                  <w:tcW w:w="1392" w:type="dxa"/>
                  <w:vAlign w:val="center"/>
                </w:tcPr>
                <w:p w14:paraId="32981090">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3.261</w:t>
                  </w:r>
                </w:p>
              </w:tc>
              <w:tc>
                <w:tcPr>
                  <w:tcW w:w="1388" w:type="dxa"/>
                  <w:vAlign w:val="center"/>
                </w:tcPr>
                <w:p w14:paraId="5887F259">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0.186</w:t>
                  </w:r>
                </w:p>
              </w:tc>
              <w:tc>
                <w:tcPr>
                  <w:tcW w:w="1393" w:type="dxa"/>
                  <w:vAlign w:val="center"/>
                </w:tcPr>
                <w:p w14:paraId="4EEE726A">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0.078</w:t>
                  </w:r>
                </w:p>
              </w:tc>
            </w:tr>
            <w:tr w14:paraId="5F12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369F4FED">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5E52D302">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88" w:type="dxa"/>
                  <w:vAlign w:val="center"/>
                </w:tcPr>
                <w:p w14:paraId="5C5743A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3.435</w:t>
                  </w:r>
                </w:p>
              </w:tc>
              <w:tc>
                <w:tcPr>
                  <w:tcW w:w="1392" w:type="dxa"/>
                  <w:vAlign w:val="center"/>
                </w:tcPr>
                <w:p w14:paraId="4341BD0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1.433</w:t>
                  </w:r>
                </w:p>
              </w:tc>
              <w:tc>
                <w:tcPr>
                  <w:tcW w:w="1388" w:type="dxa"/>
                  <w:vAlign w:val="center"/>
                </w:tcPr>
                <w:p w14:paraId="7EDD11AB">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0.364</w:t>
                  </w:r>
                </w:p>
              </w:tc>
              <w:tc>
                <w:tcPr>
                  <w:tcW w:w="1393" w:type="dxa"/>
                  <w:vAlign w:val="center"/>
                </w:tcPr>
                <w:p w14:paraId="69297C0F">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0.152</w:t>
                  </w:r>
                </w:p>
              </w:tc>
            </w:tr>
            <w:tr w14:paraId="1529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25E04D4B">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37DE4DF1">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88" w:type="dxa"/>
                  <w:vAlign w:val="center"/>
                </w:tcPr>
                <w:p w14:paraId="4D4707CE">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0.201</w:t>
                  </w:r>
                </w:p>
              </w:tc>
              <w:tc>
                <w:tcPr>
                  <w:tcW w:w="1392" w:type="dxa"/>
                  <w:vAlign w:val="center"/>
                </w:tcPr>
                <w:p w14:paraId="1C47BDFC">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0.084</w:t>
                  </w:r>
                </w:p>
              </w:tc>
              <w:tc>
                <w:tcPr>
                  <w:tcW w:w="1388" w:type="dxa"/>
                  <w:vAlign w:val="center"/>
                </w:tcPr>
                <w:p w14:paraId="7E9C6EA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0.277</w:t>
                  </w:r>
                </w:p>
              </w:tc>
              <w:tc>
                <w:tcPr>
                  <w:tcW w:w="1393" w:type="dxa"/>
                  <w:vAlign w:val="center"/>
                </w:tcPr>
                <w:p w14:paraId="5B4F8B08">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0.116</w:t>
                  </w:r>
                </w:p>
              </w:tc>
            </w:tr>
            <w:tr w14:paraId="7E08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76" w:type="dxa"/>
                  <w:gridSpan w:val="2"/>
                  <w:vAlign w:val="center"/>
                </w:tcPr>
                <w:p w14:paraId="19F445C3">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合计</w:t>
                  </w:r>
                </w:p>
              </w:tc>
              <w:tc>
                <w:tcPr>
                  <w:tcW w:w="1388" w:type="dxa"/>
                  <w:vAlign w:val="center"/>
                </w:tcPr>
                <w:p w14:paraId="61489A59">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11.469</w:t>
                  </w:r>
                </w:p>
              </w:tc>
              <w:tc>
                <w:tcPr>
                  <w:tcW w:w="1392" w:type="dxa"/>
                  <w:vAlign w:val="center"/>
                </w:tcPr>
                <w:p w14:paraId="3DA4584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4.778</w:t>
                  </w:r>
                </w:p>
              </w:tc>
              <w:tc>
                <w:tcPr>
                  <w:tcW w:w="1388" w:type="dxa"/>
                  <w:vAlign w:val="center"/>
                </w:tcPr>
                <w:p w14:paraId="7A90B404">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0.827</w:t>
                  </w:r>
                </w:p>
              </w:tc>
              <w:tc>
                <w:tcPr>
                  <w:tcW w:w="1393" w:type="dxa"/>
                  <w:vAlign w:val="center"/>
                </w:tcPr>
                <w:p w14:paraId="69D9451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0.346</w:t>
                  </w:r>
                </w:p>
              </w:tc>
            </w:tr>
            <w:tr w14:paraId="715B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restart"/>
                  <w:vAlign w:val="center"/>
                </w:tcPr>
                <w:p w14:paraId="1D03A01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6号路</w:t>
                  </w:r>
                </w:p>
              </w:tc>
              <w:tc>
                <w:tcPr>
                  <w:tcW w:w="1388" w:type="dxa"/>
                  <w:vAlign w:val="center"/>
                </w:tcPr>
                <w:p w14:paraId="76760751">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88" w:type="dxa"/>
                  <w:vAlign w:val="center"/>
                </w:tcPr>
                <w:p w14:paraId="30606CB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3.413</w:t>
                  </w:r>
                </w:p>
              </w:tc>
              <w:tc>
                <w:tcPr>
                  <w:tcW w:w="1392" w:type="dxa"/>
                  <w:vAlign w:val="center"/>
                </w:tcPr>
                <w:p w14:paraId="40A4670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1.419</w:t>
                  </w:r>
                </w:p>
              </w:tc>
              <w:tc>
                <w:tcPr>
                  <w:tcW w:w="1388" w:type="dxa"/>
                  <w:vAlign w:val="center"/>
                </w:tcPr>
                <w:p w14:paraId="261AB6EE">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0.081</w:t>
                  </w:r>
                </w:p>
              </w:tc>
              <w:tc>
                <w:tcPr>
                  <w:tcW w:w="1393" w:type="dxa"/>
                  <w:vAlign w:val="center"/>
                </w:tcPr>
                <w:p w14:paraId="278C2C5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0.034</w:t>
                  </w:r>
                </w:p>
              </w:tc>
            </w:tr>
            <w:tr w14:paraId="33EA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6B38397D">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44A84008">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88" w:type="dxa"/>
                  <w:vAlign w:val="center"/>
                </w:tcPr>
                <w:p w14:paraId="65708078">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1.499</w:t>
                  </w:r>
                </w:p>
              </w:tc>
              <w:tc>
                <w:tcPr>
                  <w:tcW w:w="1392" w:type="dxa"/>
                  <w:vAlign w:val="center"/>
                </w:tcPr>
                <w:p w14:paraId="0EE79F5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0.626</w:t>
                  </w:r>
                </w:p>
              </w:tc>
              <w:tc>
                <w:tcPr>
                  <w:tcW w:w="1388" w:type="dxa"/>
                  <w:vAlign w:val="center"/>
                </w:tcPr>
                <w:p w14:paraId="0BA54C31">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0.159</w:t>
                  </w:r>
                </w:p>
              </w:tc>
              <w:tc>
                <w:tcPr>
                  <w:tcW w:w="1393" w:type="dxa"/>
                  <w:vAlign w:val="center"/>
                </w:tcPr>
                <w:p w14:paraId="21B7118B">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0.066</w:t>
                  </w:r>
                </w:p>
              </w:tc>
            </w:tr>
            <w:tr w14:paraId="6B98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4DA56264">
                  <w:pPr>
                    <w:spacing w:line="240" w:lineRule="auto"/>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1355117F">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88" w:type="dxa"/>
                  <w:vAlign w:val="center"/>
                </w:tcPr>
                <w:p w14:paraId="10FB8B28">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0.087</w:t>
                  </w:r>
                </w:p>
              </w:tc>
              <w:tc>
                <w:tcPr>
                  <w:tcW w:w="1392" w:type="dxa"/>
                  <w:vAlign w:val="center"/>
                </w:tcPr>
                <w:p w14:paraId="79561C94">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0.037</w:t>
                  </w:r>
                </w:p>
              </w:tc>
              <w:tc>
                <w:tcPr>
                  <w:tcW w:w="1388" w:type="dxa"/>
                  <w:vAlign w:val="center"/>
                </w:tcPr>
                <w:p w14:paraId="1DDF66C5">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0.120</w:t>
                  </w:r>
                </w:p>
              </w:tc>
              <w:tc>
                <w:tcPr>
                  <w:tcW w:w="1393" w:type="dxa"/>
                  <w:vAlign w:val="center"/>
                </w:tcPr>
                <w:p w14:paraId="06E4261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0.051</w:t>
                  </w:r>
                </w:p>
              </w:tc>
            </w:tr>
            <w:tr w14:paraId="208E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76" w:type="dxa"/>
                  <w:gridSpan w:val="2"/>
                  <w:vAlign w:val="center"/>
                </w:tcPr>
                <w:p w14:paraId="5CDE19E6">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1388" w:type="dxa"/>
                  <w:vAlign w:val="center"/>
                </w:tcPr>
                <w:p w14:paraId="62F682F7">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4.999</w:t>
                  </w:r>
                </w:p>
              </w:tc>
              <w:tc>
                <w:tcPr>
                  <w:tcW w:w="1392" w:type="dxa"/>
                  <w:vAlign w:val="center"/>
                </w:tcPr>
                <w:p w14:paraId="494B2FAF">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2.082</w:t>
                  </w:r>
                </w:p>
              </w:tc>
              <w:tc>
                <w:tcPr>
                  <w:tcW w:w="1388" w:type="dxa"/>
                  <w:vAlign w:val="center"/>
                </w:tcPr>
                <w:p w14:paraId="12C0823D">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0.360</w:t>
                  </w:r>
                  <w:r>
                    <w:rPr>
                      <w:rFonts w:hint="default" w:ascii="Times New Roman" w:hAnsi="Times New Roman" w:cs="Times New Roman"/>
                      <w:color w:val="auto"/>
                      <w:sz w:val="21"/>
                      <w:szCs w:val="21"/>
                      <w:highlight w:val="none"/>
                      <w:vertAlign w:val="baseline"/>
                      <w:lang w:val="en-US" w:eastAsia="zh-CN"/>
                    </w:rPr>
                    <w:fldChar w:fldCharType="begin"/>
                  </w:r>
                  <w:r>
                    <w:rPr>
                      <w:rFonts w:hint="default" w:ascii="Times New Roman" w:hAnsi="Times New Roman" w:cs="Times New Roman"/>
                      <w:color w:val="auto"/>
                      <w:sz w:val="21"/>
                      <w:szCs w:val="21"/>
                      <w:highlight w:val="none"/>
                      <w:vertAlign w:val="baseline"/>
                      <w:lang w:val="en-US" w:eastAsia="zh-CN"/>
                    </w:rPr>
                    <w:instrText xml:space="preserve"> = sum(D23:D25) \* MERGEFORMAT </w:instrText>
                  </w:r>
                  <w:r>
                    <w:rPr>
                      <w:rFonts w:hint="default" w:ascii="Times New Roman" w:hAnsi="Times New Roman" w:cs="Times New Roman"/>
                      <w:color w:val="auto"/>
                      <w:sz w:val="21"/>
                      <w:szCs w:val="21"/>
                      <w:highlight w:val="none"/>
                      <w:vertAlign w:val="baseline"/>
                      <w:lang w:val="en-US" w:eastAsia="zh-CN"/>
                    </w:rPr>
                    <w:fldChar w:fldCharType="separate"/>
                  </w:r>
                  <w:r>
                    <w:rPr>
                      <w:rFonts w:hint="default" w:ascii="Times New Roman" w:hAnsi="Times New Roman" w:cs="Times New Roman"/>
                      <w:color w:val="auto"/>
                      <w:sz w:val="21"/>
                      <w:szCs w:val="21"/>
                      <w:highlight w:val="none"/>
                      <w:vertAlign w:val="baseline"/>
                      <w:lang w:val="en-US" w:eastAsia="zh-CN"/>
                    </w:rPr>
                    <w:fldChar w:fldCharType="end"/>
                  </w:r>
                </w:p>
              </w:tc>
              <w:tc>
                <w:tcPr>
                  <w:tcW w:w="1393" w:type="dxa"/>
                  <w:vAlign w:val="center"/>
                </w:tcPr>
                <w:p w14:paraId="4BEA1BC0">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0.151</w:t>
                  </w:r>
                </w:p>
              </w:tc>
            </w:tr>
            <w:tr w14:paraId="31AD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restart"/>
                  <w:vAlign w:val="center"/>
                </w:tcPr>
                <w:p w14:paraId="4F623C5D">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7号路</w:t>
                  </w:r>
                </w:p>
              </w:tc>
              <w:tc>
                <w:tcPr>
                  <w:tcW w:w="1388" w:type="dxa"/>
                  <w:vAlign w:val="center"/>
                </w:tcPr>
                <w:p w14:paraId="4FDEC410">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小型车</w:t>
                  </w:r>
                </w:p>
              </w:tc>
              <w:tc>
                <w:tcPr>
                  <w:tcW w:w="1388" w:type="dxa"/>
                  <w:vAlign w:val="center"/>
                </w:tcPr>
                <w:p w14:paraId="71C320D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6.966</w:t>
                  </w:r>
                </w:p>
              </w:tc>
              <w:tc>
                <w:tcPr>
                  <w:tcW w:w="1392" w:type="dxa"/>
                  <w:vAlign w:val="center"/>
                </w:tcPr>
                <w:p w14:paraId="572B863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2.903</w:t>
                  </w:r>
                </w:p>
              </w:tc>
              <w:tc>
                <w:tcPr>
                  <w:tcW w:w="1388" w:type="dxa"/>
                  <w:vAlign w:val="center"/>
                </w:tcPr>
                <w:p w14:paraId="7C8A831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0.166</w:t>
                  </w:r>
                </w:p>
              </w:tc>
              <w:tc>
                <w:tcPr>
                  <w:tcW w:w="1393" w:type="dxa"/>
                  <w:vAlign w:val="center"/>
                </w:tcPr>
                <w:p w14:paraId="5A04EB4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0.069</w:t>
                  </w:r>
                </w:p>
              </w:tc>
            </w:tr>
            <w:tr w14:paraId="6068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6E92770C">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2E20245C">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中型车</w:t>
                  </w:r>
                </w:p>
              </w:tc>
              <w:tc>
                <w:tcPr>
                  <w:tcW w:w="1388" w:type="dxa"/>
                  <w:vAlign w:val="center"/>
                </w:tcPr>
                <w:p w14:paraId="33DE0921">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3.046</w:t>
                  </w:r>
                </w:p>
              </w:tc>
              <w:tc>
                <w:tcPr>
                  <w:tcW w:w="1392" w:type="dxa"/>
                  <w:vAlign w:val="center"/>
                </w:tcPr>
                <w:p w14:paraId="64981CF3">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1.272</w:t>
                  </w:r>
                </w:p>
              </w:tc>
              <w:tc>
                <w:tcPr>
                  <w:tcW w:w="1388" w:type="dxa"/>
                  <w:vAlign w:val="center"/>
                </w:tcPr>
                <w:p w14:paraId="44F5313F">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0.322</w:t>
                  </w:r>
                </w:p>
              </w:tc>
              <w:tc>
                <w:tcPr>
                  <w:tcW w:w="1393" w:type="dxa"/>
                  <w:vAlign w:val="center"/>
                </w:tcPr>
                <w:p w14:paraId="50BF64C0">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0.135</w:t>
                  </w:r>
                </w:p>
              </w:tc>
            </w:tr>
            <w:tr w14:paraId="708A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88" w:type="dxa"/>
                  <w:vMerge w:val="continue"/>
                  <w:vAlign w:val="center"/>
                </w:tcPr>
                <w:p w14:paraId="44367F30">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p>
              </w:tc>
              <w:tc>
                <w:tcPr>
                  <w:tcW w:w="1388" w:type="dxa"/>
                  <w:vAlign w:val="center"/>
                </w:tcPr>
                <w:p w14:paraId="215B03EE">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大型车</w:t>
                  </w:r>
                </w:p>
              </w:tc>
              <w:tc>
                <w:tcPr>
                  <w:tcW w:w="1388" w:type="dxa"/>
                  <w:vAlign w:val="center"/>
                </w:tcPr>
                <w:p w14:paraId="0275F9F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0.180</w:t>
                  </w:r>
                </w:p>
              </w:tc>
              <w:tc>
                <w:tcPr>
                  <w:tcW w:w="1392" w:type="dxa"/>
                  <w:vAlign w:val="center"/>
                </w:tcPr>
                <w:p w14:paraId="04FFFA1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0.072</w:t>
                  </w:r>
                </w:p>
              </w:tc>
              <w:tc>
                <w:tcPr>
                  <w:tcW w:w="1388" w:type="dxa"/>
                  <w:vAlign w:val="center"/>
                </w:tcPr>
                <w:p w14:paraId="6EFCAF5D">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0.247</w:t>
                  </w:r>
                </w:p>
              </w:tc>
              <w:tc>
                <w:tcPr>
                  <w:tcW w:w="1393" w:type="dxa"/>
                  <w:vAlign w:val="center"/>
                </w:tcPr>
                <w:p w14:paraId="39E7C9E8">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0.099</w:t>
                  </w:r>
                </w:p>
              </w:tc>
            </w:tr>
            <w:tr w14:paraId="6F1B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776" w:type="dxa"/>
                  <w:gridSpan w:val="2"/>
                  <w:vAlign w:val="center"/>
                </w:tcPr>
                <w:p w14:paraId="5255C286">
                  <w:pPr>
                    <w:spacing w:line="240" w:lineRule="auto"/>
                    <w:ind w:firstLine="0" w:firstLineChars="0"/>
                    <w:jc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合计</w:t>
                  </w:r>
                </w:p>
              </w:tc>
              <w:tc>
                <w:tcPr>
                  <w:tcW w:w="1388" w:type="dxa"/>
                  <w:vAlign w:val="center"/>
                </w:tcPr>
                <w:p w14:paraId="57BD38E5">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10.192</w:t>
                  </w:r>
                </w:p>
              </w:tc>
              <w:tc>
                <w:tcPr>
                  <w:tcW w:w="1392" w:type="dxa"/>
                  <w:vAlign w:val="center"/>
                </w:tcPr>
                <w:p w14:paraId="527F749E">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4.247</w:t>
                  </w:r>
                </w:p>
              </w:tc>
              <w:tc>
                <w:tcPr>
                  <w:tcW w:w="1388" w:type="dxa"/>
                  <w:vAlign w:val="center"/>
                </w:tcPr>
                <w:p w14:paraId="1A15FF59">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0.735</w:t>
                  </w:r>
                </w:p>
              </w:tc>
              <w:tc>
                <w:tcPr>
                  <w:tcW w:w="1393" w:type="dxa"/>
                  <w:vAlign w:val="center"/>
                </w:tcPr>
                <w:p w14:paraId="00341C17">
                  <w:pPr>
                    <w:spacing w:line="240" w:lineRule="auto"/>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0.303</w:t>
                  </w:r>
                </w:p>
              </w:tc>
            </w:tr>
          </w:tbl>
          <w:p w14:paraId="2CB83330">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（2）影响浓度预测</w:t>
            </w:r>
          </w:p>
          <w:p w14:paraId="503809E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模式进行预测，根据预测，项目营运期CO和NO</w:t>
            </w:r>
            <w:r>
              <w:rPr>
                <w:rFonts w:hint="default" w:ascii="Times New Roman" w:hAnsi="Times New Roman" w:cs="Times New Roman"/>
                <w:sz w:val="24"/>
                <w:vertAlign w:val="subscript"/>
              </w:rPr>
              <w:t>2</w:t>
            </w:r>
            <w:r>
              <w:rPr>
                <w:rFonts w:hint="default" w:ascii="Times New Roman" w:hAnsi="Times New Roman" w:cs="Times New Roman"/>
                <w:sz w:val="24"/>
              </w:rPr>
              <w:t>的预测值见下表：对于本工程营运期汽车尾气中NO</w:t>
            </w:r>
            <w:r>
              <w:rPr>
                <w:rFonts w:hint="default" w:ascii="Times New Roman" w:hAnsi="Times New Roman" w:cs="Times New Roman"/>
                <w:sz w:val="24"/>
                <w:vertAlign w:val="subscript"/>
              </w:rPr>
              <w:t>2</w:t>
            </w:r>
            <w:r>
              <w:rPr>
                <w:rFonts w:hint="default" w:ascii="Times New Roman" w:hAnsi="Times New Roman" w:cs="Times New Roman"/>
                <w:sz w:val="24"/>
              </w:rPr>
              <w:t>、CO扩散影响浓度，采用《公路建设项目环境影响评价规范（试行）》中高斯有限长线源扩撒模式预测。由于本工程线路较短，走向变化小，根据风向与道路线源夹角的不同，分三类情况分别计算，具体模式及参数描述如下：</w:t>
            </w:r>
          </w:p>
          <w:p w14:paraId="5197B68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①当风向与线源夹角为0°～90°时扩散模式：</w:t>
            </w:r>
          </w:p>
          <w:p w14:paraId="58EFD90C">
            <w:pPr>
              <w:spacing w:line="360" w:lineRule="auto"/>
              <w:ind w:firstLine="480" w:firstLineChars="200"/>
              <w:rPr>
                <w:rFonts w:hint="default" w:ascii="Times New Roman" w:hAnsi="Times New Roman" w:cs="Times New Roman"/>
                <w:sz w:val="24"/>
              </w:rPr>
            </w:pPr>
            <w:r>
              <w:rPr>
                <w:rFonts w:hint="default" w:ascii="Times New Roman" w:hAnsi="Times New Roman" w:cs="Times New Roman"/>
              </w:rPr>
              <w:drawing>
                <wp:inline distT="0" distB="0" distL="0" distR="0">
                  <wp:extent cx="5295900" cy="685800"/>
                  <wp:effectExtent l="0" t="0" r="0" b="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noChangeArrowheads="1"/>
                          </pic:cNvPicPr>
                        </pic:nvPicPr>
                        <pic:blipFill>
                          <a:blip r:embed="rId43" cstate="print"/>
                          <a:srcRect/>
                          <a:stretch>
                            <a:fillRect/>
                          </a:stretch>
                        </pic:blipFill>
                        <pic:spPr>
                          <a:xfrm>
                            <a:off x="0" y="0"/>
                            <a:ext cx="5295900" cy="685800"/>
                          </a:xfrm>
                          <a:prstGeom prst="rect">
                            <a:avLst/>
                          </a:prstGeom>
                          <a:noFill/>
                          <a:ln w="9525">
                            <a:noFill/>
                            <a:miter lim="800000"/>
                            <a:headEnd/>
                            <a:tailEnd/>
                          </a:ln>
                        </pic:spPr>
                      </pic:pic>
                    </a:graphicData>
                  </a:graphic>
                </wp:inline>
              </w:drawing>
            </w:r>
          </w:p>
          <w:p w14:paraId="0A24980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式中： C</w:t>
            </w:r>
            <w:r>
              <w:rPr>
                <w:rFonts w:hint="default" w:ascii="Times New Roman" w:hAnsi="Times New Roman" w:cs="Times New Roman"/>
                <w:sz w:val="24"/>
                <w:vertAlign w:val="subscript"/>
              </w:rPr>
              <w:t>PR</w:t>
            </w:r>
            <w:r>
              <w:rPr>
                <w:rFonts w:hint="default" w:ascii="Times New Roman" w:hAnsi="Times New Roman" w:cs="Times New Roman"/>
                <w:sz w:val="24"/>
              </w:rPr>
              <w:t xml:space="preserve"> —— 道路线源AB 段对预测点R 产生的污染物浓度，mg/m³；</w:t>
            </w:r>
          </w:p>
          <w:p w14:paraId="4AD2EA71">
            <w:pPr>
              <w:spacing w:line="360" w:lineRule="auto"/>
              <w:ind w:firstLine="1440" w:firstLineChars="600"/>
              <w:rPr>
                <w:rFonts w:hint="default" w:ascii="Times New Roman" w:hAnsi="Times New Roman" w:cs="Times New Roman"/>
                <w:sz w:val="24"/>
              </w:rPr>
            </w:pPr>
            <w:r>
              <w:rPr>
                <w:rFonts w:hint="default" w:ascii="Times New Roman" w:hAnsi="Times New Roman" w:cs="Times New Roman"/>
                <w:sz w:val="24"/>
              </w:rPr>
              <w:t>U —— 预测路段有效排放源高处的平均风速，m/s；</w:t>
            </w:r>
          </w:p>
          <w:p w14:paraId="503B4C0F">
            <w:pPr>
              <w:spacing w:line="360" w:lineRule="auto"/>
              <w:ind w:firstLine="1440" w:firstLineChars="600"/>
              <w:rPr>
                <w:rFonts w:hint="default" w:ascii="Times New Roman" w:hAnsi="Times New Roman" w:cs="Times New Roman"/>
                <w:sz w:val="24"/>
              </w:rPr>
            </w:pPr>
            <w:r>
              <w:rPr>
                <w:rFonts w:hint="default" w:ascii="Times New Roman" w:hAnsi="Times New Roman" w:cs="Times New Roman"/>
                <w:sz w:val="24"/>
              </w:rPr>
              <w:t>Q</w:t>
            </w:r>
            <w:r>
              <w:rPr>
                <w:rFonts w:hint="default" w:ascii="Times New Roman" w:hAnsi="Times New Roman" w:cs="Times New Roman"/>
                <w:sz w:val="24"/>
                <w:vertAlign w:val="subscript"/>
              </w:rPr>
              <w:t>j</w:t>
            </w:r>
            <w:r>
              <w:rPr>
                <w:rFonts w:hint="default" w:ascii="Times New Roman" w:hAnsi="Times New Roman" w:cs="Times New Roman"/>
                <w:sz w:val="24"/>
              </w:rPr>
              <w:t xml:space="preserve"> —— 气态j 类污染物排放源强度，mg/(辆·m) ；</w:t>
            </w:r>
          </w:p>
          <w:p w14:paraId="178E68B4">
            <w:pPr>
              <w:spacing w:line="360" w:lineRule="auto"/>
              <w:ind w:firstLine="1440" w:firstLineChars="600"/>
              <w:rPr>
                <w:rFonts w:hint="default" w:ascii="Times New Roman" w:hAnsi="Times New Roman" w:cs="Times New Roman"/>
                <w:sz w:val="24"/>
              </w:rPr>
            </w:pPr>
            <w:r>
              <w:rPr>
                <w:rFonts w:hint="default" w:ascii="Times New Roman" w:hAnsi="Times New Roman" w:cs="Times New Roman"/>
                <w:sz w:val="24"/>
              </w:rPr>
              <w:t>σy、σz —— 水平横风向、垂直扩散参数，m；</w:t>
            </w:r>
          </w:p>
          <w:p w14:paraId="1EE0B26F">
            <w:pPr>
              <w:spacing w:line="360" w:lineRule="auto"/>
              <w:ind w:firstLine="1440" w:firstLineChars="600"/>
              <w:rPr>
                <w:rFonts w:hint="default" w:ascii="Times New Roman" w:hAnsi="Times New Roman" w:cs="Times New Roman"/>
                <w:sz w:val="24"/>
              </w:rPr>
            </w:pPr>
            <w:r>
              <w:rPr>
                <w:rFonts w:hint="default" w:ascii="Times New Roman" w:hAnsi="Times New Roman" w:cs="Times New Roman"/>
                <w:sz w:val="24"/>
              </w:rPr>
              <w:t>y——线源微元中点至预测点的横风向距离，m；</w:t>
            </w:r>
          </w:p>
          <w:p w14:paraId="582F3B56">
            <w:pPr>
              <w:spacing w:line="360" w:lineRule="auto"/>
              <w:ind w:firstLine="1440" w:firstLineChars="600"/>
              <w:rPr>
                <w:rFonts w:hint="default" w:ascii="Times New Roman" w:hAnsi="Times New Roman" w:cs="Times New Roman"/>
                <w:sz w:val="24"/>
              </w:rPr>
            </w:pPr>
            <w:r>
              <w:rPr>
                <w:rFonts w:hint="default" w:ascii="Times New Roman" w:hAnsi="Times New Roman" w:cs="Times New Roman"/>
                <w:sz w:val="24"/>
              </w:rPr>
              <w:t>z —— 预测点至地面高度，m；</w:t>
            </w:r>
          </w:p>
          <w:p w14:paraId="07630992">
            <w:pPr>
              <w:spacing w:line="360" w:lineRule="auto"/>
              <w:ind w:firstLine="1440" w:firstLineChars="600"/>
              <w:rPr>
                <w:rFonts w:hint="default" w:ascii="Times New Roman" w:hAnsi="Times New Roman" w:cs="Times New Roman"/>
                <w:sz w:val="24"/>
              </w:rPr>
            </w:pPr>
            <w:r>
              <w:rPr>
                <w:rFonts w:hint="default" w:ascii="Times New Roman" w:hAnsi="Times New Roman" w:cs="Times New Roman"/>
                <w:sz w:val="24"/>
              </w:rPr>
              <w:t>h —— 有效排放源高度，m；</w:t>
            </w:r>
          </w:p>
          <w:p w14:paraId="05A616D6">
            <w:pPr>
              <w:spacing w:line="360" w:lineRule="auto"/>
              <w:ind w:firstLine="1440" w:firstLineChars="600"/>
              <w:rPr>
                <w:rFonts w:hint="default" w:ascii="Times New Roman" w:hAnsi="Times New Roman" w:cs="Times New Roman"/>
                <w:sz w:val="24"/>
              </w:rPr>
            </w:pPr>
            <w:r>
              <w:rPr>
                <w:rFonts w:hint="default" w:ascii="Times New Roman" w:hAnsi="Times New Roman" w:cs="Times New Roman"/>
                <w:sz w:val="24"/>
              </w:rPr>
              <w:t>A、B —— 线源起点及终点。</w:t>
            </w:r>
          </w:p>
          <w:p w14:paraId="64AA35B4">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②当风向与线源垂直时扩散模式：</w:t>
            </w:r>
          </w:p>
          <w:p w14:paraId="495AC248">
            <w:pPr>
              <w:spacing w:line="360" w:lineRule="auto"/>
              <w:ind w:firstLine="2100" w:firstLineChars="750"/>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466975" cy="742950"/>
                  <wp:effectExtent l="0" t="0" r="9525" b="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noChangeArrowheads="1"/>
                          </pic:cNvPicPr>
                        </pic:nvPicPr>
                        <pic:blipFill>
                          <a:blip r:embed="rId44" cstate="print"/>
                          <a:srcRect/>
                          <a:stretch>
                            <a:fillRect/>
                          </a:stretch>
                        </pic:blipFill>
                        <pic:spPr>
                          <a:xfrm>
                            <a:off x="0" y="0"/>
                            <a:ext cx="2466975" cy="742950"/>
                          </a:xfrm>
                          <a:prstGeom prst="rect">
                            <a:avLst/>
                          </a:prstGeom>
                          <a:noFill/>
                          <a:ln w="9525">
                            <a:noFill/>
                            <a:miter lim="800000"/>
                            <a:headEnd/>
                            <a:tailEnd/>
                          </a:ln>
                        </pic:spPr>
                      </pic:pic>
                    </a:graphicData>
                  </a:graphic>
                </wp:inline>
              </w:drawing>
            </w:r>
          </w:p>
          <w:p w14:paraId="7F575998">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式中符号意义同前。</w:t>
            </w:r>
          </w:p>
          <w:p w14:paraId="7A594FA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③当风向与线源平行时扩散模式：</w:t>
            </w:r>
          </w:p>
          <w:p w14:paraId="3D29B70A">
            <w:pPr>
              <w:spacing w:line="360" w:lineRule="auto"/>
              <w:ind w:firstLine="1960" w:firstLineChars="700"/>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685925" cy="1438275"/>
                  <wp:effectExtent l="0" t="0" r="9525" b="952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noChangeArrowheads="1"/>
                          </pic:cNvPicPr>
                        </pic:nvPicPr>
                        <pic:blipFill>
                          <a:blip r:embed="rId45" cstate="print"/>
                          <a:srcRect/>
                          <a:stretch>
                            <a:fillRect/>
                          </a:stretch>
                        </pic:blipFill>
                        <pic:spPr>
                          <a:xfrm>
                            <a:off x="0" y="0"/>
                            <a:ext cx="1685925" cy="1438275"/>
                          </a:xfrm>
                          <a:prstGeom prst="rect">
                            <a:avLst/>
                          </a:prstGeom>
                          <a:noFill/>
                          <a:ln w="9525">
                            <a:noFill/>
                            <a:miter lim="800000"/>
                            <a:headEnd/>
                            <a:tailEnd/>
                          </a:ln>
                        </pic:spPr>
                      </pic:pic>
                    </a:graphicData>
                  </a:graphic>
                </wp:inline>
              </w:drawing>
            </w:r>
          </w:p>
          <w:p w14:paraId="21D38667">
            <w:pPr>
              <w:spacing w:line="360" w:lineRule="auto"/>
              <w:ind w:firstLine="2380" w:firstLineChars="850"/>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219200" cy="590550"/>
                  <wp:effectExtent l="0" t="0" r="0" b="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noChangeArrowheads="1"/>
                          </pic:cNvPicPr>
                        </pic:nvPicPr>
                        <pic:blipFill>
                          <a:blip r:embed="rId46" cstate="print"/>
                          <a:srcRect/>
                          <a:stretch>
                            <a:fillRect/>
                          </a:stretch>
                        </pic:blipFill>
                        <pic:spPr>
                          <a:xfrm>
                            <a:off x="0" y="0"/>
                            <a:ext cx="1219200" cy="590550"/>
                          </a:xfrm>
                          <a:prstGeom prst="rect">
                            <a:avLst/>
                          </a:prstGeom>
                          <a:noFill/>
                          <a:ln w="9525">
                            <a:noFill/>
                            <a:miter lim="800000"/>
                            <a:headEnd/>
                            <a:tailEnd/>
                          </a:ln>
                        </pic:spPr>
                      </pic:pic>
                    </a:graphicData>
                  </a:graphic>
                </wp:inline>
              </w:drawing>
            </w:r>
          </w:p>
          <w:p w14:paraId="1A36585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式中： r —微元至测点的等效距离，m；</w:t>
            </w:r>
          </w:p>
          <w:p w14:paraId="5C1B6A6D">
            <w:pPr>
              <w:spacing w:line="360" w:lineRule="auto"/>
              <w:ind w:firstLine="1320" w:firstLineChars="550"/>
              <w:rPr>
                <w:rFonts w:hint="default" w:ascii="Times New Roman" w:hAnsi="Times New Roman" w:cs="Times New Roman"/>
                <w:sz w:val="24"/>
              </w:rPr>
            </w:pPr>
            <w:r>
              <w:rPr>
                <w:rFonts w:hint="default" w:ascii="Times New Roman" w:hAnsi="Times New Roman" w:cs="Times New Roman"/>
                <w:sz w:val="24"/>
              </w:rPr>
              <w:t>e —扩散参数比。</w:t>
            </w:r>
          </w:p>
          <w:p w14:paraId="74961753">
            <w:pPr>
              <w:pStyle w:val="23"/>
              <w:spacing w:line="360" w:lineRule="auto"/>
              <w:ind w:firstLine="436" w:firstLineChars="182"/>
              <w:rPr>
                <w:rFonts w:hint="default" w:ascii="Times New Roman" w:hAnsi="Times New Roman" w:cs="Times New Roman" w:eastAsiaTheme="minorEastAsia"/>
                <w:sz w:val="24"/>
                <w:lang w:eastAsia="zh-CN"/>
              </w:rPr>
            </w:pPr>
            <w:r>
              <w:rPr>
                <w:rFonts w:hint="default" w:ascii="Times New Roman" w:hAnsi="Times New Roman" w:cs="Times New Roman"/>
                <w:sz w:val="24"/>
                <w:lang w:eastAsia="zh-CN"/>
              </w:rPr>
              <w:t>根据预测模式计算，</w:t>
            </w:r>
            <w:r>
              <w:rPr>
                <w:rFonts w:hint="default" w:ascii="Times New Roman" w:hAnsi="Times New Roman" w:cs="Times New Roman"/>
                <w:color w:val="auto"/>
                <w:sz w:val="24"/>
                <w:highlight w:val="none"/>
              </w:rPr>
              <w:t>距道路路肩200m范围内影响浓度预测结果见表7-</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、7-</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w:t>
            </w:r>
          </w:p>
          <w:p w14:paraId="09D1A130">
            <w:pPr>
              <w:spacing w:line="276" w:lineRule="auto"/>
              <w:jc w:val="center"/>
              <w:rPr>
                <w:rFonts w:hint="default" w:ascii="Times New Roman" w:hAnsi="Times New Roman" w:cs="Times New Roman"/>
                <w:b/>
                <w:bCs/>
                <w:color w:val="auto"/>
                <w:kern w:val="0"/>
                <w:sz w:val="24"/>
                <w:highlight w:val="none"/>
                <w:lang w:val="zh-CN"/>
              </w:rPr>
            </w:pPr>
            <w:r>
              <w:rPr>
                <w:rFonts w:hint="default" w:ascii="Times New Roman" w:hAnsi="Times New Roman" w:cs="Times New Roman"/>
                <w:b/>
                <w:bCs/>
                <w:color w:val="auto"/>
                <w:kern w:val="0"/>
                <w:sz w:val="24"/>
                <w:highlight w:val="none"/>
                <w:lang w:val="zh-CN"/>
              </w:rPr>
              <w:t>表</w:t>
            </w:r>
            <w:r>
              <w:rPr>
                <w:rFonts w:hint="default" w:ascii="Times New Roman" w:hAnsi="Times New Roman" w:cs="Times New Roman"/>
                <w:b/>
                <w:bCs/>
                <w:color w:val="auto"/>
                <w:kern w:val="0"/>
                <w:sz w:val="24"/>
                <w:highlight w:val="none"/>
                <w:lang w:val="en-US" w:eastAsia="zh-CN"/>
              </w:rPr>
              <w:t xml:space="preserve">7-5 </w:t>
            </w:r>
            <w:r>
              <w:rPr>
                <w:rFonts w:hint="default" w:ascii="Times New Roman" w:hAnsi="Times New Roman" w:cs="Times New Roman"/>
                <w:b/>
                <w:bCs/>
                <w:color w:val="auto"/>
                <w:kern w:val="0"/>
                <w:sz w:val="24"/>
                <w:highlight w:val="none"/>
                <w:lang w:val="zh-CN"/>
              </w:rPr>
              <w:t>机动车尾气污染物（</w:t>
            </w:r>
            <w:r>
              <w:rPr>
                <w:rFonts w:hint="default" w:ascii="Times New Roman" w:hAnsi="Times New Roman" w:cs="Times New Roman"/>
                <w:b/>
                <w:bCs/>
                <w:color w:val="auto"/>
                <w:kern w:val="0"/>
                <w:sz w:val="24"/>
                <w:highlight w:val="none"/>
              </w:rPr>
              <w:t>CO</w:t>
            </w:r>
            <w:r>
              <w:rPr>
                <w:rFonts w:hint="default" w:ascii="Times New Roman" w:hAnsi="Times New Roman" w:cs="Times New Roman"/>
                <w:b/>
                <w:bCs/>
                <w:color w:val="auto"/>
                <w:kern w:val="0"/>
                <w:sz w:val="24"/>
                <w:highlight w:val="none"/>
                <w:lang w:val="zh-CN"/>
              </w:rPr>
              <w:t>）影响浓度预测结果（mg/m</w:t>
            </w:r>
            <w:r>
              <w:rPr>
                <w:rFonts w:hint="default" w:ascii="Times New Roman" w:hAnsi="Times New Roman" w:cs="Times New Roman"/>
                <w:b/>
                <w:bCs/>
                <w:color w:val="auto"/>
                <w:kern w:val="0"/>
                <w:sz w:val="24"/>
                <w:highlight w:val="none"/>
                <w:vertAlign w:val="superscript"/>
                <w:lang w:val="zh-CN"/>
              </w:rPr>
              <w:t>3</w:t>
            </w:r>
            <w:r>
              <w:rPr>
                <w:rFonts w:hint="default" w:ascii="Times New Roman" w:hAnsi="Times New Roman" w:cs="Times New Roman"/>
                <w:b/>
                <w:bCs/>
                <w:color w:val="auto"/>
                <w:kern w:val="0"/>
                <w:sz w:val="24"/>
                <w:highlight w:val="none"/>
                <w:lang w:val="zh-CN"/>
              </w:rPr>
              <w:t>）</w:t>
            </w:r>
          </w:p>
          <w:tbl>
            <w:tblPr>
              <w:tblStyle w:val="16"/>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847"/>
              <w:gridCol w:w="850"/>
              <w:gridCol w:w="809"/>
              <w:gridCol w:w="809"/>
              <w:gridCol w:w="903"/>
              <w:gridCol w:w="802"/>
              <w:gridCol w:w="809"/>
              <w:gridCol w:w="847"/>
              <w:gridCol w:w="828"/>
            </w:tblGrid>
            <w:tr w14:paraId="2735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7" w:type="dxa"/>
                  <w:vMerge w:val="restart"/>
                  <w:vAlign w:val="center"/>
                </w:tcPr>
                <w:p w14:paraId="001347BE">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时段</w:t>
                  </w:r>
                </w:p>
              </w:tc>
              <w:tc>
                <w:tcPr>
                  <w:tcW w:w="357" w:type="dxa"/>
                  <w:vMerge w:val="restart"/>
                  <w:vAlign w:val="center"/>
                </w:tcPr>
                <w:p w14:paraId="36AF4372">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r>
                    <w:rPr>
                      <w:rFonts w:hint="default" w:ascii="Times New Roman" w:hAnsi="Times New Roman" w:eastAsia="宋体" w:cs="Times New Roman"/>
                      <w:b/>
                      <w:bCs/>
                      <w:color w:val="auto"/>
                      <w:kern w:val="0"/>
                      <w:sz w:val="21"/>
                      <w:szCs w:val="21"/>
                      <w:highlight w:val="none"/>
                      <w:vertAlign w:val="baseline"/>
                      <w:lang w:val="zh-CN"/>
                    </w:rPr>
                    <w:t>道路</w:t>
                  </w:r>
                </w:p>
              </w:tc>
              <w:tc>
                <w:tcPr>
                  <w:tcW w:w="7634" w:type="dxa"/>
                  <w:gridSpan w:val="9"/>
                  <w:vAlign w:val="center"/>
                </w:tcPr>
                <w:p w14:paraId="0ACCAEF7">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距道路路肩的距离</w:t>
                  </w:r>
                </w:p>
              </w:tc>
            </w:tr>
            <w:tr w14:paraId="600C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7" w:type="dxa"/>
                  <w:vMerge w:val="continue"/>
                  <w:vAlign w:val="center"/>
                </w:tcPr>
                <w:p w14:paraId="1424C3EC">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p>
              </w:tc>
              <w:tc>
                <w:tcPr>
                  <w:tcW w:w="357" w:type="dxa"/>
                  <w:vMerge w:val="continue"/>
                  <w:vAlign w:val="center"/>
                </w:tcPr>
                <w:p w14:paraId="49A5CCA0">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p>
              </w:tc>
              <w:tc>
                <w:tcPr>
                  <w:tcW w:w="867" w:type="dxa"/>
                  <w:vAlign w:val="center"/>
                </w:tcPr>
                <w:p w14:paraId="132418C4">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10m</w:t>
                  </w:r>
                </w:p>
              </w:tc>
              <w:tc>
                <w:tcPr>
                  <w:tcW w:w="870" w:type="dxa"/>
                  <w:vAlign w:val="center"/>
                </w:tcPr>
                <w:p w14:paraId="5698A659">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20m</w:t>
                  </w:r>
                </w:p>
              </w:tc>
              <w:tc>
                <w:tcPr>
                  <w:tcW w:w="814" w:type="dxa"/>
                  <w:vAlign w:val="center"/>
                </w:tcPr>
                <w:p w14:paraId="12F85FFD">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30m</w:t>
                  </w:r>
                </w:p>
              </w:tc>
              <w:tc>
                <w:tcPr>
                  <w:tcW w:w="814" w:type="dxa"/>
                  <w:vAlign w:val="center"/>
                </w:tcPr>
                <w:p w14:paraId="7D25F863">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40m</w:t>
                  </w:r>
                </w:p>
              </w:tc>
              <w:tc>
                <w:tcPr>
                  <w:tcW w:w="943" w:type="dxa"/>
                  <w:vAlign w:val="center"/>
                </w:tcPr>
                <w:p w14:paraId="3381FE70">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60m</w:t>
                  </w:r>
                </w:p>
              </w:tc>
              <w:tc>
                <w:tcPr>
                  <w:tcW w:w="805" w:type="dxa"/>
                  <w:vAlign w:val="center"/>
                </w:tcPr>
                <w:p w14:paraId="4C0283BD">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80m</w:t>
                  </w:r>
                </w:p>
              </w:tc>
              <w:tc>
                <w:tcPr>
                  <w:tcW w:w="814" w:type="dxa"/>
                  <w:vAlign w:val="center"/>
                </w:tcPr>
                <w:p w14:paraId="3513F2EC">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100m</w:t>
                  </w:r>
                </w:p>
              </w:tc>
              <w:tc>
                <w:tcPr>
                  <w:tcW w:w="866" w:type="dxa"/>
                  <w:vAlign w:val="center"/>
                </w:tcPr>
                <w:p w14:paraId="5AF21172">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150m</w:t>
                  </w:r>
                </w:p>
              </w:tc>
              <w:tc>
                <w:tcPr>
                  <w:tcW w:w="841" w:type="dxa"/>
                  <w:vAlign w:val="center"/>
                </w:tcPr>
                <w:p w14:paraId="7E230225">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200m</w:t>
                  </w:r>
                </w:p>
              </w:tc>
            </w:tr>
            <w:tr w14:paraId="1D23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67" w:type="dxa"/>
                  <w:vMerge w:val="restart"/>
                  <w:vAlign w:val="center"/>
                </w:tcPr>
                <w:p w14:paraId="4D9B6547">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高峰</w:t>
                  </w:r>
                </w:p>
              </w:tc>
              <w:tc>
                <w:tcPr>
                  <w:tcW w:w="357" w:type="dxa"/>
                  <w:vAlign w:val="center"/>
                </w:tcPr>
                <w:p w14:paraId="62EDC06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w:t>
                  </w:r>
                </w:p>
              </w:tc>
              <w:tc>
                <w:tcPr>
                  <w:tcW w:w="867" w:type="dxa"/>
                  <w:vAlign w:val="center"/>
                </w:tcPr>
                <w:p w14:paraId="243AB6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0.3856</w:t>
                  </w:r>
                </w:p>
              </w:tc>
              <w:tc>
                <w:tcPr>
                  <w:tcW w:w="870" w:type="dxa"/>
                  <w:vAlign w:val="center"/>
                </w:tcPr>
                <w:p w14:paraId="171E0F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0.3559</w:t>
                  </w:r>
                </w:p>
              </w:tc>
              <w:tc>
                <w:tcPr>
                  <w:tcW w:w="814" w:type="dxa"/>
                  <w:vAlign w:val="center"/>
                </w:tcPr>
                <w:p w14:paraId="6E7225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0.3348</w:t>
                  </w:r>
                </w:p>
              </w:tc>
              <w:tc>
                <w:tcPr>
                  <w:tcW w:w="814" w:type="dxa"/>
                  <w:vAlign w:val="center"/>
                </w:tcPr>
                <w:p w14:paraId="66794C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0.3197</w:t>
                  </w:r>
                </w:p>
              </w:tc>
              <w:tc>
                <w:tcPr>
                  <w:tcW w:w="943" w:type="dxa"/>
                  <w:vAlign w:val="center"/>
                </w:tcPr>
                <w:p w14:paraId="1139BB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0.3015</w:t>
                  </w:r>
                </w:p>
              </w:tc>
              <w:tc>
                <w:tcPr>
                  <w:tcW w:w="805" w:type="dxa"/>
                  <w:vAlign w:val="center"/>
                </w:tcPr>
                <w:p w14:paraId="722F3C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0.2985</w:t>
                  </w:r>
                </w:p>
              </w:tc>
              <w:tc>
                <w:tcPr>
                  <w:tcW w:w="814" w:type="dxa"/>
                  <w:vAlign w:val="center"/>
                </w:tcPr>
                <w:p w14:paraId="31E2BA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0.2966</w:t>
                  </w:r>
                </w:p>
              </w:tc>
              <w:tc>
                <w:tcPr>
                  <w:tcW w:w="866" w:type="dxa"/>
                  <w:vAlign w:val="center"/>
                </w:tcPr>
                <w:p w14:paraId="3A9647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0.2742</w:t>
                  </w:r>
                </w:p>
              </w:tc>
              <w:tc>
                <w:tcPr>
                  <w:tcW w:w="841" w:type="dxa"/>
                  <w:vAlign w:val="center"/>
                </w:tcPr>
                <w:p w14:paraId="0E9A2F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0.2442</w:t>
                  </w:r>
                </w:p>
              </w:tc>
            </w:tr>
            <w:tr w14:paraId="78F8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67" w:type="dxa"/>
                  <w:vMerge w:val="continue"/>
                  <w:vAlign w:val="center"/>
                </w:tcPr>
                <w:p w14:paraId="5ED7F910">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23F9500E">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w:t>
                  </w:r>
                </w:p>
              </w:tc>
              <w:tc>
                <w:tcPr>
                  <w:tcW w:w="867" w:type="dxa"/>
                  <w:vAlign w:val="center"/>
                </w:tcPr>
                <w:p w14:paraId="57FDDA0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37</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1</w:t>
                  </w:r>
                </w:p>
              </w:tc>
              <w:tc>
                <w:tcPr>
                  <w:tcW w:w="870" w:type="dxa"/>
                  <w:vAlign w:val="center"/>
                </w:tcPr>
                <w:p w14:paraId="69F868D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34</w:t>
                  </w:r>
                  <w:r>
                    <w:rPr>
                      <w:rFonts w:hint="default" w:ascii="Times New Roman" w:hAnsi="Times New Roman" w:eastAsia="宋体" w:cs="Times New Roman"/>
                      <w:i w:val="0"/>
                      <w:color w:val="auto"/>
                      <w:kern w:val="0"/>
                      <w:sz w:val="21"/>
                      <w:szCs w:val="21"/>
                      <w:highlight w:val="none"/>
                      <w:u w:val="none"/>
                      <w:lang w:val="en-US" w:eastAsia="zh-CN" w:bidi="ar"/>
                    </w:rPr>
                    <w:t>8</w:t>
                  </w:r>
                  <w:r>
                    <w:rPr>
                      <w:rFonts w:hint="default" w:ascii="Times New Roman" w:hAnsi="Times New Roman" w:cs="Times New Roman"/>
                      <w:i w:val="0"/>
                      <w:color w:val="auto"/>
                      <w:kern w:val="0"/>
                      <w:sz w:val="21"/>
                      <w:szCs w:val="21"/>
                      <w:highlight w:val="none"/>
                      <w:u w:val="none"/>
                      <w:lang w:val="en-US" w:eastAsia="zh-CN" w:bidi="ar"/>
                    </w:rPr>
                    <w:t>4</w:t>
                  </w:r>
                </w:p>
              </w:tc>
              <w:tc>
                <w:tcPr>
                  <w:tcW w:w="814" w:type="dxa"/>
                  <w:vAlign w:val="center"/>
                </w:tcPr>
                <w:p w14:paraId="4689219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32</w:t>
                  </w:r>
                  <w:r>
                    <w:rPr>
                      <w:rFonts w:hint="default" w:ascii="Times New Roman" w:hAnsi="Times New Roman" w:eastAsia="宋体" w:cs="Times New Roman"/>
                      <w:i w:val="0"/>
                      <w:color w:val="auto"/>
                      <w:kern w:val="0"/>
                      <w:sz w:val="21"/>
                      <w:szCs w:val="21"/>
                      <w:highlight w:val="none"/>
                      <w:u w:val="none"/>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3</w:t>
                  </w:r>
                </w:p>
              </w:tc>
              <w:tc>
                <w:tcPr>
                  <w:tcW w:w="814" w:type="dxa"/>
                  <w:vAlign w:val="center"/>
                </w:tcPr>
                <w:p w14:paraId="466D412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3189</w:t>
                  </w:r>
                </w:p>
              </w:tc>
              <w:tc>
                <w:tcPr>
                  <w:tcW w:w="943" w:type="dxa"/>
                  <w:vAlign w:val="center"/>
                </w:tcPr>
                <w:p w14:paraId="6350BD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2998</w:t>
                  </w:r>
                </w:p>
              </w:tc>
              <w:tc>
                <w:tcPr>
                  <w:tcW w:w="805" w:type="dxa"/>
                  <w:vAlign w:val="center"/>
                </w:tcPr>
                <w:p w14:paraId="4F1E344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2893</w:t>
                  </w:r>
                </w:p>
              </w:tc>
              <w:tc>
                <w:tcPr>
                  <w:tcW w:w="814" w:type="dxa"/>
                  <w:vAlign w:val="center"/>
                </w:tcPr>
                <w:p w14:paraId="4F70EFF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2768</w:t>
                  </w:r>
                </w:p>
              </w:tc>
              <w:tc>
                <w:tcPr>
                  <w:tcW w:w="866" w:type="dxa"/>
                  <w:vAlign w:val="center"/>
                </w:tcPr>
                <w:p w14:paraId="778AD19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.2699</w:t>
                  </w:r>
                </w:p>
              </w:tc>
              <w:tc>
                <w:tcPr>
                  <w:tcW w:w="841" w:type="dxa"/>
                  <w:vAlign w:val="center"/>
                </w:tcPr>
                <w:p w14:paraId="24718AA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2379</w:t>
                  </w:r>
                </w:p>
              </w:tc>
            </w:tr>
            <w:tr w14:paraId="2C5A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67" w:type="dxa"/>
                  <w:vMerge w:val="continue"/>
                  <w:vAlign w:val="center"/>
                </w:tcPr>
                <w:p w14:paraId="7001533F">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7ABBF248">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w:t>
                  </w:r>
                </w:p>
              </w:tc>
              <w:tc>
                <w:tcPr>
                  <w:tcW w:w="867" w:type="dxa"/>
                  <w:vAlign w:val="center"/>
                </w:tcPr>
                <w:p w14:paraId="68B139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0.3856</w:t>
                  </w:r>
                </w:p>
              </w:tc>
              <w:tc>
                <w:tcPr>
                  <w:tcW w:w="870" w:type="dxa"/>
                  <w:vAlign w:val="center"/>
                </w:tcPr>
                <w:p w14:paraId="551DE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0.3559</w:t>
                  </w:r>
                </w:p>
              </w:tc>
              <w:tc>
                <w:tcPr>
                  <w:tcW w:w="814" w:type="dxa"/>
                  <w:vAlign w:val="center"/>
                </w:tcPr>
                <w:p w14:paraId="1E6564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0.3348</w:t>
                  </w:r>
                </w:p>
              </w:tc>
              <w:tc>
                <w:tcPr>
                  <w:tcW w:w="814" w:type="dxa"/>
                  <w:vAlign w:val="center"/>
                </w:tcPr>
                <w:p w14:paraId="209B3A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0.3197</w:t>
                  </w:r>
                </w:p>
              </w:tc>
              <w:tc>
                <w:tcPr>
                  <w:tcW w:w="943" w:type="dxa"/>
                  <w:vAlign w:val="center"/>
                </w:tcPr>
                <w:p w14:paraId="3B32A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0.3015</w:t>
                  </w:r>
                </w:p>
              </w:tc>
              <w:tc>
                <w:tcPr>
                  <w:tcW w:w="805" w:type="dxa"/>
                  <w:vAlign w:val="center"/>
                </w:tcPr>
                <w:p w14:paraId="5322B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0.2985</w:t>
                  </w:r>
                </w:p>
              </w:tc>
              <w:tc>
                <w:tcPr>
                  <w:tcW w:w="814" w:type="dxa"/>
                  <w:vAlign w:val="center"/>
                </w:tcPr>
                <w:p w14:paraId="20D11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0.2966</w:t>
                  </w:r>
                </w:p>
              </w:tc>
              <w:tc>
                <w:tcPr>
                  <w:tcW w:w="866" w:type="dxa"/>
                  <w:vAlign w:val="center"/>
                </w:tcPr>
                <w:p w14:paraId="35462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0.2742</w:t>
                  </w:r>
                </w:p>
              </w:tc>
              <w:tc>
                <w:tcPr>
                  <w:tcW w:w="841" w:type="dxa"/>
                  <w:vAlign w:val="center"/>
                </w:tcPr>
                <w:p w14:paraId="14349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0.2442</w:t>
                  </w:r>
                </w:p>
              </w:tc>
            </w:tr>
            <w:tr w14:paraId="4BE6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67" w:type="dxa"/>
                  <w:vMerge w:val="continue"/>
                  <w:vAlign w:val="center"/>
                </w:tcPr>
                <w:p w14:paraId="3B998BC8">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777BC9CB">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w:t>
                  </w:r>
                </w:p>
              </w:tc>
              <w:tc>
                <w:tcPr>
                  <w:tcW w:w="867" w:type="dxa"/>
                  <w:vAlign w:val="center"/>
                </w:tcPr>
                <w:p w14:paraId="4B67B1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0.4914</w:t>
                  </w:r>
                </w:p>
              </w:tc>
              <w:tc>
                <w:tcPr>
                  <w:tcW w:w="870" w:type="dxa"/>
                  <w:vAlign w:val="center"/>
                </w:tcPr>
                <w:p w14:paraId="6B9706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0.4535</w:t>
                  </w:r>
                </w:p>
              </w:tc>
              <w:tc>
                <w:tcPr>
                  <w:tcW w:w="814" w:type="dxa"/>
                  <w:vAlign w:val="center"/>
                </w:tcPr>
                <w:p w14:paraId="2FAD32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0.4266</w:t>
                  </w:r>
                </w:p>
              </w:tc>
              <w:tc>
                <w:tcPr>
                  <w:tcW w:w="814" w:type="dxa"/>
                  <w:vAlign w:val="center"/>
                </w:tcPr>
                <w:p w14:paraId="171027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0.4074</w:t>
                  </w:r>
                </w:p>
              </w:tc>
              <w:tc>
                <w:tcPr>
                  <w:tcW w:w="943" w:type="dxa"/>
                  <w:vAlign w:val="center"/>
                </w:tcPr>
                <w:p w14:paraId="032A7E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0.3842</w:t>
                  </w:r>
                </w:p>
              </w:tc>
              <w:tc>
                <w:tcPr>
                  <w:tcW w:w="805" w:type="dxa"/>
                  <w:vAlign w:val="center"/>
                </w:tcPr>
                <w:p w14:paraId="75C688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0.3804</w:t>
                  </w:r>
                </w:p>
              </w:tc>
              <w:tc>
                <w:tcPr>
                  <w:tcW w:w="814" w:type="dxa"/>
                  <w:vAlign w:val="center"/>
                </w:tcPr>
                <w:p w14:paraId="6B0603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0.3780</w:t>
                  </w:r>
                </w:p>
              </w:tc>
              <w:tc>
                <w:tcPr>
                  <w:tcW w:w="866" w:type="dxa"/>
                  <w:vAlign w:val="center"/>
                </w:tcPr>
                <w:p w14:paraId="72EABE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0.3495</w:t>
                  </w:r>
                </w:p>
              </w:tc>
              <w:tc>
                <w:tcPr>
                  <w:tcW w:w="841" w:type="dxa"/>
                  <w:vAlign w:val="center"/>
                </w:tcPr>
                <w:p w14:paraId="24391B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0.3312</w:t>
                  </w:r>
                </w:p>
              </w:tc>
            </w:tr>
            <w:tr w14:paraId="5BEB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67" w:type="dxa"/>
                  <w:vMerge w:val="continue"/>
                  <w:vAlign w:val="center"/>
                </w:tcPr>
                <w:p w14:paraId="19DA3383">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074476DA">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5</w:t>
                  </w:r>
                </w:p>
              </w:tc>
              <w:tc>
                <w:tcPr>
                  <w:tcW w:w="867" w:type="dxa"/>
                  <w:vAlign w:val="center"/>
                </w:tcPr>
                <w:p w14:paraId="43CD83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0.4877</w:t>
                  </w:r>
                </w:p>
              </w:tc>
              <w:tc>
                <w:tcPr>
                  <w:tcW w:w="870" w:type="dxa"/>
                  <w:vAlign w:val="center"/>
                </w:tcPr>
                <w:p w14:paraId="0CD29C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0.4469</w:t>
                  </w:r>
                </w:p>
              </w:tc>
              <w:tc>
                <w:tcPr>
                  <w:tcW w:w="814" w:type="dxa"/>
                  <w:vAlign w:val="center"/>
                </w:tcPr>
                <w:p w14:paraId="5405AD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0.4186</w:t>
                  </w:r>
                </w:p>
              </w:tc>
              <w:tc>
                <w:tcPr>
                  <w:tcW w:w="814" w:type="dxa"/>
                  <w:vAlign w:val="center"/>
                </w:tcPr>
                <w:p w14:paraId="323024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0.3989</w:t>
                  </w:r>
                </w:p>
              </w:tc>
              <w:tc>
                <w:tcPr>
                  <w:tcW w:w="943" w:type="dxa"/>
                  <w:vAlign w:val="center"/>
                </w:tcPr>
                <w:p w14:paraId="36C291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0.3801</w:t>
                  </w:r>
                </w:p>
              </w:tc>
              <w:tc>
                <w:tcPr>
                  <w:tcW w:w="805" w:type="dxa"/>
                  <w:vAlign w:val="center"/>
                </w:tcPr>
                <w:p w14:paraId="344FE7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0.3789</w:t>
                  </w:r>
                </w:p>
              </w:tc>
              <w:tc>
                <w:tcPr>
                  <w:tcW w:w="814" w:type="dxa"/>
                  <w:vAlign w:val="center"/>
                </w:tcPr>
                <w:p w14:paraId="41BF25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0.3775</w:t>
                  </w:r>
                </w:p>
              </w:tc>
              <w:tc>
                <w:tcPr>
                  <w:tcW w:w="866" w:type="dxa"/>
                  <w:vAlign w:val="center"/>
                </w:tcPr>
                <w:p w14:paraId="3EB8EE4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0.3423</w:t>
                  </w:r>
                </w:p>
              </w:tc>
              <w:tc>
                <w:tcPr>
                  <w:tcW w:w="841" w:type="dxa"/>
                  <w:vAlign w:val="center"/>
                </w:tcPr>
                <w:p w14:paraId="0644E78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0.3301</w:t>
                  </w:r>
                </w:p>
              </w:tc>
            </w:tr>
            <w:tr w14:paraId="6A78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67" w:type="dxa"/>
                  <w:vMerge w:val="continue"/>
                  <w:vAlign w:val="center"/>
                </w:tcPr>
                <w:p w14:paraId="2727CB4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47921C72">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w:t>
                  </w:r>
                </w:p>
              </w:tc>
              <w:tc>
                <w:tcPr>
                  <w:tcW w:w="867" w:type="dxa"/>
                  <w:vAlign w:val="center"/>
                </w:tcPr>
                <w:p w14:paraId="2E5FEC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3689</w:t>
                  </w:r>
                </w:p>
              </w:tc>
              <w:tc>
                <w:tcPr>
                  <w:tcW w:w="870" w:type="dxa"/>
                  <w:vAlign w:val="center"/>
                </w:tcPr>
                <w:p w14:paraId="0A703CB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3467</w:t>
                  </w:r>
                </w:p>
              </w:tc>
              <w:tc>
                <w:tcPr>
                  <w:tcW w:w="814" w:type="dxa"/>
                  <w:vAlign w:val="center"/>
                </w:tcPr>
                <w:p w14:paraId="6CCF7CB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3213</w:t>
                  </w:r>
                </w:p>
              </w:tc>
              <w:tc>
                <w:tcPr>
                  <w:tcW w:w="814" w:type="dxa"/>
                  <w:vAlign w:val="center"/>
                </w:tcPr>
                <w:p w14:paraId="02D64D3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3164</w:t>
                  </w:r>
                </w:p>
              </w:tc>
              <w:tc>
                <w:tcPr>
                  <w:tcW w:w="943" w:type="dxa"/>
                  <w:vAlign w:val="center"/>
                </w:tcPr>
                <w:p w14:paraId="70E227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2869</w:t>
                  </w:r>
                </w:p>
              </w:tc>
              <w:tc>
                <w:tcPr>
                  <w:tcW w:w="805" w:type="dxa"/>
                  <w:vAlign w:val="center"/>
                </w:tcPr>
                <w:p w14:paraId="128BA0B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2799</w:t>
                  </w:r>
                </w:p>
              </w:tc>
              <w:tc>
                <w:tcPr>
                  <w:tcW w:w="814" w:type="dxa"/>
                  <w:vAlign w:val="center"/>
                </w:tcPr>
                <w:p w14:paraId="4630D20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2702</w:t>
                  </w:r>
                </w:p>
              </w:tc>
              <w:tc>
                <w:tcPr>
                  <w:tcW w:w="866" w:type="dxa"/>
                  <w:vAlign w:val="center"/>
                </w:tcPr>
                <w:p w14:paraId="0179B5F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.2631</w:t>
                  </w:r>
                </w:p>
              </w:tc>
              <w:tc>
                <w:tcPr>
                  <w:tcW w:w="841" w:type="dxa"/>
                  <w:vAlign w:val="center"/>
                </w:tcPr>
                <w:p w14:paraId="3B8F1D8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.2297</w:t>
                  </w:r>
                </w:p>
              </w:tc>
            </w:tr>
            <w:tr w14:paraId="5AF0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67" w:type="dxa"/>
                  <w:vMerge w:val="continue"/>
                  <w:vAlign w:val="center"/>
                </w:tcPr>
                <w:p w14:paraId="41352E2C">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583B60DB">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7</w:t>
                  </w:r>
                </w:p>
              </w:tc>
              <w:tc>
                <w:tcPr>
                  <w:tcW w:w="867" w:type="dxa"/>
                  <w:vAlign w:val="center"/>
                </w:tcPr>
                <w:p w14:paraId="5541FB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0.4755</w:t>
                  </w:r>
                </w:p>
              </w:tc>
              <w:tc>
                <w:tcPr>
                  <w:tcW w:w="870" w:type="dxa"/>
                  <w:vAlign w:val="center"/>
                </w:tcPr>
                <w:p w14:paraId="4B4E6C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0.4356</w:t>
                  </w:r>
                </w:p>
              </w:tc>
              <w:tc>
                <w:tcPr>
                  <w:tcW w:w="814" w:type="dxa"/>
                  <w:vAlign w:val="center"/>
                </w:tcPr>
                <w:p w14:paraId="11FA74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0.4058</w:t>
                  </w:r>
                </w:p>
              </w:tc>
              <w:tc>
                <w:tcPr>
                  <w:tcW w:w="814" w:type="dxa"/>
                  <w:vAlign w:val="center"/>
                </w:tcPr>
                <w:p w14:paraId="78A1DB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0.3978</w:t>
                  </w:r>
                </w:p>
              </w:tc>
              <w:tc>
                <w:tcPr>
                  <w:tcW w:w="943" w:type="dxa"/>
                  <w:vAlign w:val="center"/>
                </w:tcPr>
                <w:p w14:paraId="516910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0.3789</w:t>
                  </w:r>
                </w:p>
              </w:tc>
              <w:tc>
                <w:tcPr>
                  <w:tcW w:w="805" w:type="dxa"/>
                  <w:vAlign w:val="center"/>
                </w:tcPr>
                <w:p w14:paraId="27E419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0.3703</w:t>
                  </w:r>
                </w:p>
              </w:tc>
              <w:tc>
                <w:tcPr>
                  <w:tcW w:w="814" w:type="dxa"/>
                  <w:vAlign w:val="center"/>
                </w:tcPr>
                <w:p w14:paraId="395D7E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0.3684</w:t>
                  </w:r>
                </w:p>
              </w:tc>
              <w:tc>
                <w:tcPr>
                  <w:tcW w:w="866" w:type="dxa"/>
                  <w:vAlign w:val="center"/>
                </w:tcPr>
                <w:p w14:paraId="01EA04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0.3421</w:t>
                  </w:r>
                </w:p>
              </w:tc>
              <w:tc>
                <w:tcPr>
                  <w:tcW w:w="841" w:type="dxa"/>
                  <w:vAlign w:val="center"/>
                </w:tcPr>
                <w:p w14:paraId="10AFCB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0.3265</w:t>
                  </w:r>
                </w:p>
              </w:tc>
            </w:tr>
            <w:tr w14:paraId="0D51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67" w:type="dxa"/>
                  <w:vMerge w:val="restart"/>
                  <w:vAlign w:val="center"/>
                </w:tcPr>
                <w:p w14:paraId="09EB078E">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日均</w:t>
                  </w:r>
                </w:p>
              </w:tc>
              <w:tc>
                <w:tcPr>
                  <w:tcW w:w="357" w:type="dxa"/>
                  <w:vAlign w:val="center"/>
                </w:tcPr>
                <w:p w14:paraId="666B4E75">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w:t>
                  </w:r>
                </w:p>
              </w:tc>
              <w:tc>
                <w:tcPr>
                  <w:tcW w:w="867" w:type="dxa"/>
                  <w:vAlign w:val="center"/>
                </w:tcPr>
                <w:p w14:paraId="5EAFC6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0.1208</w:t>
                  </w:r>
                </w:p>
              </w:tc>
              <w:tc>
                <w:tcPr>
                  <w:tcW w:w="870" w:type="dxa"/>
                  <w:vAlign w:val="center"/>
                </w:tcPr>
                <w:p w14:paraId="3BA3A5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0.1114</w:t>
                  </w:r>
                </w:p>
              </w:tc>
              <w:tc>
                <w:tcPr>
                  <w:tcW w:w="814" w:type="dxa"/>
                  <w:vAlign w:val="center"/>
                </w:tcPr>
                <w:p w14:paraId="4F1F11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0.1044</w:t>
                  </w:r>
                </w:p>
              </w:tc>
              <w:tc>
                <w:tcPr>
                  <w:tcW w:w="814" w:type="dxa"/>
                  <w:vAlign w:val="center"/>
                </w:tcPr>
                <w:p w14:paraId="1E4A0B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0.0991</w:t>
                  </w:r>
                </w:p>
              </w:tc>
              <w:tc>
                <w:tcPr>
                  <w:tcW w:w="943" w:type="dxa"/>
                  <w:vAlign w:val="center"/>
                </w:tcPr>
                <w:p w14:paraId="437672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0.0951</w:t>
                  </w:r>
                </w:p>
              </w:tc>
              <w:tc>
                <w:tcPr>
                  <w:tcW w:w="805" w:type="dxa"/>
                  <w:vAlign w:val="center"/>
                </w:tcPr>
                <w:p w14:paraId="639E6D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0.0908</w:t>
                  </w:r>
                </w:p>
              </w:tc>
              <w:tc>
                <w:tcPr>
                  <w:tcW w:w="814" w:type="dxa"/>
                  <w:vAlign w:val="center"/>
                </w:tcPr>
                <w:p w14:paraId="15CD0F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0.0855</w:t>
                  </w:r>
                </w:p>
              </w:tc>
              <w:tc>
                <w:tcPr>
                  <w:tcW w:w="866" w:type="dxa"/>
                  <w:vAlign w:val="center"/>
                </w:tcPr>
                <w:p w14:paraId="2A6612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0.0739</w:t>
                  </w:r>
                </w:p>
              </w:tc>
              <w:tc>
                <w:tcPr>
                  <w:tcW w:w="841" w:type="dxa"/>
                  <w:vAlign w:val="center"/>
                </w:tcPr>
                <w:p w14:paraId="08AD94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0.0649</w:t>
                  </w:r>
                </w:p>
              </w:tc>
            </w:tr>
            <w:tr w14:paraId="6CE2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67" w:type="dxa"/>
                  <w:vMerge w:val="continue"/>
                  <w:vAlign w:val="center"/>
                </w:tcPr>
                <w:p w14:paraId="25C48874">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3DE3C9F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w:t>
                  </w:r>
                </w:p>
              </w:tc>
              <w:tc>
                <w:tcPr>
                  <w:tcW w:w="867" w:type="dxa"/>
                  <w:vAlign w:val="center"/>
                </w:tcPr>
                <w:p w14:paraId="7EAFF3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0.1097</w:t>
                  </w:r>
                </w:p>
              </w:tc>
              <w:tc>
                <w:tcPr>
                  <w:tcW w:w="870" w:type="dxa"/>
                  <w:vAlign w:val="center"/>
                </w:tcPr>
                <w:p w14:paraId="2EF29B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0.1011</w:t>
                  </w:r>
                </w:p>
              </w:tc>
              <w:tc>
                <w:tcPr>
                  <w:tcW w:w="814" w:type="dxa"/>
                  <w:vAlign w:val="center"/>
                </w:tcPr>
                <w:p w14:paraId="7947EB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0.0944</w:t>
                  </w:r>
                </w:p>
              </w:tc>
              <w:tc>
                <w:tcPr>
                  <w:tcW w:w="814" w:type="dxa"/>
                  <w:vAlign w:val="center"/>
                </w:tcPr>
                <w:p w14:paraId="76AED5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0.0898</w:t>
                  </w:r>
                </w:p>
              </w:tc>
              <w:tc>
                <w:tcPr>
                  <w:tcW w:w="943" w:type="dxa"/>
                  <w:vAlign w:val="center"/>
                </w:tcPr>
                <w:p w14:paraId="5E93F3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0.0868</w:t>
                  </w:r>
                </w:p>
              </w:tc>
              <w:tc>
                <w:tcPr>
                  <w:tcW w:w="805" w:type="dxa"/>
                  <w:vAlign w:val="center"/>
                </w:tcPr>
                <w:p w14:paraId="00ACB4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0.0820</w:t>
                  </w:r>
                </w:p>
              </w:tc>
              <w:tc>
                <w:tcPr>
                  <w:tcW w:w="814" w:type="dxa"/>
                  <w:vAlign w:val="center"/>
                </w:tcPr>
                <w:p w14:paraId="6E939D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0.0765</w:t>
                  </w:r>
                </w:p>
              </w:tc>
              <w:tc>
                <w:tcPr>
                  <w:tcW w:w="866" w:type="dxa"/>
                  <w:vAlign w:val="center"/>
                </w:tcPr>
                <w:p w14:paraId="703CD1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0.0651</w:t>
                  </w:r>
                </w:p>
              </w:tc>
              <w:tc>
                <w:tcPr>
                  <w:tcW w:w="841" w:type="dxa"/>
                  <w:vAlign w:val="center"/>
                </w:tcPr>
                <w:p w14:paraId="75B79F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0.0569</w:t>
                  </w:r>
                </w:p>
              </w:tc>
            </w:tr>
            <w:tr w14:paraId="4BEF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67" w:type="dxa"/>
                  <w:vMerge w:val="continue"/>
                  <w:vAlign w:val="center"/>
                </w:tcPr>
                <w:p w14:paraId="3EA2FE0E">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65363097">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w:t>
                  </w:r>
                </w:p>
              </w:tc>
              <w:tc>
                <w:tcPr>
                  <w:tcW w:w="867" w:type="dxa"/>
                  <w:vAlign w:val="center"/>
                </w:tcPr>
                <w:p w14:paraId="3347F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0.1208</w:t>
                  </w:r>
                </w:p>
              </w:tc>
              <w:tc>
                <w:tcPr>
                  <w:tcW w:w="870" w:type="dxa"/>
                  <w:vAlign w:val="center"/>
                </w:tcPr>
                <w:p w14:paraId="4BDC4E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0.1114</w:t>
                  </w:r>
                </w:p>
              </w:tc>
              <w:tc>
                <w:tcPr>
                  <w:tcW w:w="814" w:type="dxa"/>
                  <w:vAlign w:val="center"/>
                </w:tcPr>
                <w:p w14:paraId="616A3D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0.1044</w:t>
                  </w:r>
                </w:p>
              </w:tc>
              <w:tc>
                <w:tcPr>
                  <w:tcW w:w="814" w:type="dxa"/>
                  <w:vAlign w:val="center"/>
                </w:tcPr>
                <w:p w14:paraId="48155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0.0991</w:t>
                  </w:r>
                </w:p>
              </w:tc>
              <w:tc>
                <w:tcPr>
                  <w:tcW w:w="943" w:type="dxa"/>
                  <w:vAlign w:val="center"/>
                </w:tcPr>
                <w:p w14:paraId="5C8A6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0.0951</w:t>
                  </w:r>
                </w:p>
              </w:tc>
              <w:tc>
                <w:tcPr>
                  <w:tcW w:w="805" w:type="dxa"/>
                  <w:vAlign w:val="center"/>
                </w:tcPr>
                <w:p w14:paraId="1F424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0.0908</w:t>
                  </w:r>
                </w:p>
              </w:tc>
              <w:tc>
                <w:tcPr>
                  <w:tcW w:w="814" w:type="dxa"/>
                  <w:vAlign w:val="center"/>
                </w:tcPr>
                <w:p w14:paraId="6545E0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0.0855</w:t>
                  </w:r>
                </w:p>
              </w:tc>
              <w:tc>
                <w:tcPr>
                  <w:tcW w:w="866" w:type="dxa"/>
                  <w:vAlign w:val="center"/>
                </w:tcPr>
                <w:p w14:paraId="51627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0.0739</w:t>
                  </w:r>
                </w:p>
              </w:tc>
              <w:tc>
                <w:tcPr>
                  <w:tcW w:w="841" w:type="dxa"/>
                  <w:vAlign w:val="center"/>
                </w:tcPr>
                <w:p w14:paraId="11049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0.0649</w:t>
                  </w:r>
                </w:p>
              </w:tc>
            </w:tr>
            <w:tr w14:paraId="606B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67" w:type="dxa"/>
                  <w:vMerge w:val="continue"/>
                  <w:vAlign w:val="center"/>
                </w:tcPr>
                <w:p w14:paraId="78637E56">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43902A08">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w:t>
                  </w:r>
                </w:p>
              </w:tc>
              <w:tc>
                <w:tcPr>
                  <w:tcW w:w="867" w:type="dxa"/>
                  <w:vAlign w:val="center"/>
                </w:tcPr>
                <w:p w14:paraId="554ACE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0.1968</w:t>
                  </w:r>
                </w:p>
              </w:tc>
              <w:tc>
                <w:tcPr>
                  <w:tcW w:w="870" w:type="dxa"/>
                  <w:vAlign w:val="center"/>
                </w:tcPr>
                <w:p w14:paraId="23463C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0.1894</w:t>
                  </w:r>
                </w:p>
              </w:tc>
              <w:tc>
                <w:tcPr>
                  <w:tcW w:w="814" w:type="dxa"/>
                  <w:vAlign w:val="center"/>
                </w:tcPr>
                <w:p w14:paraId="366400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0.1734</w:t>
                  </w:r>
                </w:p>
              </w:tc>
              <w:tc>
                <w:tcPr>
                  <w:tcW w:w="814" w:type="dxa"/>
                  <w:vAlign w:val="center"/>
                </w:tcPr>
                <w:p w14:paraId="5D91D2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0.1682</w:t>
                  </w:r>
                </w:p>
              </w:tc>
              <w:tc>
                <w:tcPr>
                  <w:tcW w:w="943" w:type="dxa"/>
                  <w:vAlign w:val="center"/>
                </w:tcPr>
                <w:p w14:paraId="024BB2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0.1565</w:t>
                  </w:r>
                </w:p>
              </w:tc>
              <w:tc>
                <w:tcPr>
                  <w:tcW w:w="805" w:type="dxa"/>
                  <w:vAlign w:val="center"/>
                </w:tcPr>
                <w:p w14:paraId="25AB2C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0.1497</w:t>
                  </w:r>
                </w:p>
              </w:tc>
              <w:tc>
                <w:tcPr>
                  <w:tcW w:w="814" w:type="dxa"/>
                  <w:vAlign w:val="center"/>
                </w:tcPr>
                <w:p w14:paraId="30BB89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0.1421</w:t>
                  </w:r>
                </w:p>
              </w:tc>
              <w:tc>
                <w:tcPr>
                  <w:tcW w:w="866" w:type="dxa"/>
                  <w:vAlign w:val="center"/>
                </w:tcPr>
                <w:p w14:paraId="4E87E0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0.1359</w:t>
                  </w:r>
                </w:p>
              </w:tc>
              <w:tc>
                <w:tcPr>
                  <w:tcW w:w="841" w:type="dxa"/>
                  <w:vAlign w:val="center"/>
                </w:tcPr>
                <w:p w14:paraId="25E35C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0.1264</w:t>
                  </w:r>
                </w:p>
              </w:tc>
            </w:tr>
            <w:tr w14:paraId="3DF0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67" w:type="dxa"/>
                  <w:vMerge w:val="continue"/>
                  <w:vAlign w:val="center"/>
                </w:tcPr>
                <w:p w14:paraId="6C3BAE7F">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7187E849">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en-US" w:eastAsia="zh-CN"/>
                    </w:rPr>
                    <w:t>5</w:t>
                  </w:r>
                </w:p>
              </w:tc>
              <w:tc>
                <w:tcPr>
                  <w:tcW w:w="867" w:type="dxa"/>
                  <w:vAlign w:val="center"/>
                </w:tcPr>
                <w:p w14:paraId="58B121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.1897</w:t>
                  </w:r>
                </w:p>
              </w:tc>
              <w:tc>
                <w:tcPr>
                  <w:tcW w:w="870" w:type="dxa"/>
                  <w:vAlign w:val="center"/>
                </w:tcPr>
                <w:p w14:paraId="71D136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0.1793</w:t>
                  </w:r>
                </w:p>
              </w:tc>
              <w:tc>
                <w:tcPr>
                  <w:tcW w:w="814" w:type="dxa"/>
                  <w:vAlign w:val="center"/>
                </w:tcPr>
                <w:p w14:paraId="41D626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r>
                    <w:rPr>
                      <w:rFonts w:hint="default" w:ascii="Times New Roman" w:hAnsi="Times New Roman" w:cs="Times New Roman"/>
                      <w:b w:val="0"/>
                      <w:bCs w:val="0"/>
                      <w:i w:val="0"/>
                      <w:color w:val="auto"/>
                      <w:kern w:val="0"/>
                      <w:sz w:val="21"/>
                      <w:szCs w:val="21"/>
                      <w:highlight w:val="none"/>
                      <w:u w:val="none"/>
                      <w:lang w:val="en-US" w:eastAsia="zh-CN" w:bidi="ar"/>
                    </w:rPr>
                    <w:t>1722</w:t>
                  </w:r>
                </w:p>
              </w:tc>
              <w:tc>
                <w:tcPr>
                  <w:tcW w:w="814" w:type="dxa"/>
                  <w:vAlign w:val="center"/>
                </w:tcPr>
                <w:p w14:paraId="17519B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r>
                    <w:rPr>
                      <w:rFonts w:hint="default" w:ascii="Times New Roman" w:hAnsi="Times New Roman" w:cs="Times New Roman"/>
                      <w:b w:val="0"/>
                      <w:bCs w:val="0"/>
                      <w:i w:val="0"/>
                      <w:color w:val="auto"/>
                      <w:kern w:val="0"/>
                      <w:sz w:val="21"/>
                      <w:szCs w:val="21"/>
                      <w:highlight w:val="none"/>
                      <w:u w:val="none"/>
                      <w:lang w:val="en-US" w:eastAsia="zh-CN" w:bidi="ar"/>
                    </w:rPr>
                    <w:t>1661</w:t>
                  </w:r>
                </w:p>
              </w:tc>
              <w:tc>
                <w:tcPr>
                  <w:tcW w:w="943" w:type="dxa"/>
                  <w:vAlign w:val="center"/>
                </w:tcPr>
                <w:p w14:paraId="2AB627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r>
                    <w:rPr>
                      <w:rFonts w:hint="default" w:ascii="Times New Roman" w:hAnsi="Times New Roman" w:cs="Times New Roman"/>
                      <w:b w:val="0"/>
                      <w:bCs w:val="0"/>
                      <w:i w:val="0"/>
                      <w:color w:val="auto"/>
                      <w:kern w:val="0"/>
                      <w:sz w:val="21"/>
                      <w:szCs w:val="21"/>
                      <w:highlight w:val="none"/>
                      <w:u w:val="none"/>
                      <w:lang w:val="en-US" w:eastAsia="zh-CN" w:bidi="ar"/>
                    </w:rPr>
                    <w:t>.1541</w:t>
                  </w:r>
                </w:p>
              </w:tc>
              <w:tc>
                <w:tcPr>
                  <w:tcW w:w="805" w:type="dxa"/>
                  <w:vAlign w:val="center"/>
                </w:tcPr>
                <w:p w14:paraId="2D5EB5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r>
                    <w:rPr>
                      <w:rFonts w:hint="default" w:ascii="Times New Roman" w:hAnsi="Times New Roman" w:cs="Times New Roman"/>
                      <w:b w:val="0"/>
                      <w:bCs w:val="0"/>
                      <w:i w:val="0"/>
                      <w:color w:val="auto"/>
                      <w:kern w:val="0"/>
                      <w:sz w:val="21"/>
                      <w:szCs w:val="21"/>
                      <w:highlight w:val="none"/>
                      <w:u w:val="none"/>
                      <w:lang w:val="en-US" w:eastAsia="zh-CN" w:bidi="ar"/>
                    </w:rPr>
                    <w:t>1429</w:t>
                  </w:r>
                </w:p>
              </w:tc>
              <w:tc>
                <w:tcPr>
                  <w:tcW w:w="814" w:type="dxa"/>
                  <w:vAlign w:val="center"/>
                </w:tcPr>
                <w:p w14:paraId="27EE8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r>
                    <w:rPr>
                      <w:rFonts w:hint="default" w:ascii="Times New Roman" w:hAnsi="Times New Roman" w:cs="Times New Roman"/>
                      <w:b w:val="0"/>
                      <w:bCs w:val="0"/>
                      <w:i w:val="0"/>
                      <w:color w:val="auto"/>
                      <w:kern w:val="0"/>
                      <w:sz w:val="21"/>
                      <w:szCs w:val="21"/>
                      <w:highlight w:val="none"/>
                      <w:u w:val="none"/>
                      <w:lang w:val="en-US" w:eastAsia="zh-CN" w:bidi="ar"/>
                    </w:rPr>
                    <w:t>1392</w:t>
                  </w:r>
                </w:p>
              </w:tc>
              <w:tc>
                <w:tcPr>
                  <w:tcW w:w="866" w:type="dxa"/>
                  <w:vAlign w:val="center"/>
                </w:tcPr>
                <w:p w14:paraId="4C81BD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r>
                    <w:rPr>
                      <w:rFonts w:hint="default" w:ascii="Times New Roman" w:hAnsi="Times New Roman" w:cs="Times New Roman"/>
                      <w:b w:val="0"/>
                      <w:bCs w:val="0"/>
                      <w:i w:val="0"/>
                      <w:color w:val="auto"/>
                      <w:kern w:val="0"/>
                      <w:sz w:val="21"/>
                      <w:szCs w:val="21"/>
                      <w:highlight w:val="none"/>
                      <w:u w:val="none"/>
                      <w:lang w:val="en-US" w:eastAsia="zh-CN" w:bidi="ar"/>
                    </w:rPr>
                    <w:t>.1283</w:t>
                  </w:r>
                </w:p>
              </w:tc>
              <w:tc>
                <w:tcPr>
                  <w:tcW w:w="841" w:type="dxa"/>
                  <w:vAlign w:val="center"/>
                </w:tcPr>
                <w:p w14:paraId="1D415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r>
                    <w:rPr>
                      <w:rFonts w:hint="default" w:ascii="Times New Roman" w:hAnsi="Times New Roman" w:cs="Times New Roman"/>
                      <w:b w:val="0"/>
                      <w:bCs w:val="0"/>
                      <w:i w:val="0"/>
                      <w:color w:val="auto"/>
                      <w:kern w:val="0"/>
                      <w:sz w:val="21"/>
                      <w:szCs w:val="21"/>
                      <w:highlight w:val="none"/>
                      <w:u w:val="none"/>
                      <w:lang w:val="en-US" w:eastAsia="zh-CN" w:bidi="ar"/>
                    </w:rPr>
                    <w:t>1231</w:t>
                  </w:r>
                </w:p>
              </w:tc>
            </w:tr>
            <w:tr w14:paraId="7B43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67" w:type="dxa"/>
                  <w:vMerge w:val="continue"/>
                  <w:vAlign w:val="center"/>
                </w:tcPr>
                <w:p w14:paraId="5C359233">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43DEB3C9">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w:t>
                  </w:r>
                </w:p>
              </w:tc>
              <w:tc>
                <w:tcPr>
                  <w:tcW w:w="867" w:type="dxa"/>
                  <w:vAlign w:val="center"/>
                </w:tcPr>
                <w:p w14:paraId="22780A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0.0980</w:t>
                  </w:r>
                </w:p>
              </w:tc>
              <w:tc>
                <w:tcPr>
                  <w:tcW w:w="870" w:type="dxa"/>
                  <w:vAlign w:val="center"/>
                </w:tcPr>
                <w:p w14:paraId="671D68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0.0904</w:t>
                  </w:r>
                </w:p>
              </w:tc>
              <w:tc>
                <w:tcPr>
                  <w:tcW w:w="814" w:type="dxa"/>
                  <w:vAlign w:val="center"/>
                </w:tcPr>
                <w:p w14:paraId="2D6673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0.0847</w:t>
                  </w:r>
                </w:p>
              </w:tc>
              <w:tc>
                <w:tcPr>
                  <w:tcW w:w="814" w:type="dxa"/>
                  <w:vAlign w:val="center"/>
                </w:tcPr>
                <w:p w14:paraId="28B039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0.0804</w:t>
                  </w:r>
                </w:p>
              </w:tc>
              <w:tc>
                <w:tcPr>
                  <w:tcW w:w="943" w:type="dxa"/>
                  <w:vAlign w:val="center"/>
                </w:tcPr>
                <w:p w14:paraId="2BDFCD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0.0772</w:t>
                  </w:r>
                </w:p>
              </w:tc>
              <w:tc>
                <w:tcPr>
                  <w:tcW w:w="805" w:type="dxa"/>
                  <w:vAlign w:val="center"/>
                </w:tcPr>
                <w:p w14:paraId="398674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0.0737</w:t>
                  </w:r>
                </w:p>
              </w:tc>
              <w:tc>
                <w:tcPr>
                  <w:tcW w:w="814" w:type="dxa"/>
                  <w:vAlign w:val="center"/>
                </w:tcPr>
                <w:p w14:paraId="0EC671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0.0694</w:t>
                  </w:r>
                </w:p>
              </w:tc>
              <w:tc>
                <w:tcPr>
                  <w:tcW w:w="866" w:type="dxa"/>
                  <w:vAlign w:val="center"/>
                </w:tcPr>
                <w:p w14:paraId="3B3700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0.0600</w:t>
                  </w:r>
                </w:p>
              </w:tc>
              <w:tc>
                <w:tcPr>
                  <w:tcW w:w="841" w:type="dxa"/>
                  <w:vAlign w:val="center"/>
                </w:tcPr>
                <w:p w14:paraId="1CC49B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0.0527</w:t>
                  </w:r>
                </w:p>
              </w:tc>
            </w:tr>
            <w:tr w14:paraId="54C0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dxa"/>
                  <w:vMerge w:val="continue"/>
                  <w:vAlign w:val="center"/>
                </w:tcPr>
                <w:p w14:paraId="38E73F0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7A2FA014">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en-US" w:eastAsia="zh-CN"/>
                    </w:rPr>
                    <w:t>7</w:t>
                  </w:r>
                </w:p>
              </w:tc>
              <w:tc>
                <w:tcPr>
                  <w:tcW w:w="867" w:type="dxa"/>
                  <w:vAlign w:val="center"/>
                </w:tcPr>
                <w:p w14:paraId="479F11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1841</w:t>
                  </w:r>
                </w:p>
              </w:tc>
              <w:tc>
                <w:tcPr>
                  <w:tcW w:w="870" w:type="dxa"/>
                  <w:vAlign w:val="center"/>
                </w:tcPr>
                <w:p w14:paraId="57F185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1723</w:t>
                  </w:r>
                </w:p>
              </w:tc>
              <w:tc>
                <w:tcPr>
                  <w:tcW w:w="814" w:type="dxa"/>
                  <w:vAlign w:val="center"/>
                </w:tcPr>
                <w:p w14:paraId="07A696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1685</w:t>
                  </w:r>
                </w:p>
              </w:tc>
              <w:tc>
                <w:tcPr>
                  <w:tcW w:w="814" w:type="dxa"/>
                  <w:vAlign w:val="center"/>
                </w:tcPr>
                <w:p w14:paraId="264E5C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1634</w:t>
                  </w:r>
                </w:p>
              </w:tc>
              <w:tc>
                <w:tcPr>
                  <w:tcW w:w="943" w:type="dxa"/>
                  <w:vAlign w:val="center"/>
                </w:tcPr>
                <w:p w14:paraId="7C37D2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1511</w:t>
                  </w:r>
                </w:p>
              </w:tc>
              <w:tc>
                <w:tcPr>
                  <w:tcW w:w="805" w:type="dxa"/>
                  <w:vAlign w:val="center"/>
                </w:tcPr>
                <w:p w14:paraId="5707A0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1384</w:t>
                  </w:r>
                </w:p>
              </w:tc>
              <w:tc>
                <w:tcPr>
                  <w:tcW w:w="814" w:type="dxa"/>
                  <w:vAlign w:val="center"/>
                </w:tcPr>
                <w:p w14:paraId="319BC9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1326</w:t>
                  </w:r>
                </w:p>
              </w:tc>
              <w:tc>
                <w:tcPr>
                  <w:tcW w:w="866" w:type="dxa"/>
                  <w:vAlign w:val="center"/>
                </w:tcPr>
                <w:p w14:paraId="75423D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1209</w:t>
                  </w:r>
                </w:p>
              </w:tc>
              <w:tc>
                <w:tcPr>
                  <w:tcW w:w="841" w:type="dxa"/>
                  <w:vAlign w:val="center"/>
                </w:tcPr>
                <w:p w14:paraId="353961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1188</w:t>
                  </w:r>
                </w:p>
              </w:tc>
            </w:tr>
          </w:tbl>
          <w:p w14:paraId="203011E6">
            <w:pPr>
              <w:keepNext w:val="0"/>
              <w:keepLines w:val="0"/>
              <w:pageBreakBefore w:val="0"/>
              <w:widowControl w:val="0"/>
              <w:kinsoku/>
              <w:wordWrap/>
              <w:overflowPunct/>
              <w:topLinePunct w:val="0"/>
              <w:autoSpaceDE/>
              <w:autoSpaceDN/>
              <w:bidi w:val="0"/>
              <w:adjustRightInd/>
              <w:snapToGrid/>
              <w:spacing w:before="157" w:beforeLines="50" w:line="276" w:lineRule="auto"/>
              <w:ind w:left="0" w:leftChars="0" w:right="0" w:rightChars="0" w:firstLine="0" w:firstLineChars="0"/>
              <w:jc w:val="center"/>
              <w:textAlignment w:val="auto"/>
              <w:outlineLvl w:val="9"/>
              <w:rPr>
                <w:rFonts w:hint="default" w:ascii="Times New Roman" w:hAnsi="Times New Roman" w:cs="Times New Roman"/>
                <w:b/>
                <w:bCs/>
                <w:color w:val="auto"/>
                <w:kern w:val="0"/>
                <w:sz w:val="24"/>
                <w:highlight w:val="none"/>
                <w:lang w:val="zh-CN"/>
              </w:rPr>
            </w:pPr>
            <w:r>
              <w:rPr>
                <w:rFonts w:hint="default" w:ascii="Times New Roman" w:hAnsi="Times New Roman" w:cs="Times New Roman"/>
                <w:b/>
                <w:bCs/>
                <w:color w:val="auto"/>
                <w:kern w:val="0"/>
                <w:sz w:val="24"/>
                <w:highlight w:val="none"/>
                <w:lang w:val="zh-CN"/>
              </w:rPr>
              <w:t>表7-</w:t>
            </w:r>
            <w:r>
              <w:rPr>
                <w:rFonts w:hint="default" w:ascii="Times New Roman" w:hAnsi="Times New Roman" w:cs="Times New Roman"/>
                <w:b/>
                <w:bCs/>
                <w:color w:val="auto"/>
                <w:kern w:val="0"/>
                <w:sz w:val="24"/>
                <w:highlight w:val="none"/>
                <w:lang w:val="en-US" w:eastAsia="zh-CN"/>
              </w:rPr>
              <w:t>6</w:t>
            </w:r>
            <w:r>
              <w:rPr>
                <w:rFonts w:hint="default" w:ascii="Times New Roman" w:hAnsi="Times New Roman" w:cs="Times New Roman"/>
                <w:b/>
                <w:bCs/>
                <w:color w:val="auto"/>
                <w:kern w:val="0"/>
                <w:sz w:val="24"/>
                <w:highlight w:val="none"/>
                <w:lang w:val="zh-CN"/>
              </w:rPr>
              <w:t xml:space="preserve">  机动车尾气污染物（</w:t>
            </w:r>
            <w:r>
              <w:rPr>
                <w:rFonts w:hint="default" w:ascii="Times New Roman" w:hAnsi="Times New Roman" w:cs="Times New Roman"/>
                <w:b/>
                <w:bCs/>
                <w:color w:val="auto"/>
                <w:kern w:val="0"/>
                <w:sz w:val="24"/>
                <w:highlight w:val="none"/>
              </w:rPr>
              <w:t>NO</w:t>
            </w:r>
            <w:r>
              <w:rPr>
                <w:rFonts w:hint="default" w:ascii="Times New Roman" w:hAnsi="Times New Roman" w:cs="Times New Roman"/>
                <w:b/>
                <w:bCs/>
                <w:color w:val="auto"/>
                <w:kern w:val="0"/>
                <w:sz w:val="24"/>
                <w:highlight w:val="none"/>
                <w:vertAlign w:val="subscript"/>
              </w:rPr>
              <w:t>2</w:t>
            </w:r>
            <w:r>
              <w:rPr>
                <w:rFonts w:hint="default" w:ascii="Times New Roman" w:hAnsi="Times New Roman" w:cs="Times New Roman"/>
                <w:b/>
                <w:bCs/>
                <w:color w:val="auto"/>
                <w:kern w:val="0"/>
                <w:sz w:val="24"/>
                <w:highlight w:val="none"/>
                <w:lang w:val="zh-CN"/>
              </w:rPr>
              <w:t>）影响浓度预测结果（mg/m</w:t>
            </w:r>
            <w:r>
              <w:rPr>
                <w:rFonts w:hint="default" w:ascii="Times New Roman" w:hAnsi="Times New Roman" w:cs="Times New Roman"/>
                <w:b/>
                <w:bCs/>
                <w:color w:val="auto"/>
                <w:kern w:val="0"/>
                <w:sz w:val="24"/>
                <w:highlight w:val="none"/>
                <w:vertAlign w:val="superscript"/>
                <w:lang w:val="zh-CN"/>
              </w:rPr>
              <w:t>3</w:t>
            </w:r>
            <w:r>
              <w:rPr>
                <w:rFonts w:hint="default" w:ascii="Times New Roman" w:hAnsi="Times New Roman" w:cs="Times New Roman"/>
                <w:b/>
                <w:bCs/>
                <w:color w:val="auto"/>
                <w:kern w:val="0"/>
                <w:sz w:val="24"/>
                <w:highlight w:val="none"/>
                <w:lang w:val="zh-CN"/>
              </w:rPr>
              <w:t>）</w:t>
            </w:r>
          </w:p>
          <w:tbl>
            <w:tblPr>
              <w:tblStyle w:val="16"/>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847"/>
              <w:gridCol w:w="850"/>
              <w:gridCol w:w="809"/>
              <w:gridCol w:w="809"/>
              <w:gridCol w:w="903"/>
              <w:gridCol w:w="802"/>
              <w:gridCol w:w="809"/>
              <w:gridCol w:w="847"/>
              <w:gridCol w:w="828"/>
            </w:tblGrid>
            <w:tr w14:paraId="1691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7" w:type="dxa"/>
                  <w:vMerge w:val="restart"/>
                  <w:vAlign w:val="center"/>
                </w:tcPr>
                <w:p w14:paraId="18AE25E5">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时段</w:t>
                  </w:r>
                </w:p>
              </w:tc>
              <w:tc>
                <w:tcPr>
                  <w:tcW w:w="357" w:type="dxa"/>
                  <w:vMerge w:val="restart"/>
                  <w:vAlign w:val="center"/>
                </w:tcPr>
                <w:p w14:paraId="6BAA10FE">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r>
                    <w:rPr>
                      <w:rFonts w:hint="default" w:ascii="Times New Roman" w:hAnsi="Times New Roman" w:eastAsia="宋体" w:cs="Times New Roman"/>
                      <w:b/>
                      <w:bCs/>
                      <w:color w:val="auto"/>
                      <w:kern w:val="0"/>
                      <w:sz w:val="21"/>
                      <w:szCs w:val="21"/>
                      <w:highlight w:val="none"/>
                      <w:vertAlign w:val="baseline"/>
                      <w:lang w:val="zh-CN"/>
                    </w:rPr>
                    <w:t>道路</w:t>
                  </w:r>
                </w:p>
              </w:tc>
              <w:tc>
                <w:tcPr>
                  <w:tcW w:w="7634" w:type="dxa"/>
                  <w:gridSpan w:val="9"/>
                  <w:vAlign w:val="center"/>
                </w:tcPr>
                <w:p w14:paraId="7BE5A123">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距道路路肩的距离</w:t>
                  </w:r>
                </w:p>
              </w:tc>
            </w:tr>
            <w:tr w14:paraId="5D28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7" w:type="dxa"/>
                  <w:vMerge w:val="continue"/>
                  <w:vAlign w:val="center"/>
                </w:tcPr>
                <w:p w14:paraId="30EBD2DE">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p>
              </w:tc>
              <w:tc>
                <w:tcPr>
                  <w:tcW w:w="357" w:type="dxa"/>
                  <w:vMerge w:val="continue"/>
                  <w:vAlign w:val="center"/>
                </w:tcPr>
                <w:p w14:paraId="76C91560">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vertAlign w:val="baseline"/>
                      <w:lang w:val="zh-CN"/>
                    </w:rPr>
                  </w:pPr>
                </w:p>
              </w:tc>
              <w:tc>
                <w:tcPr>
                  <w:tcW w:w="867" w:type="dxa"/>
                  <w:vAlign w:val="center"/>
                </w:tcPr>
                <w:p w14:paraId="0CECE89B">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10m</w:t>
                  </w:r>
                </w:p>
              </w:tc>
              <w:tc>
                <w:tcPr>
                  <w:tcW w:w="870" w:type="dxa"/>
                  <w:vAlign w:val="center"/>
                </w:tcPr>
                <w:p w14:paraId="3C82AC04">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20m</w:t>
                  </w:r>
                </w:p>
              </w:tc>
              <w:tc>
                <w:tcPr>
                  <w:tcW w:w="814" w:type="dxa"/>
                  <w:vAlign w:val="center"/>
                </w:tcPr>
                <w:p w14:paraId="2DB67FE5">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30m</w:t>
                  </w:r>
                </w:p>
              </w:tc>
              <w:tc>
                <w:tcPr>
                  <w:tcW w:w="814" w:type="dxa"/>
                  <w:vAlign w:val="center"/>
                </w:tcPr>
                <w:p w14:paraId="6FF5FC73">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40m</w:t>
                  </w:r>
                </w:p>
              </w:tc>
              <w:tc>
                <w:tcPr>
                  <w:tcW w:w="943" w:type="dxa"/>
                  <w:vAlign w:val="center"/>
                </w:tcPr>
                <w:p w14:paraId="475578E9">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60m</w:t>
                  </w:r>
                </w:p>
              </w:tc>
              <w:tc>
                <w:tcPr>
                  <w:tcW w:w="805" w:type="dxa"/>
                  <w:vAlign w:val="center"/>
                </w:tcPr>
                <w:p w14:paraId="0655B8EF">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80m</w:t>
                  </w:r>
                </w:p>
              </w:tc>
              <w:tc>
                <w:tcPr>
                  <w:tcW w:w="814" w:type="dxa"/>
                  <w:vAlign w:val="center"/>
                </w:tcPr>
                <w:p w14:paraId="2A13646A">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100m</w:t>
                  </w:r>
                </w:p>
              </w:tc>
              <w:tc>
                <w:tcPr>
                  <w:tcW w:w="866" w:type="dxa"/>
                  <w:vAlign w:val="center"/>
                </w:tcPr>
                <w:p w14:paraId="002C8A89">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150m</w:t>
                  </w:r>
                </w:p>
              </w:tc>
              <w:tc>
                <w:tcPr>
                  <w:tcW w:w="841" w:type="dxa"/>
                  <w:vAlign w:val="center"/>
                </w:tcPr>
                <w:p w14:paraId="69EC22CE">
                  <w:pPr>
                    <w:pStyle w:val="23"/>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kern w:val="0"/>
                      <w:sz w:val="21"/>
                      <w:szCs w:val="21"/>
                      <w:highlight w:val="none"/>
                      <w:vertAlign w:val="baseline"/>
                      <w:lang w:val="zh-CN"/>
                    </w:rPr>
                  </w:pPr>
                  <w:r>
                    <w:rPr>
                      <w:rFonts w:hint="default" w:ascii="Times New Roman" w:hAnsi="Times New Roman" w:eastAsia="宋体" w:cs="Times New Roman"/>
                      <w:b/>
                      <w:bCs w:val="0"/>
                      <w:color w:val="auto"/>
                      <w:sz w:val="21"/>
                      <w:szCs w:val="21"/>
                      <w:highlight w:val="none"/>
                    </w:rPr>
                    <w:t>200m</w:t>
                  </w:r>
                </w:p>
              </w:tc>
            </w:tr>
            <w:tr w14:paraId="2D49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67" w:type="dxa"/>
                  <w:vMerge w:val="restart"/>
                  <w:vAlign w:val="center"/>
                </w:tcPr>
                <w:p w14:paraId="4FA6892F">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高峰</w:t>
                  </w:r>
                </w:p>
              </w:tc>
              <w:tc>
                <w:tcPr>
                  <w:tcW w:w="357" w:type="dxa"/>
                  <w:vAlign w:val="center"/>
                </w:tcPr>
                <w:p w14:paraId="268BDBC7">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w:t>
                  </w:r>
                </w:p>
              </w:tc>
              <w:tc>
                <w:tcPr>
                  <w:tcW w:w="867" w:type="dxa"/>
                  <w:vAlign w:val="center"/>
                </w:tcPr>
                <w:p w14:paraId="3508B249">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1</w:t>
                  </w:r>
                </w:p>
              </w:tc>
              <w:tc>
                <w:tcPr>
                  <w:tcW w:w="870" w:type="dxa"/>
                  <w:vAlign w:val="center"/>
                </w:tcPr>
                <w:p w14:paraId="5B8932BF">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215</w:t>
                  </w:r>
                </w:p>
              </w:tc>
              <w:tc>
                <w:tcPr>
                  <w:tcW w:w="814" w:type="dxa"/>
                  <w:vAlign w:val="center"/>
                </w:tcPr>
                <w:p w14:paraId="33361847">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204</w:t>
                  </w:r>
                </w:p>
              </w:tc>
              <w:tc>
                <w:tcPr>
                  <w:tcW w:w="814" w:type="dxa"/>
                  <w:vAlign w:val="center"/>
                </w:tcPr>
                <w:p w14:paraId="5A40CD92">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0186</w:t>
                  </w:r>
                </w:p>
              </w:tc>
              <w:tc>
                <w:tcPr>
                  <w:tcW w:w="943" w:type="dxa"/>
                  <w:vAlign w:val="center"/>
                </w:tcPr>
                <w:p w14:paraId="644F6F9E">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0168</w:t>
                  </w:r>
                </w:p>
              </w:tc>
              <w:tc>
                <w:tcPr>
                  <w:tcW w:w="805" w:type="dxa"/>
                  <w:vAlign w:val="center"/>
                </w:tcPr>
                <w:p w14:paraId="4D6FDF3E">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159</w:t>
                  </w:r>
                </w:p>
              </w:tc>
              <w:tc>
                <w:tcPr>
                  <w:tcW w:w="814" w:type="dxa"/>
                  <w:vAlign w:val="center"/>
                </w:tcPr>
                <w:p w14:paraId="08570236">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151</w:t>
                  </w:r>
                </w:p>
              </w:tc>
              <w:tc>
                <w:tcPr>
                  <w:tcW w:w="866" w:type="dxa"/>
                  <w:vAlign w:val="center"/>
                </w:tcPr>
                <w:p w14:paraId="5C8803E7">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148</w:t>
                  </w:r>
                </w:p>
              </w:tc>
              <w:tc>
                <w:tcPr>
                  <w:tcW w:w="841" w:type="dxa"/>
                  <w:vAlign w:val="center"/>
                </w:tcPr>
                <w:p w14:paraId="73C7AD7A">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139</w:t>
                  </w:r>
                </w:p>
              </w:tc>
            </w:tr>
            <w:tr w14:paraId="0BF7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67" w:type="dxa"/>
                  <w:vMerge w:val="continue"/>
                  <w:vAlign w:val="center"/>
                </w:tcPr>
                <w:p w14:paraId="1D1FB9DF">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24CFF879">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w:t>
                  </w:r>
                </w:p>
              </w:tc>
              <w:tc>
                <w:tcPr>
                  <w:tcW w:w="867" w:type="dxa"/>
                  <w:vAlign w:val="center"/>
                </w:tcPr>
                <w:p w14:paraId="430511E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0.0169</w:t>
                  </w:r>
                </w:p>
              </w:tc>
              <w:tc>
                <w:tcPr>
                  <w:tcW w:w="870" w:type="dxa"/>
                  <w:vAlign w:val="center"/>
                </w:tcPr>
                <w:p w14:paraId="1444892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0.0159</w:t>
                  </w:r>
                </w:p>
              </w:tc>
              <w:tc>
                <w:tcPr>
                  <w:tcW w:w="814" w:type="dxa"/>
                  <w:vAlign w:val="center"/>
                </w:tcPr>
                <w:p w14:paraId="4C169D0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0139</w:t>
                  </w:r>
                </w:p>
              </w:tc>
              <w:tc>
                <w:tcPr>
                  <w:tcW w:w="814" w:type="dxa"/>
                  <w:vAlign w:val="center"/>
                </w:tcPr>
                <w:p w14:paraId="021768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0.0133</w:t>
                  </w:r>
                </w:p>
              </w:tc>
              <w:tc>
                <w:tcPr>
                  <w:tcW w:w="943" w:type="dxa"/>
                  <w:vAlign w:val="center"/>
                </w:tcPr>
                <w:p w14:paraId="2D9354C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0128</w:t>
                  </w:r>
                </w:p>
              </w:tc>
              <w:tc>
                <w:tcPr>
                  <w:tcW w:w="805" w:type="dxa"/>
                  <w:vAlign w:val="center"/>
                </w:tcPr>
                <w:p w14:paraId="5E57EA3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0121</w:t>
                  </w:r>
                </w:p>
              </w:tc>
              <w:tc>
                <w:tcPr>
                  <w:tcW w:w="814" w:type="dxa"/>
                  <w:vAlign w:val="center"/>
                </w:tcPr>
                <w:p w14:paraId="7CECAFF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0113</w:t>
                  </w:r>
                </w:p>
              </w:tc>
              <w:tc>
                <w:tcPr>
                  <w:tcW w:w="866" w:type="dxa"/>
                  <w:vAlign w:val="center"/>
                </w:tcPr>
                <w:p w14:paraId="29DD2A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0096</w:t>
                  </w:r>
                </w:p>
              </w:tc>
              <w:tc>
                <w:tcPr>
                  <w:tcW w:w="841" w:type="dxa"/>
                  <w:vAlign w:val="center"/>
                </w:tcPr>
                <w:p w14:paraId="39344D3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0086</w:t>
                  </w:r>
                </w:p>
              </w:tc>
            </w:tr>
            <w:tr w14:paraId="28E5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67" w:type="dxa"/>
                  <w:vMerge w:val="continue"/>
                  <w:vAlign w:val="center"/>
                </w:tcPr>
                <w:p w14:paraId="65DD3DA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6F8B836B">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w:t>
                  </w:r>
                </w:p>
              </w:tc>
              <w:tc>
                <w:tcPr>
                  <w:tcW w:w="867" w:type="dxa"/>
                  <w:vAlign w:val="center"/>
                </w:tcPr>
                <w:p w14:paraId="19784870">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1</w:t>
                  </w:r>
                </w:p>
              </w:tc>
              <w:tc>
                <w:tcPr>
                  <w:tcW w:w="870" w:type="dxa"/>
                  <w:vAlign w:val="center"/>
                </w:tcPr>
                <w:p w14:paraId="354009C6">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215</w:t>
                  </w:r>
                </w:p>
              </w:tc>
              <w:tc>
                <w:tcPr>
                  <w:tcW w:w="814" w:type="dxa"/>
                  <w:vAlign w:val="center"/>
                </w:tcPr>
                <w:p w14:paraId="70C51F32">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204</w:t>
                  </w:r>
                </w:p>
              </w:tc>
              <w:tc>
                <w:tcPr>
                  <w:tcW w:w="814" w:type="dxa"/>
                  <w:vAlign w:val="center"/>
                </w:tcPr>
                <w:p w14:paraId="52BA9C0A">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0186</w:t>
                  </w:r>
                </w:p>
              </w:tc>
              <w:tc>
                <w:tcPr>
                  <w:tcW w:w="943" w:type="dxa"/>
                  <w:vAlign w:val="center"/>
                </w:tcPr>
                <w:p w14:paraId="6315FA99">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0168</w:t>
                  </w:r>
                </w:p>
              </w:tc>
              <w:tc>
                <w:tcPr>
                  <w:tcW w:w="805" w:type="dxa"/>
                  <w:vAlign w:val="center"/>
                </w:tcPr>
                <w:p w14:paraId="2A6E34BA">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159</w:t>
                  </w:r>
                </w:p>
              </w:tc>
              <w:tc>
                <w:tcPr>
                  <w:tcW w:w="814" w:type="dxa"/>
                  <w:vAlign w:val="center"/>
                </w:tcPr>
                <w:p w14:paraId="27937659">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151</w:t>
                  </w:r>
                </w:p>
              </w:tc>
              <w:tc>
                <w:tcPr>
                  <w:tcW w:w="866" w:type="dxa"/>
                  <w:vAlign w:val="center"/>
                </w:tcPr>
                <w:p w14:paraId="29CF0CC8">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148</w:t>
                  </w:r>
                </w:p>
              </w:tc>
              <w:tc>
                <w:tcPr>
                  <w:tcW w:w="841" w:type="dxa"/>
                  <w:vAlign w:val="center"/>
                </w:tcPr>
                <w:p w14:paraId="1AF0E884">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139</w:t>
                  </w:r>
                </w:p>
              </w:tc>
            </w:tr>
            <w:tr w14:paraId="006C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67" w:type="dxa"/>
                  <w:vMerge w:val="continue"/>
                  <w:vAlign w:val="center"/>
                </w:tcPr>
                <w:p w14:paraId="35612596">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10585CFD">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w:t>
                  </w:r>
                </w:p>
              </w:tc>
              <w:tc>
                <w:tcPr>
                  <w:tcW w:w="867" w:type="dxa"/>
                  <w:vAlign w:val="center"/>
                </w:tcPr>
                <w:p w14:paraId="66F05F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0396</w:t>
                  </w:r>
                </w:p>
              </w:tc>
              <w:tc>
                <w:tcPr>
                  <w:tcW w:w="870" w:type="dxa"/>
                  <w:vAlign w:val="center"/>
                </w:tcPr>
                <w:p w14:paraId="263C23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0366</w:t>
                  </w:r>
                </w:p>
              </w:tc>
              <w:tc>
                <w:tcPr>
                  <w:tcW w:w="814" w:type="dxa"/>
                  <w:vAlign w:val="center"/>
                </w:tcPr>
                <w:p w14:paraId="18DE94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0344</w:t>
                  </w:r>
                </w:p>
              </w:tc>
              <w:tc>
                <w:tcPr>
                  <w:tcW w:w="814" w:type="dxa"/>
                  <w:vAlign w:val="center"/>
                </w:tcPr>
                <w:p w14:paraId="1FB1DB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0328</w:t>
                  </w:r>
                </w:p>
              </w:tc>
              <w:tc>
                <w:tcPr>
                  <w:tcW w:w="943" w:type="dxa"/>
                  <w:vAlign w:val="center"/>
                </w:tcPr>
                <w:p w14:paraId="1A33E1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0310</w:t>
                  </w:r>
                </w:p>
              </w:tc>
              <w:tc>
                <w:tcPr>
                  <w:tcW w:w="805" w:type="dxa"/>
                  <w:vAlign w:val="center"/>
                </w:tcPr>
                <w:p w14:paraId="2666A5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0307</w:t>
                  </w:r>
                </w:p>
              </w:tc>
              <w:tc>
                <w:tcPr>
                  <w:tcW w:w="814" w:type="dxa"/>
                  <w:vAlign w:val="center"/>
                </w:tcPr>
                <w:p w14:paraId="53709A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.0305</w:t>
                  </w:r>
                </w:p>
              </w:tc>
              <w:tc>
                <w:tcPr>
                  <w:tcW w:w="866" w:type="dxa"/>
                  <w:vAlign w:val="center"/>
                </w:tcPr>
                <w:p w14:paraId="3DBA2B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0282</w:t>
                  </w:r>
                </w:p>
              </w:tc>
              <w:tc>
                <w:tcPr>
                  <w:tcW w:w="841" w:type="dxa"/>
                  <w:vAlign w:val="center"/>
                </w:tcPr>
                <w:p w14:paraId="65259F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025</w:t>
                  </w:r>
                  <w:r>
                    <w:rPr>
                      <w:rFonts w:hint="default" w:ascii="Times New Roman" w:hAnsi="Times New Roman" w:cs="Times New Roman"/>
                      <w:i w:val="0"/>
                      <w:color w:val="auto"/>
                      <w:kern w:val="0"/>
                      <w:sz w:val="21"/>
                      <w:szCs w:val="21"/>
                      <w:highlight w:val="none"/>
                      <w:u w:val="none"/>
                      <w:lang w:val="en-US" w:eastAsia="zh-CN" w:bidi="ar"/>
                    </w:rPr>
                    <w:t>2</w:t>
                  </w:r>
                </w:p>
              </w:tc>
            </w:tr>
            <w:tr w14:paraId="637A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67" w:type="dxa"/>
                  <w:vMerge w:val="continue"/>
                  <w:vAlign w:val="center"/>
                </w:tcPr>
                <w:p w14:paraId="3237AE1A">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4418A1D5">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5</w:t>
                  </w:r>
                </w:p>
              </w:tc>
              <w:tc>
                <w:tcPr>
                  <w:tcW w:w="867" w:type="dxa"/>
                  <w:vAlign w:val="center"/>
                </w:tcPr>
                <w:p w14:paraId="6C20CB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.0358</w:t>
                  </w:r>
                </w:p>
              </w:tc>
              <w:tc>
                <w:tcPr>
                  <w:tcW w:w="870" w:type="dxa"/>
                  <w:vAlign w:val="center"/>
                </w:tcPr>
                <w:p w14:paraId="07BBE1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.0331</w:t>
                  </w:r>
                </w:p>
              </w:tc>
              <w:tc>
                <w:tcPr>
                  <w:tcW w:w="814" w:type="dxa"/>
                  <w:vAlign w:val="center"/>
                </w:tcPr>
                <w:p w14:paraId="040415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0311</w:t>
                  </w:r>
                </w:p>
              </w:tc>
              <w:tc>
                <w:tcPr>
                  <w:tcW w:w="814" w:type="dxa"/>
                  <w:vAlign w:val="center"/>
                </w:tcPr>
                <w:p w14:paraId="329F86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0297</w:t>
                  </w:r>
                </w:p>
              </w:tc>
              <w:tc>
                <w:tcPr>
                  <w:tcW w:w="943" w:type="dxa"/>
                  <w:vAlign w:val="center"/>
                </w:tcPr>
                <w:p w14:paraId="06AD35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0280</w:t>
                  </w:r>
                </w:p>
              </w:tc>
              <w:tc>
                <w:tcPr>
                  <w:tcW w:w="805" w:type="dxa"/>
                  <w:vAlign w:val="center"/>
                </w:tcPr>
                <w:p w14:paraId="6B2EBB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.0277</w:t>
                  </w:r>
                </w:p>
              </w:tc>
              <w:tc>
                <w:tcPr>
                  <w:tcW w:w="814" w:type="dxa"/>
                  <w:vAlign w:val="center"/>
                </w:tcPr>
                <w:p w14:paraId="5AD1B5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0276</w:t>
                  </w:r>
                </w:p>
              </w:tc>
              <w:tc>
                <w:tcPr>
                  <w:tcW w:w="866" w:type="dxa"/>
                  <w:vAlign w:val="center"/>
                </w:tcPr>
                <w:p w14:paraId="027B888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0255</w:t>
                  </w:r>
                </w:p>
              </w:tc>
              <w:tc>
                <w:tcPr>
                  <w:tcW w:w="841" w:type="dxa"/>
                  <w:vAlign w:val="center"/>
                </w:tcPr>
                <w:p w14:paraId="1A201CD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0227</w:t>
                  </w:r>
                </w:p>
              </w:tc>
            </w:tr>
            <w:tr w14:paraId="4836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67" w:type="dxa"/>
                  <w:vMerge w:val="continue"/>
                  <w:vAlign w:val="center"/>
                </w:tcPr>
                <w:p w14:paraId="7330A1F7">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57CA3B5E">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w:t>
                  </w:r>
                </w:p>
              </w:tc>
              <w:tc>
                <w:tcPr>
                  <w:tcW w:w="867" w:type="dxa"/>
                  <w:vAlign w:val="center"/>
                </w:tcPr>
                <w:p w14:paraId="044C111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0162</w:t>
                  </w:r>
                </w:p>
              </w:tc>
              <w:tc>
                <w:tcPr>
                  <w:tcW w:w="870" w:type="dxa"/>
                  <w:vAlign w:val="center"/>
                </w:tcPr>
                <w:p w14:paraId="7328B4D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0155</w:t>
                  </w:r>
                </w:p>
              </w:tc>
              <w:tc>
                <w:tcPr>
                  <w:tcW w:w="814" w:type="dxa"/>
                  <w:vAlign w:val="center"/>
                </w:tcPr>
                <w:p w14:paraId="6DAB40C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0134</w:t>
                  </w:r>
                </w:p>
              </w:tc>
              <w:tc>
                <w:tcPr>
                  <w:tcW w:w="814" w:type="dxa"/>
                  <w:vAlign w:val="center"/>
                </w:tcPr>
                <w:p w14:paraId="55271DB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0126</w:t>
                  </w:r>
                </w:p>
              </w:tc>
              <w:tc>
                <w:tcPr>
                  <w:tcW w:w="943" w:type="dxa"/>
                  <w:vAlign w:val="center"/>
                </w:tcPr>
                <w:p w14:paraId="333C771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0121</w:t>
                  </w:r>
                </w:p>
              </w:tc>
              <w:tc>
                <w:tcPr>
                  <w:tcW w:w="805" w:type="dxa"/>
                  <w:vAlign w:val="center"/>
                </w:tcPr>
                <w:p w14:paraId="7E7727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0118</w:t>
                  </w:r>
                </w:p>
              </w:tc>
              <w:tc>
                <w:tcPr>
                  <w:tcW w:w="814" w:type="dxa"/>
                  <w:vAlign w:val="center"/>
                </w:tcPr>
                <w:p w14:paraId="12BB0D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0101</w:t>
                  </w:r>
                </w:p>
              </w:tc>
              <w:tc>
                <w:tcPr>
                  <w:tcW w:w="866" w:type="dxa"/>
                  <w:vAlign w:val="center"/>
                </w:tcPr>
                <w:p w14:paraId="2FC2BFF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0092</w:t>
                  </w:r>
                </w:p>
              </w:tc>
              <w:tc>
                <w:tcPr>
                  <w:tcW w:w="841" w:type="dxa"/>
                  <w:vAlign w:val="center"/>
                </w:tcPr>
                <w:p w14:paraId="1EF377E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0083</w:t>
                  </w:r>
                </w:p>
              </w:tc>
            </w:tr>
            <w:tr w14:paraId="59B0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67" w:type="dxa"/>
                  <w:vMerge w:val="continue"/>
                  <w:vAlign w:val="center"/>
                </w:tcPr>
                <w:p w14:paraId="30AC6A4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692C49C7">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7</w:t>
                  </w:r>
                </w:p>
              </w:tc>
              <w:tc>
                <w:tcPr>
                  <w:tcW w:w="867" w:type="dxa"/>
                  <w:vAlign w:val="center"/>
                </w:tcPr>
                <w:p w14:paraId="4558655B">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287</w:t>
                  </w:r>
                </w:p>
              </w:tc>
              <w:tc>
                <w:tcPr>
                  <w:tcW w:w="870" w:type="dxa"/>
                  <w:vAlign w:val="center"/>
                </w:tcPr>
                <w:p w14:paraId="30E8F704">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271</w:t>
                  </w:r>
                </w:p>
              </w:tc>
              <w:tc>
                <w:tcPr>
                  <w:tcW w:w="814" w:type="dxa"/>
                  <w:vAlign w:val="center"/>
                </w:tcPr>
                <w:p w14:paraId="7EA17D26">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239</w:t>
                  </w:r>
                </w:p>
              </w:tc>
              <w:tc>
                <w:tcPr>
                  <w:tcW w:w="814" w:type="dxa"/>
                  <w:vAlign w:val="center"/>
                </w:tcPr>
                <w:p w14:paraId="03EA73C6">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205</w:t>
                  </w:r>
                </w:p>
              </w:tc>
              <w:tc>
                <w:tcPr>
                  <w:tcW w:w="943" w:type="dxa"/>
                  <w:vAlign w:val="center"/>
                </w:tcPr>
                <w:p w14:paraId="210EEB7E">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196</w:t>
                  </w:r>
                </w:p>
              </w:tc>
              <w:tc>
                <w:tcPr>
                  <w:tcW w:w="805" w:type="dxa"/>
                  <w:vAlign w:val="center"/>
                </w:tcPr>
                <w:p w14:paraId="2E2C8527">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0177</w:t>
                  </w:r>
                </w:p>
              </w:tc>
              <w:tc>
                <w:tcPr>
                  <w:tcW w:w="814" w:type="dxa"/>
                  <w:vAlign w:val="center"/>
                </w:tcPr>
                <w:p w14:paraId="6D9CB30D">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0166</w:t>
                  </w:r>
                </w:p>
              </w:tc>
              <w:tc>
                <w:tcPr>
                  <w:tcW w:w="866" w:type="dxa"/>
                  <w:vAlign w:val="center"/>
                </w:tcPr>
                <w:p w14:paraId="2E759E08">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158</w:t>
                  </w:r>
                </w:p>
              </w:tc>
              <w:tc>
                <w:tcPr>
                  <w:tcW w:w="841" w:type="dxa"/>
                  <w:vAlign w:val="center"/>
                </w:tcPr>
                <w:p w14:paraId="468058ED">
                  <w:pPr>
                    <w:keepNext w:val="0"/>
                    <w:keepLines w:val="0"/>
                    <w:widowControl/>
                    <w:suppressLineNumbers w:val="0"/>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149</w:t>
                  </w:r>
                </w:p>
              </w:tc>
            </w:tr>
            <w:tr w14:paraId="48E5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67" w:type="dxa"/>
                  <w:vMerge w:val="restart"/>
                  <w:vAlign w:val="center"/>
                </w:tcPr>
                <w:p w14:paraId="7BF73D92">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日均</w:t>
                  </w:r>
                </w:p>
              </w:tc>
              <w:tc>
                <w:tcPr>
                  <w:tcW w:w="357" w:type="dxa"/>
                  <w:vAlign w:val="center"/>
                </w:tcPr>
                <w:p w14:paraId="15D36B18">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w:t>
                  </w:r>
                </w:p>
              </w:tc>
              <w:tc>
                <w:tcPr>
                  <w:tcW w:w="867" w:type="dxa"/>
                  <w:vAlign w:val="center"/>
                </w:tcPr>
                <w:p w14:paraId="1F4AB170">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0.02</w:t>
                  </w:r>
                  <w:r>
                    <w:rPr>
                      <w:rFonts w:hint="eastAsia" w:cs="Times New Roman"/>
                      <w:i w:val="0"/>
                      <w:color w:val="auto"/>
                      <w:kern w:val="0"/>
                      <w:sz w:val="21"/>
                      <w:szCs w:val="21"/>
                      <w:highlight w:val="none"/>
                      <w:u w:val="none"/>
                      <w:lang w:val="en-US" w:eastAsia="zh-CN" w:bidi="ar"/>
                    </w:rPr>
                    <w:t>16</w:t>
                  </w:r>
                </w:p>
              </w:tc>
              <w:tc>
                <w:tcPr>
                  <w:tcW w:w="870" w:type="dxa"/>
                  <w:vAlign w:val="center"/>
                </w:tcPr>
                <w:p w14:paraId="1A201A53">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0.02</w:t>
                  </w:r>
                  <w:r>
                    <w:rPr>
                      <w:rFonts w:hint="eastAsia" w:cs="Times New Roman"/>
                      <w:i w:val="0"/>
                      <w:color w:val="auto"/>
                      <w:kern w:val="0"/>
                      <w:sz w:val="21"/>
                      <w:szCs w:val="21"/>
                      <w:highlight w:val="none"/>
                      <w:u w:val="none"/>
                      <w:lang w:val="en-US" w:eastAsia="zh-CN" w:bidi="ar"/>
                    </w:rPr>
                    <w:t>11</w:t>
                  </w:r>
                </w:p>
              </w:tc>
              <w:tc>
                <w:tcPr>
                  <w:tcW w:w="814" w:type="dxa"/>
                  <w:vAlign w:val="center"/>
                </w:tcPr>
                <w:p w14:paraId="05B01E08">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195</w:t>
                  </w:r>
                </w:p>
              </w:tc>
              <w:tc>
                <w:tcPr>
                  <w:tcW w:w="814" w:type="dxa"/>
                  <w:vAlign w:val="center"/>
                </w:tcPr>
                <w:p w14:paraId="76A78198">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183</w:t>
                  </w:r>
                </w:p>
              </w:tc>
              <w:tc>
                <w:tcPr>
                  <w:tcW w:w="943" w:type="dxa"/>
                  <w:vAlign w:val="center"/>
                </w:tcPr>
                <w:p w14:paraId="58600B24">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165</w:t>
                  </w:r>
                </w:p>
              </w:tc>
              <w:tc>
                <w:tcPr>
                  <w:tcW w:w="805" w:type="dxa"/>
                  <w:vAlign w:val="center"/>
                </w:tcPr>
                <w:p w14:paraId="1C066CCA">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147</w:t>
                  </w:r>
                </w:p>
              </w:tc>
              <w:tc>
                <w:tcPr>
                  <w:tcW w:w="814" w:type="dxa"/>
                  <w:vAlign w:val="center"/>
                </w:tcPr>
                <w:p w14:paraId="01B26F9D">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140</w:t>
                  </w:r>
                </w:p>
              </w:tc>
              <w:tc>
                <w:tcPr>
                  <w:tcW w:w="866" w:type="dxa"/>
                  <w:vAlign w:val="center"/>
                </w:tcPr>
                <w:p w14:paraId="3149ED41">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134</w:t>
                  </w:r>
                </w:p>
              </w:tc>
              <w:tc>
                <w:tcPr>
                  <w:tcW w:w="841" w:type="dxa"/>
                  <w:vAlign w:val="center"/>
                </w:tcPr>
                <w:p w14:paraId="2EC70C6C">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0.01</w:t>
                  </w:r>
                  <w:r>
                    <w:rPr>
                      <w:rFonts w:hint="eastAsia" w:cs="Times New Roman"/>
                      <w:i w:val="0"/>
                      <w:color w:val="auto"/>
                      <w:kern w:val="0"/>
                      <w:sz w:val="21"/>
                      <w:szCs w:val="21"/>
                      <w:highlight w:val="none"/>
                      <w:u w:val="none"/>
                      <w:lang w:val="en-US" w:eastAsia="zh-CN" w:bidi="ar"/>
                    </w:rPr>
                    <w:t>22</w:t>
                  </w:r>
                </w:p>
              </w:tc>
            </w:tr>
            <w:tr w14:paraId="76FF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67" w:type="dxa"/>
                  <w:vMerge w:val="continue"/>
                  <w:vAlign w:val="center"/>
                </w:tcPr>
                <w:p w14:paraId="563F319C">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1586B64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w:t>
                  </w:r>
                </w:p>
              </w:tc>
              <w:tc>
                <w:tcPr>
                  <w:tcW w:w="867" w:type="dxa"/>
                  <w:vAlign w:val="center"/>
                </w:tcPr>
                <w:p w14:paraId="10A67E20">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6</w:t>
                  </w:r>
                  <w:r>
                    <w:rPr>
                      <w:rFonts w:hint="eastAsia" w:cs="Times New Roman"/>
                      <w:i w:val="0"/>
                      <w:color w:val="auto"/>
                      <w:kern w:val="0"/>
                      <w:sz w:val="21"/>
                      <w:szCs w:val="21"/>
                      <w:highlight w:val="none"/>
                      <w:u w:val="none"/>
                      <w:lang w:val="en-US" w:eastAsia="zh-CN" w:bidi="ar"/>
                    </w:rPr>
                    <w:t>0</w:t>
                  </w:r>
                </w:p>
              </w:tc>
              <w:tc>
                <w:tcPr>
                  <w:tcW w:w="870" w:type="dxa"/>
                  <w:vAlign w:val="center"/>
                </w:tcPr>
                <w:p w14:paraId="32AAB851">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154</w:t>
                  </w:r>
                </w:p>
              </w:tc>
              <w:tc>
                <w:tcPr>
                  <w:tcW w:w="814" w:type="dxa"/>
                  <w:vAlign w:val="center"/>
                </w:tcPr>
                <w:p w14:paraId="18DA2628">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136</w:t>
                  </w:r>
                </w:p>
              </w:tc>
              <w:tc>
                <w:tcPr>
                  <w:tcW w:w="814" w:type="dxa"/>
                  <w:vAlign w:val="center"/>
                </w:tcPr>
                <w:p w14:paraId="3030C2B1">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126</w:t>
                  </w:r>
                </w:p>
              </w:tc>
              <w:tc>
                <w:tcPr>
                  <w:tcW w:w="943" w:type="dxa"/>
                  <w:vAlign w:val="center"/>
                </w:tcPr>
                <w:p w14:paraId="42061DE4">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123</w:t>
                  </w:r>
                </w:p>
              </w:tc>
              <w:tc>
                <w:tcPr>
                  <w:tcW w:w="805" w:type="dxa"/>
                  <w:vAlign w:val="center"/>
                </w:tcPr>
                <w:p w14:paraId="4B2F3422">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118</w:t>
                  </w:r>
                </w:p>
              </w:tc>
              <w:tc>
                <w:tcPr>
                  <w:tcW w:w="814" w:type="dxa"/>
                  <w:vAlign w:val="center"/>
                </w:tcPr>
                <w:p w14:paraId="6DCCA3B7">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110</w:t>
                  </w:r>
                </w:p>
              </w:tc>
              <w:tc>
                <w:tcPr>
                  <w:tcW w:w="866" w:type="dxa"/>
                  <w:vAlign w:val="center"/>
                </w:tcPr>
                <w:p w14:paraId="5EA3F07E">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094</w:t>
                  </w:r>
                </w:p>
              </w:tc>
              <w:tc>
                <w:tcPr>
                  <w:tcW w:w="841" w:type="dxa"/>
                  <w:vAlign w:val="center"/>
                </w:tcPr>
                <w:p w14:paraId="1C360A34">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084</w:t>
                  </w:r>
                </w:p>
              </w:tc>
            </w:tr>
            <w:tr w14:paraId="0061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367" w:type="dxa"/>
                  <w:vMerge w:val="continue"/>
                  <w:vAlign w:val="center"/>
                </w:tcPr>
                <w:p w14:paraId="55601C5E">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2D088CA5">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w:t>
                  </w:r>
                </w:p>
              </w:tc>
              <w:tc>
                <w:tcPr>
                  <w:tcW w:w="867" w:type="dxa"/>
                  <w:vAlign w:val="center"/>
                </w:tcPr>
                <w:p w14:paraId="10CD96ED">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0.02</w:t>
                  </w:r>
                  <w:r>
                    <w:rPr>
                      <w:rFonts w:hint="eastAsia" w:cs="Times New Roman"/>
                      <w:i w:val="0"/>
                      <w:color w:val="auto"/>
                      <w:kern w:val="0"/>
                      <w:sz w:val="21"/>
                      <w:szCs w:val="21"/>
                      <w:highlight w:val="none"/>
                      <w:u w:val="none"/>
                      <w:lang w:val="en-US" w:eastAsia="zh-CN" w:bidi="ar"/>
                    </w:rPr>
                    <w:t>16</w:t>
                  </w:r>
                </w:p>
              </w:tc>
              <w:tc>
                <w:tcPr>
                  <w:tcW w:w="870" w:type="dxa"/>
                  <w:vAlign w:val="center"/>
                </w:tcPr>
                <w:p w14:paraId="51DF4F1F">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0.02</w:t>
                  </w:r>
                  <w:r>
                    <w:rPr>
                      <w:rFonts w:hint="eastAsia" w:cs="Times New Roman"/>
                      <w:i w:val="0"/>
                      <w:color w:val="auto"/>
                      <w:kern w:val="0"/>
                      <w:sz w:val="21"/>
                      <w:szCs w:val="21"/>
                      <w:highlight w:val="none"/>
                      <w:u w:val="none"/>
                      <w:lang w:val="en-US" w:eastAsia="zh-CN" w:bidi="ar"/>
                    </w:rPr>
                    <w:t>11</w:t>
                  </w:r>
                </w:p>
              </w:tc>
              <w:tc>
                <w:tcPr>
                  <w:tcW w:w="814" w:type="dxa"/>
                  <w:vAlign w:val="center"/>
                </w:tcPr>
                <w:p w14:paraId="2CF3545A">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195</w:t>
                  </w:r>
                </w:p>
              </w:tc>
              <w:tc>
                <w:tcPr>
                  <w:tcW w:w="814" w:type="dxa"/>
                  <w:vAlign w:val="center"/>
                </w:tcPr>
                <w:p w14:paraId="59F8299D">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183</w:t>
                  </w:r>
                </w:p>
              </w:tc>
              <w:tc>
                <w:tcPr>
                  <w:tcW w:w="943" w:type="dxa"/>
                  <w:vAlign w:val="center"/>
                </w:tcPr>
                <w:p w14:paraId="57DA3A3F">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165</w:t>
                  </w:r>
                </w:p>
              </w:tc>
              <w:tc>
                <w:tcPr>
                  <w:tcW w:w="805" w:type="dxa"/>
                  <w:vAlign w:val="center"/>
                </w:tcPr>
                <w:p w14:paraId="0E46A453">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147</w:t>
                  </w:r>
                </w:p>
              </w:tc>
              <w:tc>
                <w:tcPr>
                  <w:tcW w:w="814" w:type="dxa"/>
                  <w:vAlign w:val="center"/>
                </w:tcPr>
                <w:p w14:paraId="294D372A">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140</w:t>
                  </w:r>
                </w:p>
              </w:tc>
              <w:tc>
                <w:tcPr>
                  <w:tcW w:w="866" w:type="dxa"/>
                  <w:vAlign w:val="center"/>
                </w:tcPr>
                <w:p w14:paraId="15413143">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134</w:t>
                  </w:r>
                </w:p>
              </w:tc>
              <w:tc>
                <w:tcPr>
                  <w:tcW w:w="841" w:type="dxa"/>
                  <w:vAlign w:val="center"/>
                </w:tcPr>
                <w:p w14:paraId="12BEAE6B">
                  <w:pPr>
                    <w:keepNext w:val="0"/>
                    <w:keepLines w:val="0"/>
                    <w:widowControl/>
                    <w:suppressLineNumbers w:val="0"/>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0.01</w:t>
                  </w:r>
                  <w:r>
                    <w:rPr>
                      <w:rFonts w:hint="eastAsia" w:cs="Times New Roman"/>
                      <w:i w:val="0"/>
                      <w:color w:val="auto"/>
                      <w:kern w:val="0"/>
                      <w:sz w:val="21"/>
                      <w:szCs w:val="21"/>
                      <w:highlight w:val="none"/>
                      <w:u w:val="none"/>
                      <w:lang w:val="en-US" w:eastAsia="zh-CN" w:bidi="ar"/>
                    </w:rPr>
                    <w:t>22</w:t>
                  </w:r>
                </w:p>
              </w:tc>
            </w:tr>
            <w:tr w14:paraId="160F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67" w:type="dxa"/>
                  <w:vMerge w:val="continue"/>
                  <w:vAlign w:val="center"/>
                </w:tcPr>
                <w:p w14:paraId="617FF0C6">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443398FA">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w:t>
                  </w:r>
                </w:p>
              </w:tc>
              <w:tc>
                <w:tcPr>
                  <w:tcW w:w="867" w:type="dxa"/>
                  <w:vAlign w:val="center"/>
                </w:tcPr>
                <w:p w14:paraId="7F3CA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0376</w:t>
                  </w:r>
                </w:p>
              </w:tc>
              <w:tc>
                <w:tcPr>
                  <w:tcW w:w="870" w:type="dxa"/>
                  <w:vAlign w:val="center"/>
                </w:tcPr>
                <w:p w14:paraId="5BF5A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0363</w:t>
                  </w:r>
                </w:p>
              </w:tc>
              <w:tc>
                <w:tcPr>
                  <w:tcW w:w="814" w:type="dxa"/>
                  <w:vAlign w:val="center"/>
                </w:tcPr>
                <w:p w14:paraId="4D9CA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0342</w:t>
                  </w:r>
                </w:p>
              </w:tc>
              <w:tc>
                <w:tcPr>
                  <w:tcW w:w="814" w:type="dxa"/>
                  <w:vAlign w:val="center"/>
                </w:tcPr>
                <w:p w14:paraId="44B52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0324</w:t>
                  </w:r>
                </w:p>
              </w:tc>
              <w:tc>
                <w:tcPr>
                  <w:tcW w:w="943" w:type="dxa"/>
                  <w:vAlign w:val="center"/>
                </w:tcPr>
                <w:p w14:paraId="268379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0308</w:t>
                  </w:r>
                </w:p>
              </w:tc>
              <w:tc>
                <w:tcPr>
                  <w:tcW w:w="805" w:type="dxa"/>
                  <w:vAlign w:val="center"/>
                </w:tcPr>
                <w:p w14:paraId="14DEA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0300</w:t>
                  </w:r>
                </w:p>
              </w:tc>
              <w:tc>
                <w:tcPr>
                  <w:tcW w:w="814" w:type="dxa"/>
                  <w:vAlign w:val="center"/>
                </w:tcPr>
                <w:p w14:paraId="2C5E8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.0299</w:t>
                  </w:r>
                </w:p>
              </w:tc>
              <w:tc>
                <w:tcPr>
                  <w:tcW w:w="866" w:type="dxa"/>
                  <w:vAlign w:val="center"/>
                </w:tcPr>
                <w:p w14:paraId="438723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0281</w:t>
                  </w:r>
                </w:p>
              </w:tc>
              <w:tc>
                <w:tcPr>
                  <w:tcW w:w="841" w:type="dxa"/>
                  <w:vAlign w:val="center"/>
                </w:tcPr>
                <w:p w14:paraId="6CD98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0251</w:t>
                  </w:r>
                </w:p>
              </w:tc>
            </w:tr>
            <w:tr w14:paraId="0730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67" w:type="dxa"/>
                  <w:vMerge w:val="continue"/>
                  <w:vAlign w:val="center"/>
                </w:tcPr>
                <w:p w14:paraId="068DB842">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48D63213">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en-US" w:eastAsia="zh-CN"/>
                    </w:rPr>
                    <w:t>5</w:t>
                  </w:r>
                </w:p>
              </w:tc>
              <w:tc>
                <w:tcPr>
                  <w:tcW w:w="867" w:type="dxa"/>
                  <w:vAlign w:val="center"/>
                </w:tcPr>
                <w:p w14:paraId="248732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.0354</w:t>
                  </w:r>
                </w:p>
              </w:tc>
              <w:tc>
                <w:tcPr>
                  <w:tcW w:w="870" w:type="dxa"/>
                  <w:vAlign w:val="center"/>
                </w:tcPr>
                <w:p w14:paraId="75C996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.0327</w:t>
                  </w:r>
                </w:p>
              </w:tc>
              <w:tc>
                <w:tcPr>
                  <w:tcW w:w="814" w:type="dxa"/>
                  <w:vAlign w:val="center"/>
                </w:tcPr>
                <w:p w14:paraId="3DEEE2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0306</w:t>
                  </w:r>
                </w:p>
              </w:tc>
              <w:tc>
                <w:tcPr>
                  <w:tcW w:w="814" w:type="dxa"/>
                  <w:vAlign w:val="center"/>
                </w:tcPr>
                <w:p w14:paraId="7A10E2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0291</w:t>
                  </w:r>
                </w:p>
              </w:tc>
              <w:tc>
                <w:tcPr>
                  <w:tcW w:w="943" w:type="dxa"/>
                  <w:vAlign w:val="center"/>
                </w:tcPr>
                <w:p w14:paraId="22FD3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0276</w:t>
                  </w:r>
                </w:p>
              </w:tc>
              <w:tc>
                <w:tcPr>
                  <w:tcW w:w="805" w:type="dxa"/>
                  <w:vAlign w:val="center"/>
                </w:tcPr>
                <w:p w14:paraId="27D32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.0270</w:t>
                  </w:r>
                </w:p>
              </w:tc>
              <w:tc>
                <w:tcPr>
                  <w:tcW w:w="814" w:type="dxa"/>
                  <w:vAlign w:val="center"/>
                </w:tcPr>
                <w:p w14:paraId="7E574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0261</w:t>
                  </w:r>
                </w:p>
              </w:tc>
              <w:tc>
                <w:tcPr>
                  <w:tcW w:w="866" w:type="dxa"/>
                  <w:vAlign w:val="center"/>
                </w:tcPr>
                <w:p w14:paraId="78D8C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0254</w:t>
                  </w:r>
                </w:p>
              </w:tc>
              <w:tc>
                <w:tcPr>
                  <w:tcW w:w="841" w:type="dxa"/>
                  <w:vAlign w:val="center"/>
                </w:tcPr>
                <w:p w14:paraId="57B380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0.</w:t>
                  </w:r>
                  <w:r>
                    <w:rPr>
                      <w:rFonts w:hint="eastAsia" w:cs="Times New Roman"/>
                      <w:b w:val="0"/>
                      <w:bCs w:val="0"/>
                      <w:color w:val="auto"/>
                      <w:kern w:val="0"/>
                      <w:sz w:val="21"/>
                      <w:szCs w:val="21"/>
                      <w:highlight w:val="none"/>
                      <w:vertAlign w:val="baseline"/>
                      <w:lang w:val="en-US" w:eastAsia="zh-CN"/>
                    </w:rPr>
                    <w:t>0222</w:t>
                  </w:r>
                </w:p>
              </w:tc>
            </w:tr>
            <w:tr w14:paraId="7203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67" w:type="dxa"/>
                  <w:vMerge w:val="continue"/>
                  <w:vAlign w:val="center"/>
                </w:tcPr>
                <w:p w14:paraId="2D7ECF7D">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07570C78">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w:t>
                  </w:r>
                </w:p>
              </w:tc>
              <w:tc>
                <w:tcPr>
                  <w:tcW w:w="867" w:type="dxa"/>
                  <w:vAlign w:val="center"/>
                </w:tcPr>
                <w:p w14:paraId="4A5942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084</w:t>
                  </w:r>
                </w:p>
              </w:tc>
              <w:tc>
                <w:tcPr>
                  <w:tcW w:w="870" w:type="dxa"/>
                  <w:vAlign w:val="center"/>
                </w:tcPr>
                <w:p w14:paraId="1F3E4D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077</w:t>
                  </w:r>
                </w:p>
              </w:tc>
              <w:tc>
                <w:tcPr>
                  <w:tcW w:w="814" w:type="dxa"/>
                  <w:vAlign w:val="center"/>
                </w:tcPr>
                <w:p w14:paraId="63A139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072</w:t>
                  </w:r>
                </w:p>
              </w:tc>
              <w:tc>
                <w:tcPr>
                  <w:tcW w:w="814" w:type="dxa"/>
                  <w:vAlign w:val="center"/>
                </w:tcPr>
                <w:p w14:paraId="600ABA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069</w:t>
                  </w:r>
                </w:p>
              </w:tc>
              <w:tc>
                <w:tcPr>
                  <w:tcW w:w="943" w:type="dxa"/>
                  <w:vAlign w:val="center"/>
                </w:tcPr>
                <w:p w14:paraId="670D54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066</w:t>
                  </w:r>
                </w:p>
              </w:tc>
              <w:tc>
                <w:tcPr>
                  <w:tcW w:w="805" w:type="dxa"/>
                  <w:vAlign w:val="center"/>
                </w:tcPr>
                <w:p w14:paraId="3A4F5E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063</w:t>
                  </w:r>
                </w:p>
              </w:tc>
              <w:tc>
                <w:tcPr>
                  <w:tcW w:w="814" w:type="dxa"/>
                  <w:vAlign w:val="center"/>
                </w:tcPr>
                <w:p w14:paraId="55B4E1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059</w:t>
                  </w:r>
                </w:p>
              </w:tc>
              <w:tc>
                <w:tcPr>
                  <w:tcW w:w="866" w:type="dxa"/>
                  <w:vAlign w:val="center"/>
                </w:tcPr>
                <w:p w14:paraId="788CDE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51</w:t>
                  </w:r>
                </w:p>
              </w:tc>
              <w:tc>
                <w:tcPr>
                  <w:tcW w:w="841" w:type="dxa"/>
                  <w:vAlign w:val="center"/>
                </w:tcPr>
                <w:p w14:paraId="455364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045</w:t>
                  </w:r>
                </w:p>
              </w:tc>
            </w:tr>
            <w:tr w14:paraId="4B4F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dxa"/>
                  <w:vMerge w:val="continue"/>
                  <w:vAlign w:val="center"/>
                </w:tcPr>
                <w:p w14:paraId="00AE9D00">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p>
              </w:tc>
              <w:tc>
                <w:tcPr>
                  <w:tcW w:w="357" w:type="dxa"/>
                  <w:vAlign w:val="center"/>
                </w:tcPr>
                <w:p w14:paraId="2F15D52F">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en-US" w:eastAsia="zh-CN"/>
                    </w:rPr>
                    <w:t>7</w:t>
                  </w:r>
                </w:p>
              </w:tc>
              <w:tc>
                <w:tcPr>
                  <w:tcW w:w="867" w:type="dxa"/>
                  <w:vAlign w:val="center"/>
                </w:tcPr>
                <w:p w14:paraId="5F5F7D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0234</w:t>
                  </w:r>
                </w:p>
              </w:tc>
              <w:tc>
                <w:tcPr>
                  <w:tcW w:w="870" w:type="dxa"/>
                  <w:vAlign w:val="center"/>
                </w:tcPr>
                <w:p w14:paraId="6B6C46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0224</w:t>
                  </w:r>
                </w:p>
              </w:tc>
              <w:tc>
                <w:tcPr>
                  <w:tcW w:w="814" w:type="dxa"/>
                  <w:vAlign w:val="center"/>
                </w:tcPr>
                <w:p w14:paraId="7B8837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0215</w:t>
                  </w:r>
                </w:p>
              </w:tc>
              <w:tc>
                <w:tcPr>
                  <w:tcW w:w="814" w:type="dxa"/>
                  <w:vAlign w:val="center"/>
                </w:tcPr>
                <w:p w14:paraId="4F6661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0210</w:t>
                  </w:r>
                </w:p>
              </w:tc>
              <w:tc>
                <w:tcPr>
                  <w:tcW w:w="943" w:type="dxa"/>
                  <w:vAlign w:val="center"/>
                </w:tcPr>
                <w:p w14:paraId="5D0E2F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0206</w:t>
                  </w:r>
                </w:p>
              </w:tc>
              <w:tc>
                <w:tcPr>
                  <w:tcW w:w="805" w:type="dxa"/>
                  <w:vAlign w:val="center"/>
                </w:tcPr>
                <w:p w14:paraId="2A2F45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0200</w:t>
                  </w:r>
                </w:p>
              </w:tc>
              <w:tc>
                <w:tcPr>
                  <w:tcW w:w="814" w:type="dxa"/>
                  <w:vAlign w:val="center"/>
                </w:tcPr>
                <w:p w14:paraId="4555B2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0193</w:t>
                  </w:r>
                </w:p>
              </w:tc>
              <w:tc>
                <w:tcPr>
                  <w:tcW w:w="866" w:type="dxa"/>
                  <w:vAlign w:val="center"/>
                </w:tcPr>
                <w:p w14:paraId="79EBFB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0180</w:t>
                  </w:r>
                </w:p>
              </w:tc>
              <w:tc>
                <w:tcPr>
                  <w:tcW w:w="841" w:type="dxa"/>
                  <w:vAlign w:val="center"/>
                </w:tcPr>
                <w:p w14:paraId="1D91A1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vertAlign w:val="baseline"/>
                      <w:lang w:val="en-US"/>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0170</w:t>
                  </w:r>
                </w:p>
              </w:tc>
            </w:tr>
          </w:tbl>
          <w:p w14:paraId="2EE4F8E9">
            <w:pPr>
              <w:pStyle w:val="23"/>
              <w:spacing w:before="120"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sz w:val="24"/>
                <w:lang w:eastAsia="zh-CN"/>
              </w:rPr>
              <w:t>从表中看出：</w:t>
            </w:r>
            <w:r>
              <w:rPr>
                <w:rFonts w:hint="default" w:ascii="Times New Roman" w:hAnsi="Times New Roman" w:cs="Times New Roman"/>
                <w:color w:val="auto"/>
                <w:sz w:val="24"/>
                <w:highlight w:val="none"/>
              </w:rPr>
              <w:t>距道路路肩200m范围内，污染物高峰小时浓度及日均浓度均能够达到《环境空气质量标准》（GB3095-2012）中的二级标准，即CO日均浓度≤4.0mg/m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，CO小时浓度≤10.0mg/m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日均浓度≤0.08mg/m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小时浓度≤0.2mg/m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2C061D0E">
            <w:pPr>
              <w:pStyle w:val="23"/>
              <w:spacing w:before="120" w:beforeLines="50" w:line="360" w:lineRule="auto"/>
              <w:ind w:firstLine="480" w:firstLineChars="200"/>
              <w:rPr>
                <w:rFonts w:hint="default" w:ascii="Times New Roman" w:hAnsi="Times New Roman" w:eastAsia="宋体" w:cs="Times New Roman"/>
                <w:b/>
                <w:bCs w:val="0"/>
                <w:sz w:val="24"/>
                <w:lang w:eastAsia="zh-CN"/>
              </w:rPr>
            </w:pPr>
            <w:r>
              <w:rPr>
                <w:rFonts w:hint="default" w:ascii="Times New Roman" w:hAnsi="Times New Roman" w:cs="Times New Roman"/>
                <w:color w:val="auto"/>
                <w:sz w:val="24"/>
                <w:highlight w:val="none"/>
              </w:rPr>
              <w:t>随着我国科技水平的不断提高，汽车尾气净化系统将得到进一步改进，运输车种构成比例将更为优化，逐步减少高能耗、高排污的车种比例，汽车尾气排放将大大降低，且本预测为较为保守的计算，因此道路汽车尾气对沿线两侧环境空气的影响范围以及影响程度都将会减小。</w:t>
            </w:r>
          </w:p>
          <w:p w14:paraId="21FCE461">
            <w:pPr>
              <w:pStyle w:val="23"/>
              <w:spacing w:line="360" w:lineRule="auto"/>
              <w:ind w:firstLine="439" w:firstLineChars="1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营运期大气环境污染防治措施</w:t>
            </w:r>
          </w:p>
          <w:p w14:paraId="4716125F">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目前，对于交通造成的空气污染尚无经济可行的工程措施。根据实际情况，提出以下防治措施：</w:t>
            </w:r>
          </w:p>
          <w:p w14:paraId="11C879C7">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①在公路两侧，特别是关心点近的路段附近应选用对汽车尾气吸收效果较好的树种。这样既可净化吸收车辆尾气中的污染物，又可美化环境和改善公路沿线景观。</w:t>
            </w:r>
          </w:p>
          <w:p w14:paraId="04267711">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②加强路面养护和清洁，维护良好的路况，保证汽车在良好的路况下行驶，减少扬尘和尾气污染。加强对公路沿线绿化的养护，维护绿化的减污功能。</w:t>
            </w:r>
          </w:p>
          <w:p w14:paraId="2A47D29B">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③环评建议路面及绿化纳入相关部门管理，及时安排相关人员清扫路面和绿化工程的维护。</w:t>
            </w:r>
          </w:p>
          <w:p w14:paraId="0080A050">
            <w:pPr>
              <w:pStyle w:val="23"/>
              <w:spacing w:line="360" w:lineRule="auto"/>
              <w:ind w:firstLine="439" w:firstLineChars="182"/>
              <w:rPr>
                <w:rFonts w:hint="default" w:ascii="Times New Roman" w:hAnsi="Times New Roman" w:cs="Times New Roman"/>
                <w:b/>
                <w:color w:val="auto"/>
                <w:sz w:val="24"/>
                <w:highlight w:val="none"/>
              </w:rPr>
            </w:pPr>
            <w:bookmarkStart w:id="50" w:name="_Toc274929325"/>
            <w:r>
              <w:rPr>
                <w:rFonts w:hint="default" w:ascii="Times New Roman" w:hAnsi="Times New Roman" w:cs="Times New Roman"/>
                <w:b/>
                <w:color w:val="auto"/>
                <w:sz w:val="24"/>
                <w:highlight w:val="none"/>
              </w:rPr>
              <w:t>（7）小结</w:t>
            </w:r>
            <w:bookmarkEnd w:id="50"/>
          </w:p>
          <w:p w14:paraId="77446DF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营运期对环境空气的污染主要是机动车尾气污染，通过预测分析可知，</w:t>
            </w:r>
            <w:r>
              <w:rPr>
                <w:rFonts w:hint="default" w:ascii="Times New Roman" w:hAnsi="Times New Roman" w:cs="Times New Roman"/>
                <w:color w:val="auto"/>
                <w:spacing w:val="6"/>
                <w:sz w:val="24"/>
                <w:highlight w:val="none"/>
              </w:rPr>
              <w:t>预测的CO、NO</w:t>
            </w:r>
            <w:r>
              <w:rPr>
                <w:rFonts w:hint="default" w:ascii="Times New Roman" w:hAnsi="Times New Roman" w:cs="Times New Roman"/>
                <w:color w:val="auto"/>
                <w:spacing w:val="6"/>
                <w:sz w:val="24"/>
                <w:highlight w:val="none"/>
                <w:vertAlign w:val="subscript"/>
              </w:rPr>
              <w:t>2</w:t>
            </w:r>
            <w:r>
              <w:rPr>
                <w:rFonts w:hint="default" w:ascii="Times New Roman" w:hAnsi="Times New Roman" w:cs="Times New Roman"/>
                <w:color w:val="auto"/>
                <w:spacing w:val="6"/>
                <w:sz w:val="24"/>
                <w:highlight w:val="none"/>
              </w:rPr>
              <w:t>最大浓度值和敏感点浓度均低于</w:t>
            </w:r>
            <w:r>
              <w:rPr>
                <w:rFonts w:hint="default" w:ascii="Times New Roman" w:hAnsi="Times New Roman" w:cs="Times New Roman"/>
                <w:color w:val="auto"/>
                <w:sz w:val="24"/>
                <w:highlight w:val="none"/>
              </w:rPr>
              <w:t>《环境空气质量标准》（GB3095-2012）中的二级标准限值</w:t>
            </w:r>
            <w:r>
              <w:rPr>
                <w:rFonts w:hint="default" w:ascii="Times New Roman" w:hAnsi="Times New Roman" w:cs="Times New Roman"/>
                <w:color w:val="auto"/>
                <w:spacing w:val="6"/>
                <w:sz w:val="24"/>
                <w:highlight w:val="none"/>
              </w:rPr>
              <w:t>，尾气排放对环境空气的影响较小，</w:t>
            </w:r>
            <w:r>
              <w:rPr>
                <w:rFonts w:hint="default" w:ascii="Times New Roman" w:hAnsi="Times New Roman" w:cs="Times New Roman"/>
                <w:color w:val="auto"/>
                <w:sz w:val="24"/>
                <w:highlight w:val="none"/>
              </w:rPr>
              <w:t>且随着科技水平的不断提高，汽车尾气净化系统将逐步改进，道路汽车尾气对沿线两侧环境空气的影响范围以及影响程度都将会缩小。</w:t>
            </w:r>
          </w:p>
          <w:p w14:paraId="013557B4">
            <w:pPr>
              <w:numPr>
                <w:ilvl w:val="0"/>
                <w:numId w:val="0"/>
              </w:numPr>
              <w:spacing w:line="360" w:lineRule="auto"/>
              <w:ind w:leftChars="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2.声环境影响分析</w:t>
            </w:r>
          </w:p>
          <w:p w14:paraId="347F5955">
            <w:pPr>
              <w:spacing w:line="360" w:lineRule="auto"/>
              <w:ind w:firstLine="482" w:firstLineChars="200"/>
              <w:rPr>
                <w:rFonts w:hint="default" w:ascii="Times New Roman" w:hAnsi="Times New Roman" w:cs="Times New Roman"/>
                <w:b/>
                <w:bCs/>
                <w:color w:val="auto"/>
                <w:kern w:val="0"/>
                <w:sz w:val="24"/>
                <w:highlight w:val="none"/>
              </w:rPr>
            </w:pPr>
            <w:bookmarkStart w:id="51" w:name="_Toc274929327"/>
            <w:r>
              <w:rPr>
                <w:rFonts w:hint="default" w:ascii="Times New Roman" w:hAnsi="Times New Roman" w:cs="Times New Roman"/>
                <w:b/>
                <w:bCs/>
                <w:color w:val="auto"/>
                <w:kern w:val="0"/>
                <w:sz w:val="24"/>
                <w:highlight w:val="none"/>
              </w:rPr>
              <w:t>（1）预测模式和预测参数</w:t>
            </w:r>
            <w:bookmarkEnd w:id="51"/>
          </w:p>
          <w:p w14:paraId="70C9F584">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项目营运期声环境影响预测采用《环境影响评价技术导则 声环境》（HJ2.4-2009）中的“公路（道路）交通运输噪声预测模式”，模式如下：</w:t>
            </w:r>
          </w:p>
          <w:p w14:paraId="161F4650">
            <w:pPr>
              <w:autoSpaceDE w:val="0"/>
              <w:autoSpaceDN w:val="0"/>
              <w:adjustRightInd w:val="0"/>
              <w:spacing w:line="360" w:lineRule="auto"/>
              <w:ind w:firstLine="420"/>
              <w:rPr>
                <w:rFonts w:hint="default" w:ascii="Times New Roman" w:hAnsi="Times New Roman" w:cs="Times New Roman"/>
                <w:bCs/>
                <w:color w:val="auto"/>
                <w:spacing w:val="6"/>
                <w:kern w:val="0"/>
                <w:sz w:val="24"/>
                <w:highlight w:val="none"/>
              </w:rPr>
            </w:pPr>
            <w:r>
              <w:rPr>
                <w:rFonts w:hint="default" w:ascii="Times New Roman" w:hAnsi="Times New Roman" w:cs="Times New Roman"/>
                <w:bCs/>
                <w:color w:val="auto"/>
                <w:spacing w:val="6"/>
                <w:kern w:val="0"/>
                <w:sz w:val="24"/>
                <w:highlight w:val="none"/>
              </w:rPr>
              <w:t>a）第i类等效声级的预测模式</w:t>
            </w:r>
          </w:p>
          <w:p w14:paraId="06636FB6">
            <w:pPr>
              <w:autoSpaceDE w:val="0"/>
              <w:autoSpaceDN w:val="0"/>
              <w:adjustRightInd w:val="0"/>
              <w:spacing w:line="360" w:lineRule="auto"/>
              <w:ind w:firstLine="420"/>
              <w:rPr>
                <w:rFonts w:hint="default" w:ascii="Times New Roman" w:hAnsi="Times New Roman" w:cs="Times New Roman"/>
                <w:color w:val="auto"/>
                <w:spacing w:val="6"/>
                <w:kern w:val="0"/>
                <w:sz w:val="24"/>
                <w:highlight w:val="none"/>
              </w:rPr>
            </w:pPr>
            <w:r>
              <w:rPr>
                <w:rFonts w:hint="default" w:ascii="Times New Roman" w:hAnsi="Times New Roman" w:cs="Times New Roman"/>
                <w:color w:val="auto"/>
                <w:kern w:val="0"/>
                <w:position w:val="-32"/>
                <w:sz w:val="24"/>
                <w:highlight w:val="none"/>
                <w:lang w:val="zh-CN"/>
              </w:rPr>
              <w:object>
                <v:shape id="_x0000_i1030" o:spt="75" type="#_x0000_t75" style="height:41.05pt;width:358.5pt;" o:ole="t" filled="f" o:preferrelative="t" stroked="f" coordsize="21600,21600">
                  <v:path/>
                  <v:fill on="f" focussize="0,0"/>
                  <v:stroke on="f"/>
                  <v:imagedata r:id="rId48" o:title=""/>
                  <o:lock v:ext="edit" grouping="f" rotation="f" text="f" aspectratio="t"/>
                  <w10:wrap type="none"/>
                  <w10:anchorlock/>
                </v:shape>
                <o:OLEObject Type="Embed" ProgID="Equation.3" ShapeID="_x0000_i1030" DrawAspect="Content" ObjectID="_1468075731" r:id="rId47">
                  <o:LockedField>false</o:LockedField>
                </o:OLEObject>
              </w:object>
            </w:r>
            <w:r>
              <w:rPr>
                <w:rFonts w:hint="default" w:ascii="Times New Roman" w:hAnsi="Times New Roman" w:cs="Times New Roman"/>
                <w:color w:val="auto"/>
                <w:spacing w:val="6"/>
                <w:kern w:val="0"/>
                <w:sz w:val="24"/>
                <w:highlight w:val="none"/>
              </w:rPr>
              <w:t xml:space="preserve">   </w:t>
            </w:r>
          </w:p>
          <w:p w14:paraId="3DD18201">
            <w:pPr>
              <w:autoSpaceDE w:val="0"/>
              <w:autoSpaceDN w:val="0"/>
              <w:adjustRightInd w:val="0"/>
              <w:spacing w:line="360" w:lineRule="auto"/>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14:paraId="18A87701">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color w:val="auto"/>
                <w:kern w:val="0"/>
                <w:position w:val="-14"/>
                <w:sz w:val="24"/>
                <w:highlight w:val="none"/>
                <w:lang w:val="zh-CN"/>
              </w:rPr>
              <w:object>
                <v:shape id="_x0000_i1031" o:spt="75" type="#_x0000_t75" style="height:19pt;width:36pt;" o:ole="t" filled="f" o:preferrelative="t" stroked="f" coordsize="21600,21600">
                  <v:path/>
                  <v:fill on="f" focussize="0,0"/>
                  <v:stroke on="f"/>
                  <v:imagedata r:id="rId50" o:title=""/>
                  <o:lock v:ext="edit" grouping="f" rotation="f" text="f" aspectratio="t"/>
                  <w10:wrap type="none"/>
                  <w10:anchorlock/>
                </v:shape>
                <o:OLEObject Type="Embed" ProgID="Equation.3" ShapeID="_x0000_i1031" DrawAspect="Content" ObjectID="_1468075732" r:id="rId49">
                  <o:LockedField>false</o:LockedField>
                </o:OLEObject>
              </w:object>
            </w:r>
            <w:r>
              <w:rPr>
                <w:rFonts w:hint="default" w:ascii="Times New Roman" w:hAnsi="Times New Roman" w:cs="Times New Roman"/>
                <w:color w:val="auto"/>
                <w:sz w:val="24"/>
                <w:highlight w:val="none"/>
              </w:rPr>
              <w:tab/>
            </w:r>
            <w:r>
              <w:rPr>
                <w:rFonts w:hint="default" w:ascii="Times New Roman" w:hAnsi="Times New Roman" w:cs="Times New Roman"/>
                <w:color w:val="auto"/>
                <w:sz w:val="24"/>
                <w:highlight w:val="none"/>
              </w:rPr>
              <w:t>--第i类车的小时等效声级，dB(A)；</w:t>
            </w:r>
          </w:p>
          <w:p w14:paraId="24A63AFF">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32" o:spt="75" type="#_x0000_t75" style="height:20pt;width:31.95pt;" o:ole="t" filled="f" stroked="f" coordsize="21600,21600">
                  <v:path/>
                  <v:fill on="f" focussize="0,0"/>
                  <v:stroke on="f"/>
                  <v:imagedata r:id="rId52" o:title=""/>
                  <o:lock v:ext="edit" grouping="f" rotation="f" text="f" aspectratio="t"/>
                  <w10:wrap type="none"/>
                  <w10:anchorlock/>
                </v:shape>
                <o:OLEObject Type="Embed" ProgID="Equation.3" ShapeID="_x0000_i1032" DrawAspect="Content" ObjectID="_1468075733" r:id="rId51">
                  <o:LockedField>false</o:LockedField>
                </o:OLEObject>
              </w:object>
            </w:r>
            <w:r>
              <w:rPr>
                <w:rFonts w:hint="default" w:ascii="Times New Roman" w:hAnsi="Times New Roman" w:cs="Times New Roman"/>
                <w:color w:val="auto"/>
                <w:sz w:val="24"/>
                <w:highlight w:val="none"/>
              </w:rPr>
              <w:softHyphen/>
            </w:r>
            <w:r>
              <w:rPr>
                <w:rFonts w:hint="default" w:ascii="Times New Roman" w:hAnsi="Times New Roman" w:cs="Times New Roman"/>
                <w:color w:val="auto"/>
                <w:sz w:val="24"/>
                <w:highlight w:val="none"/>
              </w:rPr>
              <w:t>--第i类车在速度为V</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(km/h)；水平距离为7.5m处的能量平均A声级，dB(A)；</w:t>
            </w:r>
          </w:p>
          <w:p w14:paraId="5E6B8FE1">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N</w:t>
            </w:r>
            <w:r>
              <w:rPr>
                <w:rFonts w:hint="default" w:ascii="Times New Roman" w:hAnsi="Times New Roman" w:cs="Times New Roman"/>
                <w:i/>
                <w:color w:val="auto"/>
                <w:sz w:val="24"/>
                <w:highlight w:val="none"/>
                <w:vertAlign w:val="subscript"/>
              </w:rPr>
              <w:t>i</w:t>
            </w:r>
            <w:r>
              <w:rPr>
                <w:rFonts w:hint="default" w:ascii="Times New Roman" w:hAnsi="Times New Roman" w:cs="Times New Roman"/>
                <w:color w:val="auto"/>
                <w:sz w:val="24"/>
                <w:highlight w:val="none"/>
              </w:rPr>
              <w:softHyphen/>
            </w:r>
            <w:r>
              <w:rPr>
                <w:rFonts w:hint="default" w:ascii="Times New Roman" w:hAnsi="Times New Roman" w:cs="Times New Roman"/>
                <w:color w:val="auto"/>
                <w:sz w:val="24"/>
                <w:highlight w:val="none"/>
              </w:rPr>
              <w:softHyphen/>
            </w:r>
            <w:r>
              <w:rPr>
                <w:rFonts w:hint="default" w:ascii="Times New Roman" w:hAnsi="Times New Roman" w:cs="Times New Roman"/>
                <w:color w:val="auto"/>
                <w:sz w:val="24"/>
                <w:highlight w:val="none"/>
              </w:rPr>
              <w:softHyphen/>
            </w:r>
            <w:r>
              <w:rPr>
                <w:rFonts w:hint="default" w:ascii="Times New Roman" w:hAnsi="Times New Roman" w:cs="Times New Roman"/>
                <w:color w:val="auto"/>
                <w:sz w:val="24"/>
                <w:highlight w:val="none"/>
              </w:rPr>
              <w:t>--昼间、夜间通过某个预测点的第i类车平均小时车流量，辆/h；</w:t>
            </w:r>
          </w:p>
          <w:p w14:paraId="026AB49F">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r</w:t>
            </w:r>
            <w:r>
              <w:rPr>
                <w:rFonts w:hint="default" w:ascii="Times New Roman" w:hAnsi="Times New Roman" w:cs="Times New Roman"/>
                <w:color w:val="auto"/>
                <w:sz w:val="24"/>
                <w:highlight w:val="none"/>
              </w:rPr>
              <w:t>--从车道中心线到预测点的距离，m；r＞7.5m；</w:t>
            </w:r>
          </w:p>
          <w:p w14:paraId="6319F9E9">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i</w:t>
            </w:r>
            <w:r>
              <w:rPr>
                <w:rFonts w:hint="default" w:ascii="Times New Roman" w:hAnsi="Times New Roman" w:cs="Times New Roman"/>
                <w:color w:val="auto"/>
                <w:sz w:val="24"/>
                <w:highlight w:val="none"/>
              </w:rPr>
              <w:t>--第i类车平均车速，km/h；</w:t>
            </w:r>
          </w:p>
          <w:p w14:paraId="6FB1E018">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T</w:t>
            </w:r>
            <w:r>
              <w:rPr>
                <w:rFonts w:hint="default" w:ascii="Times New Roman" w:hAnsi="Times New Roman" w:cs="Times New Roman"/>
                <w:color w:val="auto"/>
                <w:sz w:val="24"/>
                <w:highlight w:val="none"/>
              </w:rPr>
              <w:t>--计算等效声级的时间，1h；</w:t>
            </w:r>
          </w:p>
          <w:p w14:paraId="6BFA3473">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ψ</w:t>
            </w:r>
            <w:r>
              <w:rPr>
                <w:rFonts w:hint="default" w:ascii="Times New Roman" w:hAnsi="Times New Roman" w:cs="Times New Roman"/>
                <w:i/>
                <w:color w:val="auto"/>
                <w:sz w:val="24"/>
                <w:highlight w:val="none"/>
                <w:vertAlign w:val="subscript"/>
              </w:rPr>
              <w:t>1</w:t>
            </w:r>
            <w:r>
              <w:rPr>
                <w:rFonts w:hint="default" w:ascii="Times New Roman" w:hAnsi="Times New Roman" w:cs="Times New Roman"/>
                <w:i/>
                <w:color w:val="auto"/>
                <w:sz w:val="24"/>
                <w:highlight w:val="none"/>
              </w:rPr>
              <w:t>、ψ</w:t>
            </w:r>
            <w:r>
              <w:rPr>
                <w:rFonts w:hint="default" w:ascii="Times New Roman" w:hAnsi="Times New Roman" w:cs="Times New Roman"/>
                <w:i/>
                <w:color w:val="auto"/>
                <w:sz w:val="24"/>
                <w:highlight w:val="none"/>
                <w:vertAlign w:val="subscript"/>
              </w:rPr>
              <w:t>2</w:t>
            </w:r>
            <w:r>
              <w:rPr>
                <w:rFonts w:hint="default" w:ascii="Times New Roman" w:hAnsi="Times New Roman" w:cs="Times New Roman"/>
                <w:i/>
                <w:color w:val="auto"/>
                <w:sz w:val="24"/>
                <w:highlight w:val="none"/>
              </w:rPr>
              <w:t>-</w:t>
            </w:r>
            <w:r>
              <w:rPr>
                <w:rFonts w:hint="default" w:ascii="Times New Roman" w:hAnsi="Times New Roman" w:cs="Times New Roman"/>
                <w:color w:val="auto"/>
                <w:sz w:val="24"/>
                <w:highlight w:val="none"/>
              </w:rPr>
              <w:t>-预测点到有限长路段两端的张角，弧度。</w:t>
            </w:r>
          </w:p>
          <w:p w14:paraId="5FCB39D3">
            <w:pPr>
              <w:autoSpaceDE w:val="0"/>
              <w:autoSpaceDN w:val="0"/>
              <w:adjustRightInd w:val="0"/>
              <w:spacing w:line="520" w:lineRule="exact"/>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143510</wp:posOffset>
                  </wp:positionV>
                  <wp:extent cx="2971800" cy="1051560"/>
                  <wp:effectExtent l="0" t="0" r="0" b="15240"/>
                  <wp:wrapSquare wrapText="bothSides"/>
                  <wp:docPr id="55" name="图片 3" descr="zaos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zaosheng"/>
                          <pic:cNvPicPr>
                            <a:picLocks noChangeAspect="1"/>
                          </pic:cNvPicPr>
                        </pic:nvPicPr>
                        <pic:blipFill>
                          <a:blip r:embed="rId53"/>
                          <a:stretch>
                            <a:fillRect/>
                          </a:stretch>
                        </pic:blipFill>
                        <pic:spPr>
                          <a:xfrm>
                            <a:off x="0" y="0"/>
                            <a:ext cx="2971800" cy="1051560"/>
                          </a:xfrm>
                          <a:prstGeom prst="rect">
                            <a:avLst/>
                          </a:prstGeom>
                          <a:noFill/>
                          <a:ln>
                            <a:noFill/>
                          </a:ln>
                        </pic:spPr>
                      </pic:pic>
                    </a:graphicData>
                  </a:graphic>
                </wp:anchor>
              </w:drawing>
            </w:r>
          </w:p>
          <w:p w14:paraId="358E1AEE">
            <w:pPr>
              <w:autoSpaceDE w:val="0"/>
              <w:autoSpaceDN w:val="0"/>
              <w:adjustRightInd w:val="0"/>
              <w:spacing w:line="520" w:lineRule="exact"/>
              <w:ind w:firstLine="482"/>
              <w:rPr>
                <w:rFonts w:hint="default" w:ascii="Times New Roman" w:hAnsi="Times New Roman" w:cs="Times New Roman"/>
                <w:color w:val="auto"/>
                <w:sz w:val="24"/>
                <w:highlight w:val="none"/>
              </w:rPr>
            </w:pPr>
          </w:p>
          <w:p w14:paraId="3DB4B762">
            <w:pPr>
              <w:autoSpaceDE w:val="0"/>
              <w:autoSpaceDN w:val="0"/>
              <w:adjustRightInd w:val="0"/>
              <w:spacing w:line="520" w:lineRule="exact"/>
              <w:ind w:firstLine="482"/>
              <w:rPr>
                <w:rFonts w:hint="default" w:ascii="Times New Roman" w:hAnsi="Times New Roman" w:cs="Times New Roman"/>
                <w:color w:val="auto"/>
                <w:sz w:val="24"/>
                <w:highlight w:val="none"/>
              </w:rPr>
            </w:pPr>
          </w:p>
          <w:p w14:paraId="6467C327">
            <w:pPr>
              <w:autoSpaceDE w:val="0"/>
              <w:autoSpaceDN w:val="0"/>
              <w:adjustRightInd w:val="0"/>
              <w:spacing w:line="520" w:lineRule="exact"/>
              <w:ind w:firstLine="482"/>
              <w:rPr>
                <w:rFonts w:hint="default" w:ascii="Times New Roman" w:hAnsi="Times New Roman" w:cs="Times New Roman"/>
                <w:b/>
                <w:bCs/>
                <w:color w:val="auto"/>
                <w:sz w:val="24"/>
                <w:highlight w:val="none"/>
              </w:rPr>
            </w:pPr>
          </w:p>
          <w:p w14:paraId="0C9EEA7A">
            <w:pPr>
              <w:autoSpaceDE w:val="0"/>
              <w:autoSpaceDN w:val="0"/>
              <w:adjustRightInd w:val="0"/>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图7-1 有限路段的修正函数示意图</w:t>
            </w:r>
          </w:p>
          <w:p w14:paraId="42BAE7D6">
            <w:pPr>
              <w:autoSpaceDE w:val="0"/>
              <w:autoSpaceDN w:val="0"/>
              <w:adjustRightInd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（图中AB为路段，P为预测点）</w:t>
            </w:r>
          </w:p>
          <w:p w14:paraId="662BA621">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33"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33" DrawAspect="Content" ObjectID="_1468075734" r:id="rId54">
                  <o:LockedField>false</o:LockedField>
                </o:OLEObject>
              </w:object>
            </w:r>
            <w:r>
              <w:rPr>
                <w:rFonts w:hint="default" w:ascii="Times New Roman" w:hAnsi="Times New Roman" w:cs="Times New Roman"/>
                <w:color w:val="auto"/>
                <w:sz w:val="24"/>
                <w:highlight w:val="none"/>
              </w:rPr>
              <w:t>--由其它因素引起的修正量，dB(A)，按下式计算：</w:t>
            </w:r>
          </w:p>
          <w:p w14:paraId="172DE439">
            <w:pPr>
              <w:tabs>
                <w:tab w:val="left" w:pos="720"/>
              </w:tabs>
              <w:autoSpaceDE w:val="0"/>
              <w:autoSpaceDN w:val="0"/>
              <w:adjustRightInd w:val="0"/>
              <w:spacing w:line="360" w:lineRule="auto"/>
              <w:ind w:left="408" w:leftChars="170" w:firstLine="1740" w:firstLineChars="725"/>
              <w:jc w:val="left"/>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34"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34" DrawAspect="Content" ObjectID="_1468075735" r:id="rId56">
                  <o:LockedField>false</o:LockedField>
                </o:OLEObject>
              </w:objec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lang w:val="zh-CN"/>
              </w:rPr>
              <w:object>
                <v:shape id="_x0000_i1035"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35" DrawAspect="Content" ObjectID="_1468075736" r:id="rId57">
                  <o:LockedField>false</o:LockedField>
                </o:OLEObject>
              </w:objec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lang w:val="zh-CN"/>
              </w:rPr>
              <w:object>
                <v:shape id="_x0000_i1036"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36" DrawAspect="Content" ObjectID="_1468075737" r:id="rId58">
                  <o:LockedField>false</o:LockedField>
                </o:OLEObject>
              </w:objec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lang w:val="zh-CN"/>
              </w:rPr>
              <w:object>
                <v:shape id="_x0000_i1037"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37" DrawAspect="Content" ObjectID="_1468075738" r:id="rId59">
                  <o:LockedField>false</o:LockedField>
                </o:OLEObject>
              </w:object>
            </w:r>
            <w:r>
              <w:rPr>
                <w:rFonts w:hint="default" w:ascii="Times New Roman" w:hAnsi="Times New Roman" w:cs="Times New Roman"/>
                <w:color w:val="auto"/>
                <w:sz w:val="24"/>
                <w:highlight w:val="none"/>
                <w:vertAlign w:val="subscript"/>
              </w:rPr>
              <w:t>3</w:t>
            </w:r>
          </w:p>
          <w:p w14:paraId="4E12BE5E">
            <w:pPr>
              <w:tabs>
                <w:tab w:val="left" w:pos="720"/>
              </w:tabs>
              <w:autoSpaceDE w:val="0"/>
              <w:autoSpaceDN w:val="0"/>
              <w:adjustRightInd w:val="0"/>
              <w:spacing w:line="360" w:lineRule="auto"/>
              <w:ind w:left="408" w:leftChars="170" w:firstLine="1740" w:firstLineChars="725"/>
              <w:jc w:val="left"/>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38"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38" DrawAspect="Content" ObjectID="_1468075739" r:id="rId60">
                  <o:LockedField>false</o:LockedField>
                </o:OLEObject>
              </w:objec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lang w:val="zh-CN"/>
              </w:rPr>
              <w:object>
                <v:shape id="_x0000_i1039"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39" DrawAspect="Content" ObjectID="_1468075740" r:id="rId61">
                  <o:LockedField>false</o:LockedField>
                </o:OLEObject>
              </w:object>
            </w:r>
            <w:r>
              <w:rPr>
                <w:rFonts w:hint="default" w:ascii="Times New Roman" w:hAnsi="Times New Roman" w:cs="Times New Roman"/>
                <w:color w:val="auto"/>
                <w:sz w:val="24"/>
                <w:highlight w:val="none"/>
                <w:vertAlign w:val="subscript"/>
              </w:rPr>
              <w:t>坡度</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lang w:val="zh-CN"/>
              </w:rPr>
              <w:object>
                <v:shape id="_x0000_i1040"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40" DrawAspect="Content" ObjectID="_1468075741" r:id="rId62">
                  <o:LockedField>false</o:LockedField>
                </o:OLEObject>
              </w:object>
            </w:r>
            <w:r>
              <w:rPr>
                <w:rFonts w:hint="default" w:ascii="Times New Roman" w:hAnsi="Times New Roman" w:cs="Times New Roman"/>
                <w:color w:val="auto"/>
                <w:sz w:val="24"/>
                <w:highlight w:val="none"/>
                <w:vertAlign w:val="subscript"/>
              </w:rPr>
              <w:t>路面</w:t>
            </w:r>
          </w:p>
          <w:p w14:paraId="777F20D8">
            <w:pPr>
              <w:tabs>
                <w:tab w:val="left" w:pos="720"/>
              </w:tabs>
              <w:autoSpaceDE w:val="0"/>
              <w:autoSpaceDN w:val="0"/>
              <w:adjustRightInd w:val="0"/>
              <w:spacing w:line="360" w:lineRule="auto"/>
              <w:ind w:left="408" w:leftChars="170" w:firstLine="1740" w:firstLineChars="725"/>
              <w:jc w:val="left"/>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41"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41" DrawAspect="Content" ObjectID="_1468075742" r:id="rId63">
                  <o:LockedField>false</o:LockedField>
                </o:OLEObject>
              </w:objec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atm</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misc</w:t>
            </w:r>
          </w:p>
          <w:p w14:paraId="0135E86A">
            <w:pPr>
              <w:tabs>
                <w:tab w:val="left" w:pos="720"/>
              </w:tabs>
              <w:autoSpaceDE w:val="0"/>
              <w:autoSpaceDN w:val="0"/>
              <w:adjustRightInd w:val="0"/>
              <w:spacing w:line="360" w:lineRule="auto"/>
              <w:ind w:left="360" w:firstLine="42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t>式中</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zh-CN"/>
              </w:rPr>
              <w:object>
                <v:shape id="_x0000_i1042"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42" DrawAspect="Content" ObjectID="_1468075743" r:id="rId64">
                  <o:LockedField>false</o:LockedField>
                </o:OLEObject>
              </w:objec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--线路因素引起的修正量，dB(A)；</w:t>
            </w:r>
          </w:p>
          <w:p w14:paraId="65BD92C7">
            <w:pPr>
              <w:tabs>
                <w:tab w:val="left" w:pos="720"/>
              </w:tabs>
              <w:autoSpaceDE w:val="0"/>
              <w:autoSpaceDN w:val="0"/>
              <w:adjustRightInd w:val="0"/>
              <w:spacing w:line="360" w:lineRule="auto"/>
              <w:ind w:left="360" w:firstLine="112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43"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43" DrawAspect="Content" ObjectID="_1468075744" r:id="rId65">
                  <o:LockedField>false</o:LockedField>
                </o:OLEObject>
              </w:object>
            </w:r>
            <w:r>
              <w:rPr>
                <w:rFonts w:hint="default" w:ascii="Times New Roman" w:hAnsi="Times New Roman" w:cs="Times New Roman"/>
                <w:color w:val="auto"/>
                <w:sz w:val="24"/>
                <w:highlight w:val="none"/>
                <w:vertAlign w:val="subscript"/>
              </w:rPr>
              <w:t>坡度</w:t>
            </w:r>
            <w:r>
              <w:rPr>
                <w:rFonts w:hint="default" w:ascii="Times New Roman" w:hAnsi="Times New Roman" w:cs="Times New Roman"/>
                <w:color w:val="auto"/>
                <w:sz w:val="24"/>
                <w:highlight w:val="none"/>
              </w:rPr>
              <w:t>--公路纵坡修正量，dB(A)；</w:t>
            </w:r>
          </w:p>
          <w:p w14:paraId="300AC6AF">
            <w:pPr>
              <w:tabs>
                <w:tab w:val="left" w:pos="720"/>
              </w:tabs>
              <w:autoSpaceDE w:val="0"/>
              <w:autoSpaceDN w:val="0"/>
              <w:adjustRightInd w:val="0"/>
              <w:spacing w:line="360" w:lineRule="auto"/>
              <w:ind w:left="360" w:firstLine="112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44"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44" DrawAspect="Content" ObjectID="_1468075745" r:id="rId66">
                  <o:LockedField>false</o:LockedField>
                </o:OLEObject>
              </w:object>
            </w:r>
            <w:r>
              <w:rPr>
                <w:rFonts w:hint="default" w:ascii="Times New Roman" w:hAnsi="Times New Roman" w:cs="Times New Roman"/>
                <w:color w:val="auto"/>
                <w:sz w:val="24"/>
                <w:highlight w:val="none"/>
                <w:vertAlign w:val="subscript"/>
              </w:rPr>
              <w:t>路面</w:t>
            </w:r>
            <w:r>
              <w:rPr>
                <w:rFonts w:hint="default" w:ascii="Times New Roman" w:hAnsi="Times New Roman" w:cs="Times New Roman"/>
                <w:color w:val="auto"/>
                <w:sz w:val="24"/>
                <w:highlight w:val="none"/>
              </w:rPr>
              <w:t>--公路路面材料引起的修正量，dB(A)；</w:t>
            </w:r>
          </w:p>
          <w:p w14:paraId="6BB87319">
            <w:pPr>
              <w:tabs>
                <w:tab w:val="left" w:pos="720"/>
              </w:tabs>
              <w:autoSpaceDE w:val="0"/>
              <w:autoSpaceDN w:val="0"/>
              <w:adjustRightInd w:val="0"/>
              <w:spacing w:line="360" w:lineRule="auto"/>
              <w:ind w:left="360" w:firstLine="112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45"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45" DrawAspect="Content" ObjectID="_1468075746" r:id="rId67">
                  <o:LockedField>false</o:LockedField>
                </o:OLEObject>
              </w:objec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--声波传播途径引起的衰减量，dB(A)；</w:t>
            </w:r>
          </w:p>
          <w:p w14:paraId="2D9BFA8E">
            <w:pPr>
              <w:tabs>
                <w:tab w:val="left" w:pos="720"/>
              </w:tabs>
              <w:autoSpaceDE w:val="0"/>
              <w:autoSpaceDN w:val="0"/>
              <w:adjustRightInd w:val="0"/>
              <w:spacing w:line="360" w:lineRule="auto"/>
              <w:ind w:left="360" w:firstLine="112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zh-CN"/>
              </w:rPr>
              <w:object>
                <v:shape id="_x0000_i1046" o:spt="75" type="#_x0000_t75" style="height:13pt;width:18pt;" o:ole="t" filled="f" stroked="f" coordsize="21600,21600">
                  <v:path/>
                  <v:fill on="f" focussize="0,0"/>
                  <v:stroke on="f"/>
                  <v:imagedata r:id="rId55" o:title=""/>
                  <o:lock v:ext="edit" grouping="f" rotation="f" text="f" aspectratio="t"/>
                  <w10:wrap type="none"/>
                  <w10:anchorlock/>
                </v:shape>
                <o:OLEObject Type="Embed" ProgID="Equation.3" ShapeID="_x0000_i1046" DrawAspect="Content" ObjectID="_1468075747" r:id="rId68">
                  <o:LockedField>false</o:LockedField>
                </o:OLEObject>
              </w:objec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--由反射等引起的修正量，dB(A)。</w:t>
            </w:r>
          </w:p>
          <w:p w14:paraId="11F95E99">
            <w:pPr>
              <w:autoSpaceDE w:val="0"/>
              <w:autoSpaceDN w:val="0"/>
              <w:adjustRightInd w:val="0"/>
              <w:spacing w:line="360" w:lineRule="auto"/>
              <w:ind w:firstLine="420"/>
              <w:rPr>
                <w:rFonts w:hint="default" w:ascii="Times New Roman" w:hAnsi="Times New Roman" w:cs="Times New Roman"/>
                <w:bCs/>
                <w:color w:val="auto"/>
                <w:spacing w:val="6"/>
                <w:kern w:val="0"/>
                <w:sz w:val="24"/>
                <w:highlight w:val="none"/>
              </w:rPr>
            </w:pPr>
            <w:r>
              <w:rPr>
                <w:rFonts w:hint="default" w:ascii="Times New Roman" w:hAnsi="Times New Roman" w:cs="Times New Roman"/>
                <w:bCs/>
                <w:color w:val="auto"/>
                <w:spacing w:val="6"/>
                <w:kern w:val="0"/>
                <w:sz w:val="24"/>
                <w:highlight w:val="none"/>
              </w:rPr>
              <w:t>b）总车流等效声级</w:t>
            </w:r>
          </w:p>
          <w:p w14:paraId="61F68841">
            <w:pPr>
              <w:autoSpaceDE w:val="0"/>
              <w:autoSpaceDN w:val="0"/>
              <w:adjustRightInd w:val="0"/>
              <w:spacing w:line="360" w:lineRule="auto"/>
              <w:ind w:firstLine="420"/>
              <w:rPr>
                <w:rFonts w:hint="default" w:ascii="Times New Roman" w:hAnsi="Times New Roman" w:cs="Times New Roman"/>
                <w:color w:val="auto"/>
                <w:spacing w:val="6"/>
                <w:kern w:val="0"/>
                <w:sz w:val="24"/>
                <w:highlight w:val="none"/>
              </w:rPr>
            </w:pPr>
            <w:r>
              <w:rPr>
                <w:rFonts w:hint="default" w:ascii="Times New Roman" w:hAnsi="Times New Roman" w:cs="Times New Roman"/>
                <w:color w:val="auto"/>
                <w:kern w:val="0"/>
                <w:sz w:val="24"/>
                <w:highlight w:val="none"/>
                <w:lang w:val="zh-CN"/>
              </w:rPr>
              <w:object>
                <v:shape id="_x0000_i1047" o:spt="75" type="#_x0000_t75" style="height:19pt;width:247pt;" o:ole="t" filled="f" stroked="f" coordsize="21600,21600">
                  <v:path/>
                  <v:fill on="f" focussize="0,0"/>
                  <v:stroke on="f"/>
                  <v:imagedata r:id="rId70" o:title=""/>
                  <o:lock v:ext="edit" grouping="f" rotation="f" text="f" aspectratio="t"/>
                  <w10:wrap type="none"/>
                  <w10:anchorlock/>
                </v:shape>
                <o:OLEObject Type="Embed" ProgID="Equation.3" ShapeID="_x0000_i1047" DrawAspect="Content" ObjectID="_1468075748" r:id="rId69">
                  <o:LockedField>false</o:LockedField>
                </o:OLEObject>
              </w:object>
            </w:r>
          </w:p>
          <w:p w14:paraId="6EE53D58">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式中各项意义同上。</w:t>
            </w:r>
          </w:p>
          <w:p w14:paraId="39B7033B">
            <w:pPr>
              <w:pStyle w:val="23"/>
              <w:spacing w:line="360" w:lineRule="auto"/>
              <w:ind w:firstLine="439" w:firstLineChars="182"/>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rPr>
              <w:t>（2）模式中参数的确定</w:t>
            </w:r>
          </w:p>
          <w:p w14:paraId="3D7CD623">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①车型分类</w:t>
            </w:r>
          </w:p>
          <w:p w14:paraId="2498C8D3">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车型分类（大、中、小型车）方法见表7-</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rPr>
              <w:t>。</w:t>
            </w:r>
          </w:p>
          <w:p w14:paraId="5978F056">
            <w:pPr>
              <w:spacing w:line="276" w:lineRule="auto"/>
              <w:jc w:val="center"/>
              <w:rPr>
                <w:rFonts w:hint="default" w:ascii="Times New Roman" w:hAnsi="Times New Roman" w:cs="Times New Roman"/>
                <w:b/>
                <w:bCs/>
                <w:color w:val="auto"/>
                <w:kern w:val="0"/>
                <w:sz w:val="24"/>
                <w:highlight w:val="none"/>
                <w:lang w:val="zh-CN"/>
              </w:rPr>
            </w:pPr>
            <w:r>
              <w:rPr>
                <w:rFonts w:hint="default" w:ascii="Times New Roman" w:hAnsi="Times New Roman" w:cs="Times New Roman"/>
                <w:b/>
                <w:bCs/>
                <w:color w:val="auto"/>
                <w:kern w:val="0"/>
                <w:sz w:val="24"/>
                <w:highlight w:val="none"/>
                <w:lang w:val="zh-CN"/>
              </w:rPr>
              <w:t>表7-</w:t>
            </w:r>
            <w:r>
              <w:rPr>
                <w:rFonts w:hint="eastAsia" w:cs="Times New Roman"/>
                <w:b/>
                <w:bCs/>
                <w:color w:val="auto"/>
                <w:kern w:val="0"/>
                <w:sz w:val="24"/>
                <w:highlight w:val="none"/>
                <w:lang w:val="en-US" w:eastAsia="zh-CN"/>
              </w:rPr>
              <w:t>7</w:t>
            </w:r>
            <w:r>
              <w:rPr>
                <w:rFonts w:hint="default" w:ascii="Times New Roman" w:hAnsi="Times New Roman" w:cs="Times New Roman"/>
                <w:b/>
                <w:bCs/>
                <w:color w:val="auto"/>
                <w:kern w:val="0"/>
                <w:sz w:val="24"/>
                <w:highlight w:val="none"/>
              </w:rPr>
              <w:t xml:space="preserve"> </w:t>
            </w:r>
            <w:r>
              <w:rPr>
                <w:rFonts w:hint="default" w:ascii="Times New Roman" w:hAnsi="Times New Roman" w:cs="Times New Roman"/>
                <w:b/>
                <w:bCs/>
                <w:color w:val="auto"/>
                <w:kern w:val="0"/>
                <w:sz w:val="24"/>
                <w:highlight w:val="none"/>
                <w:lang w:val="zh-CN"/>
              </w:rPr>
              <w:t xml:space="preserve"> 车型分类</w:t>
            </w:r>
          </w:p>
          <w:tbl>
            <w:tblPr>
              <w:tblStyle w:val="15"/>
              <w:tblW w:w="0" w:type="auto"/>
              <w:jc w:val="center"/>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537"/>
              <w:gridCol w:w="5769"/>
            </w:tblGrid>
            <w:tr w14:paraId="1CFE3E97">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2537" w:type="dxa"/>
                  <w:noWrap w:val="0"/>
                  <w:vAlign w:val="top"/>
                </w:tcPr>
                <w:p w14:paraId="2F6E6300">
                  <w:pPr>
                    <w:pStyle w:val="22"/>
                    <w:adjustRightInd w:val="0"/>
                    <w:spacing w:line="240" w:lineRule="auto"/>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车型</w:t>
                  </w:r>
                </w:p>
              </w:tc>
              <w:tc>
                <w:tcPr>
                  <w:tcW w:w="5770" w:type="dxa"/>
                  <w:tcBorders>
                    <w:top w:val="single" w:color="auto" w:sz="4" w:space="0"/>
                    <w:left w:val="single" w:color="auto" w:sz="4" w:space="0"/>
                    <w:bottom w:val="single" w:color="auto" w:sz="4" w:space="0"/>
                    <w:right w:val="single" w:color="auto" w:sz="4" w:space="0"/>
                  </w:tcBorders>
                  <w:noWrap w:val="0"/>
                  <w:vAlign w:val="top"/>
                </w:tcPr>
                <w:p w14:paraId="32B9D25D">
                  <w:pPr>
                    <w:pStyle w:val="22"/>
                    <w:adjustRightInd w:val="0"/>
                    <w:spacing w:line="240" w:lineRule="auto"/>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总质量（GVM）</w:t>
                  </w:r>
                </w:p>
              </w:tc>
            </w:tr>
            <w:tr w14:paraId="3A4A97D7">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2537" w:type="dxa"/>
                  <w:tcBorders>
                    <w:top w:val="single" w:color="auto" w:sz="4" w:space="0"/>
                    <w:left w:val="single" w:color="auto" w:sz="4" w:space="0"/>
                    <w:bottom w:val="single" w:color="auto" w:sz="4" w:space="0"/>
                    <w:right w:val="single" w:color="auto" w:sz="4" w:space="0"/>
                  </w:tcBorders>
                  <w:noWrap w:val="0"/>
                  <w:vAlign w:val="top"/>
                </w:tcPr>
                <w:p w14:paraId="01DFCA8F">
                  <w:pPr>
                    <w:pStyle w:val="22"/>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小型车</w:t>
                  </w:r>
                </w:p>
              </w:tc>
              <w:tc>
                <w:tcPr>
                  <w:tcW w:w="5770" w:type="dxa"/>
                  <w:tcBorders>
                    <w:top w:val="single" w:color="auto" w:sz="4" w:space="0"/>
                    <w:left w:val="single" w:color="auto" w:sz="4" w:space="0"/>
                    <w:bottom w:val="single" w:color="auto" w:sz="4" w:space="0"/>
                    <w:right w:val="single" w:color="auto" w:sz="4" w:space="0"/>
                  </w:tcBorders>
                  <w:noWrap w:val="0"/>
                  <w:vAlign w:val="top"/>
                </w:tcPr>
                <w:p w14:paraId="730D26FE">
                  <w:pPr>
                    <w:pStyle w:val="22"/>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≤3.5t，M1，M2，N1</w:t>
                  </w:r>
                </w:p>
              </w:tc>
            </w:tr>
            <w:tr w14:paraId="530C9415">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2537" w:type="dxa"/>
                  <w:tcBorders>
                    <w:top w:val="single" w:color="auto" w:sz="4" w:space="0"/>
                    <w:left w:val="single" w:color="auto" w:sz="4" w:space="0"/>
                    <w:bottom w:val="single" w:color="auto" w:sz="4" w:space="0"/>
                    <w:right w:val="single" w:color="auto" w:sz="4" w:space="0"/>
                  </w:tcBorders>
                  <w:noWrap w:val="0"/>
                  <w:vAlign w:val="top"/>
                </w:tcPr>
                <w:p w14:paraId="38E2AAF5">
                  <w:pPr>
                    <w:pStyle w:val="22"/>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中型车</w:t>
                  </w:r>
                </w:p>
              </w:tc>
              <w:tc>
                <w:tcPr>
                  <w:tcW w:w="5770" w:type="dxa"/>
                  <w:tcBorders>
                    <w:top w:val="single" w:color="auto" w:sz="4" w:space="0"/>
                    <w:left w:val="single" w:color="auto" w:sz="4" w:space="0"/>
                    <w:bottom w:val="single" w:color="auto" w:sz="4" w:space="0"/>
                    <w:right w:val="single" w:color="auto" w:sz="4" w:space="0"/>
                  </w:tcBorders>
                  <w:noWrap w:val="0"/>
                  <w:vAlign w:val="top"/>
                </w:tcPr>
                <w:p w14:paraId="169D781D">
                  <w:pPr>
                    <w:pStyle w:val="22"/>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3.5t~12t，M2，M3，N2</w:t>
                  </w:r>
                </w:p>
              </w:tc>
            </w:tr>
            <w:tr w14:paraId="787EBA6D">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6" w:hRule="atLeast"/>
                <w:jc w:val="center"/>
              </w:trPr>
              <w:tc>
                <w:tcPr>
                  <w:tcW w:w="2537" w:type="dxa"/>
                  <w:tcBorders>
                    <w:top w:val="single" w:color="auto" w:sz="4" w:space="0"/>
                    <w:left w:val="single" w:color="auto" w:sz="4" w:space="0"/>
                    <w:bottom w:val="single" w:color="auto" w:sz="4" w:space="0"/>
                    <w:right w:val="single" w:color="auto" w:sz="4" w:space="0"/>
                  </w:tcBorders>
                  <w:noWrap w:val="0"/>
                  <w:vAlign w:val="top"/>
                </w:tcPr>
                <w:p w14:paraId="3E850F9E">
                  <w:pPr>
                    <w:pStyle w:val="22"/>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大型车</w:t>
                  </w:r>
                </w:p>
              </w:tc>
              <w:tc>
                <w:tcPr>
                  <w:tcW w:w="5770" w:type="dxa"/>
                  <w:tcBorders>
                    <w:top w:val="single" w:color="auto" w:sz="4" w:space="0"/>
                    <w:left w:val="single" w:color="auto" w:sz="4" w:space="0"/>
                    <w:bottom w:val="single" w:color="auto" w:sz="4" w:space="0"/>
                    <w:right w:val="single" w:color="auto" w:sz="4" w:space="0"/>
                  </w:tcBorders>
                  <w:noWrap w:val="0"/>
                  <w:vAlign w:val="top"/>
                </w:tcPr>
                <w:p w14:paraId="6386B3F5">
                  <w:pPr>
                    <w:pStyle w:val="22"/>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＞12t，N3</w:t>
                  </w:r>
                </w:p>
              </w:tc>
            </w:tr>
          </w:tbl>
          <w:p w14:paraId="7E5C3769">
            <w:pPr>
              <w:pStyle w:val="23"/>
              <w:snapToGrid w:val="0"/>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注：M1，M2，M3，N1，N2，N3和GB1495划定方法一致。</w:t>
            </w:r>
          </w:p>
          <w:p w14:paraId="19F07443">
            <w:pPr>
              <w:pStyle w:val="23"/>
              <w:snapToGrid w:val="0"/>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②交通量</w:t>
            </w:r>
          </w:p>
          <w:p w14:paraId="06CC4363">
            <w:pPr>
              <w:pStyle w:val="23"/>
              <w:snapToGrid w:val="0"/>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根据道路设计交通量及车型比、昼夜比情况，计算出本项目道路工程特征年昼间、夜间平均小时交通量，具体见工程分析中的表5-</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rPr>
              <w:t>。</w:t>
            </w:r>
          </w:p>
          <w:p w14:paraId="46EB5468">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③各型车辆的平均辐射声级</w:t>
            </w:r>
          </w:p>
          <w:p w14:paraId="4123CE8C">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各型车辆的平均辐射声级按照《公路建设项目环境影响评价规范》推荐公式计算，计算结果见工程分析中的表5-</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w:t>
            </w:r>
          </w:p>
          <w:p w14:paraId="38F4584E">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④线路因素引起的修正量</w:t>
            </w:r>
          </w:p>
          <w:p w14:paraId="60E2FC43">
            <w:pPr>
              <w:pStyle w:val="33"/>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·纵坡修正量（Δ</w:t>
            </w:r>
            <w:r>
              <w:rPr>
                <w:rFonts w:hint="default" w:ascii="Times New Roman" w:hAnsi="Times New Roman" w:cs="Times New Roman"/>
                <w:i/>
                <w:color w:val="auto"/>
                <w:sz w:val="24"/>
                <w:szCs w:val="24"/>
                <w:highlight w:val="none"/>
              </w:rPr>
              <w:t>L</w:t>
            </w:r>
            <w:r>
              <w:rPr>
                <w:rFonts w:hint="default" w:ascii="Times New Roman" w:hAnsi="Times New Roman" w:cs="Times New Roman"/>
                <w:color w:val="auto"/>
                <w:sz w:val="24"/>
                <w:szCs w:val="24"/>
                <w:highlight w:val="none"/>
                <w:vertAlign w:val="subscript"/>
              </w:rPr>
              <w:t>纵坡</w:t>
            </w:r>
            <w:r>
              <w:rPr>
                <w:rFonts w:hint="default" w:ascii="Times New Roman" w:hAnsi="Times New Roman" w:cs="Times New Roman"/>
                <w:color w:val="auto"/>
                <w:sz w:val="24"/>
                <w:szCs w:val="24"/>
                <w:highlight w:val="none"/>
              </w:rPr>
              <w:t>）</w:t>
            </w:r>
          </w:p>
          <w:p w14:paraId="21C38215">
            <w:pPr>
              <w:pStyle w:val="33"/>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公路纵坡修正量Δ</w:t>
            </w:r>
            <w:r>
              <w:rPr>
                <w:rFonts w:hint="default" w:ascii="Times New Roman" w:hAnsi="Times New Roman" w:cs="Times New Roman"/>
                <w:i/>
                <w:color w:val="auto"/>
                <w:sz w:val="24"/>
                <w:szCs w:val="24"/>
                <w:highlight w:val="none"/>
              </w:rPr>
              <w:t>L</w:t>
            </w:r>
            <w:r>
              <w:rPr>
                <w:rFonts w:hint="default" w:ascii="Times New Roman" w:hAnsi="Times New Roman" w:cs="Times New Roman"/>
                <w:color w:val="auto"/>
                <w:sz w:val="24"/>
                <w:szCs w:val="24"/>
                <w:highlight w:val="none"/>
                <w:vertAlign w:val="subscript"/>
              </w:rPr>
              <w:t>纵坡</w:t>
            </w:r>
            <w:r>
              <w:rPr>
                <w:rFonts w:hint="default" w:ascii="Times New Roman" w:hAnsi="Times New Roman" w:cs="Times New Roman"/>
                <w:color w:val="auto"/>
                <w:sz w:val="24"/>
                <w:szCs w:val="24"/>
                <w:highlight w:val="none"/>
              </w:rPr>
              <w:t>可按下式计算：</w:t>
            </w:r>
          </w:p>
          <w:p w14:paraId="582BCE6B">
            <w:pPr>
              <w:pStyle w:val="33"/>
              <w:ind w:firstLine="960" w:firstLineChars="4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大型车：ΔL</w:t>
            </w:r>
            <w:r>
              <w:rPr>
                <w:rFonts w:hint="default" w:ascii="Times New Roman" w:hAnsi="Times New Roman" w:cs="Times New Roman"/>
                <w:color w:val="auto"/>
                <w:sz w:val="24"/>
                <w:szCs w:val="24"/>
                <w:highlight w:val="none"/>
                <w:vertAlign w:val="subscript"/>
              </w:rPr>
              <w:t>纵坡</w:t>
            </w:r>
            <w:r>
              <w:rPr>
                <w:rFonts w:hint="default" w:ascii="Times New Roman" w:hAnsi="Times New Roman" w:cs="Times New Roman"/>
                <w:color w:val="auto"/>
                <w:sz w:val="24"/>
                <w:szCs w:val="24"/>
                <w:highlight w:val="none"/>
              </w:rPr>
              <w:t xml:space="preserve">=98×β   (dB)  </w:t>
            </w:r>
          </w:p>
          <w:p w14:paraId="32A0C36D">
            <w:pPr>
              <w:pStyle w:val="33"/>
              <w:ind w:firstLine="960" w:firstLineChars="4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中型车：ΔL</w:t>
            </w:r>
            <w:r>
              <w:rPr>
                <w:rFonts w:hint="default" w:ascii="Times New Roman" w:hAnsi="Times New Roman" w:cs="Times New Roman"/>
                <w:color w:val="auto"/>
                <w:sz w:val="24"/>
                <w:szCs w:val="24"/>
                <w:highlight w:val="none"/>
                <w:vertAlign w:val="subscript"/>
              </w:rPr>
              <w:t>纵坡</w:t>
            </w:r>
            <w:r>
              <w:rPr>
                <w:rFonts w:hint="default" w:ascii="Times New Roman" w:hAnsi="Times New Roman" w:cs="Times New Roman"/>
                <w:color w:val="auto"/>
                <w:sz w:val="24"/>
                <w:szCs w:val="24"/>
                <w:highlight w:val="none"/>
              </w:rPr>
              <w:t xml:space="preserve">=73×β   (dB)  </w:t>
            </w:r>
          </w:p>
          <w:p w14:paraId="7B8F8252">
            <w:pPr>
              <w:pStyle w:val="33"/>
              <w:ind w:firstLine="960" w:firstLineChars="4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小型车：ΔL</w:t>
            </w:r>
            <w:r>
              <w:rPr>
                <w:rFonts w:hint="default" w:ascii="Times New Roman" w:hAnsi="Times New Roman" w:cs="Times New Roman"/>
                <w:color w:val="auto"/>
                <w:sz w:val="24"/>
                <w:szCs w:val="24"/>
                <w:highlight w:val="none"/>
                <w:vertAlign w:val="subscript"/>
              </w:rPr>
              <w:t>纵坡</w:t>
            </w:r>
            <w:r>
              <w:rPr>
                <w:rFonts w:hint="default" w:ascii="Times New Roman" w:hAnsi="Times New Roman" w:cs="Times New Roman"/>
                <w:color w:val="auto"/>
                <w:sz w:val="24"/>
                <w:szCs w:val="24"/>
                <w:highlight w:val="none"/>
              </w:rPr>
              <w:t xml:space="preserve">=50×β   (dB)  </w:t>
            </w:r>
          </w:p>
          <w:p w14:paraId="0E891C6A">
            <w:pPr>
              <w:pStyle w:val="33"/>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式中：β--公路纵坡坡度，%。</w:t>
            </w:r>
          </w:p>
          <w:p w14:paraId="524987C3">
            <w:pPr>
              <w:pStyle w:val="33"/>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·路面修正量（Δ</w:t>
            </w:r>
            <w:r>
              <w:rPr>
                <w:rFonts w:hint="default" w:ascii="Times New Roman" w:hAnsi="Times New Roman" w:cs="Times New Roman"/>
                <w:i/>
                <w:color w:val="auto"/>
                <w:sz w:val="24"/>
                <w:szCs w:val="24"/>
                <w:highlight w:val="none"/>
              </w:rPr>
              <w:t>L</w:t>
            </w:r>
            <w:r>
              <w:rPr>
                <w:rFonts w:hint="default" w:ascii="Times New Roman" w:hAnsi="Times New Roman" w:cs="Times New Roman"/>
                <w:color w:val="auto"/>
                <w:sz w:val="24"/>
                <w:szCs w:val="24"/>
                <w:highlight w:val="none"/>
                <w:vertAlign w:val="subscript"/>
              </w:rPr>
              <w:t>路面</w:t>
            </w:r>
            <w:r>
              <w:rPr>
                <w:rFonts w:hint="default" w:ascii="Times New Roman" w:hAnsi="Times New Roman" w:cs="Times New Roman"/>
                <w:color w:val="auto"/>
                <w:sz w:val="24"/>
                <w:szCs w:val="24"/>
                <w:highlight w:val="none"/>
              </w:rPr>
              <w:t>）</w:t>
            </w:r>
          </w:p>
          <w:p w14:paraId="26E03A27">
            <w:pPr>
              <w:pStyle w:val="33"/>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不同路面的噪声修正量见表</w:t>
            </w:r>
            <w:r>
              <w:rPr>
                <w:rFonts w:hint="default" w:ascii="Times New Roman" w:hAnsi="Times New Roman" w:cs="Times New Roman"/>
                <w:color w:val="auto"/>
                <w:sz w:val="24"/>
                <w:szCs w:val="24"/>
                <w:highlight w:val="none"/>
                <w:lang w:val="en-US"/>
              </w:rPr>
              <w:t>7</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w:t>
            </w:r>
          </w:p>
          <w:p w14:paraId="57F32A0E">
            <w:pPr>
              <w:spacing w:line="360" w:lineRule="auto"/>
              <w:jc w:val="center"/>
              <w:rPr>
                <w:rFonts w:hint="default" w:ascii="Times New Roman" w:hAnsi="Times New Roman" w:cs="Times New Roman"/>
                <w:b/>
                <w:bCs/>
                <w:color w:val="auto"/>
                <w:kern w:val="0"/>
                <w:sz w:val="24"/>
                <w:highlight w:val="none"/>
                <w:lang w:val="zh-CN"/>
              </w:rPr>
            </w:pPr>
            <w:r>
              <w:rPr>
                <w:rFonts w:hint="default" w:ascii="Times New Roman" w:hAnsi="Times New Roman" w:cs="Times New Roman"/>
                <w:b/>
                <w:bCs/>
                <w:color w:val="auto"/>
                <w:kern w:val="0"/>
                <w:sz w:val="24"/>
                <w:highlight w:val="none"/>
                <w:lang w:val="zh-CN"/>
              </w:rPr>
              <w:t>表7-</w:t>
            </w:r>
            <w:r>
              <w:rPr>
                <w:rFonts w:hint="eastAsia" w:cs="Times New Roman"/>
                <w:b/>
                <w:bCs/>
                <w:color w:val="auto"/>
                <w:kern w:val="0"/>
                <w:sz w:val="24"/>
                <w:highlight w:val="none"/>
                <w:lang w:val="en-US" w:eastAsia="zh-CN"/>
              </w:rPr>
              <w:t>8</w:t>
            </w:r>
            <w:r>
              <w:rPr>
                <w:rFonts w:hint="default" w:ascii="Times New Roman" w:hAnsi="Times New Roman" w:cs="Times New Roman"/>
                <w:b/>
                <w:bCs/>
                <w:color w:val="auto"/>
                <w:kern w:val="0"/>
                <w:sz w:val="24"/>
                <w:highlight w:val="none"/>
                <w:lang w:val="zh-CN"/>
              </w:rPr>
              <w:t xml:space="preserve">  常见路面噪声修正量  单位：dB(A)</w:t>
            </w:r>
          </w:p>
          <w:tbl>
            <w:tblPr>
              <w:tblStyle w:val="15"/>
              <w:tblW w:w="0" w:type="auto"/>
              <w:jc w:val="center"/>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511"/>
              <w:gridCol w:w="1914"/>
              <w:gridCol w:w="1914"/>
              <w:gridCol w:w="1881"/>
            </w:tblGrid>
            <w:tr w14:paraId="34B7768C">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8" w:hRule="exact"/>
                <w:jc w:val="center"/>
              </w:trPr>
              <w:tc>
                <w:tcPr>
                  <w:tcW w:w="2511" w:type="dxa"/>
                  <w:vMerge w:val="restart"/>
                  <w:noWrap w:val="0"/>
                  <w:vAlign w:val="center"/>
                </w:tcPr>
                <w:p w14:paraId="176052D1">
                  <w:pPr>
                    <w:pStyle w:val="5"/>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路面类型</w:t>
                  </w:r>
                </w:p>
              </w:tc>
              <w:tc>
                <w:tcPr>
                  <w:tcW w:w="5709" w:type="dxa"/>
                  <w:gridSpan w:val="3"/>
                  <w:tcBorders>
                    <w:top w:val="single" w:color="auto" w:sz="4" w:space="0"/>
                    <w:left w:val="single" w:color="auto" w:sz="4" w:space="0"/>
                    <w:bottom w:val="single" w:color="auto" w:sz="4" w:space="0"/>
                    <w:right w:val="single" w:color="auto" w:sz="4" w:space="0"/>
                  </w:tcBorders>
                  <w:noWrap w:val="0"/>
                  <w:vAlign w:val="center"/>
                </w:tcPr>
                <w:p w14:paraId="04900AF5">
                  <w:pPr>
                    <w:pStyle w:val="5"/>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不同行驶速度修正量km/h</w:t>
                  </w:r>
                </w:p>
              </w:tc>
            </w:tr>
            <w:tr w14:paraId="251BCBC4">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8" w:hRule="exact"/>
                <w:jc w:val="center"/>
              </w:trPr>
              <w:tc>
                <w:tcPr>
                  <w:tcW w:w="2511" w:type="dxa"/>
                  <w:vMerge w:val="continue"/>
                  <w:tcBorders>
                    <w:top w:val="single" w:color="auto" w:sz="4" w:space="0"/>
                    <w:left w:val="single" w:color="auto" w:sz="4" w:space="0"/>
                    <w:bottom w:val="single" w:color="auto" w:sz="4" w:space="0"/>
                    <w:right w:val="single" w:color="auto" w:sz="4" w:space="0"/>
                  </w:tcBorders>
                  <w:noWrap w:val="0"/>
                  <w:vAlign w:val="center"/>
                </w:tcPr>
                <w:p w14:paraId="2297E35E">
                  <w:pPr>
                    <w:pStyle w:val="5"/>
                    <w:spacing w:line="240" w:lineRule="auto"/>
                    <w:ind w:firstLine="0" w:firstLineChars="0"/>
                    <w:jc w:val="center"/>
                    <w:rPr>
                      <w:rFonts w:hint="default" w:ascii="Times New Roman" w:hAnsi="Times New Roman" w:cs="Times New Roman"/>
                      <w:color w:val="auto"/>
                      <w:sz w:val="21"/>
                      <w:szCs w:val="21"/>
                      <w:highlight w:val="none"/>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5CBA51B">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BAD753B">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1881" w:type="dxa"/>
                  <w:tcBorders>
                    <w:top w:val="single" w:color="auto" w:sz="4" w:space="0"/>
                    <w:left w:val="single" w:color="auto" w:sz="4" w:space="0"/>
                    <w:bottom w:val="single" w:color="auto" w:sz="4" w:space="0"/>
                    <w:right w:val="single" w:color="auto" w:sz="4" w:space="0"/>
                  </w:tcBorders>
                  <w:noWrap w:val="0"/>
                  <w:vAlign w:val="center"/>
                </w:tcPr>
                <w:p w14:paraId="28676B97">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14:paraId="0BA4CCB2">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8" w:hRule="exact"/>
                <w:jc w:val="center"/>
              </w:trPr>
              <w:tc>
                <w:tcPr>
                  <w:tcW w:w="2511" w:type="dxa"/>
                  <w:tcBorders>
                    <w:top w:val="single" w:color="auto" w:sz="4" w:space="0"/>
                    <w:left w:val="single" w:color="auto" w:sz="4" w:space="0"/>
                    <w:bottom w:val="single" w:color="auto" w:sz="4" w:space="0"/>
                    <w:right w:val="single" w:color="auto" w:sz="4" w:space="0"/>
                  </w:tcBorders>
                  <w:noWrap w:val="0"/>
                  <w:vAlign w:val="center"/>
                </w:tcPr>
                <w:p w14:paraId="1D810B2E">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沥青混凝土</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005194C">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178D93F">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881" w:type="dxa"/>
                  <w:tcBorders>
                    <w:top w:val="single" w:color="auto" w:sz="4" w:space="0"/>
                    <w:left w:val="single" w:color="auto" w:sz="4" w:space="0"/>
                    <w:bottom w:val="single" w:color="auto" w:sz="4" w:space="0"/>
                    <w:right w:val="single" w:color="auto" w:sz="4" w:space="0"/>
                  </w:tcBorders>
                  <w:noWrap w:val="0"/>
                  <w:vAlign w:val="center"/>
                </w:tcPr>
                <w:p w14:paraId="7C70ABBA">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720B1776">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9" w:hRule="exact"/>
                <w:jc w:val="center"/>
              </w:trPr>
              <w:tc>
                <w:tcPr>
                  <w:tcW w:w="2511" w:type="dxa"/>
                  <w:tcBorders>
                    <w:top w:val="single" w:color="auto" w:sz="4" w:space="0"/>
                    <w:left w:val="single" w:color="auto" w:sz="4" w:space="0"/>
                    <w:bottom w:val="single" w:color="auto" w:sz="4" w:space="0"/>
                    <w:right w:val="single" w:color="auto" w:sz="4" w:space="0"/>
                  </w:tcBorders>
                  <w:noWrap w:val="0"/>
                  <w:vAlign w:val="center"/>
                </w:tcPr>
                <w:p w14:paraId="1EBA25BC">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水泥混凝土</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010AE5B">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E2BDFEC">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881" w:type="dxa"/>
                  <w:tcBorders>
                    <w:top w:val="single" w:color="auto" w:sz="4" w:space="0"/>
                    <w:left w:val="single" w:color="auto" w:sz="4" w:space="0"/>
                    <w:bottom w:val="single" w:color="auto" w:sz="4" w:space="0"/>
                    <w:right w:val="single" w:color="auto" w:sz="4" w:space="0"/>
                  </w:tcBorders>
                  <w:noWrap w:val="0"/>
                  <w:vAlign w:val="center"/>
                </w:tcPr>
                <w:p w14:paraId="505C43C7">
                  <w:pPr>
                    <w:pStyle w:val="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bl>
          <w:p w14:paraId="01DAB40A">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⑤由反射等引起的修正量</w:t>
            </w:r>
          </w:p>
          <w:p w14:paraId="41C2333C">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根据项目区临路建筑平均高度，建筑物间距不小于总计算高度的30%，因此不予考虑反射声修正量。</w:t>
            </w:r>
          </w:p>
          <w:p w14:paraId="396BA595">
            <w:pPr>
              <w:pStyle w:val="23"/>
              <w:numPr>
                <w:ilvl w:val="0"/>
                <w:numId w:val="30"/>
              </w:numPr>
              <w:spacing w:line="360" w:lineRule="auto"/>
              <w:ind w:left="0" w:leftChars="0" w:firstLine="482" w:firstLineChars="200"/>
              <w:rPr>
                <w:rFonts w:hint="default" w:ascii="Times New Roman" w:hAnsi="Times New Roman" w:cs="Times New Roman"/>
                <w:b/>
                <w:bCs w:val="0"/>
                <w:color w:val="auto"/>
                <w:sz w:val="24"/>
                <w:highlight w:val="none"/>
              </w:rPr>
            </w:pPr>
            <w:bookmarkStart w:id="52" w:name="_Toc274929329"/>
            <w:r>
              <w:rPr>
                <w:rFonts w:hint="default" w:ascii="Times New Roman" w:hAnsi="Times New Roman" w:cs="Times New Roman"/>
                <w:b/>
                <w:bCs w:val="0"/>
                <w:color w:val="auto"/>
                <w:sz w:val="24"/>
                <w:highlight w:val="none"/>
              </w:rPr>
              <w:t>噪声预测结果</w:t>
            </w:r>
            <w:bookmarkEnd w:id="52"/>
          </w:p>
          <w:p w14:paraId="7DC2CB50">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交通噪声影响值预测结果</w:t>
            </w:r>
          </w:p>
          <w:p w14:paraId="7BD0414D">
            <w:pPr>
              <w:pStyle w:val="23"/>
              <w:spacing w:line="360" w:lineRule="auto"/>
              <w:ind w:firstLine="436" w:firstLineChars="182"/>
              <w:rPr>
                <w:rFonts w:hint="default" w:ascii="Times New Roman" w:hAnsi="Times New Roman" w:cs="Times New Roman"/>
                <w:b/>
                <w:bCs/>
                <w:color w:val="auto"/>
                <w:kern w:val="0"/>
                <w:sz w:val="24"/>
                <w:highlight w:val="none"/>
                <w:lang w:val="zh-CN"/>
              </w:rPr>
            </w:pPr>
            <w:r>
              <w:rPr>
                <w:rFonts w:hint="default" w:ascii="Times New Roman" w:hAnsi="Times New Roman" w:cs="Times New Roman"/>
                <w:color w:val="auto"/>
                <w:sz w:val="24"/>
                <w:highlight w:val="none"/>
              </w:rPr>
              <w:t>该公路营运期通车后，交通噪声为主要的噪声源，为反映车辆交通噪声对道路两侧的影响，根据选定的预测模式和参数，预测基于每个路段零路基高度（预测点高度取距地面1.2m），分别计算距道路红线两侧不同水平距离在营运期的交通噪声影响值。营运期交通噪声预测结果见表7-</w:t>
            </w:r>
            <w:r>
              <w:rPr>
                <w:rFonts w:hint="eastAsia" w:cs="Times New Roman"/>
                <w:color w:val="auto"/>
                <w:sz w:val="24"/>
                <w:highlight w:val="none"/>
                <w:lang w:val="en-US" w:eastAsia="zh-CN"/>
              </w:rPr>
              <w:t>9</w:t>
            </w:r>
            <w:r>
              <w:rPr>
                <w:rFonts w:hint="eastAsia" w:cs="Times New Roman"/>
                <w:color w:val="auto"/>
                <w:sz w:val="24"/>
                <w:highlight w:val="none"/>
                <w:lang w:eastAsia="zh-CN"/>
              </w:rPr>
              <w:t>和</w:t>
            </w:r>
            <w:r>
              <w:rPr>
                <w:rFonts w:hint="eastAsia" w:cs="Times New Roman"/>
                <w:color w:val="auto"/>
                <w:sz w:val="24"/>
                <w:highlight w:val="none"/>
                <w:lang w:val="en-US" w:eastAsia="zh-CN"/>
              </w:rPr>
              <w:t>7-10</w:t>
            </w:r>
            <w:r>
              <w:rPr>
                <w:rFonts w:hint="default" w:ascii="Times New Roman" w:hAnsi="Times New Roman" w:cs="Times New Roman"/>
                <w:color w:val="auto"/>
                <w:sz w:val="24"/>
                <w:highlight w:val="none"/>
              </w:rPr>
              <w:t>。</w:t>
            </w:r>
          </w:p>
          <w:p w14:paraId="737FF709">
            <w:pPr>
              <w:spacing w:line="276" w:lineRule="auto"/>
              <w:jc w:val="center"/>
              <w:rPr>
                <w:rFonts w:hint="default" w:ascii="Times New Roman" w:hAnsi="Times New Roman" w:cs="Times New Roman"/>
                <w:b/>
                <w:bCs/>
                <w:color w:val="auto"/>
                <w:kern w:val="0"/>
                <w:sz w:val="24"/>
                <w:highlight w:val="none"/>
                <w:lang w:val="zh-CN"/>
              </w:rPr>
            </w:pPr>
            <w:r>
              <w:rPr>
                <w:rFonts w:hint="default" w:ascii="Times New Roman" w:hAnsi="Times New Roman" w:cs="Times New Roman"/>
                <w:b/>
                <w:bCs/>
                <w:color w:val="auto"/>
                <w:kern w:val="0"/>
                <w:sz w:val="24"/>
                <w:highlight w:val="none"/>
                <w:lang w:val="zh-CN"/>
              </w:rPr>
              <w:t>表7-</w:t>
            </w:r>
            <w:r>
              <w:rPr>
                <w:rFonts w:hint="eastAsia" w:cs="Times New Roman"/>
                <w:b/>
                <w:bCs/>
                <w:color w:val="auto"/>
                <w:kern w:val="0"/>
                <w:sz w:val="24"/>
                <w:highlight w:val="none"/>
                <w:lang w:val="en-US" w:eastAsia="zh-CN"/>
              </w:rPr>
              <w:t>9</w:t>
            </w:r>
            <w:r>
              <w:rPr>
                <w:rFonts w:hint="default" w:ascii="Times New Roman" w:hAnsi="Times New Roman" w:cs="Times New Roman"/>
                <w:b/>
                <w:bCs/>
                <w:color w:val="auto"/>
                <w:kern w:val="0"/>
                <w:sz w:val="24"/>
                <w:highlight w:val="none"/>
                <w:lang w:val="zh-CN"/>
              </w:rPr>
              <w:t xml:space="preserve">  </w:t>
            </w:r>
            <w:r>
              <w:rPr>
                <w:rFonts w:hint="eastAsia" w:cs="Times New Roman"/>
                <w:b/>
                <w:bCs/>
                <w:color w:val="auto"/>
                <w:kern w:val="0"/>
                <w:sz w:val="24"/>
                <w:highlight w:val="none"/>
                <w:lang w:val="en-US" w:eastAsia="zh-CN"/>
              </w:rPr>
              <w:t>1号路、2号路、3号路、4号路</w:t>
            </w:r>
            <w:r>
              <w:rPr>
                <w:rFonts w:hint="default" w:ascii="Times New Roman" w:hAnsi="Times New Roman" w:cs="Times New Roman"/>
                <w:b/>
                <w:bCs/>
                <w:color w:val="auto"/>
                <w:kern w:val="0"/>
                <w:sz w:val="24"/>
                <w:highlight w:val="none"/>
                <w:lang w:val="zh-CN"/>
              </w:rPr>
              <w:t>交通噪声预测结果表  单位:dB（A）</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986"/>
              <w:gridCol w:w="1038"/>
              <w:gridCol w:w="843"/>
              <w:gridCol w:w="825"/>
              <w:gridCol w:w="918"/>
              <w:gridCol w:w="931"/>
              <w:gridCol w:w="918"/>
              <w:gridCol w:w="934"/>
            </w:tblGrid>
            <w:tr w14:paraId="4DC3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44" w:type="pct"/>
                  <w:vAlign w:val="center"/>
                </w:tcPr>
                <w:p w14:paraId="65674E26">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 w:val="0"/>
                      <w:bCs w:val="0"/>
                      <w:color w:val="auto"/>
                      <w:kern w:val="0"/>
                      <w:sz w:val="21"/>
                      <w:szCs w:val="21"/>
                      <w:highlight w:val="none"/>
                      <w:vertAlign w:val="baseline"/>
                      <w:lang w:val="zh-CN"/>
                    </w:rPr>
                    <w:t>预测时段</w:t>
                  </w:r>
                </w:p>
              </w:tc>
              <w:tc>
                <w:tcPr>
                  <w:tcW w:w="1219" w:type="pct"/>
                  <w:gridSpan w:val="2"/>
                  <w:vAlign w:val="center"/>
                </w:tcPr>
                <w:p w14:paraId="0C766303">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 w:val="0"/>
                      <w:bCs w:val="0"/>
                      <w:color w:val="auto"/>
                      <w:kern w:val="0"/>
                      <w:sz w:val="21"/>
                      <w:szCs w:val="21"/>
                      <w:highlight w:val="none"/>
                      <w:vertAlign w:val="baseline"/>
                      <w:lang w:val="en-US" w:eastAsia="zh-CN"/>
                    </w:rPr>
                    <w:t>1号路</w:t>
                  </w:r>
                </w:p>
              </w:tc>
              <w:tc>
                <w:tcPr>
                  <w:tcW w:w="1005" w:type="pct"/>
                  <w:gridSpan w:val="2"/>
                  <w:vAlign w:val="center"/>
                </w:tcPr>
                <w:p w14:paraId="1C54099E">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 w:val="0"/>
                      <w:bCs w:val="0"/>
                      <w:color w:val="auto"/>
                      <w:kern w:val="0"/>
                      <w:sz w:val="21"/>
                      <w:szCs w:val="21"/>
                      <w:highlight w:val="none"/>
                      <w:vertAlign w:val="baseline"/>
                      <w:lang w:val="en-US" w:eastAsia="zh-CN"/>
                    </w:rPr>
                    <w:t>2号路</w:t>
                  </w:r>
                </w:p>
              </w:tc>
              <w:tc>
                <w:tcPr>
                  <w:tcW w:w="1114" w:type="pct"/>
                  <w:gridSpan w:val="2"/>
                  <w:vAlign w:val="center"/>
                </w:tcPr>
                <w:p w14:paraId="7849CB7C">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 w:val="0"/>
                      <w:bCs w:val="0"/>
                      <w:color w:val="auto"/>
                      <w:kern w:val="0"/>
                      <w:sz w:val="21"/>
                      <w:szCs w:val="21"/>
                      <w:highlight w:val="none"/>
                      <w:vertAlign w:val="baseline"/>
                      <w:lang w:val="en-US" w:eastAsia="zh-CN"/>
                    </w:rPr>
                    <w:t>3号路</w:t>
                  </w:r>
                </w:p>
              </w:tc>
              <w:tc>
                <w:tcPr>
                  <w:tcW w:w="1115" w:type="pct"/>
                  <w:gridSpan w:val="2"/>
                  <w:vAlign w:val="center"/>
                </w:tcPr>
                <w:p w14:paraId="1C2BE336">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 w:val="0"/>
                      <w:bCs w:val="0"/>
                      <w:color w:val="auto"/>
                      <w:kern w:val="0"/>
                      <w:sz w:val="21"/>
                      <w:szCs w:val="21"/>
                      <w:highlight w:val="none"/>
                      <w:vertAlign w:val="baseline"/>
                      <w:lang w:val="en-US" w:eastAsia="zh-CN"/>
                    </w:rPr>
                    <w:t>4号路</w:t>
                  </w:r>
                </w:p>
              </w:tc>
            </w:tr>
            <w:tr w14:paraId="0BCF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44" w:type="pct"/>
                  <w:vAlign w:val="center"/>
                </w:tcPr>
                <w:p w14:paraId="207875D2">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距路红线距离</w:t>
                  </w:r>
                </w:p>
              </w:tc>
              <w:tc>
                <w:tcPr>
                  <w:tcW w:w="594" w:type="pct"/>
                  <w:vAlign w:val="center"/>
                </w:tcPr>
                <w:p w14:paraId="0C6A767A">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昼间</w:t>
                  </w:r>
                </w:p>
              </w:tc>
              <w:tc>
                <w:tcPr>
                  <w:tcW w:w="624" w:type="pct"/>
                  <w:vAlign w:val="center"/>
                </w:tcPr>
                <w:p w14:paraId="01E09E76">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夜间</w:t>
                  </w:r>
                </w:p>
              </w:tc>
              <w:tc>
                <w:tcPr>
                  <w:tcW w:w="508" w:type="pct"/>
                  <w:vAlign w:val="center"/>
                </w:tcPr>
                <w:p w14:paraId="4D02213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昼间</w:t>
                  </w:r>
                </w:p>
              </w:tc>
              <w:tc>
                <w:tcPr>
                  <w:tcW w:w="497" w:type="pct"/>
                  <w:vAlign w:val="center"/>
                </w:tcPr>
                <w:p w14:paraId="5BEDDD7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夜间</w:t>
                  </w:r>
                </w:p>
              </w:tc>
              <w:tc>
                <w:tcPr>
                  <w:tcW w:w="553" w:type="pct"/>
                  <w:vAlign w:val="center"/>
                </w:tcPr>
                <w:p w14:paraId="2BF2E80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昼间</w:t>
                  </w:r>
                </w:p>
              </w:tc>
              <w:tc>
                <w:tcPr>
                  <w:tcW w:w="561" w:type="pct"/>
                  <w:vAlign w:val="center"/>
                </w:tcPr>
                <w:p w14:paraId="7F18B55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夜间</w:t>
                  </w:r>
                </w:p>
              </w:tc>
              <w:tc>
                <w:tcPr>
                  <w:tcW w:w="553" w:type="pct"/>
                  <w:vAlign w:val="center"/>
                </w:tcPr>
                <w:p w14:paraId="21AC1D5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昼间</w:t>
                  </w:r>
                </w:p>
              </w:tc>
              <w:tc>
                <w:tcPr>
                  <w:tcW w:w="562" w:type="pct"/>
                  <w:vAlign w:val="center"/>
                </w:tcPr>
                <w:p w14:paraId="7CAF02F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eastAsia="宋体" w:cs="Times New Roman"/>
                      <w:b w:val="0"/>
                      <w:bCs w:val="0"/>
                      <w:color w:val="auto"/>
                      <w:kern w:val="0"/>
                      <w:sz w:val="21"/>
                      <w:szCs w:val="21"/>
                      <w:highlight w:val="none"/>
                      <w:vertAlign w:val="baseline"/>
                      <w:lang w:val="zh-CN"/>
                    </w:rPr>
                    <w:t>夜间</w:t>
                  </w:r>
                </w:p>
              </w:tc>
            </w:tr>
            <w:tr w14:paraId="2647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4" w:type="pct"/>
                  <w:vAlign w:val="center"/>
                </w:tcPr>
                <w:p w14:paraId="48F84C56">
                  <w:pPr>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0m</w:t>
                  </w:r>
                </w:p>
              </w:tc>
              <w:tc>
                <w:tcPr>
                  <w:tcW w:w="594" w:type="pct"/>
                  <w:vAlign w:val="center"/>
                </w:tcPr>
                <w:p w14:paraId="126B1C0F">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63.15</w:t>
                  </w:r>
                </w:p>
              </w:tc>
              <w:tc>
                <w:tcPr>
                  <w:tcW w:w="624" w:type="pct"/>
                  <w:vAlign w:val="center"/>
                </w:tcPr>
                <w:p w14:paraId="30FE786D">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57.61</w:t>
                  </w:r>
                </w:p>
              </w:tc>
              <w:tc>
                <w:tcPr>
                  <w:tcW w:w="508" w:type="pct"/>
                  <w:vAlign w:val="center"/>
                </w:tcPr>
                <w:p w14:paraId="3DE05E2A">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62.21</w:t>
                  </w:r>
                </w:p>
              </w:tc>
              <w:tc>
                <w:tcPr>
                  <w:tcW w:w="497" w:type="pct"/>
                  <w:vAlign w:val="center"/>
                </w:tcPr>
                <w:p w14:paraId="1A80C5AB">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56.78</w:t>
                  </w:r>
                </w:p>
              </w:tc>
              <w:tc>
                <w:tcPr>
                  <w:tcW w:w="553" w:type="pct"/>
                  <w:vAlign w:val="center"/>
                </w:tcPr>
                <w:p w14:paraId="714F31F3">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61.13</w:t>
                  </w:r>
                </w:p>
              </w:tc>
              <w:tc>
                <w:tcPr>
                  <w:tcW w:w="561" w:type="pct"/>
                  <w:vAlign w:val="center"/>
                </w:tcPr>
                <w:p w14:paraId="18DBFFCF">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57.01</w:t>
                  </w:r>
                </w:p>
              </w:tc>
              <w:tc>
                <w:tcPr>
                  <w:tcW w:w="553" w:type="pct"/>
                  <w:vAlign w:val="center"/>
                </w:tcPr>
                <w:p w14:paraId="06D37685">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62.53</w:t>
                  </w:r>
                </w:p>
              </w:tc>
              <w:tc>
                <w:tcPr>
                  <w:tcW w:w="562" w:type="pct"/>
                  <w:vAlign w:val="center"/>
                </w:tcPr>
                <w:p w14:paraId="1B2A31DE">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56.91</w:t>
                  </w:r>
                </w:p>
              </w:tc>
            </w:tr>
            <w:tr w14:paraId="2E54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4" w:type="pct"/>
                  <w:vAlign w:val="center"/>
                </w:tcPr>
                <w:p w14:paraId="15C7362D">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10m</w:t>
                  </w:r>
                </w:p>
              </w:tc>
              <w:tc>
                <w:tcPr>
                  <w:tcW w:w="594" w:type="pct"/>
                  <w:vAlign w:val="center"/>
                </w:tcPr>
                <w:p w14:paraId="675B272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62</w:t>
                  </w: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rPr>
                    <w:t>05</w:t>
                  </w:r>
                </w:p>
              </w:tc>
              <w:tc>
                <w:tcPr>
                  <w:tcW w:w="624" w:type="pct"/>
                  <w:vAlign w:val="center"/>
                </w:tcPr>
                <w:p w14:paraId="2702BF9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56.82</w:t>
                  </w:r>
                </w:p>
              </w:tc>
              <w:tc>
                <w:tcPr>
                  <w:tcW w:w="508" w:type="pct"/>
                  <w:vAlign w:val="center"/>
                </w:tcPr>
                <w:p w14:paraId="5694BAE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61.37</w:t>
                  </w:r>
                </w:p>
              </w:tc>
              <w:tc>
                <w:tcPr>
                  <w:tcW w:w="497" w:type="pct"/>
                  <w:vAlign w:val="center"/>
                </w:tcPr>
                <w:p w14:paraId="7EB3519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55.82</w:t>
                  </w:r>
                </w:p>
              </w:tc>
              <w:tc>
                <w:tcPr>
                  <w:tcW w:w="553" w:type="pct"/>
                  <w:vAlign w:val="center"/>
                </w:tcPr>
                <w:p w14:paraId="36D4EF3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6</w:t>
                  </w:r>
                  <w:r>
                    <w:rPr>
                      <w:rFonts w:hint="eastAsia" w:cs="Times New Roman"/>
                      <w:bCs/>
                      <w:sz w:val="21"/>
                      <w:szCs w:val="21"/>
                      <w:lang w:val="en-US" w:eastAsia="zh-CN"/>
                    </w:rPr>
                    <w:t>0</w:t>
                  </w: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rPr>
                    <w:t>05</w:t>
                  </w:r>
                </w:p>
              </w:tc>
              <w:tc>
                <w:tcPr>
                  <w:tcW w:w="561" w:type="pct"/>
                  <w:vAlign w:val="center"/>
                </w:tcPr>
                <w:p w14:paraId="44F0260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w:t>
                  </w:r>
                  <w:r>
                    <w:rPr>
                      <w:rFonts w:hint="eastAsia" w:cs="Times New Roman"/>
                      <w:bCs/>
                      <w:sz w:val="21"/>
                      <w:szCs w:val="21"/>
                      <w:lang w:val="en-US" w:eastAsia="zh-CN"/>
                    </w:rPr>
                    <w:t>5</w:t>
                  </w:r>
                  <w:r>
                    <w:rPr>
                      <w:rFonts w:hint="default" w:ascii="Times New Roman" w:hAnsi="Times New Roman" w:cs="Times New Roman"/>
                      <w:bCs/>
                      <w:sz w:val="21"/>
                      <w:szCs w:val="21"/>
                    </w:rPr>
                    <w:t>.82</w:t>
                  </w:r>
                </w:p>
              </w:tc>
              <w:tc>
                <w:tcPr>
                  <w:tcW w:w="553" w:type="pct"/>
                  <w:vAlign w:val="center"/>
                </w:tcPr>
                <w:p w14:paraId="4DF0520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61.09</w:t>
                  </w:r>
                </w:p>
              </w:tc>
              <w:tc>
                <w:tcPr>
                  <w:tcW w:w="562" w:type="pct"/>
                  <w:vAlign w:val="center"/>
                </w:tcPr>
                <w:p w14:paraId="14B1594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55.45</w:t>
                  </w:r>
                </w:p>
              </w:tc>
            </w:tr>
            <w:tr w14:paraId="5071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2888F413">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20m</w:t>
                  </w:r>
                </w:p>
              </w:tc>
              <w:tc>
                <w:tcPr>
                  <w:tcW w:w="594" w:type="pct"/>
                  <w:vAlign w:val="center"/>
                </w:tcPr>
                <w:p w14:paraId="3369575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60.51</w:t>
                  </w:r>
                </w:p>
              </w:tc>
              <w:tc>
                <w:tcPr>
                  <w:tcW w:w="624" w:type="pct"/>
                  <w:vAlign w:val="center"/>
                </w:tcPr>
                <w:p w14:paraId="0610041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55.28</w:t>
                  </w:r>
                </w:p>
              </w:tc>
              <w:tc>
                <w:tcPr>
                  <w:tcW w:w="508" w:type="pct"/>
                  <w:vAlign w:val="center"/>
                </w:tcPr>
                <w:p w14:paraId="2CFA5BB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59.83</w:t>
                  </w:r>
                </w:p>
              </w:tc>
              <w:tc>
                <w:tcPr>
                  <w:tcW w:w="497" w:type="pct"/>
                  <w:vAlign w:val="center"/>
                </w:tcPr>
                <w:p w14:paraId="1A4F619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54.28</w:t>
                  </w:r>
                </w:p>
              </w:tc>
              <w:tc>
                <w:tcPr>
                  <w:tcW w:w="553" w:type="pct"/>
                  <w:vAlign w:val="center"/>
                </w:tcPr>
                <w:p w14:paraId="6603C23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Cs/>
                      <w:sz w:val="21"/>
                      <w:szCs w:val="21"/>
                      <w:lang w:val="en-US" w:eastAsia="zh-CN"/>
                    </w:rPr>
                    <w:t>58</w:t>
                  </w:r>
                  <w:r>
                    <w:rPr>
                      <w:rFonts w:hint="default" w:ascii="Times New Roman" w:hAnsi="Times New Roman" w:cs="Times New Roman"/>
                      <w:bCs/>
                      <w:sz w:val="21"/>
                      <w:szCs w:val="21"/>
                    </w:rPr>
                    <w:t>.</w:t>
                  </w:r>
                  <w:r>
                    <w:rPr>
                      <w:rFonts w:hint="eastAsia" w:cs="Times New Roman"/>
                      <w:bCs/>
                      <w:sz w:val="21"/>
                      <w:szCs w:val="21"/>
                      <w:lang w:val="en-US" w:eastAsia="zh-CN"/>
                    </w:rPr>
                    <w:t>87</w:t>
                  </w:r>
                </w:p>
              </w:tc>
              <w:tc>
                <w:tcPr>
                  <w:tcW w:w="561" w:type="pct"/>
                  <w:vAlign w:val="center"/>
                </w:tcPr>
                <w:p w14:paraId="58E6373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w:t>
                  </w:r>
                  <w:r>
                    <w:rPr>
                      <w:rFonts w:hint="eastAsia" w:cs="Times New Roman"/>
                      <w:bCs/>
                      <w:sz w:val="21"/>
                      <w:szCs w:val="21"/>
                      <w:lang w:val="en-US" w:eastAsia="zh-CN"/>
                    </w:rPr>
                    <w:t>4</w:t>
                  </w:r>
                  <w:r>
                    <w:rPr>
                      <w:rFonts w:hint="default" w:ascii="Times New Roman" w:hAnsi="Times New Roman" w:cs="Times New Roman"/>
                      <w:bCs/>
                      <w:sz w:val="21"/>
                      <w:szCs w:val="21"/>
                    </w:rPr>
                    <w:t>.28</w:t>
                  </w:r>
                </w:p>
              </w:tc>
              <w:tc>
                <w:tcPr>
                  <w:tcW w:w="553" w:type="pct"/>
                  <w:vAlign w:val="center"/>
                </w:tcPr>
                <w:p w14:paraId="73DC09A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59.55</w:t>
                  </w:r>
                </w:p>
              </w:tc>
              <w:tc>
                <w:tcPr>
                  <w:tcW w:w="562" w:type="pct"/>
                  <w:vAlign w:val="center"/>
                </w:tcPr>
                <w:p w14:paraId="10AC498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53.91</w:t>
                  </w:r>
                </w:p>
              </w:tc>
            </w:tr>
            <w:tr w14:paraId="33FD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6E35135A">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30m</w:t>
                  </w:r>
                </w:p>
              </w:tc>
              <w:tc>
                <w:tcPr>
                  <w:tcW w:w="594" w:type="pct"/>
                  <w:vAlign w:val="center"/>
                </w:tcPr>
                <w:p w14:paraId="2B925A1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56.15</w:t>
                  </w:r>
                </w:p>
              </w:tc>
              <w:tc>
                <w:tcPr>
                  <w:tcW w:w="624" w:type="pct"/>
                  <w:vAlign w:val="center"/>
                </w:tcPr>
                <w:p w14:paraId="4FDA471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50.92</w:t>
                  </w:r>
                </w:p>
              </w:tc>
              <w:tc>
                <w:tcPr>
                  <w:tcW w:w="508" w:type="pct"/>
                  <w:vAlign w:val="center"/>
                </w:tcPr>
                <w:p w14:paraId="02B600B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55.47</w:t>
                  </w:r>
                </w:p>
              </w:tc>
              <w:tc>
                <w:tcPr>
                  <w:tcW w:w="497" w:type="pct"/>
                  <w:vAlign w:val="center"/>
                </w:tcPr>
                <w:p w14:paraId="0E10E93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49.92</w:t>
                  </w:r>
                </w:p>
              </w:tc>
              <w:tc>
                <w:tcPr>
                  <w:tcW w:w="553" w:type="pct"/>
                  <w:vAlign w:val="center"/>
                </w:tcPr>
                <w:p w14:paraId="70E5C5D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w:t>
                  </w:r>
                  <w:r>
                    <w:rPr>
                      <w:rFonts w:hint="eastAsia" w:cs="Times New Roman"/>
                      <w:bCs/>
                      <w:sz w:val="21"/>
                      <w:szCs w:val="21"/>
                      <w:lang w:val="en-US" w:eastAsia="zh-CN"/>
                    </w:rPr>
                    <w:t>5</w:t>
                  </w:r>
                  <w:r>
                    <w:rPr>
                      <w:rFonts w:hint="default" w:ascii="Times New Roman" w:hAnsi="Times New Roman" w:cs="Times New Roman"/>
                      <w:bCs/>
                      <w:sz w:val="21"/>
                      <w:szCs w:val="21"/>
                    </w:rPr>
                    <w:t>.15</w:t>
                  </w:r>
                </w:p>
              </w:tc>
              <w:tc>
                <w:tcPr>
                  <w:tcW w:w="561" w:type="pct"/>
                  <w:vAlign w:val="center"/>
                </w:tcPr>
                <w:p w14:paraId="72555F1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50.92</w:t>
                  </w:r>
                </w:p>
              </w:tc>
              <w:tc>
                <w:tcPr>
                  <w:tcW w:w="553" w:type="pct"/>
                  <w:vAlign w:val="center"/>
                </w:tcPr>
                <w:p w14:paraId="2DD040A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55.19</w:t>
                  </w:r>
                </w:p>
              </w:tc>
              <w:tc>
                <w:tcPr>
                  <w:tcW w:w="562" w:type="pct"/>
                  <w:vAlign w:val="center"/>
                </w:tcPr>
                <w:p w14:paraId="7FFB38E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49.55</w:t>
                  </w:r>
                </w:p>
              </w:tc>
            </w:tr>
            <w:tr w14:paraId="1E78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5C3D4C32">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40m</w:t>
                  </w:r>
                </w:p>
              </w:tc>
              <w:tc>
                <w:tcPr>
                  <w:tcW w:w="594" w:type="pct"/>
                  <w:vAlign w:val="center"/>
                </w:tcPr>
                <w:p w14:paraId="36DE113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52.98</w:t>
                  </w:r>
                </w:p>
              </w:tc>
              <w:tc>
                <w:tcPr>
                  <w:tcW w:w="624" w:type="pct"/>
                  <w:vAlign w:val="center"/>
                </w:tcPr>
                <w:p w14:paraId="023389F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47.75</w:t>
                  </w:r>
                </w:p>
              </w:tc>
              <w:tc>
                <w:tcPr>
                  <w:tcW w:w="508" w:type="pct"/>
                  <w:vAlign w:val="center"/>
                </w:tcPr>
                <w:p w14:paraId="3DF1418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52.30</w:t>
                  </w:r>
                </w:p>
              </w:tc>
              <w:tc>
                <w:tcPr>
                  <w:tcW w:w="497" w:type="pct"/>
                  <w:vAlign w:val="center"/>
                </w:tcPr>
                <w:p w14:paraId="4CB364B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46.75</w:t>
                  </w:r>
                </w:p>
              </w:tc>
              <w:tc>
                <w:tcPr>
                  <w:tcW w:w="553" w:type="pct"/>
                  <w:vAlign w:val="center"/>
                </w:tcPr>
                <w:p w14:paraId="1F2A93E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52.98</w:t>
                  </w:r>
                </w:p>
              </w:tc>
              <w:tc>
                <w:tcPr>
                  <w:tcW w:w="561" w:type="pct"/>
                  <w:vAlign w:val="center"/>
                </w:tcPr>
                <w:p w14:paraId="075EFB7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47.75</w:t>
                  </w:r>
                </w:p>
              </w:tc>
              <w:tc>
                <w:tcPr>
                  <w:tcW w:w="553" w:type="pct"/>
                  <w:vAlign w:val="center"/>
                </w:tcPr>
                <w:p w14:paraId="22BA83B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52.01</w:t>
                  </w:r>
                </w:p>
              </w:tc>
              <w:tc>
                <w:tcPr>
                  <w:tcW w:w="562" w:type="pct"/>
                  <w:vAlign w:val="center"/>
                </w:tcPr>
                <w:p w14:paraId="2097096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46.37</w:t>
                  </w:r>
                </w:p>
              </w:tc>
            </w:tr>
            <w:tr w14:paraId="4A84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165C66A9">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50m</w:t>
                  </w:r>
                </w:p>
              </w:tc>
              <w:tc>
                <w:tcPr>
                  <w:tcW w:w="594" w:type="pct"/>
                  <w:vAlign w:val="center"/>
                </w:tcPr>
                <w:p w14:paraId="043B6CE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51.47</w:t>
                  </w:r>
                </w:p>
              </w:tc>
              <w:tc>
                <w:tcPr>
                  <w:tcW w:w="624" w:type="pct"/>
                  <w:vAlign w:val="center"/>
                </w:tcPr>
                <w:p w14:paraId="687AA41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46.24</w:t>
                  </w:r>
                </w:p>
              </w:tc>
              <w:tc>
                <w:tcPr>
                  <w:tcW w:w="508" w:type="pct"/>
                  <w:vAlign w:val="center"/>
                </w:tcPr>
                <w:p w14:paraId="2063E45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50.79</w:t>
                  </w:r>
                </w:p>
              </w:tc>
              <w:tc>
                <w:tcPr>
                  <w:tcW w:w="497" w:type="pct"/>
                  <w:vAlign w:val="center"/>
                </w:tcPr>
                <w:p w14:paraId="59A533D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45.24</w:t>
                  </w:r>
                </w:p>
              </w:tc>
              <w:tc>
                <w:tcPr>
                  <w:tcW w:w="553" w:type="pct"/>
                  <w:vAlign w:val="center"/>
                </w:tcPr>
                <w:p w14:paraId="5F5E48F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51.47</w:t>
                  </w:r>
                </w:p>
              </w:tc>
              <w:tc>
                <w:tcPr>
                  <w:tcW w:w="561" w:type="pct"/>
                  <w:vAlign w:val="center"/>
                </w:tcPr>
                <w:p w14:paraId="475E18A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46.24</w:t>
                  </w:r>
                </w:p>
              </w:tc>
              <w:tc>
                <w:tcPr>
                  <w:tcW w:w="553" w:type="pct"/>
                  <w:vAlign w:val="center"/>
                </w:tcPr>
                <w:p w14:paraId="62B98E0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50.50</w:t>
                  </w:r>
                </w:p>
              </w:tc>
              <w:tc>
                <w:tcPr>
                  <w:tcW w:w="562" w:type="pct"/>
                  <w:vAlign w:val="center"/>
                </w:tcPr>
                <w:p w14:paraId="7EEF1D0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44.87</w:t>
                  </w:r>
                </w:p>
              </w:tc>
            </w:tr>
            <w:tr w14:paraId="4A4C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4FFE1F13">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60m</w:t>
                  </w:r>
                </w:p>
              </w:tc>
              <w:tc>
                <w:tcPr>
                  <w:tcW w:w="594" w:type="pct"/>
                  <w:vAlign w:val="center"/>
                </w:tcPr>
                <w:p w14:paraId="2B6C3B2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50.42</w:t>
                  </w:r>
                </w:p>
              </w:tc>
              <w:tc>
                <w:tcPr>
                  <w:tcW w:w="624" w:type="pct"/>
                  <w:vAlign w:val="center"/>
                </w:tcPr>
                <w:p w14:paraId="16C92BE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45.19</w:t>
                  </w:r>
                </w:p>
              </w:tc>
              <w:tc>
                <w:tcPr>
                  <w:tcW w:w="508" w:type="pct"/>
                  <w:vAlign w:val="center"/>
                </w:tcPr>
                <w:p w14:paraId="7FDEA13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49.74</w:t>
                  </w:r>
                </w:p>
              </w:tc>
              <w:tc>
                <w:tcPr>
                  <w:tcW w:w="497" w:type="pct"/>
                  <w:vAlign w:val="center"/>
                </w:tcPr>
                <w:p w14:paraId="60BEF66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44.19</w:t>
                  </w:r>
                </w:p>
              </w:tc>
              <w:tc>
                <w:tcPr>
                  <w:tcW w:w="553" w:type="pct"/>
                  <w:vAlign w:val="center"/>
                </w:tcPr>
                <w:p w14:paraId="66C624A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50.42</w:t>
                  </w:r>
                </w:p>
              </w:tc>
              <w:tc>
                <w:tcPr>
                  <w:tcW w:w="561" w:type="pct"/>
                  <w:vAlign w:val="center"/>
                </w:tcPr>
                <w:p w14:paraId="78F30DE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45.19</w:t>
                  </w:r>
                </w:p>
              </w:tc>
              <w:tc>
                <w:tcPr>
                  <w:tcW w:w="553" w:type="pct"/>
                  <w:vAlign w:val="center"/>
                </w:tcPr>
                <w:p w14:paraId="7E4ED67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49.46</w:t>
                  </w:r>
                </w:p>
              </w:tc>
              <w:tc>
                <w:tcPr>
                  <w:tcW w:w="562" w:type="pct"/>
                  <w:vAlign w:val="center"/>
                </w:tcPr>
                <w:p w14:paraId="4383EF2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43.82</w:t>
                  </w:r>
                </w:p>
              </w:tc>
            </w:tr>
            <w:tr w14:paraId="0B4E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177726C1">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70m</w:t>
                  </w:r>
                </w:p>
              </w:tc>
              <w:tc>
                <w:tcPr>
                  <w:tcW w:w="594" w:type="pct"/>
                  <w:vAlign w:val="center"/>
                </w:tcPr>
                <w:p w14:paraId="13C94EA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49.60</w:t>
                  </w:r>
                </w:p>
              </w:tc>
              <w:tc>
                <w:tcPr>
                  <w:tcW w:w="624" w:type="pct"/>
                  <w:vAlign w:val="center"/>
                </w:tcPr>
                <w:p w14:paraId="40082F9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44.37</w:t>
                  </w:r>
                </w:p>
              </w:tc>
              <w:tc>
                <w:tcPr>
                  <w:tcW w:w="508" w:type="pct"/>
                  <w:vAlign w:val="center"/>
                </w:tcPr>
                <w:p w14:paraId="31A032F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48.92</w:t>
                  </w:r>
                </w:p>
              </w:tc>
              <w:tc>
                <w:tcPr>
                  <w:tcW w:w="497" w:type="pct"/>
                  <w:vAlign w:val="center"/>
                </w:tcPr>
                <w:p w14:paraId="22A4894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43.37</w:t>
                  </w:r>
                </w:p>
              </w:tc>
              <w:tc>
                <w:tcPr>
                  <w:tcW w:w="553" w:type="pct"/>
                  <w:vAlign w:val="center"/>
                </w:tcPr>
                <w:p w14:paraId="04B94F6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49.60</w:t>
                  </w:r>
                </w:p>
              </w:tc>
              <w:tc>
                <w:tcPr>
                  <w:tcW w:w="561" w:type="pct"/>
                  <w:vAlign w:val="center"/>
                </w:tcPr>
                <w:p w14:paraId="6789E25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44.37</w:t>
                  </w:r>
                </w:p>
              </w:tc>
              <w:tc>
                <w:tcPr>
                  <w:tcW w:w="553" w:type="pct"/>
                  <w:vAlign w:val="center"/>
                </w:tcPr>
                <w:p w14:paraId="5981141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48.64</w:t>
                  </w:r>
                </w:p>
              </w:tc>
              <w:tc>
                <w:tcPr>
                  <w:tcW w:w="562" w:type="pct"/>
                  <w:vAlign w:val="center"/>
                </w:tcPr>
                <w:p w14:paraId="2718C07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43.00</w:t>
                  </w:r>
                </w:p>
              </w:tc>
            </w:tr>
            <w:tr w14:paraId="3AE4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5449A1C0">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80m</w:t>
                  </w:r>
                </w:p>
              </w:tc>
              <w:tc>
                <w:tcPr>
                  <w:tcW w:w="594" w:type="pct"/>
                  <w:vAlign w:val="center"/>
                </w:tcPr>
                <w:p w14:paraId="07D645E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48.92</w:t>
                  </w:r>
                </w:p>
              </w:tc>
              <w:tc>
                <w:tcPr>
                  <w:tcW w:w="624" w:type="pct"/>
                  <w:vAlign w:val="center"/>
                </w:tcPr>
                <w:p w14:paraId="17FBFE1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43.69</w:t>
                  </w:r>
                </w:p>
              </w:tc>
              <w:tc>
                <w:tcPr>
                  <w:tcW w:w="508" w:type="pct"/>
                  <w:vAlign w:val="center"/>
                </w:tcPr>
                <w:p w14:paraId="6021CFE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48.24</w:t>
                  </w:r>
                </w:p>
              </w:tc>
              <w:tc>
                <w:tcPr>
                  <w:tcW w:w="497" w:type="pct"/>
                  <w:vAlign w:val="center"/>
                </w:tcPr>
                <w:p w14:paraId="1AA4F25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42.69</w:t>
                  </w:r>
                </w:p>
              </w:tc>
              <w:tc>
                <w:tcPr>
                  <w:tcW w:w="553" w:type="pct"/>
                  <w:vAlign w:val="center"/>
                </w:tcPr>
                <w:p w14:paraId="025BB68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48.92</w:t>
                  </w:r>
                </w:p>
              </w:tc>
              <w:tc>
                <w:tcPr>
                  <w:tcW w:w="561" w:type="pct"/>
                  <w:vAlign w:val="center"/>
                </w:tcPr>
                <w:p w14:paraId="0EA36F6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43.69</w:t>
                  </w:r>
                </w:p>
              </w:tc>
              <w:tc>
                <w:tcPr>
                  <w:tcW w:w="553" w:type="pct"/>
                  <w:vAlign w:val="center"/>
                </w:tcPr>
                <w:p w14:paraId="5D4EC80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47.96</w:t>
                  </w:r>
                </w:p>
              </w:tc>
              <w:tc>
                <w:tcPr>
                  <w:tcW w:w="562" w:type="pct"/>
                  <w:vAlign w:val="center"/>
                </w:tcPr>
                <w:p w14:paraId="5466680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42.32</w:t>
                  </w:r>
                </w:p>
              </w:tc>
            </w:tr>
            <w:tr w14:paraId="6130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7A7872A1">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90m</w:t>
                  </w:r>
                </w:p>
              </w:tc>
              <w:tc>
                <w:tcPr>
                  <w:tcW w:w="594" w:type="pct"/>
                  <w:vAlign w:val="center"/>
                </w:tcPr>
                <w:p w14:paraId="2259A86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48.34</w:t>
                  </w:r>
                </w:p>
              </w:tc>
              <w:tc>
                <w:tcPr>
                  <w:tcW w:w="624" w:type="pct"/>
                  <w:vAlign w:val="center"/>
                </w:tcPr>
                <w:p w14:paraId="2D4CBE3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43.11</w:t>
                  </w:r>
                </w:p>
              </w:tc>
              <w:tc>
                <w:tcPr>
                  <w:tcW w:w="508" w:type="pct"/>
                  <w:vAlign w:val="center"/>
                </w:tcPr>
                <w:p w14:paraId="5706023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47.66</w:t>
                  </w:r>
                </w:p>
              </w:tc>
              <w:tc>
                <w:tcPr>
                  <w:tcW w:w="497" w:type="pct"/>
                  <w:vAlign w:val="center"/>
                </w:tcPr>
                <w:p w14:paraId="6922C01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42.11</w:t>
                  </w:r>
                </w:p>
              </w:tc>
              <w:tc>
                <w:tcPr>
                  <w:tcW w:w="553" w:type="pct"/>
                  <w:vAlign w:val="center"/>
                </w:tcPr>
                <w:p w14:paraId="5830AB3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48.34</w:t>
                  </w:r>
                </w:p>
              </w:tc>
              <w:tc>
                <w:tcPr>
                  <w:tcW w:w="561" w:type="pct"/>
                  <w:vAlign w:val="center"/>
                </w:tcPr>
                <w:p w14:paraId="0F321EC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43.11</w:t>
                  </w:r>
                </w:p>
              </w:tc>
              <w:tc>
                <w:tcPr>
                  <w:tcW w:w="553" w:type="pct"/>
                  <w:vAlign w:val="center"/>
                </w:tcPr>
                <w:p w14:paraId="0748228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47.37</w:t>
                  </w:r>
                </w:p>
              </w:tc>
              <w:tc>
                <w:tcPr>
                  <w:tcW w:w="562" w:type="pct"/>
                  <w:vAlign w:val="center"/>
                </w:tcPr>
                <w:p w14:paraId="6F65A1C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41.73</w:t>
                  </w:r>
                </w:p>
              </w:tc>
            </w:tr>
            <w:tr w14:paraId="7A98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060DAA60">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100m</w:t>
                  </w:r>
                </w:p>
              </w:tc>
              <w:tc>
                <w:tcPr>
                  <w:tcW w:w="594" w:type="pct"/>
                  <w:vAlign w:val="center"/>
                </w:tcPr>
                <w:p w14:paraId="58E7F00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47.83</w:t>
                  </w:r>
                </w:p>
              </w:tc>
              <w:tc>
                <w:tcPr>
                  <w:tcW w:w="624" w:type="pct"/>
                  <w:vAlign w:val="center"/>
                </w:tcPr>
                <w:p w14:paraId="6C61EE4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42.60</w:t>
                  </w:r>
                </w:p>
              </w:tc>
              <w:tc>
                <w:tcPr>
                  <w:tcW w:w="508" w:type="pct"/>
                  <w:vAlign w:val="center"/>
                </w:tcPr>
                <w:p w14:paraId="5AFB6B6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47.15</w:t>
                  </w:r>
                </w:p>
              </w:tc>
              <w:tc>
                <w:tcPr>
                  <w:tcW w:w="497" w:type="pct"/>
                  <w:vAlign w:val="center"/>
                </w:tcPr>
                <w:p w14:paraId="00EE66F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41.60</w:t>
                  </w:r>
                </w:p>
              </w:tc>
              <w:tc>
                <w:tcPr>
                  <w:tcW w:w="553" w:type="pct"/>
                  <w:vAlign w:val="center"/>
                </w:tcPr>
                <w:p w14:paraId="52E683B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47.83</w:t>
                  </w:r>
                </w:p>
              </w:tc>
              <w:tc>
                <w:tcPr>
                  <w:tcW w:w="561" w:type="pct"/>
                  <w:vAlign w:val="center"/>
                </w:tcPr>
                <w:p w14:paraId="5E8F150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42.60</w:t>
                  </w:r>
                </w:p>
              </w:tc>
              <w:tc>
                <w:tcPr>
                  <w:tcW w:w="553" w:type="pct"/>
                  <w:vAlign w:val="center"/>
                </w:tcPr>
                <w:p w14:paraId="4F271C6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46.86</w:t>
                  </w:r>
                </w:p>
              </w:tc>
              <w:tc>
                <w:tcPr>
                  <w:tcW w:w="562" w:type="pct"/>
                  <w:vAlign w:val="center"/>
                </w:tcPr>
                <w:p w14:paraId="77D9851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41.22</w:t>
                  </w:r>
                </w:p>
              </w:tc>
            </w:tr>
            <w:tr w14:paraId="2E57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316FB5DD">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110m</w:t>
                  </w:r>
                </w:p>
              </w:tc>
              <w:tc>
                <w:tcPr>
                  <w:tcW w:w="594" w:type="pct"/>
                  <w:vAlign w:val="center"/>
                </w:tcPr>
                <w:p w14:paraId="3344A09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47.37</w:t>
                  </w:r>
                </w:p>
              </w:tc>
              <w:tc>
                <w:tcPr>
                  <w:tcW w:w="624" w:type="pct"/>
                  <w:vAlign w:val="center"/>
                </w:tcPr>
                <w:p w14:paraId="082A539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42.14</w:t>
                  </w:r>
                </w:p>
              </w:tc>
              <w:tc>
                <w:tcPr>
                  <w:tcW w:w="508" w:type="pct"/>
                  <w:vAlign w:val="center"/>
                </w:tcPr>
                <w:p w14:paraId="11AFB73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46.69</w:t>
                  </w:r>
                </w:p>
              </w:tc>
              <w:tc>
                <w:tcPr>
                  <w:tcW w:w="497" w:type="pct"/>
                  <w:vAlign w:val="center"/>
                </w:tcPr>
                <w:p w14:paraId="7C18986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41.14</w:t>
                  </w:r>
                </w:p>
              </w:tc>
              <w:tc>
                <w:tcPr>
                  <w:tcW w:w="553" w:type="pct"/>
                  <w:vAlign w:val="center"/>
                </w:tcPr>
                <w:p w14:paraId="03110D6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47.37</w:t>
                  </w:r>
                </w:p>
              </w:tc>
              <w:tc>
                <w:tcPr>
                  <w:tcW w:w="561" w:type="pct"/>
                  <w:vAlign w:val="center"/>
                </w:tcPr>
                <w:p w14:paraId="1BCC23F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42.14</w:t>
                  </w:r>
                </w:p>
              </w:tc>
              <w:tc>
                <w:tcPr>
                  <w:tcW w:w="553" w:type="pct"/>
                  <w:vAlign w:val="center"/>
                </w:tcPr>
                <w:p w14:paraId="3757411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46.41</w:t>
                  </w:r>
                </w:p>
              </w:tc>
              <w:tc>
                <w:tcPr>
                  <w:tcW w:w="562" w:type="pct"/>
                  <w:vAlign w:val="center"/>
                </w:tcPr>
                <w:p w14:paraId="202C485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40.77</w:t>
                  </w:r>
                </w:p>
              </w:tc>
            </w:tr>
            <w:tr w14:paraId="320D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1F739AE5">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120m</w:t>
                  </w:r>
                </w:p>
              </w:tc>
              <w:tc>
                <w:tcPr>
                  <w:tcW w:w="594" w:type="pct"/>
                  <w:vAlign w:val="center"/>
                </w:tcPr>
                <w:p w14:paraId="158A6CB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46.96</w:t>
                  </w:r>
                </w:p>
              </w:tc>
              <w:tc>
                <w:tcPr>
                  <w:tcW w:w="624" w:type="pct"/>
                  <w:vAlign w:val="center"/>
                </w:tcPr>
                <w:p w14:paraId="26D4503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41.73</w:t>
                  </w:r>
                </w:p>
              </w:tc>
              <w:tc>
                <w:tcPr>
                  <w:tcW w:w="508" w:type="pct"/>
                  <w:vAlign w:val="center"/>
                </w:tcPr>
                <w:p w14:paraId="20EC6B9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46.28</w:t>
                  </w:r>
                </w:p>
              </w:tc>
              <w:tc>
                <w:tcPr>
                  <w:tcW w:w="497" w:type="pct"/>
                  <w:vAlign w:val="center"/>
                </w:tcPr>
                <w:p w14:paraId="063F0AD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40.73</w:t>
                  </w:r>
                </w:p>
              </w:tc>
              <w:tc>
                <w:tcPr>
                  <w:tcW w:w="553" w:type="pct"/>
                  <w:vAlign w:val="center"/>
                </w:tcPr>
                <w:p w14:paraId="5880D01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46.96</w:t>
                  </w:r>
                </w:p>
              </w:tc>
              <w:tc>
                <w:tcPr>
                  <w:tcW w:w="561" w:type="pct"/>
                  <w:vAlign w:val="center"/>
                </w:tcPr>
                <w:p w14:paraId="4253997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41.73</w:t>
                  </w:r>
                </w:p>
              </w:tc>
              <w:tc>
                <w:tcPr>
                  <w:tcW w:w="553" w:type="pct"/>
                  <w:vAlign w:val="center"/>
                </w:tcPr>
                <w:p w14:paraId="5BDE367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45.99</w:t>
                  </w:r>
                </w:p>
              </w:tc>
              <w:tc>
                <w:tcPr>
                  <w:tcW w:w="562" w:type="pct"/>
                  <w:vAlign w:val="center"/>
                </w:tcPr>
                <w:p w14:paraId="7011AFD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40.35</w:t>
                  </w:r>
                </w:p>
              </w:tc>
            </w:tr>
            <w:tr w14:paraId="1C3F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2B35AFC4">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130m</w:t>
                  </w:r>
                </w:p>
              </w:tc>
              <w:tc>
                <w:tcPr>
                  <w:tcW w:w="594" w:type="pct"/>
                  <w:vAlign w:val="center"/>
                </w:tcPr>
                <w:p w14:paraId="3FF7908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46.58</w:t>
                  </w:r>
                </w:p>
              </w:tc>
              <w:tc>
                <w:tcPr>
                  <w:tcW w:w="624" w:type="pct"/>
                  <w:vAlign w:val="center"/>
                </w:tcPr>
                <w:p w14:paraId="4C75DAA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41.35</w:t>
                  </w:r>
                </w:p>
              </w:tc>
              <w:tc>
                <w:tcPr>
                  <w:tcW w:w="508" w:type="pct"/>
                  <w:vAlign w:val="center"/>
                </w:tcPr>
                <w:p w14:paraId="532A659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45.90</w:t>
                  </w:r>
                </w:p>
              </w:tc>
              <w:tc>
                <w:tcPr>
                  <w:tcW w:w="497" w:type="pct"/>
                  <w:vAlign w:val="center"/>
                </w:tcPr>
                <w:p w14:paraId="6BDECA4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40.35</w:t>
                  </w:r>
                </w:p>
              </w:tc>
              <w:tc>
                <w:tcPr>
                  <w:tcW w:w="553" w:type="pct"/>
                  <w:vAlign w:val="center"/>
                </w:tcPr>
                <w:p w14:paraId="3532B3F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46.58</w:t>
                  </w:r>
                </w:p>
              </w:tc>
              <w:tc>
                <w:tcPr>
                  <w:tcW w:w="561" w:type="pct"/>
                  <w:vAlign w:val="center"/>
                </w:tcPr>
                <w:p w14:paraId="69C1947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41.35</w:t>
                  </w:r>
                </w:p>
              </w:tc>
              <w:tc>
                <w:tcPr>
                  <w:tcW w:w="553" w:type="pct"/>
                  <w:vAlign w:val="center"/>
                </w:tcPr>
                <w:p w14:paraId="03CD4AE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45.62</w:t>
                  </w:r>
                </w:p>
              </w:tc>
              <w:tc>
                <w:tcPr>
                  <w:tcW w:w="562" w:type="pct"/>
                  <w:vAlign w:val="center"/>
                </w:tcPr>
                <w:p w14:paraId="7759BCA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39.98</w:t>
                  </w:r>
                </w:p>
              </w:tc>
            </w:tr>
            <w:tr w14:paraId="0C9A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2095961C">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140m</w:t>
                  </w:r>
                </w:p>
              </w:tc>
              <w:tc>
                <w:tcPr>
                  <w:tcW w:w="594" w:type="pct"/>
                  <w:vAlign w:val="center"/>
                </w:tcPr>
                <w:p w14:paraId="0290F21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46.23</w:t>
                  </w:r>
                </w:p>
              </w:tc>
              <w:tc>
                <w:tcPr>
                  <w:tcW w:w="624" w:type="pct"/>
                  <w:vAlign w:val="center"/>
                </w:tcPr>
                <w:p w14:paraId="377B271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41.00</w:t>
                  </w:r>
                </w:p>
              </w:tc>
              <w:tc>
                <w:tcPr>
                  <w:tcW w:w="508" w:type="pct"/>
                  <w:vAlign w:val="center"/>
                </w:tcPr>
                <w:p w14:paraId="49E4675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45.56</w:t>
                  </w:r>
                </w:p>
              </w:tc>
              <w:tc>
                <w:tcPr>
                  <w:tcW w:w="497" w:type="pct"/>
                  <w:vAlign w:val="center"/>
                </w:tcPr>
                <w:p w14:paraId="5058A6D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40.01</w:t>
                  </w:r>
                </w:p>
              </w:tc>
              <w:tc>
                <w:tcPr>
                  <w:tcW w:w="553" w:type="pct"/>
                  <w:vAlign w:val="center"/>
                </w:tcPr>
                <w:p w14:paraId="316089F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46.23</w:t>
                  </w:r>
                </w:p>
              </w:tc>
              <w:tc>
                <w:tcPr>
                  <w:tcW w:w="561" w:type="pct"/>
                  <w:vAlign w:val="center"/>
                </w:tcPr>
                <w:p w14:paraId="708EF27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41.00</w:t>
                  </w:r>
                </w:p>
              </w:tc>
              <w:tc>
                <w:tcPr>
                  <w:tcW w:w="553" w:type="pct"/>
                  <w:vAlign w:val="center"/>
                </w:tcPr>
                <w:p w14:paraId="4A854F8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45.27</w:t>
                  </w:r>
                </w:p>
              </w:tc>
              <w:tc>
                <w:tcPr>
                  <w:tcW w:w="562" w:type="pct"/>
                  <w:vAlign w:val="center"/>
                </w:tcPr>
                <w:p w14:paraId="4AC6F5A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39.63</w:t>
                  </w:r>
                </w:p>
              </w:tc>
            </w:tr>
            <w:tr w14:paraId="6F4A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49FB0A92">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150m</w:t>
                  </w:r>
                </w:p>
              </w:tc>
              <w:tc>
                <w:tcPr>
                  <w:tcW w:w="594" w:type="pct"/>
                  <w:vAlign w:val="center"/>
                </w:tcPr>
                <w:p w14:paraId="68656D1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45.91</w:t>
                  </w:r>
                </w:p>
              </w:tc>
              <w:tc>
                <w:tcPr>
                  <w:tcW w:w="624" w:type="pct"/>
                  <w:vAlign w:val="center"/>
                </w:tcPr>
                <w:p w14:paraId="42B0FC6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40.68</w:t>
                  </w:r>
                </w:p>
              </w:tc>
              <w:tc>
                <w:tcPr>
                  <w:tcW w:w="508" w:type="pct"/>
                  <w:vAlign w:val="center"/>
                </w:tcPr>
                <w:p w14:paraId="3E671E0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45.23</w:t>
                  </w:r>
                </w:p>
              </w:tc>
              <w:tc>
                <w:tcPr>
                  <w:tcW w:w="497" w:type="pct"/>
                  <w:vAlign w:val="center"/>
                </w:tcPr>
                <w:p w14:paraId="0F7AC0B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39.68</w:t>
                  </w:r>
                </w:p>
              </w:tc>
              <w:tc>
                <w:tcPr>
                  <w:tcW w:w="553" w:type="pct"/>
                  <w:vAlign w:val="center"/>
                </w:tcPr>
                <w:p w14:paraId="341C266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45.91</w:t>
                  </w:r>
                </w:p>
              </w:tc>
              <w:tc>
                <w:tcPr>
                  <w:tcW w:w="561" w:type="pct"/>
                  <w:vAlign w:val="center"/>
                </w:tcPr>
                <w:p w14:paraId="74BFFAB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40.68</w:t>
                  </w:r>
                </w:p>
              </w:tc>
              <w:tc>
                <w:tcPr>
                  <w:tcW w:w="553" w:type="pct"/>
                  <w:vAlign w:val="center"/>
                </w:tcPr>
                <w:p w14:paraId="38E25DC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44.95</w:t>
                  </w:r>
                </w:p>
              </w:tc>
              <w:tc>
                <w:tcPr>
                  <w:tcW w:w="562" w:type="pct"/>
                  <w:vAlign w:val="center"/>
                </w:tcPr>
                <w:p w14:paraId="7FE64E8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39.31</w:t>
                  </w:r>
                </w:p>
              </w:tc>
            </w:tr>
            <w:tr w14:paraId="5AC0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587F403B">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160m</w:t>
                  </w:r>
                </w:p>
              </w:tc>
              <w:tc>
                <w:tcPr>
                  <w:tcW w:w="594" w:type="pct"/>
                  <w:vAlign w:val="center"/>
                </w:tcPr>
                <w:p w14:paraId="0D8D198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45.61</w:t>
                  </w:r>
                </w:p>
              </w:tc>
              <w:tc>
                <w:tcPr>
                  <w:tcW w:w="624" w:type="pct"/>
                  <w:vAlign w:val="center"/>
                </w:tcPr>
                <w:p w14:paraId="79ADA19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40.38</w:t>
                  </w:r>
                </w:p>
              </w:tc>
              <w:tc>
                <w:tcPr>
                  <w:tcW w:w="508" w:type="pct"/>
                  <w:vAlign w:val="center"/>
                </w:tcPr>
                <w:p w14:paraId="0DE7771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44.93</w:t>
                  </w:r>
                </w:p>
              </w:tc>
              <w:tc>
                <w:tcPr>
                  <w:tcW w:w="497" w:type="pct"/>
                  <w:vAlign w:val="center"/>
                </w:tcPr>
                <w:p w14:paraId="26F94B8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39.38</w:t>
                  </w:r>
                </w:p>
              </w:tc>
              <w:tc>
                <w:tcPr>
                  <w:tcW w:w="553" w:type="pct"/>
                  <w:vAlign w:val="center"/>
                </w:tcPr>
                <w:p w14:paraId="584E523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45.61</w:t>
                  </w:r>
                </w:p>
              </w:tc>
              <w:tc>
                <w:tcPr>
                  <w:tcW w:w="561" w:type="pct"/>
                  <w:vAlign w:val="center"/>
                </w:tcPr>
                <w:p w14:paraId="6E862C6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40.38</w:t>
                  </w:r>
                </w:p>
              </w:tc>
              <w:tc>
                <w:tcPr>
                  <w:tcW w:w="553" w:type="pct"/>
                  <w:vAlign w:val="center"/>
                </w:tcPr>
                <w:p w14:paraId="39E7366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44.65</w:t>
                  </w:r>
                </w:p>
              </w:tc>
              <w:tc>
                <w:tcPr>
                  <w:tcW w:w="562" w:type="pct"/>
                  <w:vAlign w:val="center"/>
                </w:tcPr>
                <w:p w14:paraId="1FDAC97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39.01</w:t>
                  </w:r>
                </w:p>
              </w:tc>
            </w:tr>
            <w:tr w14:paraId="1862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6FF14C8A">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170m</w:t>
                  </w:r>
                </w:p>
              </w:tc>
              <w:tc>
                <w:tcPr>
                  <w:tcW w:w="594" w:type="pct"/>
                  <w:vAlign w:val="center"/>
                </w:tcPr>
                <w:p w14:paraId="480E0BB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45.33</w:t>
                  </w:r>
                </w:p>
              </w:tc>
              <w:tc>
                <w:tcPr>
                  <w:tcW w:w="624" w:type="pct"/>
                  <w:vAlign w:val="center"/>
                </w:tcPr>
                <w:p w14:paraId="70BFCD0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40.10</w:t>
                  </w:r>
                </w:p>
              </w:tc>
              <w:tc>
                <w:tcPr>
                  <w:tcW w:w="508" w:type="pct"/>
                  <w:vAlign w:val="center"/>
                </w:tcPr>
                <w:p w14:paraId="7E3E697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44.65</w:t>
                  </w:r>
                </w:p>
              </w:tc>
              <w:tc>
                <w:tcPr>
                  <w:tcW w:w="497" w:type="pct"/>
                  <w:vAlign w:val="center"/>
                </w:tcPr>
                <w:p w14:paraId="5227035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39.10</w:t>
                  </w:r>
                </w:p>
              </w:tc>
              <w:tc>
                <w:tcPr>
                  <w:tcW w:w="553" w:type="pct"/>
                  <w:vAlign w:val="center"/>
                </w:tcPr>
                <w:p w14:paraId="65A8172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45.33</w:t>
                  </w:r>
                </w:p>
              </w:tc>
              <w:tc>
                <w:tcPr>
                  <w:tcW w:w="561" w:type="pct"/>
                  <w:vAlign w:val="center"/>
                </w:tcPr>
                <w:p w14:paraId="19462D2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40.10</w:t>
                  </w:r>
                </w:p>
              </w:tc>
              <w:tc>
                <w:tcPr>
                  <w:tcW w:w="553" w:type="pct"/>
                  <w:vAlign w:val="center"/>
                </w:tcPr>
                <w:p w14:paraId="4317B39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44.37</w:t>
                  </w:r>
                </w:p>
              </w:tc>
              <w:tc>
                <w:tcPr>
                  <w:tcW w:w="562" w:type="pct"/>
                  <w:vAlign w:val="center"/>
                </w:tcPr>
                <w:p w14:paraId="2FBFF66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38.73</w:t>
                  </w:r>
                </w:p>
              </w:tc>
            </w:tr>
            <w:tr w14:paraId="44E2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66F45530">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180m</w:t>
                  </w:r>
                </w:p>
              </w:tc>
              <w:tc>
                <w:tcPr>
                  <w:tcW w:w="594" w:type="pct"/>
                  <w:vAlign w:val="center"/>
                </w:tcPr>
                <w:p w14:paraId="3C7FB02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45.07</w:t>
                  </w:r>
                </w:p>
              </w:tc>
              <w:tc>
                <w:tcPr>
                  <w:tcW w:w="624" w:type="pct"/>
                  <w:vAlign w:val="center"/>
                </w:tcPr>
                <w:p w14:paraId="738564E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39.84</w:t>
                  </w:r>
                </w:p>
              </w:tc>
              <w:tc>
                <w:tcPr>
                  <w:tcW w:w="508" w:type="pct"/>
                  <w:vAlign w:val="center"/>
                </w:tcPr>
                <w:p w14:paraId="38239A7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44.39</w:t>
                  </w:r>
                </w:p>
              </w:tc>
              <w:tc>
                <w:tcPr>
                  <w:tcW w:w="497" w:type="pct"/>
                  <w:vAlign w:val="center"/>
                </w:tcPr>
                <w:p w14:paraId="6154DF5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38.84</w:t>
                  </w:r>
                </w:p>
              </w:tc>
              <w:tc>
                <w:tcPr>
                  <w:tcW w:w="553" w:type="pct"/>
                  <w:vAlign w:val="center"/>
                </w:tcPr>
                <w:p w14:paraId="33E2489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45.07</w:t>
                  </w:r>
                </w:p>
              </w:tc>
              <w:tc>
                <w:tcPr>
                  <w:tcW w:w="561" w:type="pct"/>
                  <w:vAlign w:val="center"/>
                </w:tcPr>
                <w:p w14:paraId="74F1C95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39.84</w:t>
                  </w:r>
                </w:p>
              </w:tc>
              <w:tc>
                <w:tcPr>
                  <w:tcW w:w="553" w:type="pct"/>
                  <w:vAlign w:val="center"/>
                </w:tcPr>
                <w:p w14:paraId="24BE553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44.10</w:t>
                  </w:r>
                </w:p>
              </w:tc>
              <w:tc>
                <w:tcPr>
                  <w:tcW w:w="562" w:type="pct"/>
                  <w:vAlign w:val="center"/>
                </w:tcPr>
                <w:p w14:paraId="020D063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38.47</w:t>
                  </w:r>
                </w:p>
              </w:tc>
            </w:tr>
            <w:tr w14:paraId="5E4D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4" w:type="pct"/>
                  <w:vAlign w:val="center"/>
                </w:tcPr>
                <w:p w14:paraId="55CDD22C">
                  <w:pPr>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190m</w:t>
                  </w:r>
                </w:p>
              </w:tc>
              <w:tc>
                <w:tcPr>
                  <w:tcW w:w="594" w:type="pct"/>
                  <w:vAlign w:val="center"/>
                </w:tcPr>
                <w:p w14:paraId="05B0EDD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44.82</w:t>
                  </w:r>
                </w:p>
              </w:tc>
              <w:tc>
                <w:tcPr>
                  <w:tcW w:w="624" w:type="pct"/>
                  <w:vAlign w:val="center"/>
                </w:tcPr>
                <w:p w14:paraId="23D3632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39.59</w:t>
                  </w:r>
                </w:p>
              </w:tc>
              <w:tc>
                <w:tcPr>
                  <w:tcW w:w="508" w:type="pct"/>
                  <w:vAlign w:val="center"/>
                </w:tcPr>
                <w:p w14:paraId="6C3AC92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44.14</w:t>
                  </w:r>
                </w:p>
              </w:tc>
              <w:tc>
                <w:tcPr>
                  <w:tcW w:w="497" w:type="pct"/>
                  <w:vAlign w:val="center"/>
                </w:tcPr>
                <w:p w14:paraId="0634AB5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38.59</w:t>
                  </w:r>
                </w:p>
              </w:tc>
              <w:tc>
                <w:tcPr>
                  <w:tcW w:w="553" w:type="pct"/>
                  <w:vAlign w:val="center"/>
                </w:tcPr>
                <w:p w14:paraId="235E7EA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44.82</w:t>
                  </w:r>
                </w:p>
              </w:tc>
              <w:tc>
                <w:tcPr>
                  <w:tcW w:w="561" w:type="pct"/>
                  <w:vAlign w:val="center"/>
                </w:tcPr>
                <w:p w14:paraId="497A6AE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39.59</w:t>
                  </w:r>
                </w:p>
              </w:tc>
              <w:tc>
                <w:tcPr>
                  <w:tcW w:w="553" w:type="pct"/>
                  <w:vAlign w:val="center"/>
                </w:tcPr>
                <w:p w14:paraId="3C3BC0D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43.85</w:t>
                  </w:r>
                </w:p>
              </w:tc>
              <w:tc>
                <w:tcPr>
                  <w:tcW w:w="562" w:type="pct"/>
                  <w:vAlign w:val="center"/>
                </w:tcPr>
                <w:p w14:paraId="1393617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38.22</w:t>
                  </w:r>
                </w:p>
              </w:tc>
            </w:tr>
            <w:tr w14:paraId="2E1E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4" w:type="pct"/>
                  <w:vAlign w:val="center"/>
                </w:tcPr>
                <w:p w14:paraId="39DD60CE">
                  <w:pPr>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200m</w:t>
                  </w:r>
                </w:p>
              </w:tc>
              <w:tc>
                <w:tcPr>
                  <w:tcW w:w="594" w:type="pct"/>
                  <w:vAlign w:val="center"/>
                </w:tcPr>
                <w:p w14:paraId="2CF13C5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44.58</w:t>
                  </w:r>
                </w:p>
              </w:tc>
              <w:tc>
                <w:tcPr>
                  <w:tcW w:w="624" w:type="pct"/>
                  <w:vAlign w:val="center"/>
                </w:tcPr>
                <w:p w14:paraId="5ADBA8E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39.35</w:t>
                  </w:r>
                </w:p>
              </w:tc>
              <w:tc>
                <w:tcPr>
                  <w:tcW w:w="508" w:type="pct"/>
                  <w:vAlign w:val="center"/>
                </w:tcPr>
                <w:p w14:paraId="4A4047D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43.90</w:t>
                  </w:r>
                </w:p>
              </w:tc>
              <w:tc>
                <w:tcPr>
                  <w:tcW w:w="497" w:type="pct"/>
                  <w:vAlign w:val="center"/>
                </w:tcPr>
                <w:p w14:paraId="72E1189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38.35</w:t>
                  </w:r>
                </w:p>
              </w:tc>
              <w:tc>
                <w:tcPr>
                  <w:tcW w:w="553" w:type="pct"/>
                  <w:vAlign w:val="center"/>
                </w:tcPr>
                <w:p w14:paraId="2AD9175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44.58</w:t>
                  </w:r>
                </w:p>
              </w:tc>
              <w:tc>
                <w:tcPr>
                  <w:tcW w:w="561" w:type="pct"/>
                  <w:vAlign w:val="center"/>
                </w:tcPr>
                <w:p w14:paraId="4A51AF4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39.35</w:t>
                  </w:r>
                </w:p>
              </w:tc>
              <w:tc>
                <w:tcPr>
                  <w:tcW w:w="553" w:type="pct"/>
                  <w:vAlign w:val="center"/>
                </w:tcPr>
                <w:p w14:paraId="3196A82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43.62</w:t>
                  </w:r>
                </w:p>
              </w:tc>
              <w:tc>
                <w:tcPr>
                  <w:tcW w:w="562" w:type="pct"/>
                  <w:vAlign w:val="center"/>
                </w:tcPr>
                <w:p w14:paraId="5078862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zh-CN"/>
                    </w:rPr>
                  </w:pPr>
                  <w:r>
                    <w:rPr>
                      <w:rFonts w:hint="default" w:ascii="Times New Roman" w:hAnsi="Times New Roman" w:cs="Times New Roman"/>
                      <w:bCs/>
                      <w:sz w:val="21"/>
                      <w:szCs w:val="21"/>
                    </w:rPr>
                    <w:t>37.98</w:t>
                  </w:r>
                </w:p>
              </w:tc>
            </w:tr>
          </w:tbl>
          <w:p w14:paraId="210C2492">
            <w:pPr>
              <w:spacing w:line="276" w:lineRule="auto"/>
              <w:jc w:val="center"/>
              <w:rPr>
                <w:rFonts w:hint="default" w:ascii="Times New Roman" w:hAnsi="Times New Roman" w:cs="Times New Roman"/>
                <w:b/>
                <w:bCs/>
                <w:color w:val="auto"/>
                <w:kern w:val="0"/>
                <w:sz w:val="24"/>
                <w:highlight w:val="none"/>
                <w:lang w:val="zh-CN"/>
              </w:rPr>
            </w:pPr>
            <w:r>
              <w:rPr>
                <w:rFonts w:hint="eastAsia" w:cs="Times New Roman"/>
                <w:b/>
                <w:bCs/>
                <w:color w:val="auto"/>
                <w:sz w:val="24"/>
                <w:highlight w:val="none"/>
                <w:lang w:eastAsia="zh-CN"/>
              </w:rPr>
              <w:t>表</w:t>
            </w:r>
            <w:r>
              <w:rPr>
                <w:rFonts w:hint="eastAsia" w:cs="Times New Roman"/>
                <w:b/>
                <w:bCs/>
                <w:color w:val="auto"/>
                <w:sz w:val="24"/>
                <w:highlight w:val="none"/>
                <w:lang w:val="en-US" w:eastAsia="zh-CN"/>
              </w:rPr>
              <w:t>7-10 5号路、6号路、7号路</w:t>
            </w:r>
            <w:r>
              <w:rPr>
                <w:rFonts w:hint="default" w:ascii="Times New Roman" w:hAnsi="Times New Roman" w:cs="Times New Roman"/>
                <w:b/>
                <w:bCs/>
                <w:color w:val="auto"/>
                <w:kern w:val="0"/>
                <w:sz w:val="24"/>
                <w:highlight w:val="none"/>
                <w:lang w:val="zh-CN"/>
              </w:rPr>
              <w:t>交通噪声预测结果表  单位:dB（A）</w:t>
            </w:r>
          </w:p>
          <w:tbl>
            <w:tblPr>
              <w:tblStyle w:val="16"/>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184"/>
              <w:gridCol w:w="1186"/>
              <w:gridCol w:w="1185"/>
              <w:gridCol w:w="1187"/>
              <w:gridCol w:w="1185"/>
              <w:gridCol w:w="1187"/>
            </w:tblGrid>
            <w:tr w14:paraId="1D1E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6B28DB9D">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预</w:t>
                  </w:r>
                  <w:r>
                    <w:rPr>
                      <w:rFonts w:hint="default" w:ascii="Times New Roman" w:hAnsi="Times New Roman" w:eastAsia="宋体" w:cs="Times New Roman"/>
                      <w:b w:val="0"/>
                      <w:bCs w:val="0"/>
                      <w:color w:val="auto"/>
                      <w:kern w:val="0"/>
                      <w:sz w:val="21"/>
                      <w:szCs w:val="21"/>
                      <w:highlight w:val="none"/>
                      <w:vertAlign w:val="baseline"/>
                      <w:lang w:val="en-US" w:eastAsia="zh-CN"/>
                    </w:rPr>
                    <w:t>测试段</w:t>
                  </w:r>
                </w:p>
              </w:tc>
              <w:tc>
                <w:tcPr>
                  <w:tcW w:w="2370" w:type="dxa"/>
                  <w:gridSpan w:val="2"/>
                </w:tcPr>
                <w:p w14:paraId="3B7E8104">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5号路</w:t>
                  </w:r>
                </w:p>
              </w:tc>
              <w:tc>
                <w:tcPr>
                  <w:tcW w:w="2372" w:type="dxa"/>
                  <w:gridSpan w:val="2"/>
                </w:tcPr>
                <w:p w14:paraId="5D3DC8C7">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6号路</w:t>
                  </w:r>
                </w:p>
              </w:tc>
              <w:tc>
                <w:tcPr>
                  <w:tcW w:w="2372" w:type="dxa"/>
                  <w:gridSpan w:val="2"/>
                </w:tcPr>
                <w:p w14:paraId="7915BABC">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7号路</w:t>
                  </w:r>
                </w:p>
              </w:tc>
            </w:tr>
            <w:tr w14:paraId="142E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84" w:type="dxa"/>
                </w:tcPr>
                <w:p w14:paraId="719CF234">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距路红线距离</w:t>
                  </w:r>
                </w:p>
              </w:tc>
              <w:tc>
                <w:tcPr>
                  <w:tcW w:w="1184" w:type="dxa"/>
                </w:tcPr>
                <w:p w14:paraId="29CC5E43">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1186" w:type="dxa"/>
                </w:tcPr>
                <w:p w14:paraId="04216B64">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1185" w:type="dxa"/>
                  <w:vAlign w:val="top"/>
                </w:tcPr>
                <w:p w14:paraId="3423020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1187" w:type="dxa"/>
                  <w:vAlign w:val="top"/>
                </w:tcPr>
                <w:p w14:paraId="59313E7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1185" w:type="dxa"/>
                  <w:vAlign w:val="top"/>
                </w:tcPr>
                <w:p w14:paraId="3284E39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1187" w:type="dxa"/>
                  <w:vAlign w:val="top"/>
                </w:tcPr>
                <w:p w14:paraId="5FEAC70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夜间</w:t>
                  </w:r>
                </w:p>
              </w:tc>
            </w:tr>
            <w:tr w14:paraId="3FC2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5099CC1F">
                  <w:pPr>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0m</w:t>
                  </w:r>
                </w:p>
              </w:tc>
              <w:tc>
                <w:tcPr>
                  <w:tcW w:w="1184" w:type="dxa"/>
                  <w:vAlign w:val="center"/>
                </w:tcPr>
                <w:p w14:paraId="3FA96BDE">
                  <w:pPr>
                    <w:spacing w:line="240" w:lineRule="auto"/>
                    <w:ind w:firstLine="0" w:firstLineChars="0"/>
                    <w:jc w:val="center"/>
                    <w:rPr>
                      <w:rFonts w:hint="default" w:cs="Times New Roman"/>
                      <w:bCs/>
                      <w:sz w:val="21"/>
                      <w:szCs w:val="21"/>
                      <w:lang w:val="en-US" w:eastAsia="zh-CN"/>
                    </w:rPr>
                  </w:pPr>
                  <w:r>
                    <w:rPr>
                      <w:rFonts w:hint="eastAsia" w:cs="Times New Roman"/>
                      <w:bCs/>
                      <w:sz w:val="21"/>
                      <w:szCs w:val="21"/>
                      <w:lang w:val="en-US" w:eastAsia="zh-CN"/>
                    </w:rPr>
                    <w:t>58.99</w:t>
                  </w:r>
                </w:p>
              </w:tc>
              <w:tc>
                <w:tcPr>
                  <w:tcW w:w="1186" w:type="dxa"/>
                  <w:vAlign w:val="center"/>
                </w:tcPr>
                <w:p w14:paraId="1EB5986B">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53.41</w:t>
                  </w:r>
                </w:p>
              </w:tc>
              <w:tc>
                <w:tcPr>
                  <w:tcW w:w="1185" w:type="dxa"/>
                  <w:vAlign w:val="center"/>
                </w:tcPr>
                <w:p w14:paraId="74D17FEF">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57.89</w:t>
                  </w:r>
                </w:p>
              </w:tc>
              <w:tc>
                <w:tcPr>
                  <w:tcW w:w="1187" w:type="dxa"/>
                  <w:vAlign w:val="center"/>
                </w:tcPr>
                <w:p w14:paraId="17659092">
                  <w:pPr>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50.08</w:t>
                  </w:r>
                </w:p>
              </w:tc>
              <w:tc>
                <w:tcPr>
                  <w:tcW w:w="1185" w:type="dxa"/>
                  <w:vAlign w:val="center"/>
                </w:tcPr>
                <w:p w14:paraId="4CA55E4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59.96</w:t>
                  </w:r>
                </w:p>
              </w:tc>
              <w:tc>
                <w:tcPr>
                  <w:tcW w:w="1187" w:type="dxa"/>
                  <w:vAlign w:val="center"/>
                </w:tcPr>
                <w:p w14:paraId="11BFD69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57.10</w:t>
                  </w:r>
                </w:p>
              </w:tc>
            </w:tr>
            <w:tr w14:paraId="237D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534D6183">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10m</w:t>
                  </w:r>
                </w:p>
              </w:tc>
              <w:tc>
                <w:tcPr>
                  <w:tcW w:w="1184" w:type="dxa"/>
                  <w:vAlign w:val="center"/>
                </w:tcPr>
                <w:p w14:paraId="6B536C9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57.79</w:t>
                  </w:r>
                </w:p>
              </w:tc>
              <w:tc>
                <w:tcPr>
                  <w:tcW w:w="1186" w:type="dxa"/>
                  <w:vAlign w:val="center"/>
                </w:tcPr>
                <w:p w14:paraId="380B3EE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51.38</w:t>
                  </w:r>
                </w:p>
              </w:tc>
              <w:tc>
                <w:tcPr>
                  <w:tcW w:w="1185" w:type="dxa"/>
                  <w:vAlign w:val="center"/>
                </w:tcPr>
                <w:p w14:paraId="2A45392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55.86</w:t>
                  </w:r>
                </w:p>
              </w:tc>
              <w:tc>
                <w:tcPr>
                  <w:tcW w:w="1187" w:type="dxa"/>
                  <w:vAlign w:val="center"/>
                </w:tcPr>
                <w:p w14:paraId="05544A9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49.37</w:t>
                  </w:r>
                </w:p>
              </w:tc>
              <w:tc>
                <w:tcPr>
                  <w:tcW w:w="1185" w:type="dxa"/>
                  <w:vAlign w:val="center"/>
                </w:tcPr>
                <w:p w14:paraId="18817E5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58.7</w:t>
                  </w:r>
                  <w:r>
                    <w:rPr>
                      <w:rFonts w:hint="default" w:ascii="Times New Roman" w:hAnsi="Times New Roman" w:cs="Times New Roman"/>
                      <w:i w:val="0"/>
                      <w:color w:val="auto"/>
                      <w:kern w:val="0"/>
                      <w:sz w:val="21"/>
                      <w:szCs w:val="21"/>
                      <w:highlight w:val="none"/>
                      <w:u w:val="none"/>
                      <w:lang w:val="en-US" w:eastAsia="zh-CN" w:bidi="ar"/>
                    </w:rPr>
                    <w:t>0</w:t>
                  </w:r>
                </w:p>
              </w:tc>
              <w:tc>
                <w:tcPr>
                  <w:tcW w:w="1187" w:type="dxa"/>
                  <w:vAlign w:val="center"/>
                </w:tcPr>
                <w:p w14:paraId="161053C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55.7</w:t>
                  </w:r>
                  <w:r>
                    <w:rPr>
                      <w:rFonts w:hint="default" w:ascii="Times New Roman" w:hAnsi="Times New Roman" w:cs="Times New Roman"/>
                      <w:i w:val="0"/>
                      <w:color w:val="auto"/>
                      <w:kern w:val="0"/>
                      <w:sz w:val="21"/>
                      <w:szCs w:val="21"/>
                      <w:highlight w:val="none"/>
                      <w:u w:val="none"/>
                      <w:lang w:val="en-US" w:eastAsia="zh-CN" w:bidi="ar"/>
                    </w:rPr>
                    <w:t>1</w:t>
                  </w:r>
                </w:p>
              </w:tc>
            </w:tr>
            <w:tr w14:paraId="69CD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494794F6">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20m</w:t>
                  </w:r>
                </w:p>
              </w:tc>
              <w:tc>
                <w:tcPr>
                  <w:tcW w:w="1184" w:type="dxa"/>
                  <w:vAlign w:val="center"/>
                </w:tcPr>
                <w:p w14:paraId="1E13734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53.99</w:t>
                  </w:r>
                </w:p>
              </w:tc>
              <w:tc>
                <w:tcPr>
                  <w:tcW w:w="1186" w:type="dxa"/>
                  <w:vAlign w:val="center"/>
                </w:tcPr>
                <w:p w14:paraId="08D0160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47.58</w:t>
                  </w:r>
                </w:p>
              </w:tc>
              <w:tc>
                <w:tcPr>
                  <w:tcW w:w="1185" w:type="dxa"/>
                  <w:vAlign w:val="center"/>
                </w:tcPr>
                <w:p w14:paraId="74ED913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52.06</w:t>
                  </w:r>
                </w:p>
              </w:tc>
              <w:tc>
                <w:tcPr>
                  <w:tcW w:w="1187" w:type="dxa"/>
                  <w:vAlign w:val="center"/>
                </w:tcPr>
                <w:p w14:paraId="6A41585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45.57</w:t>
                  </w:r>
                </w:p>
              </w:tc>
              <w:tc>
                <w:tcPr>
                  <w:tcW w:w="1185" w:type="dxa"/>
                  <w:vAlign w:val="center"/>
                </w:tcPr>
                <w:p w14:paraId="613A441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57.3</w:t>
                  </w:r>
                  <w:r>
                    <w:rPr>
                      <w:rFonts w:hint="default" w:ascii="Times New Roman" w:hAnsi="Times New Roman" w:cs="Times New Roman"/>
                      <w:i w:val="0"/>
                      <w:color w:val="auto"/>
                      <w:kern w:val="0"/>
                      <w:sz w:val="21"/>
                      <w:szCs w:val="21"/>
                      <w:highlight w:val="none"/>
                      <w:u w:val="none"/>
                      <w:lang w:val="en-US" w:eastAsia="zh-CN" w:bidi="ar"/>
                    </w:rPr>
                    <w:t>5</w:t>
                  </w:r>
                </w:p>
              </w:tc>
              <w:tc>
                <w:tcPr>
                  <w:tcW w:w="1187" w:type="dxa"/>
                  <w:vAlign w:val="center"/>
                </w:tcPr>
                <w:p w14:paraId="77DBAD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54.3</w:t>
                  </w:r>
                  <w:r>
                    <w:rPr>
                      <w:rFonts w:hint="default" w:ascii="Times New Roman" w:hAnsi="Times New Roman" w:cs="Times New Roman"/>
                      <w:i w:val="0"/>
                      <w:color w:val="auto"/>
                      <w:kern w:val="0"/>
                      <w:sz w:val="21"/>
                      <w:szCs w:val="21"/>
                      <w:highlight w:val="none"/>
                      <w:u w:val="none"/>
                      <w:lang w:val="en-US" w:eastAsia="zh-CN" w:bidi="ar"/>
                    </w:rPr>
                    <w:t>3</w:t>
                  </w:r>
                </w:p>
              </w:tc>
            </w:tr>
            <w:tr w14:paraId="3E05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73CF4414">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30m</w:t>
                  </w:r>
                </w:p>
              </w:tc>
              <w:tc>
                <w:tcPr>
                  <w:tcW w:w="1184" w:type="dxa"/>
                  <w:vAlign w:val="center"/>
                </w:tcPr>
                <w:p w14:paraId="23094AA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49.45</w:t>
                  </w:r>
                </w:p>
              </w:tc>
              <w:tc>
                <w:tcPr>
                  <w:tcW w:w="1186" w:type="dxa"/>
                  <w:vAlign w:val="center"/>
                </w:tcPr>
                <w:p w14:paraId="3E8A8D7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43.04</w:t>
                  </w:r>
                </w:p>
              </w:tc>
              <w:tc>
                <w:tcPr>
                  <w:tcW w:w="1185" w:type="dxa"/>
                  <w:vAlign w:val="center"/>
                </w:tcPr>
                <w:p w14:paraId="5AC50BA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47.51</w:t>
                  </w:r>
                </w:p>
              </w:tc>
              <w:tc>
                <w:tcPr>
                  <w:tcW w:w="1187" w:type="dxa"/>
                  <w:vAlign w:val="center"/>
                </w:tcPr>
                <w:p w14:paraId="22316BF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41.03</w:t>
                  </w:r>
                </w:p>
              </w:tc>
              <w:tc>
                <w:tcPr>
                  <w:tcW w:w="1185" w:type="dxa"/>
                  <w:vAlign w:val="center"/>
                </w:tcPr>
                <w:p w14:paraId="37A469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56.2</w:t>
                  </w:r>
                  <w:r>
                    <w:rPr>
                      <w:rFonts w:hint="default" w:ascii="Times New Roman" w:hAnsi="Times New Roman" w:cs="Times New Roman"/>
                      <w:i w:val="0"/>
                      <w:color w:val="auto"/>
                      <w:kern w:val="0"/>
                      <w:sz w:val="21"/>
                      <w:szCs w:val="21"/>
                      <w:highlight w:val="none"/>
                      <w:u w:val="none"/>
                      <w:lang w:val="en-US" w:eastAsia="zh-CN" w:bidi="ar"/>
                    </w:rPr>
                    <w:t>4</w:t>
                  </w:r>
                </w:p>
              </w:tc>
              <w:tc>
                <w:tcPr>
                  <w:tcW w:w="1187" w:type="dxa"/>
                  <w:vAlign w:val="center"/>
                </w:tcPr>
                <w:p w14:paraId="2639FC6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53.2</w:t>
                  </w:r>
                  <w:r>
                    <w:rPr>
                      <w:rFonts w:hint="default" w:ascii="Times New Roman" w:hAnsi="Times New Roman" w:cs="Times New Roman"/>
                      <w:i w:val="0"/>
                      <w:color w:val="auto"/>
                      <w:kern w:val="0"/>
                      <w:sz w:val="21"/>
                      <w:szCs w:val="21"/>
                      <w:highlight w:val="none"/>
                      <w:u w:val="none"/>
                      <w:lang w:val="en-US" w:eastAsia="zh-CN" w:bidi="ar"/>
                    </w:rPr>
                    <w:t>5</w:t>
                  </w:r>
                </w:p>
              </w:tc>
            </w:tr>
            <w:tr w14:paraId="1162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10E80296">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40m</w:t>
                  </w:r>
                </w:p>
              </w:tc>
              <w:tc>
                <w:tcPr>
                  <w:tcW w:w="1184" w:type="dxa"/>
                  <w:vAlign w:val="center"/>
                </w:tcPr>
                <w:p w14:paraId="0920DBC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47.48</w:t>
                  </w:r>
                </w:p>
              </w:tc>
              <w:tc>
                <w:tcPr>
                  <w:tcW w:w="1186" w:type="dxa"/>
                  <w:vAlign w:val="center"/>
                </w:tcPr>
                <w:p w14:paraId="1B488BD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41.07</w:t>
                  </w:r>
                </w:p>
              </w:tc>
              <w:tc>
                <w:tcPr>
                  <w:tcW w:w="1185" w:type="dxa"/>
                  <w:vAlign w:val="center"/>
                </w:tcPr>
                <w:p w14:paraId="6AFD5E7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45.54</w:t>
                  </w:r>
                </w:p>
              </w:tc>
              <w:tc>
                <w:tcPr>
                  <w:tcW w:w="1187" w:type="dxa"/>
                  <w:vAlign w:val="center"/>
                </w:tcPr>
                <w:p w14:paraId="60391F3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39.06</w:t>
                  </w:r>
                </w:p>
              </w:tc>
              <w:tc>
                <w:tcPr>
                  <w:tcW w:w="1185" w:type="dxa"/>
                  <w:vAlign w:val="center"/>
                </w:tcPr>
                <w:p w14:paraId="7A26A3B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55.3</w:t>
                  </w:r>
                  <w:r>
                    <w:rPr>
                      <w:rFonts w:hint="default" w:ascii="Times New Roman" w:hAnsi="Times New Roman" w:cs="Times New Roman"/>
                      <w:i w:val="0"/>
                      <w:color w:val="auto"/>
                      <w:kern w:val="0"/>
                      <w:sz w:val="21"/>
                      <w:szCs w:val="21"/>
                      <w:highlight w:val="none"/>
                      <w:u w:val="none"/>
                      <w:lang w:val="en-US" w:eastAsia="zh-CN" w:bidi="ar"/>
                    </w:rPr>
                    <w:t>2</w:t>
                  </w:r>
                </w:p>
              </w:tc>
              <w:tc>
                <w:tcPr>
                  <w:tcW w:w="1187" w:type="dxa"/>
                  <w:vAlign w:val="center"/>
                </w:tcPr>
                <w:p w14:paraId="58486CD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52.2</w:t>
                  </w:r>
                  <w:r>
                    <w:rPr>
                      <w:rFonts w:hint="default" w:ascii="Times New Roman" w:hAnsi="Times New Roman" w:cs="Times New Roman"/>
                      <w:i w:val="0"/>
                      <w:color w:val="auto"/>
                      <w:kern w:val="0"/>
                      <w:sz w:val="21"/>
                      <w:szCs w:val="21"/>
                      <w:highlight w:val="none"/>
                      <w:u w:val="none"/>
                      <w:lang w:val="en-US" w:eastAsia="zh-CN" w:bidi="ar"/>
                    </w:rPr>
                    <w:t>2</w:t>
                  </w:r>
                </w:p>
              </w:tc>
            </w:tr>
            <w:tr w14:paraId="319D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10ACC3B9">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50m</w:t>
                  </w:r>
                </w:p>
              </w:tc>
              <w:tc>
                <w:tcPr>
                  <w:tcW w:w="1184" w:type="dxa"/>
                  <w:vAlign w:val="center"/>
                </w:tcPr>
                <w:p w14:paraId="2AA5F8F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46.18</w:t>
                  </w:r>
                </w:p>
              </w:tc>
              <w:tc>
                <w:tcPr>
                  <w:tcW w:w="1186" w:type="dxa"/>
                  <w:vAlign w:val="center"/>
                </w:tcPr>
                <w:p w14:paraId="131A4C6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39.78</w:t>
                  </w:r>
                </w:p>
              </w:tc>
              <w:tc>
                <w:tcPr>
                  <w:tcW w:w="1185" w:type="dxa"/>
                  <w:vAlign w:val="center"/>
                </w:tcPr>
                <w:p w14:paraId="17B1CC0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44.25</w:t>
                  </w:r>
                </w:p>
              </w:tc>
              <w:tc>
                <w:tcPr>
                  <w:tcW w:w="1187" w:type="dxa"/>
                  <w:vAlign w:val="center"/>
                </w:tcPr>
                <w:p w14:paraId="423A46D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37.76</w:t>
                  </w:r>
                </w:p>
              </w:tc>
              <w:tc>
                <w:tcPr>
                  <w:tcW w:w="1185" w:type="dxa"/>
                  <w:vAlign w:val="center"/>
                </w:tcPr>
                <w:p w14:paraId="593C789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54.5</w:t>
                  </w:r>
                  <w:r>
                    <w:rPr>
                      <w:rFonts w:hint="default" w:ascii="Times New Roman" w:hAnsi="Times New Roman" w:cs="Times New Roman"/>
                      <w:i w:val="0"/>
                      <w:color w:val="auto"/>
                      <w:kern w:val="0"/>
                      <w:sz w:val="21"/>
                      <w:szCs w:val="21"/>
                      <w:highlight w:val="none"/>
                      <w:u w:val="none"/>
                      <w:lang w:val="en-US" w:eastAsia="zh-CN" w:bidi="ar"/>
                    </w:rPr>
                    <w:t>7</w:t>
                  </w:r>
                </w:p>
              </w:tc>
              <w:tc>
                <w:tcPr>
                  <w:tcW w:w="1187" w:type="dxa"/>
                  <w:vAlign w:val="center"/>
                </w:tcPr>
                <w:p w14:paraId="05ADEED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51.4</w:t>
                  </w:r>
                  <w:r>
                    <w:rPr>
                      <w:rFonts w:hint="default" w:ascii="Times New Roman" w:hAnsi="Times New Roman" w:cs="Times New Roman"/>
                      <w:i w:val="0"/>
                      <w:color w:val="auto"/>
                      <w:kern w:val="0"/>
                      <w:sz w:val="21"/>
                      <w:szCs w:val="21"/>
                      <w:highlight w:val="none"/>
                      <w:u w:val="none"/>
                      <w:lang w:val="en-US" w:eastAsia="zh-CN" w:bidi="ar"/>
                    </w:rPr>
                    <w:t>4</w:t>
                  </w:r>
                </w:p>
              </w:tc>
            </w:tr>
            <w:tr w14:paraId="1605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29ADB10E">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60m</w:t>
                  </w:r>
                </w:p>
              </w:tc>
              <w:tc>
                <w:tcPr>
                  <w:tcW w:w="1184" w:type="dxa"/>
                  <w:vAlign w:val="center"/>
                </w:tcPr>
                <w:p w14:paraId="5B325DF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45.20</w:t>
                  </w:r>
                </w:p>
              </w:tc>
              <w:tc>
                <w:tcPr>
                  <w:tcW w:w="1186" w:type="dxa"/>
                  <w:vAlign w:val="center"/>
                </w:tcPr>
                <w:p w14:paraId="05AB818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38.79</w:t>
                  </w:r>
                </w:p>
              </w:tc>
              <w:tc>
                <w:tcPr>
                  <w:tcW w:w="1185" w:type="dxa"/>
                  <w:vAlign w:val="center"/>
                </w:tcPr>
                <w:p w14:paraId="6DC9BBA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43.26</w:t>
                  </w:r>
                </w:p>
              </w:tc>
              <w:tc>
                <w:tcPr>
                  <w:tcW w:w="1187" w:type="dxa"/>
                  <w:vAlign w:val="center"/>
                </w:tcPr>
                <w:p w14:paraId="1090A9F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36.78</w:t>
                  </w:r>
                </w:p>
              </w:tc>
              <w:tc>
                <w:tcPr>
                  <w:tcW w:w="1185" w:type="dxa"/>
                  <w:vAlign w:val="center"/>
                </w:tcPr>
                <w:p w14:paraId="6089414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53.7</w:t>
                  </w:r>
                  <w:r>
                    <w:rPr>
                      <w:rFonts w:hint="default" w:ascii="Times New Roman" w:hAnsi="Times New Roman" w:cs="Times New Roman"/>
                      <w:i w:val="0"/>
                      <w:color w:val="auto"/>
                      <w:kern w:val="0"/>
                      <w:sz w:val="21"/>
                      <w:szCs w:val="21"/>
                      <w:highlight w:val="none"/>
                      <w:u w:val="none"/>
                      <w:lang w:val="en-US" w:eastAsia="zh-CN" w:bidi="ar"/>
                    </w:rPr>
                    <w:t>8</w:t>
                  </w:r>
                </w:p>
              </w:tc>
              <w:tc>
                <w:tcPr>
                  <w:tcW w:w="1187" w:type="dxa"/>
                  <w:vAlign w:val="center"/>
                </w:tcPr>
                <w:p w14:paraId="12C3D0F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50.7</w:t>
                  </w:r>
                  <w:r>
                    <w:rPr>
                      <w:rFonts w:hint="default" w:ascii="Times New Roman" w:hAnsi="Times New Roman" w:cs="Times New Roman"/>
                      <w:i w:val="0"/>
                      <w:color w:val="auto"/>
                      <w:kern w:val="0"/>
                      <w:sz w:val="21"/>
                      <w:szCs w:val="21"/>
                      <w:highlight w:val="none"/>
                      <w:u w:val="none"/>
                      <w:lang w:val="en-US" w:eastAsia="zh-CN" w:bidi="ar"/>
                    </w:rPr>
                    <w:t>1</w:t>
                  </w:r>
                </w:p>
              </w:tc>
            </w:tr>
            <w:tr w14:paraId="63F6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11CA827F">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70m</w:t>
                  </w:r>
                </w:p>
              </w:tc>
              <w:tc>
                <w:tcPr>
                  <w:tcW w:w="1184" w:type="dxa"/>
                  <w:vAlign w:val="center"/>
                </w:tcPr>
                <w:p w14:paraId="70E8C13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44.39</w:t>
                  </w:r>
                </w:p>
              </w:tc>
              <w:tc>
                <w:tcPr>
                  <w:tcW w:w="1186" w:type="dxa"/>
                  <w:vAlign w:val="center"/>
                </w:tcPr>
                <w:p w14:paraId="558BE75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37.98</w:t>
                  </w:r>
                </w:p>
              </w:tc>
              <w:tc>
                <w:tcPr>
                  <w:tcW w:w="1185" w:type="dxa"/>
                  <w:vAlign w:val="center"/>
                </w:tcPr>
                <w:p w14:paraId="5A78550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42.45</w:t>
                  </w:r>
                </w:p>
              </w:tc>
              <w:tc>
                <w:tcPr>
                  <w:tcW w:w="1187" w:type="dxa"/>
                  <w:vAlign w:val="center"/>
                </w:tcPr>
                <w:p w14:paraId="2C838A8F">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35.97</w:t>
                  </w:r>
                </w:p>
              </w:tc>
              <w:tc>
                <w:tcPr>
                  <w:tcW w:w="1185" w:type="dxa"/>
                  <w:vAlign w:val="center"/>
                </w:tcPr>
                <w:p w14:paraId="07449D8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53.1</w:t>
                  </w:r>
                  <w:r>
                    <w:rPr>
                      <w:rFonts w:hint="default" w:ascii="Times New Roman" w:hAnsi="Times New Roman" w:cs="Times New Roman"/>
                      <w:i w:val="0"/>
                      <w:color w:val="auto"/>
                      <w:kern w:val="0"/>
                      <w:sz w:val="21"/>
                      <w:szCs w:val="21"/>
                      <w:highlight w:val="none"/>
                      <w:u w:val="none"/>
                      <w:lang w:val="en-US" w:eastAsia="zh-CN" w:bidi="ar"/>
                    </w:rPr>
                    <w:t>1</w:t>
                  </w:r>
                </w:p>
              </w:tc>
              <w:tc>
                <w:tcPr>
                  <w:tcW w:w="1187" w:type="dxa"/>
                  <w:vAlign w:val="center"/>
                </w:tcPr>
                <w:p w14:paraId="2D635F6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49.98</w:t>
                  </w:r>
                </w:p>
              </w:tc>
            </w:tr>
            <w:tr w14:paraId="1621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4C02C59B">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80m</w:t>
                  </w:r>
                </w:p>
              </w:tc>
              <w:tc>
                <w:tcPr>
                  <w:tcW w:w="1184" w:type="dxa"/>
                  <w:vAlign w:val="center"/>
                </w:tcPr>
                <w:p w14:paraId="539F1FE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43.70</w:t>
                  </w:r>
                </w:p>
              </w:tc>
              <w:tc>
                <w:tcPr>
                  <w:tcW w:w="1186" w:type="dxa"/>
                  <w:vAlign w:val="center"/>
                </w:tcPr>
                <w:p w14:paraId="2CC7B7C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37.29</w:t>
                  </w:r>
                </w:p>
              </w:tc>
              <w:tc>
                <w:tcPr>
                  <w:tcW w:w="1185" w:type="dxa"/>
                  <w:vAlign w:val="center"/>
                </w:tcPr>
                <w:p w14:paraId="2F946C0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41.76</w:t>
                  </w:r>
                </w:p>
              </w:tc>
              <w:tc>
                <w:tcPr>
                  <w:tcW w:w="1187" w:type="dxa"/>
                  <w:vAlign w:val="center"/>
                </w:tcPr>
                <w:p w14:paraId="68156C2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35.28</w:t>
                  </w:r>
                </w:p>
              </w:tc>
              <w:tc>
                <w:tcPr>
                  <w:tcW w:w="1185" w:type="dxa"/>
                  <w:vAlign w:val="center"/>
                </w:tcPr>
                <w:p w14:paraId="09EA64C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52.5</w:t>
                  </w:r>
                  <w:r>
                    <w:rPr>
                      <w:rFonts w:hint="default" w:ascii="Times New Roman" w:hAnsi="Times New Roman" w:cs="Times New Roman"/>
                      <w:i w:val="0"/>
                      <w:color w:val="auto"/>
                      <w:kern w:val="0"/>
                      <w:sz w:val="21"/>
                      <w:szCs w:val="21"/>
                      <w:highlight w:val="none"/>
                      <w:u w:val="none"/>
                      <w:lang w:val="en-US" w:eastAsia="zh-CN" w:bidi="ar"/>
                    </w:rPr>
                    <w:t>5</w:t>
                  </w:r>
                </w:p>
              </w:tc>
              <w:tc>
                <w:tcPr>
                  <w:tcW w:w="1187" w:type="dxa"/>
                  <w:vAlign w:val="center"/>
                </w:tcPr>
                <w:p w14:paraId="294C790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49.4</w:t>
                  </w:r>
                  <w:r>
                    <w:rPr>
                      <w:rFonts w:hint="default" w:ascii="Times New Roman" w:hAnsi="Times New Roman" w:cs="Times New Roman"/>
                      <w:i w:val="0"/>
                      <w:color w:val="auto"/>
                      <w:kern w:val="0"/>
                      <w:sz w:val="21"/>
                      <w:szCs w:val="21"/>
                      <w:highlight w:val="none"/>
                      <w:u w:val="none"/>
                      <w:lang w:val="en-US" w:eastAsia="zh-CN" w:bidi="ar"/>
                    </w:rPr>
                    <w:t>3</w:t>
                  </w:r>
                </w:p>
              </w:tc>
            </w:tr>
            <w:tr w14:paraId="6DFA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51EF3032">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90m</w:t>
                  </w:r>
                </w:p>
              </w:tc>
              <w:tc>
                <w:tcPr>
                  <w:tcW w:w="1184" w:type="dxa"/>
                  <w:vAlign w:val="center"/>
                </w:tcPr>
                <w:p w14:paraId="3EA2EDA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43.10</w:t>
                  </w:r>
                </w:p>
              </w:tc>
              <w:tc>
                <w:tcPr>
                  <w:tcW w:w="1186" w:type="dxa"/>
                  <w:vAlign w:val="center"/>
                </w:tcPr>
                <w:p w14:paraId="39E0508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36.69</w:t>
                  </w:r>
                </w:p>
              </w:tc>
              <w:tc>
                <w:tcPr>
                  <w:tcW w:w="1185" w:type="dxa"/>
                  <w:vAlign w:val="center"/>
                </w:tcPr>
                <w:p w14:paraId="3F2F3E0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41.16</w:t>
                  </w:r>
                </w:p>
              </w:tc>
              <w:tc>
                <w:tcPr>
                  <w:tcW w:w="1187" w:type="dxa"/>
                  <w:vAlign w:val="center"/>
                </w:tcPr>
                <w:p w14:paraId="447A313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34.68</w:t>
                  </w:r>
                </w:p>
              </w:tc>
              <w:tc>
                <w:tcPr>
                  <w:tcW w:w="1185" w:type="dxa"/>
                  <w:vAlign w:val="center"/>
                </w:tcPr>
                <w:p w14:paraId="567221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51.9</w:t>
                  </w:r>
                  <w:r>
                    <w:rPr>
                      <w:rFonts w:hint="default" w:ascii="Times New Roman" w:hAnsi="Times New Roman" w:cs="Times New Roman"/>
                      <w:i w:val="0"/>
                      <w:color w:val="auto"/>
                      <w:kern w:val="0"/>
                      <w:sz w:val="21"/>
                      <w:szCs w:val="21"/>
                      <w:highlight w:val="none"/>
                      <w:u w:val="none"/>
                      <w:lang w:val="en-US" w:eastAsia="zh-CN" w:bidi="ar"/>
                    </w:rPr>
                    <w:t>9</w:t>
                  </w:r>
                </w:p>
              </w:tc>
              <w:tc>
                <w:tcPr>
                  <w:tcW w:w="1187" w:type="dxa"/>
                  <w:vAlign w:val="center"/>
                </w:tcPr>
                <w:p w14:paraId="768285E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48.8</w:t>
                  </w:r>
                  <w:r>
                    <w:rPr>
                      <w:rFonts w:hint="default" w:ascii="Times New Roman" w:hAnsi="Times New Roman" w:cs="Times New Roman"/>
                      <w:i w:val="0"/>
                      <w:color w:val="auto"/>
                      <w:kern w:val="0"/>
                      <w:sz w:val="21"/>
                      <w:szCs w:val="21"/>
                      <w:highlight w:val="none"/>
                      <w:u w:val="none"/>
                      <w:lang w:val="en-US" w:eastAsia="zh-CN" w:bidi="ar"/>
                    </w:rPr>
                    <w:t>7</w:t>
                  </w:r>
                </w:p>
              </w:tc>
            </w:tr>
            <w:tr w14:paraId="719A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02A69147">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100m</w:t>
                  </w:r>
                </w:p>
              </w:tc>
              <w:tc>
                <w:tcPr>
                  <w:tcW w:w="1184" w:type="dxa"/>
                  <w:vAlign w:val="center"/>
                </w:tcPr>
                <w:p w14:paraId="1CD8228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42.56</w:t>
                  </w:r>
                </w:p>
              </w:tc>
              <w:tc>
                <w:tcPr>
                  <w:tcW w:w="1186" w:type="dxa"/>
                  <w:vAlign w:val="center"/>
                </w:tcPr>
                <w:p w14:paraId="0AE434B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36.15</w:t>
                  </w:r>
                </w:p>
              </w:tc>
              <w:tc>
                <w:tcPr>
                  <w:tcW w:w="1185" w:type="dxa"/>
                  <w:vAlign w:val="center"/>
                </w:tcPr>
                <w:p w14:paraId="6E4E3A0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40.63</w:t>
                  </w:r>
                </w:p>
              </w:tc>
              <w:tc>
                <w:tcPr>
                  <w:tcW w:w="1187" w:type="dxa"/>
                  <w:vAlign w:val="center"/>
                </w:tcPr>
                <w:p w14:paraId="6812D06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34.14</w:t>
                  </w:r>
                </w:p>
              </w:tc>
              <w:tc>
                <w:tcPr>
                  <w:tcW w:w="1185" w:type="dxa"/>
                  <w:vAlign w:val="center"/>
                </w:tcPr>
                <w:p w14:paraId="7A3EBAC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51.4</w:t>
                  </w:r>
                  <w:r>
                    <w:rPr>
                      <w:rFonts w:hint="default" w:ascii="Times New Roman" w:hAnsi="Times New Roman" w:cs="Times New Roman"/>
                      <w:i w:val="0"/>
                      <w:color w:val="auto"/>
                      <w:kern w:val="0"/>
                      <w:sz w:val="21"/>
                      <w:szCs w:val="21"/>
                      <w:highlight w:val="none"/>
                      <w:u w:val="none"/>
                      <w:lang w:val="en-US" w:eastAsia="zh-CN" w:bidi="ar"/>
                    </w:rPr>
                    <w:t>0</w:t>
                  </w:r>
                </w:p>
              </w:tc>
              <w:tc>
                <w:tcPr>
                  <w:tcW w:w="1187" w:type="dxa"/>
                  <w:vAlign w:val="center"/>
                </w:tcPr>
                <w:p w14:paraId="57E4AD9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48.4</w:t>
                  </w:r>
                  <w:r>
                    <w:rPr>
                      <w:rFonts w:hint="default" w:ascii="Times New Roman" w:hAnsi="Times New Roman" w:cs="Times New Roman"/>
                      <w:i w:val="0"/>
                      <w:color w:val="auto"/>
                      <w:kern w:val="0"/>
                      <w:sz w:val="21"/>
                      <w:szCs w:val="21"/>
                      <w:highlight w:val="none"/>
                      <w:u w:val="none"/>
                      <w:lang w:val="en-US" w:eastAsia="zh-CN" w:bidi="ar"/>
                    </w:rPr>
                    <w:t>2</w:t>
                  </w:r>
                </w:p>
              </w:tc>
            </w:tr>
            <w:tr w14:paraId="38FF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4061B0BA">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110m</w:t>
                  </w:r>
                </w:p>
              </w:tc>
              <w:tc>
                <w:tcPr>
                  <w:tcW w:w="1184" w:type="dxa"/>
                  <w:vAlign w:val="center"/>
                </w:tcPr>
                <w:p w14:paraId="1B9BA36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42.07</w:t>
                  </w:r>
                </w:p>
              </w:tc>
              <w:tc>
                <w:tcPr>
                  <w:tcW w:w="1186" w:type="dxa"/>
                  <w:vAlign w:val="center"/>
                </w:tcPr>
                <w:p w14:paraId="3F8BAB2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35.67</w:t>
                  </w:r>
                </w:p>
              </w:tc>
              <w:tc>
                <w:tcPr>
                  <w:tcW w:w="1185" w:type="dxa"/>
                  <w:vAlign w:val="center"/>
                </w:tcPr>
                <w:p w14:paraId="40464F6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40.14</w:t>
                  </w:r>
                </w:p>
              </w:tc>
              <w:tc>
                <w:tcPr>
                  <w:tcW w:w="1187" w:type="dxa"/>
                  <w:vAlign w:val="center"/>
                </w:tcPr>
                <w:p w14:paraId="77FBF2A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333.65</w:t>
                  </w:r>
                </w:p>
              </w:tc>
              <w:tc>
                <w:tcPr>
                  <w:tcW w:w="1185" w:type="dxa"/>
                  <w:vAlign w:val="center"/>
                </w:tcPr>
                <w:p w14:paraId="2A20F3D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50.9</w:t>
                  </w:r>
                  <w:r>
                    <w:rPr>
                      <w:rFonts w:hint="default" w:ascii="Times New Roman" w:hAnsi="Times New Roman" w:cs="Times New Roman"/>
                      <w:i w:val="0"/>
                      <w:color w:val="auto"/>
                      <w:kern w:val="0"/>
                      <w:sz w:val="21"/>
                      <w:szCs w:val="21"/>
                      <w:highlight w:val="none"/>
                      <w:u w:val="none"/>
                      <w:lang w:val="en-US" w:eastAsia="zh-CN" w:bidi="ar"/>
                    </w:rPr>
                    <w:t>7</w:t>
                  </w:r>
                </w:p>
              </w:tc>
              <w:tc>
                <w:tcPr>
                  <w:tcW w:w="1187" w:type="dxa"/>
                  <w:vAlign w:val="center"/>
                </w:tcPr>
                <w:p w14:paraId="2A58309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47.8</w:t>
                  </w:r>
                  <w:r>
                    <w:rPr>
                      <w:rFonts w:hint="default" w:ascii="Times New Roman" w:hAnsi="Times New Roman" w:cs="Times New Roman"/>
                      <w:i w:val="0"/>
                      <w:color w:val="auto"/>
                      <w:kern w:val="0"/>
                      <w:sz w:val="21"/>
                      <w:szCs w:val="21"/>
                      <w:highlight w:val="none"/>
                      <w:u w:val="none"/>
                      <w:lang w:val="en-US" w:eastAsia="zh-CN" w:bidi="ar"/>
                    </w:rPr>
                    <w:t>7</w:t>
                  </w:r>
                </w:p>
              </w:tc>
            </w:tr>
            <w:tr w14:paraId="1DAB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2D0838B7">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120m</w:t>
                  </w:r>
                </w:p>
              </w:tc>
              <w:tc>
                <w:tcPr>
                  <w:tcW w:w="1184" w:type="dxa"/>
                  <w:vAlign w:val="center"/>
                </w:tcPr>
                <w:p w14:paraId="3412822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41.63</w:t>
                  </w:r>
                </w:p>
              </w:tc>
              <w:tc>
                <w:tcPr>
                  <w:tcW w:w="1186" w:type="dxa"/>
                  <w:vAlign w:val="center"/>
                </w:tcPr>
                <w:p w14:paraId="1654F43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35.22</w:t>
                  </w:r>
                </w:p>
              </w:tc>
              <w:tc>
                <w:tcPr>
                  <w:tcW w:w="1185" w:type="dxa"/>
                  <w:vAlign w:val="center"/>
                </w:tcPr>
                <w:p w14:paraId="79F7D5A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39.70</w:t>
                  </w:r>
                </w:p>
              </w:tc>
              <w:tc>
                <w:tcPr>
                  <w:tcW w:w="1187" w:type="dxa"/>
                  <w:vAlign w:val="center"/>
                </w:tcPr>
                <w:p w14:paraId="782617C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33.21</w:t>
                  </w:r>
                </w:p>
              </w:tc>
              <w:tc>
                <w:tcPr>
                  <w:tcW w:w="1185" w:type="dxa"/>
                  <w:vAlign w:val="center"/>
                </w:tcPr>
                <w:p w14:paraId="3B3D69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50.43</w:t>
                  </w:r>
                </w:p>
              </w:tc>
              <w:tc>
                <w:tcPr>
                  <w:tcW w:w="1187" w:type="dxa"/>
                  <w:vAlign w:val="center"/>
                </w:tcPr>
                <w:p w14:paraId="5F9E34D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47.4</w:t>
                  </w:r>
                  <w:r>
                    <w:rPr>
                      <w:rFonts w:hint="default" w:ascii="Times New Roman" w:hAnsi="Times New Roman" w:cs="Times New Roman"/>
                      <w:i w:val="0"/>
                      <w:color w:val="auto"/>
                      <w:kern w:val="0"/>
                      <w:sz w:val="21"/>
                      <w:szCs w:val="21"/>
                      <w:highlight w:val="none"/>
                      <w:u w:val="none"/>
                      <w:lang w:val="en-US" w:eastAsia="zh-CN" w:bidi="ar"/>
                    </w:rPr>
                    <w:t>0</w:t>
                  </w:r>
                </w:p>
              </w:tc>
            </w:tr>
            <w:tr w14:paraId="327D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256AF838">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130m</w:t>
                  </w:r>
                </w:p>
              </w:tc>
              <w:tc>
                <w:tcPr>
                  <w:tcW w:w="1184" w:type="dxa"/>
                  <w:vAlign w:val="center"/>
                </w:tcPr>
                <w:p w14:paraId="50E6FE94">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41.22</w:t>
                  </w:r>
                </w:p>
              </w:tc>
              <w:tc>
                <w:tcPr>
                  <w:tcW w:w="1186" w:type="dxa"/>
                  <w:vAlign w:val="center"/>
                </w:tcPr>
                <w:p w14:paraId="3C1FA6A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34.81</w:t>
                  </w:r>
                </w:p>
              </w:tc>
              <w:tc>
                <w:tcPr>
                  <w:tcW w:w="1185" w:type="dxa"/>
                  <w:vAlign w:val="center"/>
                </w:tcPr>
                <w:p w14:paraId="3822C04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39.29</w:t>
                  </w:r>
                </w:p>
              </w:tc>
              <w:tc>
                <w:tcPr>
                  <w:tcW w:w="1187" w:type="dxa"/>
                  <w:vAlign w:val="center"/>
                </w:tcPr>
                <w:p w14:paraId="581C51E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32.80</w:t>
                  </w:r>
                </w:p>
              </w:tc>
              <w:tc>
                <w:tcPr>
                  <w:tcW w:w="1185" w:type="dxa"/>
                  <w:vAlign w:val="center"/>
                </w:tcPr>
                <w:p w14:paraId="6DFD99C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49.9</w:t>
                  </w:r>
                  <w:r>
                    <w:rPr>
                      <w:rFonts w:hint="default" w:ascii="Times New Roman" w:hAnsi="Times New Roman" w:cs="Times New Roman"/>
                      <w:i w:val="0"/>
                      <w:color w:val="auto"/>
                      <w:kern w:val="0"/>
                      <w:sz w:val="21"/>
                      <w:szCs w:val="21"/>
                      <w:highlight w:val="none"/>
                      <w:u w:val="none"/>
                      <w:lang w:val="en-US" w:eastAsia="zh-CN" w:bidi="ar"/>
                    </w:rPr>
                    <w:t>1</w:t>
                  </w:r>
                </w:p>
              </w:tc>
              <w:tc>
                <w:tcPr>
                  <w:tcW w:w="1187" w:type="dxa"/>
                  <w:vAlign w:val="center"/>
                </w:tcPr>
                <w:p w14:paraId="313A321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46.9</w:t>
                  </w:r>
                  <w:r>
                    <w:rPr>
                      <w:rFonts w:hint="default" w:ascii="Times New Roman" w:hAnsi="Times New Roman" w:cs="Times New Roman"/>
                      <w:i w:val="0"/>
                      <w:color w:val="auto"/>
                      <w:kern w:val="0"/>
                      <w:sz w:val="21"/>
                      <w:szCs w:val="21"/>
                      <w:highlight w:val="none"/>
                      <w:u w:val="none"/>
                      <w:lang w:val="en-US" w:eastAsia="zh-CN" w:bidi="ar"/>
                    </w:rPr>
                    <w:t>7</w:t>
                  </w:r>
                </w:p>
              </w:tc>
            </w:tr>
            <w:tr w14:paraId="209C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2B17D410">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140m</w:t>
                  </w:r>
                </w:p>
              </w:tc>
              <w:tc>
                <w:tcPr>
                  <w:tcW w:w="1184" w:type="dxa"/>
                  <w:vAlign w:val="center"/>
                </w:tcPr>
                <w:p w14:paraId="2D841EB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40.84</w:t>
                  </w:r>
                </w:p>
              </w:tc>
              <w:tc>
                <w:tcPr>
                  <w:tcW w:w="1186" w:type="dxa"/>
                  <w:vAlign w:val="center"/>
                </w:tcPr>
                <w:p w14:paraId="16C1903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34.43</w:t>
                  </w:r>
                </w:p>
              </w:tc>
              <w:tc>
                <w:tcPr>
                  <w:tcW w:w="1185" w:type="dxa"/>
                  <w:vAlign w:val="center"/>
                </w:tcPr>
                <w:p w14:paraId="4BCBF34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38.90</w:t>
                  </w:r>
                </w:p>
              </w:tc>
              <w:tc>
                <w:tcPr>
                  <w:tcW w:w="1187" w:type="dxa"/>
                  <w:vAlign w:val="center"/>
                </w:tcPr>
                <w:p w14:paraId="04E0125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32.42</w:t>
                  </w:r>
                </w:p>
              </w:tc>
              <w:tc>
                <w:tcPr>
                  <w:tcW w:w="1185" w:type="dxa"/>
                  <w:vAlign w:val="center"/>
                </w:tcPr>
                <w:p w14:paraId="6DA4E82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49.6</w:t>
                  </w:r>
                  <w:r>
                    <w:rPr>
                      <w:rFonts w:hint="default" w:ascii="Times New Roman" w:hAnsi="Times New Roman" w:cs="Times New Roman"/>
                      <w:i w:val="0"/>
                      <w:color w:val="auto"/>
                      <w:kern w:val="0"/>
                      <w:sz w:val="21"/>
                      <w:szCs w:val="21"/>
                      <w:highlight w:val="none"/>
                      <w:u w:val="none"/>
                      <w:lang w:val="en-US" w:eastAsia="zh-CN" w:bidi="ar"/>
                    </w:rPr>
                    <w:t>2</w:t>
                  </w:r>
                </w:p>
              </w:tc>
              <w:tc>
                <w:tcPr>
                  <w:tcW w:w="1187" w:type="dxa"/>
                  <w:vAlign w:val="center"/>
                </w:tcPr>
                <w:p w14:paraId="616E518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46.5</w:t>
                  </w:r>
                  <w:r>
                    <w:rPr>
                      <w:rFonts w:hint="default" w:ascii="Times New Roman" w:hAnsi="Times New Roman" w:cs="Times New Roman"/>
                      <w:i w:val="0"/>
                      <w:color w:val="auto"/>
                      <w:kern w:val="0"/>
                      <w:sz w:val="21"/>
                      <w:szCs w:val="21"/>
                      <w:highlight w:val="none"/>
                      <w:u w:val="none"/>
                      <w:lang w:val="en-US" w:eastAsia="zh-CN" w:bidi="ar"/>
                    </w:rPr>
                    <w:t>0</w:t>
                  </w:r>
                </w:p>
              </w:tc>
            </w:tr>
            <w:tr w14:paraId="6DE9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0D1A9722">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150m</w:t>
                  </w:r>
                </w:p>
              </w:tc>
              <w:tc>
                <w:tcPr>
                  <w:tcW w:w="1184" w:type="dxa"/>
                  <w:vAlign w:val="center"/>
                </w:tcPr>
                <w:p w14:paraId="3935A22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40.48</w:t>
                  </w:r>
                </w:p>
              </w:tc>
              <w:tc>
                <w:tcPr>
                  <w:tcW w:w="1186" w:type="dxa"/>
                  <w:vAlign w:val="center"/>
                </w:tcPr>
                <w:p w14:paraId="740BBDAD">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34.07</w:t>
                  </w:r>
                </w:p>
              </w:tc>
              <w:tc>
                <w:tcPr>
                  <w:tcW w:w="1185" w:type="dxa"/>
                  <w:vAlign w:val="center"/>
                </w:tcPr>
                <w:p w14:paraId="0EC6F37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38.55</w:t>
                  </w:r>
                </w:p>
              </w:tc>
              <w:tc>
                <w:tcPr>
                  <w:tcW w:w="1187" w:type="dxa"/>
                  <w:vAlign w:val="center"/>
                </w:tcPr>
                <w:p w14:paraId="4436BA8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32.06</w:t>
                  </w:r>
                </w:p>
              </w:tc>
              <w:tc>
                <w:tcPr>
                  <w:tcW w:w="1185" w:type="dxa"/>
                  <w:vAlign w:val="center"/>
                </w:tcPr>
                <w:p w14:paraId="17D2FC0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49.2</w:t>
                  </w:r>
                  <w:r>
                    <w:rPr>
                      <w:rFonts w:hint="default" w:ascii="Times New Roman" w:hAnsi="Times New Roman" w:cs="Times New Roman"/>
                      <w:i w:val="0"/>
                      <w:color w:val="auto"/>
                      <w:kern w:val="0"/>
                      <w:sz w:val="21"/>
                      <w:szCs w:val="21"/>
                      <w:highlight w:val="none"/>
                      <w:u w:val="none"/>
                      <w:lang w:val="en-US" w:eastAsia="zh-CN" w:bidi="ar"/>
                    </w:rPr>
                    <w:t>7</w:t>
                  </w:r>
                </w:p>
              </w:tc>
              <w:tc>
                <w:tcPr>
                  <w:tcW w:w="1187" w:type="dxa"/>
                  <w:vAlign w:val="center"/>
                </w:tcPr>
                <w:p w14:paraId="3818969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46.1</w:t>
                  </w:r>
                  <w:r>
                    <w:rPr>
                      <w:rFonts w:hint="default" w:ascii="Times New Roman" w:hAnsi="Times New Roman" w:cs="Times New Roman"/>
                      <w:i w:val="0"/>
                      <w:color w:val="auto"/>
                      <w:kern w:val="0"/>
                      <w:sz w:val="21"/>
                      <w:szCs w:val="21"/>
                      <w:highlight w:val="none"/>
                      <w:u w:val="none"/>
                      <w:lang w:val="en-US" w:eastAsia="zh-CN" w:bidi="ar"/>
                    </w:rPr>
                    <w:t>5</w:t>
                  </w:r>
                </w:p>
              </w:tc>
            </w:tr>
            <w:tr w14:paraId="289E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060A8FAC">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160m</w:t>
                  </w:r>
                </w:p>
              </w:tc>
              <w:tc>
                <w:tcPr>
                  <w:tcW w:w="1184" w:type="dxa"/>
                  <w:vAlign w:val="center"/>
                </w:tcPr>
                <w:p w14:paraId="035DE9BE">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40.14</w:t>
                  </w:r>
                </w:p>
              </w:tc>
              <w:tc>
                <w:tcPr>
                  <w:tcW w:w="1186" w:type="dxa"/>
                  <w:vAlign w:val="center"/>
                </w:tcPr>
                <w:p w14:paraId="1ACCED2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33.73</w:t>
                  </w:r>
                </w:p>
              </w:tc>
              <w:tc>
                <w:tcPr>
                  <w:tcW w:w="1185" w:type="dxa"/>
                  <w:vAlign w:val="center"/>
                </w:tcPr>
                <w:p w14:paraId="11650A10">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38.21</w:t>
                  </w:r>
                </w:p>
              </w:tc>
              <w:tc>
                <w:tcPr>
                  <w:tcW w:w="1187" w:type="dxa"/>
                  <w:vAlign w:val="center"/>
                </w:tcPr>
                <w:p w14:paraId="0E4FA58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31.72</w:t>
                  </w:r>
                </w:p>
              </w:tc>
              <w:tc>
                <w:tcPr>
                  <w:tcW w:w="1185" w:type="dxa"/>
                  <w:vAlign w:val="center"/>
                </w:tcPr>
                <w:p w14:paraId="420BA57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48.8</w:t>
                  </w:r>
                  <w:r>
                    <w:rPr>
                      <w:rFonts w:hint="default" w:ascii="Times New Roman" w:hAnsi="Times New Roman" w:cs="Times New Roman"/>
                      <w:i w:val="0"/>
                      <w:color w:val="auto"/>
                      <w:kern w:val="0"/>
                      <w:sz w:val="21"/>
                      <w:szCs w:val="21"/>
                      <w:highlight w:val="none"/>
                      <w:u w:val="none"/>
                      <w:lang w:val="en-US" w:eastAsia="zh-CN" w:bidi="ar"/>
                    </w:rPr>
                    <w:t>5</w:t>
                  </w:r>
                </w:p>
              </w:tc>
              <w:tc>
                <w:tcPr>
                  <w:tcW w:w="1187" w:type="dxa"/>
                  <w:vAlign w:val="center"/>
                </w:tcPr>
                <w:p w14:paraId="185EED2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45.7</w:t>
                  </w:r>
                  <w:r>
                    <w:rPr>
                      <w:rFonts w:hint="default" w:ascii="Times New Roman" w:hAnsi="Times New Roman" w:cs="Times New Roman"/>
                      <w:i w:val="0"/>
                      <w:color w:val="auto"/>
                      <w:kern w:val="0"/>
                      <w:sz w:val="21"/>
                      <w:szCs w:val="21"/>
                      <w:highlight w:val="none"/>
                      <w:u w:val="none"/>
                      <w:lang w:val="en-US" w:eastAsia="zh-CN" w:bidi="ar"/>
                    </w:rPr>
                    <w:t>6</w:t>
                  </w:r>
                </w:p>
              </w:tc>
            </w:tr>
            <w:tr w14:paraId="3F12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04E9CCE3">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170m</w:t>
                  </w:r>
                </w:p>
              </w:tc>
              <w:tc>
                <w:tcPr>
                  <w:tcW w:w="1184" w:type="dxa"/>
                  <w:vAlign w:val="center"/>
                </w:tcPr>
                <w:p w14:paraId="1F04A86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39.82</w:t>
                  </w:r>
                </w:p>
              </w:tc>
              <w:tc>
                <w:tcPr>
                  <w:tcW w:w="1186" w:type="dxa"/>
                  <w:vAlign w:val="center"/>
                </w:tcPr>
                <w:p w14:paraId="115D6939">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33.42</w:t>
                  </w:r>
                </w:p>
              </w:tc>
              <w:tc>
                <w:tcPr>
                  <w:tcW w:w="1185" w:type="dxa"/>
                  <w:vAlign w:val="center"/>
                </w:tcPr>
                <w:p w14:paraId="7DEBDA6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37.89</w:t>
                  </w:r>
                </w:p>
              </w:tc>
              <w:tc>
                <w:tcPr>
                  <w:tcW w:w="1187" w:type="dxa"/>
                  <w:vAlign w:val="center"/>
                </w:tcPr>
                <w:p w14:paraId="179BA17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31.40</w:t>
                  </w:r>
                </w:p>
              </w:tc>
              <w:tc>
                <w:tcPr>
                  <w:tcW w:w="1185" w:type="dxa"/>
                  <w:vAlign w:val="center"/>
                </w:tcPr>
                <w:p w14:paraId="5BE73BE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48.4</w:t>
                  </w:r>
                  <w:r>
                    <w:rPr>
                      <w:rFonts w:hint="default" w:ascii="Times New Roman" w:hAnsi="Times New Roman" w:cs="Times New Roman"/>
                      <w:i w:val="0"/>
                      <w:color w:val="auto"/>
                      <w:kern w:val="0"/>
                      <w:sz w:val="21"/>
                      <w:szCs w:val="21"/>
                      <w:highlight w:val="none"/>
                      <w:u w:val="none"/>
                      <w:lang w:val="en-US" w:eastAsia="zh-CN" w:bidi="ar"/>
                    </w:rPr>
                    <w:t>7</w:t>
                  </w:r>
                </w:p>
              </w:tc>
              <w:tc>
                <w:tcPr>
                  <w:tcW w:w="1187" w:type="dxa"/>
                  <w:vAlign w:val="center"/>
                </w:tcPr>
                <w:p w14:paraId="4E405C7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45.4</w:t>
                  </w:r>
                  <w:r>
                    <w:rPr>
                      <w:rFonts w:hint="default" w:ascii="Times New Roman" w:hAnsi="Times New Roman" w:cs="Times New Roman"/>
                      <w:i w:val="0"/>
                      <w:color w:val="auto"/>
                      <w:kern w:val="0"/>
                      <w:sz w:val="21"/>
                      <w:szCs w:val="21"/>
                      <w:highlight w:val="none"/>
                      <w:u w:val="none"/>
                      <w:lang w:val="en-US" w:eastAsia="zh-CN" w:bidi="ar"/>
                    </w:rPr>
                    <w:t>9</w:t>
                  </w:r>
                </w:p>
              </w:tc>
            </w:tr>
            <w:tr w14:paraId="38A8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532EEF4C">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180m</w:t>
                  </w:r>
                </w:p>
              </w:tc>
              <w:tc>
                <w:tcPr>
                  <w:tcW w:w="1184" w:type="dxa"/>
                  <w:vAlign w:val="center"/>
                </w:tcPr>
                <w:p w14:paraId="6C8E77C6">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39.52</w:t>
                  </w:r>
                </w:p>
              </w:tc>
              <w:tc>
                <w:tcPr>
                  <w:tcW w:w="1186" w:type="dxa"/>
                  <w:vAlign w:val="center"/>
                </w:tcPr>
                <w:p w14:paraId="4CF32287">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33.11</w:t>
                  </w:r>
                </w:p>
              </w:tc>
              <w:tc>
                <w:tcPr>
                  <w:tcW w:w="1185" w:type="dxa"/>
                  <w:vAlign w:val="center"/>
                </w:tcPr>
                <w:p w14:paraId="5D153995">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37.59</w:t>
                  </w:r>
                </w:p>
              </w:tc>
              <w:tc>
                <w:tcPr>
                  <w:tcW w:w="1187" w:type="dxa"/>
                  <w:vAlign w:val="center"/>
                </w:tcPr>
                <w:p w14:paraId="6A4D3A3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31.10</w:t>
                  </w:r>
                </w:p>
              </w:tc>
              <w:tc>
                <w:tcPr>
                  <w:tcW w:w="1185" w:type="dxa"/>
                  <w:vAlign w:val="center"/>
                </w:tcPr>
                <w:p w14:paraId="4B16D2A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48.1</w:t>
                  </w:r>
                  <w:r>
                    <w:rPr>
                      <w:rFonts w:hint="default" w:ascii="Times New Roman" w:hAnsi="Times New Roman" w:cs="Times New Roman"/>
                      <w:i w:val="0"/>
                      <w:color w:val="auto"/>
                      <w:kern w:val="0"/>
                      <w:sz w:val="21"/>
                      <w:szCs w:val="21"/>
                      <w:highlight w:val="none"/>
                      <w:u w:val="none"/>
                      <w:lang w:val="en-US" w:eastAsia="zh-CN" w:bidi="ar"/>
                    </w:rPr>
                    <w:t>2</w:t>
                  </w:r>
                </w:p>
              </w:tc>
              <w:tc>
                <w:tcPr>
                  <w:tcW w:w="1187" w:type="dxa"/>
                  <w:vAlign w:val="center"/>
                </w:tcPr>
                <w:p w14:paraId="3CE2823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45.0</w:t>
                  </w:r>
                  <w:r>
                    <w:rPr>
                      <w:rFonts w:hint="default" w:ascii="Times New Roman" w:hAnsi="Times New Roman" w:cs="Times New Roman"/>
                      <w:i w:val="0"/>
                      <w:color w:val="auto"/>
                      <w:kern w:val="0"/>
                      <w:sz w:val="21"/>
                      <w:szCs w:val="21"/>
                      <w:highlight w:val="none"/>
                      <w:u w:val="none"/>
                      <w:lang w:val="en-US" w:eastAsia="zh-CN" w:bidi="ar"/>
                    </w:rPr>
                    <w:t>3</w:t>
                  </w:r>
                </w:p>
              </w:tc>
            </w:tr>
            <w:tr w14:paraId="01BD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4" w:type="dxa"/>
                </w:tcPr>
                <w:p w14:paraId="01E09AE8">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190m</w:t>
                  </w:r>
                </w:p>
              </w:tc>
              <w:tc>
                <w:tcPr>
                  <w:tcW w:w="1184" w:type="dxa"/>
                  <w:vAlign w:val="center"/>
                </w:tcPr>
                <w:p w14:paraId="75034B8C">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39.23</w:t>
                  </w:r>
                </w:p>
              </w:tc>
              <w:tc>
                <w:tcPr>
                  <w:tcW w:w="1186" w:type="dxa"/>
                  <w:vAlign w:val="center"/>
                </w:tcPr>
                <w:p w14:paraId="5E48C888">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32.83</w:t>
                  </w:r>
                </w:p>
              </w:tc>
              <w:tc>
                <w:tcPr>
                  <w:tcW w:w="1185" w:type="dxa"/>
                  <w:vAlign w:val="center"/>
                </w:tcPr>
                <w:p w14:paraId="5F5240C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37.30</w:t>
                  </w:r>
                </w:p>
              </w:tc>
              <w:tc>
                <w:tcPr>
                  <w:tcW w:w="1187" w:type="dxa"/>
                  <w:vAlign w:val="center"/>
                </w:tcPr>
                <w:p w14:paraId="16D687D3">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30.81</w:t>
                  </w:r>
                </w:p>
              </w:tc>
              <w:tc>
                <w:tcPr>
                  <w:tcW w:w="1185" w:type="dxa"/>
                  <w:vAlign w:val="center"/>
                </w:tcPr>
                <w:p w14:paraId="3B4CEAA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47.7</w:t>
                  </w:r>
                  <w:r>
                    <w:rPr>
                      <w:rFonts w:hint="default" w:ascii="Times New Roman" w:hAnsi="Times New Roman" w:cs="Times New Roman"/>
                      <w:i w:val="0"/>
                      <w:color w:val="auto"/>
                      <w:kern w:val="0"/>
                      <w:sz w:val="21"/>
                      <w:szCs w:val="21"/>
                      <w:highlight w:val="none"/>
                      <w:u w:val="none"/>
                      <w:lang w:val="en-US" w:eastAsia="zh-CN" w:bidi="ar"/>
                    </w:rPr>
                    <w:t>3</w:t>
                  </w:r>
                </w:p>
              </w:tc>
              <w:tc>
                <w:tcPr>
                  <w:tcW w:w="1187" w:type="dxa"/>
                  <w:vAlign w:val="center"/>
                </w:tcPr>
                <w:p w14:paraId="23961B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44.7</w:t>
                  </w:r>
                  <w:r>
                    <w:rPr>
                      <w:rFonts w:hint="default" w:ascii="Times New Roman" w:hAnsi="Times New Roman" w:cs="Times New Roman"/>
                      <w:i w:val="0"/>
                      <w:color w:val="auto"/>
                      <w:kern w:val="0"/>
                      <w:sz w:val="21"/>
                      <w:szCs w:val="21"/>
                      <w:highlight w:val="none"/>
                      <w:u w:val="none"/>
                      <w:lang w:val="en-US" w:eastAsia="zh-CN" w:bidi="ar"/>
                    </w:rPr>
                    <w:t>7</w:t>
                  </w:r>
                </w:p>
              </w:tc>
            </w:tr>
            <w:tr w14:paraId="69C6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184" w:type="dxa"/>
                </w:tcPr>
                <w:p w14:paraId="49B34C55">
                  <w:pPr>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200m</w:t>
                  </w:r>
                </w:p>
              </w:tc>
              <w:tc>
                <w:tcPr>
                  <w:tcW w:w="1184" w:type="dxa"/>
                  <w:vAlign w:val="center"/>
                </w:tcPr>
                <w:p w14:paraId="0043F412">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38.96</w:t>
                  </w:r>
                </w:p>
              </w:tc>
              <w:tc>
                <w:tcPr>
                  <w:tcW w:w="1186" w:type="dxa"/>
                  <w:vAlign w:val="center"/>
                </w:tcPr>
                <w:p w14:paraId="52E002A1">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32.55</w:t>
                  </w:r>
                </w:p>
              </w:tc>
              <w:tc>
                <w:tcPr>
                  <w:tcW w:w="1185" w:type="dxa"/>
                  <w:vAlign w:val="center"/>
                </w:tcPr>
                <w:p w14:paraId="748F911B">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37.03</w:t>
                  </w:r>
                </w:p>
              </w:tc>
              <w:tc>
                <w:tcPr>
                  <w:tcW w:w="1187" w:type="dxa"/>
                  <w:vAlign w:val="center"/>
                </w:tcPr>
                <w:p w14:paraId="60573FBA">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Cs/>
                      <w:sz w:val="21"/>
                      <w:szCs w:val="21"/>
                    </w:rPr>
                    <w:t>30.54</w:t>
                  </w:r>
                </w:p>
              </w:tc>
              <w:tc>
                <w:tcPr>
                  <w:tcW w:w="1185" w:type="dxa"/>
                  <w:vAlign w:val="center"/>
                </w:tcPr>
                <w:p w14:paraId="361ACD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47.4</w:t>
                  </w:r>
                  <w:r>
                    <w:rPr>
                      <w:rFonts w:hint="default" w:ascii="Times New Roman" w:hAnsi="Times New Roman" w:cs="Times New Roman"/>
                      <w:i w:val="0"/>
                      <w:color w:val="auto"/>
                      <w:kern w:val="0"/>
                      <w:sz w:val="21"/>
                      <w:szCs w:val="21"/>
                      <w:highlight w:val="none"/>
                      <w:u w:val="none"/>
                      <w:lang w:val="en-US" w:eastAsia="zh-CN" w:bidi="ar"/>
                    </w:rPr>
                    <w:t>0</w:t>
                  </w:r>
                </w:p>
              </w:tc>
              <w:tc>
                <w:tcPr>
                  <w:tcW w:w="1187" w:type="dxa"/>
                  <w:vAlign w:val="center"/>
                </w:tcPr>
                <w:p w14:paraId="7AE243B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44.3</w:t>
                  </w:r>
                  <w:r>
                    <w:rPr>
                      <w:rFonts w:hint="default" w:ascii="Times New Roman" w:hAnsi="Times New Roman" w:cs="Times New Roman"/>
                      <w:i w:val="0"/>
                      <w:color w:val="auto"/>
                      <w:kern w:val="0"/>
                      <w:sz w:val="21"/>
                      <w:szCs w:val="21"/>
                      <w:highlight w:val="none"/>
                      <w:u w:val="none"/>
                      <w:lang w:val="en-US" w:eastAsia="zh-CN" w:bidi="ar"/>
                    </w:rPr>
                    <w:t>8</w:t>
                  </w:r>
                </w:p>
              </w:tc>
            </w:tr>
          </w:tbl>
          <w:p w14:paraId="2A56820A">
            <w:pPr>
              <w:pStyle w:val="23"/>
              <w:spacing w:before="120" w:beforeLines="50" w:line="360" w:lineRule="auto"/>
              <w:ind w:firstLine="480" w:firstLineChars="200"/>
              <w:rPr>
                <w:rFonts w:hint="default" w:ascii="Times New Roman" w:hAnsi="Times New Roman" w:cs="Times New Roman"/>
                <w:bCs w:val="0"/>
                <w:color w:val="auto"/>
                <w:sz w:val="24"/>
                <w:highlight w:val="none"/>
              </w:rPr>
            </w:pPr>
            <w:r>
              <w:rPr>
                <w:rFonts w:hint="default" w:ascii="Times New Roman" w:hAnsi="Times New Roman" w:cs="Times New Roman"/>
                <w:color w:val="auto"/>
                <w:sz w:val="24"/>
                <w:highlight w:val="none"/>
              </w:rPr>
              <w:t>从上表7-8</w:t>
            </w:r>
            <w:r>
              <w:rPr>
                <w:rFonts w:hint="eastAsia" w:cs="Times New Roman"/>
                <w:color w:val="auto"/>
                <w:sz w:val="24"/>
                <w:highlight w:val="none"/>
                <w:lang w:eastAsia="zh-CN"/>
              </w:rPr>
              <w:t>和</w:t>
            </w:r>
            <w:r>
              <w:rPr>
                <w:rFonts w:hint="eastAsia" w:cs="Times New Roman"/>
                <w:color w:val="auto"/>
                <w:sz w:val="24"/>
                <w:highlight w:val="none"/>
                <w:lang w:val="en-US" w:eastAsia="zh-CN"/>
              </w:rPr>
              <w:t>7-9</w:t>
            </w:r>
            <w:r>
              <w:rPr>
                <w:rFonts w:hint="default" w:ascii="Times New Roman" w:hAnsi="Times New Roman" w:cs="Times New Roman"/>
                <w:color w:val="auto"/>
                <w:sz w:val="24"/>
                <w:highlight w:val="none"/>
              </w:rPr>
              <w:t>预测结果可见：随距道路红线距离的增加，交通噪声的影响逐渐减小；同时，随着运行期车流量的增大，交通噪声声级值也随之增强。</w:t>
            </w:r>
          </w:p>
          <w:p w14:paraId="7CCBFAF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根据（GB 3096-2008）《声环境质量标准》的4a类和2类标准对达标距离进行分析，项目道路达标距离见表7-</w:t>
            </w:r>
            <w:r>
              <w:rPr>
                <w:rFonts w:hint="eastAsia" w:cs="Times New Roman"/>
                <w:color w:val="auto"/>
                <w:sz w:val="24"/>
                <w:highlight w:val="none"/>
                <w:lang w:val="en-US" w:eastAsia="zh-CN"/>
              </w:rPr>
              <w:t>11</w:t>
            </w:r>
            <w:r>
              <w:rPr>
                <w:rFonts w:hint="default" w:ascii="Times New Roman" w:hAnsi="Times New Roman" w:cs="Times New Roman"/>
                <w:color w:val="auto"/>
                <w:sz w:val="24"/>
                <w:highlight w:val="none"/>
              </w:rPr>
              <w:t>。</w:t>
            </w:r>
          </w:p>
          <w:p w14:paraId="30CC65A2">
            <w:pPr>
              <w:ind w:firstLine="422"/>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表7-</w:t>
            </w:r>
            <w:r>
              <w:rPr>
                <w:rFonts w:hint="eastAsia" w:cs="Times New Roman"/>
                <w:b/>
                <w:color w:val="auto"/>
                <w:sz w:val="24"/>
                <w:highlight w:val="none"/>
                <w:lang w:val="en-US" w:eastAsia="zh-CN"/>
              </w:rPr>
              <w:t>11</w:t>
            </w:r>
            <w:r>
              <w:rPr>
                <w:rFonts w:hint="default" w:ascii="Times New Roman" w:hAnsi="Times New Roman" w:cs="Times New Roman"/>
                <w:b/>
                <w:color w:val="auto"/>
                <w:sz w:val="24"/>
                <w:highlight w:val="none"/>
              </w:rPr>
              <w:t xml:space="preserve">  道路运营期交通噪声达标距离一览表</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1559"/>
              <w:gridCol w:w="2410"/>
              <w:gridCol w:w="2350"/>
            </w:tblGrid>
            <w:tr w14:paraId="7C986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992" w:type="dxa"/>
                  <w:vMerge w:val="restart"/>
                  <w:shd w:val="clear" w:color="auto" w:fill="D9D9D9"/>
                  <w:noWrap w:val="0"/>
                  <w:vAlign w:val="center"/>
                </w:tcPr>
                <w:p w14:paraId="1C05A5A8">
                  <w:pPr>
                    <w:spacing w:line="240" w:lineRule="auto"/>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道路</w:t>
                  </w:r>
                </w:p>
              </w:tc>
              <w:tc>
                <w:tcPr>
                  <w:tcW w:w="1559" w:type="dxa"/>
                  <w:vMerge w:val="restart"/>
                  <w:shd w:val="clear" w:color="auto" w:fill="D9D9D9"/>
                  <w:noWrap w:val="0"/>
                  <w:vAlign w:val="center"/>
                </w:tcPr>
                <w:p w14:paraId="64A15304">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时段</w:t>
                  </w:r>
                </w:p>
              </w:tc>
              <w:tc>
                <w:tcPr>
                  <w:tcW w:w="4760" w:type="dxa"/>
                  <w:gridSpan w:val="2"/>
                  <w:shd w:val="clear" w:color="auto" w:fill="D9D9D9"/>
                  <w:noWrap w:val="0"/>
                  <w:vAlign w:val="center"/>
                </w:tcPr>
                <w:p w14:paraId="5653DC66">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距道路红线距离（m）</w:t>
                  </w:r>
                </w:p>
              </w:tc>
            </w:tr>
            <w:tr w14:paraId="16135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continue"/>
                  <w:shd w:val="clear" w:color="auto" w:fill="D9D9D9"/>
                  <w:noWrap w:val="0"/>
                  <w:vAlign w:val="center"/>
                </w:tcPr>
                <w:p w14:paraId="189659F1">
                  <w:pPr>
                    <w:spacing w:line="240" w:lineRule="auto"/>
                    <w:jc w:val="center"/>
                    <w:rPr>
                      <w:rFonts w:hint="default" w:ascii="Times New Roman" w:hAnsi="Times New Roman" w:cs="Times New Roman"/>
                      <w:b/>
                      <w:color w:val="auto"/>
                      <w:sz w:val="21"/>
                      <w:szCs w:val="21"/>
                      <w:highlight w:val="none"/>
                    </w:rPr>
                  </w:pPr>
                </w:p>
              </w:tc>
              <w:tc>
                <w:tcPr>
                  <w:tcW w:w="1559" w:type="dxa"/>
                  <w:vMerge w:val="continue"/>
                  <w:shd w:val="clear" w:color="auto" w:fill="D9D9D9"/>
                  <w:noWrap w:val="0"/>
                  <w:vAlign w:val="center"/>
                </w:tcPr>
                <w:p w14:paraId="79EB4905">
                  <w:pPr>
                    <w:spacing w:line="240" w:lineRule="auto"/>
                    <w:jc w:val="center"/>
                    <w:rPr>
                      <w:rFonts w:hint="default" w:ascii="Times New Roman" w:hAnsi="Times New Roman" w:cs="Times New Roman"/>
                      <w:b/>
                      <w:color w:val="auto"/>
                      <w:sz w:val="21"/>
                      <w:szCs w:val="21"/>
                      <w:highlight w:val="none"/>
                    </w:rPr>
                  </w:pPr>
                </w:p>
              </w:tc>
              <w:tc>
                <w:tcPr>
                  <w:tcW w:w="2410" w:type="dxa"/>
                  <w:shd w:val="clear" w:color="auto" w:fill="D9D9D9"/>
                  <w:noWrap w:val="0"/>
                  <w:vAlign w:val="center"/>
                </w:tcPr>
                <w:p w14:paraId="549F3CC5">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执行2类标准</w:t>
                  </w:r>
                </w:p>
              </w:tc>
              <w:tc>
                <w:tcPr>
                  <w:tcW w:w="2350" w:type="dxa"/>
                  <w:shd w:val="clear" w:color="auto" w:fill="D9D9D9"/>
                  <w:noWrap w:val="0"/>
                  <w:vAlign w:val="top"/>
                </w:tcPr>
                <w:p w14:paraId="34E0DAFA">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执行4a类标准</w:t>
                  </w:r>
                </w:p>
              </w:tc>
            </w:tr>
            <w:tr w14:paraId="5C052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992" w:type="dxa"/>
                  <w:vMerge w:val="restart"/>
                  <w:noWrap w:val="0"/>
                  <w:vAlign w:val="center"/>
                </w:tcPr>
                <w:p w14:paraId="431D0705">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1号路</w:t>
                  </w:r>
                </w:p>
              </w:tc>
              <w:tc>
                <w:tcPr>
                  <w:tcW w:w="1559" w:type="dxa"/>
                  <w:noWrap w:val="0"/>
                  <w:vAlign w:val="center"/>
                </w:tcPr>
                <w:p w14:paraId="2FAC69A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10" w:type="dxa"/>
                  <w:noWrap w:val="0"/>
                  <w:vAlign w:val="center"/>
                </w:tcPr>
                <w:p w14:paraId="2B821E5F">
                  <w:pPr>
                    <w:pStyle w:val="34"/>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22m</w:t>
                  </w:r>
                </w:p>
              </w:tc>
              <w:tc>
                <w:tcPr>
                  <w:tcW w:w="2350" w:type="dxa"/>
                  <w:noWrap w:val="0"/>
                  <w:vAlign w:val="top"/>
                </w:tcPr>
                <w:p w14:paraId="2E9C1EC6">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r>
            <w:tr w14:paraId="77F46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continue"/>
                  <w:noWrap w:val="0"/>
                  <w:vAlign w:val="center"/>
                </w:tcPr>
                <w:p w14:paraId="2BFB30F7">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p>
              </w:tc>
              <w:tc>
                <w:tcPr>
                  <w:tcW w:w="1559" w:type="dxa"/>
                  <w:noWrap w:val="0"/>
                  <w:vAlign w:val="center"/>
                </w:tcPr>
                <w:p w14:paraId="4FD2E88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410" w:type="dxa"/>
                  <w:noWrap w:val="0"/>
                  <w:vAlign w:val="center"/>
                </w:tcPr>
                <w:p w14:paraId="06FB00D5">
                  <w:pPr>
                    <w:pStyle w:val="34"/>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34m</w:t>
                  </w:r>
                </w:p>
              </w:tc>
              <w:tc>
                <w:tcPr>
                  <w:tcW w:w="2350" w:type="dxa"/>
                  <w:noWrap w:val="0"/>
                  <w:vAlign w:val="top"/>
                </w:tcPr>
                <w:p w14:paraId="18D5446B">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20m</w:t>
                  </w:r>
                </w:p>
              </w:tc>
            </w:tr>
            <w:tr w14:paraId="411B5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restart"/>
                  <w:noWrap w:val="0"/>
                  <w:vAlign w:val="center"/>
                </w:tcPr>
                <w:p w14:paraId="3A9B1695">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2号路</w:t>
                  </w:r>
                </w:p>
              </w:tc>
              <w:tc>
                <w:tcPr>
                  <w:tcW w:w="1559" w:type="dxa"/>
                  <w:noWrap w:val="0"/>
                  <w:vAlign w:val="center"/>
                </w:tcPr>
                <w:p w14:paraId="50C017F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10" w:type="dxa"/>
                  <w:noWrap w:val="0"/>
                  <w:vAlign w:val="center"/>
                </w:tcPr>
                <w:p w14:paraId="0BE3E18A">
                  <w:pPr>
                    <w:pStyle w:val="34"/>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17m</w:t>
                  </w:r>
                </w:p>
              </w:tc>
              <w:tc>
                <w:tcPr>
                  <w:tcW w:w="2350" w:type="dxa"/>
                  <w:noWrap w:val="0"/>
                  <w:vAlign w:val="top"/>
                </w:tcPr>
                <w:p w14:paraId="4D3C2719">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r>
            <w:tr w14:paraId="661F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continue"/>
                  <w:noWrap w:val="0"/>
                  <w:vAlign w:val="center"/>
                </w:tcPr>
                <w:p w14:paraId="111C06A0">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p>
              </w:tc>
              <w:tc>
                <w:tcPr>
                  <w:tcW w:w="1559" w:type="dxa"/>
                  <w:noWrap w:val="0"/>
                  <w:vAlign w:val="center"/>
                </w:tcPr>
                <w:p w14:paraId="5F7CE86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410" w:type="dxa"/>
                  <w:noWrap w:val="0"/>
                  <w:vAlign w:val="center"/>
                </w:tcPr>
                <w:p w14:paraId="1EA8451C">
                  <w:pPr>
                    <w:pStyle w:val="34"/>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29m</w:t>
                  </w:r>
                </w:p>
              </w:tc>
              <w:tc>
                <w:tcPr>
                  <w:tcW w:w="2350" w:type="dxa"/>
                  <w:noWrap w:val="0"/>
                  <w:vAlign w:val="top"/>
                </w:tcPr>
                <w:p w14:paraId="2B5E775B">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15m</w:t>
                  </w:r>
                </w:p>
              </w:tc>
            </w:tr>
            <w:tr w14:paraId="11886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restart"/>
                  <w:noWrap w:val="0"/>
                  <w:vAlign w:val="center"/>
                </w:tcPr>
                <w:p w14:paraId="08C5D736">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3号路</w:t>
                  </w:r>
                </w:p>
              </w:tc>
              <w:tc>
                <w:tcPr>
                  <w:tcW w:w="1559" w:type="dxa"/>
                  <w:noWrap w:val="0"/>
                  <w:vAlign w:val="center"/>
                </w:tcPr>
                <w:p w14:paraId="34EC278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10" w:type="dxa"/>
                  <w:noWrap w:val="0"/>
                  <w:vAlign w:val="center"/>
                </w:tcPr>
                <w:p w14:paraId="09AC7850">
                  <w:pPr>
                    <w:pStyle w:val="34"/>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11m</w:t>
                  </w:r>
                </w:p>
              </w:tc>
              <w:tc>
                <w:tcPr>
                  <w:tcW w:w="2350" w:type="dxa"/>
                  <w:noWrap w:val="0"/>
                  <w:vAlign w:val="top"/>
                </w:tcPr>
                <w:p w14:paraId="01D33938">
                  <w:pPr>
                    <w:pStyle w:val="34"/>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r>
            <w:tr w14:paraId="2F595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continue"/>
                  <w:noWrap w:val="0"/>
                  <w:vAlign w:val="center"/>
                </w:tcPr>
                <w:p w14:paraId="01DDEF77">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p>
              </w:tc>
              <w:tc>
                <w:tcPr>
                  <w:tcW w:w="1559" w:type="dxa"/>
                  <w:noWrap w:val="0"/>
                  <w:vAlign w:val="center"/>
                </w:tcPr>
                <w:p w14:paraId="10ACB60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410" w:type="dxa"/>
                  <w:noWrap w:val="0"/>
                  <w:vAlign w:val="center"/>
                </w:tcPr>
                <w:p w14:paraId="35A16BDF">
                  <w:pPr>
                    <w:pStyle w:val="34"/>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34m</w:t>
                  </w:r>
                </w:p>
              </w:tc>
              <w:tc>
                <w:tcPr>
                  <w:tcW w:w="2350" w:type="dxa"/>
                  <w:noWrap w:val="0"/>
                  <w:vAlign w:val="top"/>
                </w:tcPr>
                <w:p w14:paraId="34DB0DB0">
                  <w:pPr>
                    <w:pStyle w:val="34"/>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20m</w:t>
                  </w:r>
                </w:p>
              </w:tc>
            </w:tr>
            <w:tr w14:paraId="5F5F3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restart"/>
                  <w:noWrap w:val="0"/>
                  <w:vAlign w:val="center"/>
                </w:tcPr>
                <w:p w14:paraId="6F2F29D5">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4号路</w:t>
                  </w:r>
                </w:p>
              </w:tc>
              <w:tc>
                <w:tcPr>
                  <w:tcW w:w="1559" w:type="dxa"/>
                  <w:noWrap w:val="0"/>
                  <w:vAlign w:val="center"/>
                </w:tcPr>
                <w:p w14:paraId="4AF9257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10" w:type="dxa"/>
                  <w:noWrap w:val="0"/>
                  <w:vAlign w:val="center"/>
                </w:tcPr>
                <w:p w14:paraId="4D5AFC04">
                  <w:pPr>
                    <w:pStyle w:val="34"/>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17m</w:t>
                  </w:r>
                </w:p>
              </w:tc>
              <w:tc>
                <w:tcPr>
                  <w:tcW w:w="2350" w:type="dxa"/>
                  <w:noWrap w:val="0"/>
                  <w:vAlign w:val="top"/>
                </w:tcPr>
                <w:p w14:paraId="5ACC4348">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r>
            <w:tr w14:paraId="187F9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continue"/>
                  <w:noWrap w:val="0"/>
                  <w:vAlign w:val="center"/>
                </w:tcPr>
                <w:p w14:paraId="5655E29C">
                  <w:pPr>
                    <w:widowControl/>
                    <w:spacing w:line="240" w:lineRule="auto"/>
                    <w:jc w:val="center"/>
                    <w:textAlignment w:val="center"/>
                    <w:rPr>
                      <w:rFonts w:hint="default" w:ascii="Times New Roman" w:hAnsi="Times New Roman" w:cs="Times New Roman"/>
                      <w:color w:val="auto"/>
                      <w:sz w:val="21"/>
                      <w:szCs w:val="21"/>
                      <w:highlight w:val="none"/>
                      <w:lang w:val="en-US" w:eastAsia="zh-CN"/>
                    </w:rPr>
                  </w:pPr>
                </w:p>
              </w:tc>
              <w:tc>
                <w:tcPr>
                  <w:tcW w:w="1559" w:type="dxa"/>
                  <w:noWrap w:val="0"/>
                  <w:vAlign w:val="center"/>
                </w:tcPr>
                <w:p w14:paraId="693F550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410" w:type="dxa"/>
                  <w:noWrap w:val="0"/>
                  <w:vAlign w:val="center"/>
                </w:tcPr>
                <w:p w14:paraId="1DC9E0F1">
                  <w:pPr>
                    <w:pStyle w:val="34"/>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29m</w:t>
                  </w:r>
                </w:p>
              </w:tc>
              <w:tc>
                <w:tcPr>
                  <w:tcW w:w="2350" w:type="dxa"/>
                  <w:noWrap w:val="0"/>
                  <w:vAlign w:val="top"/>
                </w:tcPr>
                <w:p w14:paraId="7505B095">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13m</w:t>
                  </w:r>
                </w:p>
              </w:tc>
            </w:tr>
            <w:tr w14:paraId="144ED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992" w:type="dxa"/>
                  <w:vMerge w:val="restart"/>
                  <w:noWrap w:val="0"/>
                  <w:vAlign w:val="center"/>
                </w:tcPr>
                <w:p w14:paraId="26D2F664">
                  <w:pPr>
                    <w:widowControl/>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5号路</w:t>
                  </w:r>
                </w:p>
              </w:tc>
              <w:tc>
                <w:tcPr>
                  <w:tcW w:w="1559" w:type="dxa"/>
                  <w:noWrap w:val="0"/>
                  <w:vAlign w:val="center"/>
                </w:tcPr>
                <w:p w14:paraId="1EFB42C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10" w:type="dxa"/>
                  <w:noWrap w:val="0"/>
                  <w:vAlign w:val="center"/>
                </w:tcPr>
                <w:p w14:paraId="371EF05B">
                  <w:pPr>
                    <w:pStyle w:val="34"/>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c>
                <w:tcPr>
                  <w:tcW w:w="2350" w:type="dxa"/>
                  <w:noWrap w:val="0"/>
                  <w:vAlign w:val="top"/>
                </w:tcPr>
                <w:p w14:paraId="19C034EF">
                  <w:pPr>
                    <w:pStyle w:val="34"/>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r>
            <w:tr w14:paraId="7134D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992" w:type="dxa"/>
                  <w:vMerge w:val="continue"/>
                  <w:noWrap w:val="0"/>
                  <w:vAlign w:val="center"/>
                </w:tcPr>
                <w:p w14:paraId="1CF8C200">
                  <w:pPr>
                    <w:spacing w:line="240" w:lineRule="auto"/>
                    <w:jc w:val="center"/>
                    <w:rPr>
                      <w:rFonts w:hint="default" w:ascii="Times New Roman" w:hAnsi="Times New Roman" w:cs="Times New Roman"/>
                      <w:color w:val="auto"/>
                      <w:sz w:val="21"/>
                      <w:szCs w:val="21"/>
                      <w:highlight w:val="none"/>
                    </w:rPr>
                  </w:pPr>
                </w:p>
              </w:tc>
              <w:tc>
                <w:tcPr>
                  <w:tcW w:w="1559" w:type="dxa"/>
                  <w:noWrap w:val="0"/>
                  <w:vAlign w:val="center"/>
                </w:tcPr>
                <w:p w14:paraId="45C080F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410" w:type="dxa"/>
                  <w:noWrap w:val="0"/>
                  <w:vAlign w:val="center"/>
                </w:tcPr>
                <w:p w14:paraId="7BC196CC">
                  <w:pPr>
                    <w:pStyle w:val="34"/>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m</w:t>
                  </w:r>
                </w:p>
              </w:tc>
              <w:tc>
                <w:tcPr>
                  <w:tcW w:w="2350" w:type="dxa"/>
                  <w:noWrap w:val="0"/>
                  <w:vAlign w:val="top"/>
                </w:tcPr>
                <w:p w14:paraId="5C1135B6">
                  <w:pPr>
                    <w:pStyle w:val="34"/>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w:t>
                  </w:r>
                </w:p>
              </w:tc>
            </w:tr>
            <w:tr w14:paraId="7A227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992" w:type="dxa"/>
                  <w:vMerge w:val="restart"/>
                  <w:noWrap w:val="0"/>
                  <w:vAlign w:val="center"/>
                </w:tcPr>
                <w:p w14:paraId="19E98147">
                  <w:pPr>
                    <w:widowControl/>
                    <w:spacing w:line="240" w:lineRule="auto"/>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6号路</w:t>
                  </w:r>
                </w:p>
              </w:tc>
              <w:tc>
                <w:tcPr>
                  <w:tcW w:w="1559" w:type="dxa"/>
                  <w:noWrap w:val="0"/>
                  <w:vAlign w:val="center"/>
                </w:tcPr>
                <w:p w14:paraId="1A0D95B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10" w:type="dxa"/>
                  <w:noWrap w:val="0"/>
                  <w:vAlign w:val="top"/>
                </w:tcPr>
                <w:p w14:paraId="5ED648E7">
                  <w:pPr>
                    <w:pStyle w:val="34"/>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c>
                <w:tcPr>
                  <w:tcW w:w="2350" w:type="dxa"/>
                  <w:noWrap w:val="0"/>
                  <w:vAlign w:val="top"/>
                </w:tcPr>
                <w:p w14:paraId="35765CF9">
                  <w:pPr>
                    <w:pStyle w:val="34"/>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r>
            <w:tr w14:paraId="0B441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992" w:type="dxa"/>
                  <w:vMerge w:val="continue"/>
                  <w:noWrap w:val="0"/>
                  <w:vAlign w:val="center"/>
                </w:tcPr>
                <w:p w14:paraId="753FD5D7">
                  <w:pPr>
                    <w:widowControl/>
                    <w:spacing w:line="240" w:lineRule="auto"/>
                    <w:jc w:val="center"/>
                    <w:textAlignment w:val="center"/>
                    <w:rPr>
                      <w:rFonts w:hint="default" w:ascii="Times New Roman" w:hAnsi="Times New Roman" w:cs="Times New Roman"/>
                      <w:color w:val="auto"/>
                      <w:kern w:val="0"/>
                      <w:sz w:val="21"/>
                      <w:szCs w:val="21"/>
                      <w:highlight w:val="none"/>
                      <w:lang w:val="en-US" w:eastAsia="zh-CN"/>
                    </w:rPr>
                  </w:pPr>
                </w:p>
              </w:tc>
              <w:tc>
                <w:tcPr>
                  <w:tcW w:w="1559" w:type="dxa"/>
                  <w:noWrap w:val="0"/>
                  <w:vAlign w:val="center"/>
                </w:tcPr>
                <w:p w14:paraId="74EA8C1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410" w:type="dxa"/>
                  <w:noWrap w:val="0"/>
                  <w:vAlign w:val="top"/>
                </w:tcPr>
                <w:p w14:paraId="65016361">
                  <w:pPr>
                    <w:pStyle w:val="34"/>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w:t>
                  </w:r>
                </w:p>
              </w:tc>
              <w:tc>
                <w:tcPr>
                  <w:tcW w:w="2350" w:type="dxa"/>
                  <w:noWrap w:val="0"/>
                  <w:vAlign w:val="top"/>
                </w:tcPr>
                <w:p w14:paraId="7AA50C23">
                  <w:pPr>
                    <w:pStyle w:val="34"/>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r>
            <w:tr w14:paraId="0269F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992" w:type="dxa"/>
                  <w:vMerge w:val="restart"/>
                  <w:noWrap w:val="0"/>
                  <w:vAlign w:val="center"/>
                </w:tcPr>
                <w:p w14:paraId="59E6983C">
                  <w:pPr>
                    <w:widowControl/>
                    <w:spacing w:line="240" w:lineRule="auto"/>
                    <w:jc w:val="center"/>
                    <w:textAlignment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rPr>
                    <w:t>7号路</w:t>
                  </w:r>
                </w:p>
              </w:tc>
              <w:tc>
                <w:tcPr>
                  <w:tcW w:w="1559" w:type="dxa"/>
                  <w:noWrap w:val="0"/>
                  <w:vAlign w:val="center"/>
                </w:tcPr>
                <w:p w14:paraId="684A9D7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10" w:type="dxa"/>
                  <w:noWrap w:val="0"/>
                  <w:vAlign w:val="center"/>
                </w:tcPr>
                <w:p w14:paraId="4F9961CD">
                  <w:pPr>
                    <w:pStyle w:val="34"/>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m</w:t>
                  </w:r>
                </w:p>
              </w:tc>
              <w:tc>
                <w:tcPr>
                  <w:tcW w:w="2350" w:type="dxa"/>
                  <w:noWrap w:val="0"/>
                  <w:vAlign w:val="top"/>
                </w:tcPr>
                <w:p w14:paraId="3E7F29A7">
                  <w:pPr>
                    <w:pStyle w:val="34"/>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＜1m</w:t>
                  </w:r>
                </w:p>
              </w:tc>
            </w:tr>
            <w:tr w14:paraId="42A68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992" w:type="dxa"/>
                  <w:vMerge w:val="continue"/>
                  <w:noWrap w:val="0"/>
                  <w:vAlign w:val="center"/>
                </w:tcPr>
                <w:p w14:paraId="44F89025">
                  <w:pPr>
                    <w:spacing w:line="240" w:lineRule="auto"/>
                    <w:jc w:val="center"/>
                    <w:rPr>
                      <w:rFonts w:hint="default" w:ascii="Times New Roman" w:hAnsi="Times New Roman" w:cs="Times New Roman"/>
                      <w:color w:val="auto"/>
                      <w:sz w:val="21"/>
                      <w:szCs w:val="21"/>
                      <w:highlight w:val="none"/>
                    </w:rPr>
                  </w:pPr>
                </w:p>
              </w:tc>
              <w:tc>
                <w:tcPr>
                  <w:tcW w:w="1559" w:type="dxa"/>
                  <w:noWrap w:val="0"/>
                  <w:vAlign w:val="center"/>
                </w:tcPr>
                <w:p w14:paraId="12D71A3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410" w:type="dxa"/>
                  <w:noWrap w:val="0"/>
                  <w:vAlign w:val="center"/>
                </w:tcPr>
                <w:p w14:paraId="22707061">
                  <w:pPr>
                    <w:pStyle w:val="34"/>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71</w:t>
                  </w:r>
                  <w:r>
                    <w:rPr>
                      <w:rFonts w:hint="default" w:ascii="Times New Roman" w:hAnsi="Times New Roman" w:cs="Times New Roman"/>
                      <w:color w:val="auto"/>
                      <w:sz w:val="21"/>
                      <w:szCs w:val="21"/>
                      <w:highlight w:val="none"/>
                    </w:rPr>
                    <w:t>m</w:t>
                  </w:r>
                </w:p>
              </w:tc>
              <w:tc>
                <w:tcPr>
                  <w:tcW w:w="2350" w:type="dxa"/>
                  <w:noWrap w:val="0"/>
                  <w:vAlign w:val="top"/>
                </w:tcPr>
                <w:p w14:paraId="3E0AA175">
                  <w:pPr>
                    <w:pStyle w:val="34"/>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m</w:t>
                  </w:r>
                </w:p>
              </w:tc>
            </w:tr>
            <w:tr w14:paraId="797D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2551" w:type="dxa"/>
                  <w:gridSpan w:val="2"/>
                  <w:noWrap w:val="0"/>
                  <w:vAlign w:val="center"/>
                </w:tcPr>
                <w:p w14:paraId="5BC6B4AA">
                  <w:pPr>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标准值</w:t>
                  </w:r>
                </w:p>
              </w:tc>
              <w:tc>
                <w:tcPr>
                  <w:tcW w:w="2410" w:type="dxa"/>
                  <w:noWrap w:val="0"/>
                  <w:vAlign w:val="center"/>
                </w:tcPr>
                <w:p w14:paraId="5281F01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昼间60 dB(A)，夜间50 dB(A)</w:t>
                  </w:r>
                </w:p>
              </w:tc>
              <w:tc>
                <w:tcPr>
                  <w:tcW w:w="2350" w:type="dxa"/>
                  <w:noWrap w:val="0"/>
                  <w:vAlign w:val="top"/>
                </w:tcPr>
                <w:p w14:paraId="1BE4478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昼间70 dB(A)，夜间55 dB(A)</w:t>
                  </w:r>
                </w:p>
              </w:tc>
            </w:tr>
          </w:tbl>
          <w:p w14:paraId="16E9F7F0">
            <w:pPr>
              <w:pStyle w:val="23"/>
              <w:numPr>
                <w:ilvl w:val="0"/>
                <w:numId w:val="0"/>
              </w:numPr>
              <w:spacing w:line="360" w:lineRule="auto"/>
              <w:ind w:leftChars="200"/>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预测结果表明：</w:t>
            </w:r>
          </w:p>
          <w:p w14:paraId="6A1F2A17">
            <w:pPr>
              <w:pStyle w:val="23"/>
              <w:numPr>
                <w:ilvl w:val="0"/>
                <w:numId w:val="0"/>
              </w:numPr>
              <w:spacing w:line="360" w:lineRule="auto"/>
              <w:ind w:firstLine="480" w:firstLineChars="20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highlight w:val="none"/>
                <w:lang w:eastAsia="zh-CN"/>
                <w14:textFill>
                  <w14:solidFill>
                    <w14:schemeClr w14:val="tx1"/>
                  </w14:solidFill>
                </w14:textFill>
              </w:rPr>
              <w:t>①在</w:t>
            </w:r>
            <w:r>
              <w:rPr>
                <w:rFonts w:hint="eastAsia" w:cs="Times New Roman"/>
                <w:b w:val="0"/>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val="0"/>
                <w:bCs/>
                <w:color w:val="000000" w:themeColor="text1"/>
                <w:sz w:val="24"/>
                <w:highlight w:val="none"/>
                <w:lang w:val="en-US" w:eastAsia="zh-CN"/>
                <w14:textFill>
                  <w14:solidFill>
                    <w14:schemeClr w14:val="tx1"/>
                  </w14:solidFill>
                </w14:textFill>
              </w:rPr>
              <w:t>号路两侧昼间在</w:t>
            </w:r>
            <w:r>
              <w:rPr>
                <w:rFonts w:hint="eastAsia" w:cs="Times New Roman"/>
                <w:b w:val="0"/>
                <w:bCs/>
                <w:color w:val="000000" w:themeColor="text1"/>
                <w:sz w:val="24"/>
                <w:highlight w:val="none"/>
                <w:lang w:val="en-US" w:eastAsia="zh-CN"/>
                <w14:textFill>
                  <w14:solidFill>
                    <w14:schemeClr w14:val="tx1"/>
                  </w14:solidFill>
                </w14:textFill>
              </w:rPr>
              <w:t>22</w:t>
            </w:r>
            <w:r>
              <w:rPr>
                <w:rFonts w:hint="default" w:ascii="Times New Roman" w:hAnsi="Times New Roman" w:cs="Times New Roman"/>
                <w:b w:val="0"/>
                <w:bCs/>
                <w:color w:val="000000" w:themeColor="text1"/>
                <w:sz w:val="24"/>
                <w:highlight w:val="none"/>
                <w:lang w:val="en-US" w:eastAsia="zh-CN"/>
                <w14:textFill>
                  <w14:solidFill>
                    <w14:schemeClr w14:val="tx1"/>
                  </w14:solidFill>
                </w14:textFill>
              </w:rPr>
              <w:t>m范围外能</w:t>
            </w:r>
            <w:r>
              <w:rPr>
                <w:rFonts w:hint="default" w:ascii="Times New Roman" w:hAnsi="Times New Roman" w:cs="Times New Roman"/>
                <w:color w:val="000000" w:themeColor="text1"/>
                <w:sz w:val="24"/>
                <w:highlight w:val="none"/>
                <w14:textFill>
                  <w14:solidFill>
                    <w14:schemeClr w14:val="tx1"/>
                  </w14:solidFill>
                </w14:textFill>
              </w:rPr>
              <w:t>达到《声环境质量标准》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2类</w:t>
            </w:r>
            <w:r>
              <w:rPr>
                <w:rFonts w:hint="default" w:ascii="Times New Roman" w:hAnsi="Times New Roman" w:cs="Times New Roman"/>
                <w:color w:val="000000" w:themeColor="text1"/>
                <w:sz w:val="24"/>
                <w:highlight w:val="none"/>
                <w14:textFill>
                  <w14:solidFill>
                    <w14:schemeClr w14:val="tx1"/>
                  </w14:solidFill>
                </w14:textFill>
              </w:rPr>
              <w:t>标准</w:t>
            </w:r>
            <w:r>
              <w:rPr>
                <w:rFonts w:hint="default" w:ascii="Times New Roman" w:hAnsi="Times New Roman" w:cs="Times New Roman"/>
                <w:color w:val="000000" w:themeColor="text1"/>
                <w:sz w:val="24"/>
                <w:highlight w:val="none"/>
                <w:lang w:eastAsia="zh-CN"/>
                <w14:textFill>
                  <w14:solidFill>
                    <w14:schemeClr w14:val="tx1"/>
                  </w14:solidFill>
                </w14:textFill>
              </w:rPr>
              <w:t>，夜间在</w:t>
            </w:r>
            <w:r>
              <w:rPr>
                <w:rFonts w:hint="eastAsia" w:cs="Times New Roman"/>
                <w:color w:val="000000" w:themeColor="text1"/>
                <w:sz w:val="24"/>
                <w:highlight w:val="none"/>
                <w:lang w:val="en-US" w:eastAsia="zh-CN"/>
                <w14:textFill>
                  <w14:solidFill>
                    <w14:schemeClr w14:val="tx1"/>
                  </w14:solidFill>
                </w14:textFill>
              </w:rPr>
              <w:t>34</w:t>
            </w:r>
            <w:r>
              <w:rPr>
                <w:rFonts w:hint="default" w:ascii="Times New Roman" w:hAnsi="Times New Roman" w:cs="Times New Roman"/>
                <w:color w:val="000000" w:themeColor="text1"/>
                <w:sz w:val="24"/>
                <w:highlight w:val="none"/>
                <w:lang w:val="en-US" w:eastAsia="zh-CN"/>
                <w14:textFill>
                  <w14:solidFill>
                    <w14:schemeClr w14:val="tx1"/>
                  </w14:solidFill>
                </w14:textFill>
              </w:rPr>
              <w:t>m范围外能达到2类标准；昼间</w:t>
            </w:r>
            <w:r>
              <w:rPr>
                <w:rFonts w:hint="eastAsia" w:cs="Times New Roman"/>
                <w:color w:val="000000" w:themeColor="text1"/>
                <w:sz w:val="24"/>
                <w:highlight w:val="none"/>
                <w:lang w:val="en-US" w:eastAsia="zh-CN"/>
                <w14:textFill>
                  <w14:solidFill>
                    <w14:schemeClr w14:val="tx1"/>
                  </w14:solidFill>
                </w14:textFill>
              </w:rPr>
              <w:t>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范围能达到4a类标准，夜间在20m范围外达到4a类标准。</w:t>
            </w:r>
          </w:p>
          <w:p w14:paraId="5C3D5E9E">
            <w:pPr>
              <w:pStyle w:val="23"/>
              <w:numPr>
                <w:ilvl w:val="0"/>
                <w:numId w:val="0"/>
              </w:numPr>
              <w:spacing w:line="360" w:lineRule="auto"/>
              <w:ind w:firstLine="480" w:firstLineChars="20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②</w:t>
            </w:r>
            <w:r>
              <w:rPr>
                <w:rFonts w:hint="eastAsia" w:cs="Times New Roman"/>
                <w:color w:val="000000" w:themeColor="text1"/>
                <w:sz w:val="24"/>
                <w:highlight w:val="none"/>
                <w:lang w:val="en-US" w:eastAsia="zh-CN"/>
                <w14:textFill>
                  <w14:solidFill>
                    <w14:schemeClr w14:val="tx1"/>
                  </w14:solidFill>
                </w14:textFill>
              </w:rPr>
              <w:t>在2号路两侧昼间在17m范围外能达到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2类标准，夜间在29m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范围外能达到2类标准；昼间</w:t>
            </w:r>
            <w:r>
              <w:rPr>
                <w:rFonts w:hint="eastAsia" w:cs="Times New Roman"/>
                <w:color w:val="000000" w:themeColor="text1"/>
                <w:sz w:val="24"/>
                <w:highlight w:val="none"/>
                <w:lang w:val="en-US" w:eastAsia="zh-CN"/>
                <w14:textFill>
                  <w14:solidFill>
                    <w14:schemeClr w14:val="tx1"/>
                  </w14:solidFill>
                </w14:textFill>
              </w:rPr>
              <w:t>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范围能达到4a类标准，夜间在</w:t>
            </w:r>
            <w:r>
              <w:rPr>
                <w:rFonts w:hint="eastAsia" w:cs="Times New Roman"/>
                <w:color w:val="000000" w:themeColor="text1"/>
                <w:sz w:val="24"/>
                <w:highlight w:val="none"/>
                <w:lang w:val="en-US" w:eastAsia="zh-CN"/>
                <w14:textFill>
                  <w14:solidFill>
                    <w14:schemeClr w14:val="tx1"/>
                  </w14:solidFill>
                </w14:textFill>
              </w:rPr>
              <w:t>15</w:t>
            </w:r>
            <w:r>
              <w:rPr>
                <w:rFonts w:hint="default" w:ascii="Times New Roman" w:hAnsi="Times New Roman" w:cs="Times New Roman"/>
                <w:color w:val="000000" w:themeColor="text1"/>
                <w:sz w:val="24"/>
                <w:highlight w:val="none"/>
                <w:lang w:val="en-US" w:eastAsia="zh-CN"/>
                <w14:textFill>
                  <w14:solidFill>
                    <w14:schemeClr w14:val="tx1"/>
                  </w14:solidFill>
                </w14:textFill>
              </w:rPr>
              <w:t>m范围外达到4a类标准。</w:t>
            </w:r>
          </w:p>
          <w:p w14:paraId="6F20AF56">
            <w:pPr>
              <w:pStyle w:val="23"/>
              <w:numPr>
                <w:ilvl w:val="0"/>
                <w:numId w:val="0"/>
              </w:numPr>
              <w:spacing w:line="360" w:lineRule="auto"/>
              <w:ind w:firstLine="480" w:firstLineChars="20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③</w:t>
            </w:r>
            <w:r>
              <w:rPr>
                <w:rFonts w:hint="eastAsia" w:cs="Times New Roman"/>
                <w:color w:val="000000" w:themeColor="text1"/>
                <w:sz w:val="24"/>
                <w:highlight w:val="none"/>
                <w:lang w:val="en-US" w:eastAsia="zh-CN"/>
                <w14:textFill>
                  <w14:solidFill>
                    <w14:schemeClr w14:val="tx1"/>
                  </w14:solidFill>
                </w14:textFill>
              </w:rPr>
              <w:t>在3号路两侧昼间在11m范围外能达到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2类标准，夜间在34m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范围外能达到2类标准；昼间</w:t>
            </w:r>
            <w:r>
              <w:rPr>
                <w:rFonts w:hint="eastAsia" w:cs="Times New Roman"/>
                <w:color w:val="000000" w:themeColor="text1"/>
                <w:sz w:val="24"/>
                <w:highlight w:val="none"/>
                <w:lang w:val="en-US" w:eastAsia="zh-CN"/>
                <w14:textFill>
                  <w14:solidFill>
                    <w14:schemeClr w14:val="tx1"/>
                  </w14:solidFill>
                </w14:textFill>
              </w:rPr>
              <w:t>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范围能达到4a类标准，夜间在</w:t>
            </w:r>
            <w:r>
              <w:rPr>
                <w:rFonts w:hint="eastAsia" w:cs="Times New Roman"/>
                <w:color w:val="000000" w:themeColor="text1"/>
                <w:sz w:val="24"/>
                <w:highlight w:val="none"/>
                <w:lang w:val="en-US" w:eastAsia="zh-CN"/>
                <w14:textFill>
                  <w14:solidFill>
                    <w14:schemeClr w14:val="tx1"/>
                  </w14:solidFill>
                </w14:textFill>
              </w:rPr>
              <w:t>20</w:t>
            </w:r>
            <w:r>
              <w:rPr>
                <w:rFonts w:hint="default" w:ascii="Times New Roman" w:hAnsi="Times New Roman" w:cs="Times New Roman"/>
                <w:color w:val="000000" w:themeColor="text1"/>
                <w:sz w:val="24"/>
                <w:highlight w:val="none"/>
                <w:lang w:val="en-US" w:eastAsia="zh-CN"/>
                <w14:textFill>
                  <w14:solidFill>
                    <w14:schemeClr w14:val="tx1"/>
                  </w14:solidFill>
                </w14:textFill>
              </w:rPr>
              <w:t>m范围外达到4a类标准。</w:t>
            </w:r>
          </w:p>
          <w:p w14:paraId="10F48967">
            <w:pPr>
              <w:pStyle w:val="23"/>
              <w:numPr>
                <w:ilvl w:val="0"/>
                <w:numId w:val="0"/>
              </w:numPr>
              <w:spacing w:line="360" w:lineRule="auto"/>
              <w:ind w:firstLine="480" w:firstLineChars="20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④</w:t>
            </w:r>
            <w:r>
              <w:rPr>
                <w:rFonts w:hint="eastAsia" w:cs="Times New Roman"/>
                <w:color w:val="000000" w:themeColor="text1"/>
                <w:sz w:val="24"/>
                <w:highlight w:val="none"/>
                <w:lang w:val="en-US" w:eastAsia="zh-CN"/>
                <w14:textFill>
                  <w14:solidFill>
                    <w14:schemeClr w14:val="tx1"/>
                  </w14:solidFill>
                </w14:textFill>
              </w:rPr>
              <w:t>在4号路两侧昼间在17m范围外能达到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2类标准，夜间在29m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范围外能达到2类标准；昼间</w:t>
            </w:r>
            <w:r>
              <w:rPr>
                <w:rFonts w:hint="eastAsia" w:cs="Times New Roman"/>
                <w:color w:val="000000" w:themeColor="text1"/>
                <w:sz w:val="24"/>
                <w:highlight w:val="none"/>
                <w:lang w:val="en-US" w:eastAsia="zh-CN"/>
                <w14:textFill>
                  <w14:solidFill>
                    <w14:schemeClr w14:val="tx1"/>
                  </w14:solidFill>
                </w14:textFill>
              </w:rPr>
              <w:t>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范围能达到4a类标准，夜间在</w:t>
            </w:r>
            <w:r>
              <w:rPr>
                <w:rFonts w:hint="eastAsia" w:cs="Times New Roman"/>
                <w:color w:val="000000" w:themeColor="text1"/>
                <w:sz w:val="24"/>
                <w:highlight w:val="none"/>
                <w:lang w:val="en-US" w:eastAsia="zh-CN"/>
                <w14:textFill>
                  <w14:solidFill>
                    <w14:schemeClr w14:val="tx1"/>
                  </w14:solidFill>
                </w14:textFill>
              </w:rPr>
              <w:t>13</w:t>
            </w:r>
            <w:r>
              <w:rPr>
                <w:rFonts w:hint="default" w:ascii="Times New Roman" w:hAnsi="Times New Roman" w:cs="Times New Roman"/>
                <w:color w:val="000000" w:themeColor="text1"/>
                <w:sz w:val="24"/>
                <w:highlight w:val="none"/>
                <w:lang w:val="en-US" w:eastAsia="zh-CN"/>
                <w14:textFill>
                  <w14:solidFill>
                    <w14:schemeClr w14:val="tx1"/>
                  </w14:solidFill>
                </w14:textFill>
              </w:rPr>
              <w:t>m范围外达到4a类标准。</w:t>
            </w:r>
          </w:p>
          <w:p w14:paraId="441D0E56">
            <w:pPr>
              <w:pStyle w:val="23"/>
              <w:numPr>
                <w:ilvl w:val="0"/>
                <w:numId w:val="0"/>
              </w:numPr>
              <w:spacing w:line="360" w:lineRule="auto"/>
              <w:ind w:firstLine="480" w:firstLineChars="20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⑤</w:t>
            </w:r>
            <w:r>
              <w:rPr>
                <w:rFonts w:hint="eastAsia" w:cs="Times New Roman"/>
                <w:color w:val="000000" w:themeColor="text1"/>
                <w:sz w:val="24"/>
                <w:highlight w:val="none"/>
                <w:lang w:val="en-US" w:eastAsia="zh-CN"/>
                <w14:textFill>
                  <w14:solidFill>
                    <w14:schemeClr w14:val="tx1"/>
                  </w14:solidFill>
                </w14:textFill>
              </w:rPr>
              <w:t>在5号路两侧昼间在小于1m范围内能达到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2类标准，夜间在14m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范围外能达到2类标准；昼间</w:t>
            </w:r>
            <w:r>
              <w:rPr>
                <w:rFonts w:hint="eastAsia" w:cs="Times New Roman"/>
                <w:color w:val="000000" w:themeColor="text1"/>
                <w:sz w:val="24"/>
                <w:highlight w:val="none"/>
                <w:lang w:val="en-US" w:eastAsia="zh-CN"/>
                <w14:textFill>
                  <w14:solidFill>
                    <w14:schemeClr w14:val="tx1"/>
                  </w14:solidFill>
                </w14:textFill>
              </w:rPr>
              <w:t>和夜间小于1m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w:t>
            </w:r>
            <w:r>
              <w:rPr>
                <w:rFonts w:hint="eastAsia" w:cs="Times New Roman"/>
                <w:color w:val="000000" w:themeColor="text1"/>
                <w:sz w:val="24"/>
                <w:highlight w:val="none"/>
                <w:lang w:val="en-US" w:eastAsia="zh-CN"/>
                <w14:textFill>
                  <w14:solidFill>
                    <w14:schemeClr w14:val="tx1"/>
                  </w14:solidFill>
                </w14:textFill>
              </w:rPr>
              <w:t>均</w:t>
            </w:r>
            <w:r>
              <w:rPr>
                <w:rFonts w:hint="default" w:ascii="Times New Roman" w:hAnsi="Times New Roman" w:cs="Times New Roman"/>
                <w:color w:val="000000" w:themeColor="text1"/>
                <w:sz w:val="24"/>
                <w:highlight w:val="none"/>
                <w:lang w:val="en-US" w:eastAsia="zh-CN"/>
                <w14:textFill>
                  <w14:solidFill>
                    <w14:schemeClr w14:val="tx1"/>
                  </w14:solidFill>
                </w14:textFill>
              </w:rPr>
              <w:t>能达到4a类标准。</w:t>
            </w:r>
          </w:p>
          <w:p w14:paraId="3851CD9B">
            <w:pPr>
              <w:pStyle w:val="23"/>
              <w:numPr>
                <w:ilvl w:val="0"/>
                <w:numId w:val="0"/>
              </w:numPr>
              <w:spacing w:line="360" w:lineRule="auto"/>
              <w:ind w:firstLine="480" w:firstLineChars="20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⑥</w:t>
            </w:r>
            <w:r>
              <w:rPr>
                <w:rFonts w:hint="eastAsia" w:cs="Times New Roman"/>
                <w:color w:val="000000" w:themeColor="text1"/>
                <w:sz w:val="24"/>
                <w:highlight w:val="none"/>
                <w:lang w:val="en-US" w:eastAsia="zh-CN"/>
                <w14:textFill>
                  <w14:solidFill>
                    <w14:schemeClr w14:val="tx1"/>
                  </w14:solidFill>
                </w14:textFill>
              </w:rPr>
              <w:t>在6号路两侧</w:t>
            </w:r>
            <w:r>
              <w:rPr>
                <w:rFonts w:hint="default" w:ascii="Times New Roman" w:hAnsi="Times New Roman" w:cs="Times New Roman"/>
                <w:color w:val="000000" w:themeColor="text1"/>
                <w:sz w:val="24"/>
                <w:highlight w:val="none"/>
                <w:lang w:val="en-US" w:eastAsia="zh-CN"/>
                <w14:textFill>
                  <w14:solidFill>
                    <w14:schemeClr w14:val="tx1"/>
                  </w14:solidFill>
                </w14:textFill>
              </w:rPr>
              <w:t>昼间</w:t>
            </w:r>
            <w:r>
              <w:rPr>
                <w:rFonts w:hint="eastAsia" w:cs="Times New Roman"/>
                <w:color w:val="000000" w:themeColor="text1"/>
                <w:sz w:val="24"/>
                <w:highlight w:val="none"/>
                <w:lang w:val="en-US" w:eastAsia="zh-CN"/>
                <w14:textFill>
                  <w14:solidFill>
                    <w14:schemeClr w14:val="tx1"/>
                  </w14:solidFill>
                </w14:textFill>
              </w:rPr>
              <w:t>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w:t>
            </w:r>
            <w:r>
              <w:rPr>
                <w:rFonts w:hint="eastAsia" w:cs="Times New Roman"/>
                <w:color w:val="000000" w:themeColor="text1"/>
                <w:sz w:val="24"/>
                <w:highlight w:val="none"/>
                <w:lang w:val="en-US" w:eastAsia="zh-CN"/>
                <w14:textFill>
                  <w14:solidFill>
                    <w14:schemeClr w14:val="tx1"/>
                  </w14:solidFill>
                </w14:textFill>
              </w:rPr>
              <w:t>均</w:t>
            </w:r>
            <w:r>
              <w:rPr>
                <w:rFonts w:hint="default" w:ascii="Times New Roman" w:hAnsi="Times New Roman" w:cs="Times New Roman"/>
                <w:color w:val="000000" w:themeColor="text1"/>
                <w:sz w:val="24"/>
                <w:highlight w:val="none"/>
                <w:lang w:val="en-US" w:eastAsia="zh-CN"/>
                <w14:textFill>
                  <w14:solidFill>
                    <w14:schemeClr w14:val="tx1"/>
                  </w14:solidFill>
                </w14:textFill>
              </w:rPr>
              <w:t>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2类标准，夜间在2m范围外能达到2类标准</w:t>
            </w:r>
            <w:r>
              <w:rPr>
                <w:rFonts w:hint="default" w:ascii="Times New Roman" w:hAnsi="Times New Roman" w:cs="Times New Roman"/>
                <w:color w:val="000000" w:themeColor="text1"/>
                <w:sz w:val="24"/>
                <w:highlight w:val="none"/>
                <w:lang w:val="en-US" w:eastAsia="zh-CN"/>
                <w14:textFill>
                  <w14:solidFill>
                    <w14:schemeClr w14:val="tx1"/>
                  </w14:solidFill>
                </w14:textFill>
              </w:rPr>
              <w:t>；昼间</w:t>
            </w:r>
            <w:r>
              <w:rPr>
                <w:rFonts w:hint="eastAsia" w:cs="Times New Roman"/>
                <w:color w:val="000000" w:themeColor="text1"/>
                <w:sz w:val="24"/>
                <w:highlight w:val="none"/>
                <w:lang w:val="en-US" w:eastAsia="zh-CN"/>
                <w14:textFill>
                  <w14:solidFill>
                    <w14:schemeClr w14:val="tx1"/>
                  </w14:solidFill>
                </w14:textFill>
              </w:rPr>
              <w:t>和夜间小于1m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w:t>
            </w:r>
            <w:r>
              <w:rPr>
                <w:rFonts w:hint="eastAsia" w:cs="Times New Roman"/>
                <w:color w:val="000000" w:themeColor="text1"/>
                <w:sz w:val="24"/>
                <w:highlight w:val="none"/>
                <w:lang w:val="en-US" w:eastAsia="zh-CN"/>
                <w14:textFill>
                  <w14:solidFill>
                    <w14:schemeClr w14:val="tx1"/>
                  </w14:solidFill>
                </w14:textFill>
              </w:rPr>
              <w:t>均</w:t>
            </w:r>
            <w:r>
              <w:rPr>
                <w:rFonts w:hint="default" w:ascii="Times New Roman" w:hAnsi="Times New Roman" w:cs="Times New Roman"/>
                <w:color w:val="000000" w:themeColor="text1"/>
                <w:sz w:val="24"/>
                <w:highlight w:val="none"/>
                <w:lang w:val="en-US" w:eastAsia="zh-CN"/>
                <w14:textFill>
                  <w14:solidFill>
                    <w14:schemeClr w14:val="tx1"/>
                  </w14:solidFill>
                </w14:textFill>
              </w:rPr>
              <w:t>能达到4a类标准。</w:t>
            </w:r>
          </w:p>
          <w:p w14:paraId="68749456">
            <w:pPr>
              <w:pStyle w:val="23"/>
              <w:numPr>
                <w:ilvl w:val="0"/>
                <w:numId w:val="0"/>
              </w:numPr>
              <w:spacing w:line="360" w:lineRule="auto"/>
              <w:ind w:firstLine="480" w:firstLineChars="20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⑦在7号路两侧</w:t>
            </w:r>
            <w:r>
              <w:rPr>
                <w:rFonts w:hint="eastAsia" w:cs="Times New Roman"/>
                <w:color w:val="000000" w:themeColor="text1"/>
                <w:sz w:val="24"/>
                <w:highlight w:val="none"/>
                <w:lang w:val="en-US" w:eastAsia="zh-CN"/>
                <w14:textFill>
                  <w14:solidFill>
                    <w14:schemeClr w14:val="tx1"/>
                  </w14:solidFill>
                </w14:textFill>
              </w:rPr>
              <w:t>两侧昼间在小于1m范围内能达到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2类标准，</w:t>
            </w:r>
            <w:r>
              <w:rPr>
                <w:rFonts w:hint="default" w:ascii="Times New Roman" w:hAnsi="Times New Roman" w:cs="Times New Roman"/>
                <w:color w:val="000000" w:themeColor="text1"/>
                <w:sz w:val="24"/>
                <w:highlight w:val="none"/>
                <w:lang w:val="en-US" w:eastAsia="zh-CN"/>
                <w14:textFill>
                  <w14:solidFill>
                    <w14:schemeClr w14:val="tx1"/>
                  </w14:solidFill>
                </w14:textFill>
              </w:rPr>
              <w:t>夜间在</w:t>
            </w:r>
            <w:r>
              <w:rPr>
                <w:rFonts w:hint="eastAsia" w:cs="Times New Roman"/>
                <w:color w:val="000000" w:themeColor="text1"/>
                <w:sz w:val="24"/>
                <w:highlight w:val="none"/>
                <w:lang w:val="en-US" w:eastAsia="zh-CN"/>
                <w14:textFill>
                  <w14:solidFill>
                    <w14:schemeClr w14:val="tx1"/>
                  </w14:solidFill>
                </w14:textFill>
              </w:rPr>
              <w:t>70</w:t>
            </w:r>
            <w:r>
              <w:rPr>
                <w:rFonts w:hint="default" w:ascii="Times New Roman" w:hAnsi="Times New Roman" w:cs="Times New Roman"/>
                <w:color w:val="000000" w:themeColor="text1"/>
                <w:sz w:val="24"/>
                <w:highlight w:val="none"/>
                <w:lang w:val="en-US" w:eastAsia="zh-CN"/>
                <w14:textFill>
                  <w14:solidFill>
                    <w14:schemeClr w14:val="tx1"/>
                  </w14:solidFill>
                </w14:textFill>
              </w:rPr>
              <w:t>m范围外能达到2类标准；昼间在</w:t>
            </w:r>
            <w:r>
              <w:rPr>
                <w:rFonts w:hint="eastAsia" w:cs="Times New Roman"/>
                <w:color w:val="000000" w:themeColor="text1"/>
                <w:sz w:val="24"/>
                <w:highlight w:val="none"/>
                <w:lang w:val="en-US" w:eastAsia="zh-CN"/>
                <w14:textFill>
                  <w14:solidFill>
                    <w14:schemeClr w14:val="tx1"/>
                  </w14:solidFill>
                </w14:textFill>
              </w:rPr>
              <w:t>小于1m</w:t>
            </w:r>
            <w:r>
              <w:rPr>
                <w:rFonts w:hint="default" w:ascii="Times New Roman" w:hAnsi="Times New Roman" w:cs="Times New Roman"/>
                <w:color w:val="000000" w:themeColor="text1"/>
                <w:sz w:val="24"/>
                <w:highlight w:val="none"/>
                <w:lang w:val="en-US" w:eastAsia="zh-CN"/>
                <w14:textFill>
                  <w14:solidFill>
                    <w14:schemeClr w14:val="tx1"/>
                  </w14:solidFill>
                </w14:textFill>
              </w:rPr>
              <w:t>范围能达到4a类标准，夜间在1</w:t>
            </w:r>
            <w:r>
              <w:rPr>
                <w:rFonts w:hint="eastAsia"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lang w:val="en-US" w:eastAsia="zh-CN"/>
                <w14:textFill>
                  <w14:solidFill>
                    <w14:schemeClr w14:val="tx1"/>
                  </w14:solidFill>
                </w14:textFill>
              </w:rPr>
              <w:t>m范围外能达到4a类标准。</w:t>
            </w:r>
          </w:p>
          <w:p w14:paraId="33A3B1CF">
            <w:pPr>
              <w:pStyle w:val="23"/>
              <w:numPr>
                <w:ilvl w:val="0"/>
                <w:numId w:val="0"/>
              </w:numPr>
              <w:spacing w:line="360" w:lineRule="auto"/>
              <w:ind w:firstLine="482" w:firstLineChars="200"/>
              <w:jc w:val="center"/>
              <w:rPr>
                <w:rFonts w:hint="eastAsia" w:cs="Times New Roman"/>
                <w:b/>
                <w:bCs w:val="0"/>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表7-12 项目环境敏感点噪声预测结果</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521"/>
              <w:gridCol w:w="1185"/>
              <w:gridCol w:w="1185"/>
              <w:gridCol w:w="1186"/>
              <w:gridCol w:w="1186"/>
              <w:gridCol w:w="1186"/>
            </w:tblGrid>
            <w:tr w14:paraId="7C4F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47" w:type="dxa"/>
                  <w:vAlign w:val="center"/>
                </w:tcPr>
                <w:p w14:paraId="625B4138">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1521" w:type="dxa"/>
                  <w:vAlign w:val="center"/>
                </w:tcPr>
                <w:p w14:paraId="1F701079">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敏感点名称</w:t>
                  </w:r>
                </w:p>
              </w:tc>
              <w:tc>
                <w:tcPr>
                  <w:tcW w:w="1185" w:type="dxa"/>
                  <w:vAlign w:val="center"/>
                </w:tcPr>
                <w:p w14:paraId="2F5D2E28">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距离</w:t>
                  </w:r>
                  <w:r>
                    <w:rPr>
                      <w:rFonts w:hint="eastAsia" w:cs="Times New Roman"/>
                      <w:sz w:val="21"/>
                      <w:szCs w:val="21"/>
                      <w:vertAlign w:val="baseline"/>
                      <w:lang w:val="en-US" w:eastAsia="zh-CN"/>
                    </w:rPr>
                    <w:t>（m）</w:t>
                  </w:r>
                </w:p>
              </w:tc>
              <w:tc>
                <w:tcPr>
                  <w:tcW w:w="1185" w:type="dxa"/>
                  <w:vAlign w:val="center"/>
                </w:tcPr>
                <w:p w14:paraId="73C3341D">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时段</w:t>
                  </w:r>
                </w:p>
              </w:tc>
              <w:tc>
                <w:tcPr>
                  <w:tcW w:w="1186" w:type="dxa"/>
                  <w:vAlign w:val="center"/>
                </w:tcPr>
                <w:p w14:paraId="4CDFE186">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噪声值</w:t>
                  </w:r>
                </w:p>
              </w:tc>
              <w:tc>
                <w:tcPr>
                  <w:tcW w:w="1186" w:type="dxa"/>
                  <w:vAlign w:val="center"/>
                </w:tcPr>
                <w:p w14:paraId="6A3D0D38">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2类</w:t>
                  </w:r>
                  <w:r>
                    <w:rPr>
                      <w:rFonts w:hint="default" w:ascii="Times New Roman" w:hAnsi="Times New Roman" w:eastAsia="宋体" w:cs="Times New Roman"/>
                      <w:sz w:val="21"/>
                      <w:szCs w:val="21"/>
                      <w:vertAlign w:val="baseline"/>
                      <w:lang w:val="en-US" w:eastAsia="zh-CN"/>
                    </w:rPr>
                    <w:t>标准</w:t>
                  </w:r>
                </w:p>
              </w:tc>
              <w:tc>
                <w:tcPr>
                  <w:tcW w:w="1186" w:type="dxa"/>
                  <w:vAlign w:val="center"/>
                </w:tcPr>
                <w:p w14:paraId="6B33D78C">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评价</w:t>
                  </w:r>
                </w:p>
              </w:tc>
            </w:tr>
            <w:tr w14:paraId="75E5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296" w:type="dxa"/>
                  <w:gridSpan w:val="7"/>
                  <w:vAlign w:val="center"/>
                </w:tcPr>
                <w:p w14:paraId="23CAC566">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7号路</w:t>
                  </w:r>
                </w:p>
              </w:tc>
            </w:tr>
            <w:tr w14:paraId="550D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47" w:type="dxa"/>
                  <w:vMerge w:val="restart"/>
                  <w:vAlign w:val="center"/>
                </w:tcPr>
                <w:p w14:paraId="6760FEA7">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521" w:type="dxa"/>
                  <w:vMerge w:val="restart"/>
                  <w:vAlign w:val="center"/>
                </w:tcPr>
                <w:p w14:paraId="2EA360CB">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芒烘村（约205户，1080人）</w:t>
                  </w:r>
                </w:p>
              </w:tc>
              <w:tc>
                <w:tcPr>
                  <w:tcW w:w="1185" w:type="dxa"/>
                  <w:vMerge w:val="restart"/>
                  <w:vAlign w:val="center"/>
                </w:tcPr>
                <w:p w14:paraId="605BC6DD">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1185" w:type="dxa"/>
                  <w:vAlign w:val="center"/>
                </w:tcPr>
                <w:p w14:paraId="42E7263C">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昼间</w:t>
                  </w:r>
                </w:p>
              </w:tc>
              <w:tc>
                <w:tcPr>
                  <w:tcW w:w="1186" w:type="dxa"/>
                  <w:vAlign w:val="center"/>
                </w:tcPr>
                <w:p w14:paraId="0D416532">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49.27</w:t>
                  </w:r>
                </w:p>
              </w:tc>
              <w:tc>
                <w:tcPr>
                  <w:tcW w:w="1186" w:type="dxa"/>
                  <w:vAlign w:val="center"/>
                </w:tcPr>
                <w:p w14:paraId="5CAE4691">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c>
                <w:tcPr>
                  <w:tcW w:w="1186" w:type="dxa"/>
                  <w:vAlign w:val="center"/>
                </w:tcPr>
                <w:p w14:paraId="619C940D">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r w14:paraId="32A9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47" w:type="dxa"/>
                  <w:vMerge w:val="continue"/>
                  <w:vAlign w:val="center"/>
                </w:tcPr>
                <w:p w14:paraId="30E97D9C">
                  <w:pPr>
                    <w:bidi w:val="0"/>
                    <w:spacing w:line="240" w:lineRule="auto"/>
                    <w:jc w:val="center"/>
                  </w:pPr>
                </w:p>
              </w:tc>
              <w:tc>
                <w:tcPr>
                  <w:tcW w:w="1521" w:type="dxa"/>
                  <w:vMerge w:val="continue"/>
                  <w:vAlign w:val="center"/>
                </w:tcPr>
                <w:p w14:paraId="3729FB33">
                  <w:pPr>
                    <w:bidi w:val="0"/>
                    <w:spacing w:line="240" w:lineRule="auto"/>
                    <w:jc w:val="center"/>
                  </w:pPr>
                </w:p>
              </w:tc>
              <w:tc>
                <w:tcPr>
                  <w:tcW w:w="1185" w:type="dxa"/>
                  <w:vMerge w:val="continue"/>
                  <w:vAlign w:val="center"/>
                </w:tcPr>
                <w:p w14:paraId="48FD5DDA">
                  <w:pPr>
                    <w:bidi w:val="0"/>
                    <w:spacing w:line="240" w:lineRule="auto"/>
                    <w:jc w:val="center"/>
                  </w:pPr>
                </w:p>
              </w:tc>
              <w:tc>
                <w:tcPr>
                  <w:tcW w:w="1185" w:type="dxa"/>
                  <w:vAlign w:val="center"/>
                </w:tcPr>
                <w:p w14:paraId="6FAF80E6">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夜间</w:t>
                  </w:r>
                </w:p>
              </w:tc>
              <w:tc>
                <w:tcPr>
                  <w:tcW w:w="1186" w:type="dxa"/>
                  <w:vAlign w:val="center"/>
                </w:tcPr>
                <w:p w14:paraId="43BF0F58">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46.15</w:t>
                  </w:r>
                </w:p>
              </w:tc>
              <w:tc>
                <w:tcPr>
                  <w:tcW w:w="1186" w:type="dxa"/>
                  <w:vAlign w:val="center"/>
                </w:tcPr>
                <w:p w14:paraId="2AD5ABD1">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1186" w:type="dxa"/>
                  <w:vAlign w:val="center"/>
                </w:tcPr>
                <w:p w14:paraId="008A4559">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r w14:paraId="1AB2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47" w:type="dxa"/>
                  <w:vMerge w:val="restart"/>
                  <w:vAlign w:val="center"/>
                </w:tcPr>
                <w:p w14:paraId="714F7D50">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521" w:type="dxa"/>
                  <w:vMerge w:val="restart"/>
                  <w:vAlign w:val="center"/>
                </w:tcPr>
                <w:p w14:paraId="4DCCD6B9">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芒乃村（约110户，426人）</w:t>
                  </w:r>
                </w:p>
              </w:tc>
              <w:tc>
                <w:tcPr>
                  <w:tcW w:w="1185" w:type="dxa"/>
                  <w:vMerge w:val="restart"/>
                  <w:vAlign w:val="center"/>
                </w:tcPr>
                <w:p w14:paraId="212B2FC8">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70</w:t>
                  </w:r>
                </w:p>
              </w:tc>
              <w:tc>
                <w:tcPr>
                  <w:tcW w:w="1185" w:type="dxa"/>
                  <w:vAlign w:val="center"/>
                </w:tcPr>
                <w:p w14:paraId="4668402B">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昼间</w:t>
                  </w:r>
                </w:p>
              </w:tc>
              <w:tc>
                <w:tcPr>
                  <w:tcW w:w="1186" w:type="dxa"/>
                  <w:vAlign w:val="center"/>
                </w:tcPr>
                <w:p w14:paraId="04211426">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53.11</w:t>
                  </w:r>
                </w:p>
              </w:tc>
              <w:tc>
                <w:tcPr>
                  <w:tcW w:w="1186" w:type="dxa"/>
                  <w:vAlign w:val="center"/>
                </w:tcPr>
                <w:p w14:paraId="7AA5FC58">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c>
                <w:tcPr>
                  <w:tcW w:w="1186" w:type="dxa"/>
                  <w:vAlign w:val="center"/>
                </w:tcPr>
                <w:p w14:paraId="619A3C00">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r w14:paraId="012C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47" w:type="dxa"/>
                  <w:vMerge w:val="continue"/>
                  <w:vAlign w:val="center"/>
                </w:tcPr>
                <w:p w14:paraId="4B968DEE">
                  <w:pPr>
                    <w:bidi w:val="0"/>
                    <w:spacing w:line="240" w:lineRule="auto"/>
                    <w:jc w:val="center"/>
                  </w:pPr>
                </w:p>
              </w:tc>
              <w:tc>
                <w:tcPr>
                  <w:tcW w:w="1521" w:type="dxa"/>
                  <w:vMerge w:val="continue"/>
                  <w:vAlign w:val="center"/>
                </w:tcPr>
                <w:p w14:paraId="5D57AB54">
                  <w:pPr>
                    <w:bidi w:val="0"/>
                    <w:spacing w:line="240" w:lineRule="auto"/>
                    <w:jc w:val="center"/>
                  </w:pPr>
                </w:p>
              </w:tc>
              <w:tc>
                <w:tcPr>
                  <w:tcW w:w="1185" w:type="dxa"/>
                  <w:vMerge w:val="continue"/>
                  <w:vAlign w:val="center"/>
                </w:tcPr>
                <w:p w14:paraId="500D9C27">
                  <w:pPr>
                    <w:bidi w:val="0"/>
                    <w:spacing w:line="240" w:lineRule="auto"/>
                    <w:jc w:val="center"/>
                  </w:pPr>
                </w:p>
              </w:tc>
              <w:tc>
                <w:tcPr>
                  <w:tcW w:w="1185" w:type="dxa"/>
                  <w:vAlign w:val="center"/>
                </w:tcPr>
                <w:p w14:paraId="22AD17E2">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夜间</w:t>
                  </w:r>
                </w:p>
              </w:tc>
              <w:tc>
                <w:tcPr>
                  <w:tcW w:w="1186" w:type="dxa"/>
                  <w:vAlign w:val="center"/>
                </w:tcPr>
                <w:p w14:paraId="49202A6B">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49.98</w:t>
                  </w:r>
                </w:p>
              </w:tc>
              <w:tc>
                <w:tcPr>
                  <w:tcW w:w="1186" w:type="dxa"/>
                  <w:vAlign w:val="center"/>
                </w:tcPr>
                <w:p w14:paraId="63EBE4CA">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1186" w:type="dxa"/>
                  <w:vAlign w:val="center"/>
                </w:tcPr>
                <w:p w14:paraId="534B2E6D">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r w14:paraId="005C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47" w:type="dxa"/>
                  <w:vAlign w:val="center"/>
                </w:tcPr>
                <w:p w14:paraId="634AC01A">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1521" w:type="dxa"/>
                  <w:vAlign w:val="center"/>
                </w:tcPr>
                <w:p w14:paraId="66DF3173">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敏感点名称</w:t>
                  </w:r>
                </w:p>
              </w:tc>
              <w:tc>
                <w:tcPr>
                  <w:tcW w:w="1185" w:type="dxa"/>
                  <w:vAlign w:val="center"/>
                </w:tcPr>
                <w:p w14:paraId="31E07528">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距离</w:t>
                  </w:r>
                  <w:r>
                    <w:rPr>
                      <w:rFonts w:hint="eastAsia" w:cs="Times New Roman"/>
                      <w:sz w:val="21"/>
                      <w:szCs w:val="21"/>
                      <w:vertAlign w:val="baseline"/>
                      <w:lang w:val="en-US" w:eastAsia="zh-CN"/>
                    </w:rPr>
                    <w:t>（m）</w:t>
                  </w:r>
                </w:p>
              </w:tc>
              <w:tc>
                <w:tcPr>
                  <w:tcW w:w="1185" w:type="dxa"/>
                  <w:vAlign w:val="center"/>
                </w:tcPr>
                <w:p w14:paraId="3949770F">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时段</w:t>
                  </w:r>
                </w:p>
              </w:tc>
              <w:tc>
                <w:tcPr>
                  <w:tcW w:w="1186" w:type="dxa"/>
                  <w:vAlign w:val="center"/>
                </w:tcPr>
                <w:p w14:paraId="737DD9D5">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噪声值</w:t>
                  </w:r>
                </w:p>
              </w:tc>
              <w:tc>
                <w:tcPr>
                  <w:tcW w:w="1186" w:type="dxa"/>
                  <w:vAlign w:val="center"/>
                </w:tcPr>
                <w:p w14:paraId="074D0409">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4a</w:t>
                  </w:r>
                  <w:r>
                    <w:rPr>
                      <w:rFonts w:hint="eastAsia" w:ascii="Times New Roman" w:hAnsi="Times New Roman" w:eastAsia="宋体" w:cs="Times New Roman"/>
                      <w:sz w:val="21"/>
                      <w:szCs w:val="21"/>
                      <w:vertAlign w:val="baseline"/>
                      <w:lang w:val="en-US" w:eastAsia="zh-CN"/>
                    </w:rPr>
                    <w:t>类</w:t>
                  </w:r>
                  <w:r>
                    <w:rPr>
                      <w:rFonts w:hint="default" w:ascii="Times New Roman" w:hAnsi="Times New Roman" w:eastAsia="宋体" w:cs="Times New Roman"/>
                      <w:sz w:val="21"/>
                      <w:szCs w:val="21"/>
                      <w:vertAlign w:val="baseline"/>
                      <w:lang w:val="en-US" w:eastAsia="zh-CN"/>
                    </w:rPr>
                    <w:t>标准</w:t>
                  </w:r>
                </w:p>
              </w:tc>
              <w:tc>
                <w:tcPr>
                  <w:tcW w:w="1186" w:type="dxa"/>
                  <w:vAlign w:val="center"/>
                </w:tcPr>
                <w:p w14:paraId="24139B0D">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评价</w:t>
                  </w:r>
                </w:p>
              </w:tc>
            </w:tr>
            <w:tr w14:paraId="4844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296" w:type="dxa"/>
                  <w:gridSpan w:val="7"/>
                  <w:vAlign w:val="center"/>
                </w:tcPr>
                <w:p w14:paraId="5294CD10">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3号路</w:t>
                  </w:r>
                </w:p>
              </w:tc>
            </w:tr>
            <w:tr w14:paraId="14B7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47" w:type="dxa"/>
                  <w:vMerge w:val="restart"/>
                  <w:vAlign w:val="center"/>
                </w:tcPr>
                <w:p w14:paraId="3AF7B05F">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521" w:type="dxa"/>
                  <w:vMerge w:val="restart"/>
                  <w:vAlign w:val="center"/>
                </w:tcPr>
                <w:p w14:paraId="11157A49">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芒掌村（约538户，2176人）</w:t>
                  </w:r>
                </w:p>
              </w:tc>
              <w:tc>
                <w:tcPr>
                  <w:tcW w:w="1185" w:type="dxa"/>
                  <w:vMerge w:val="restart"/>
                  <w:vAlign w:val="center"/>
                </w:tcPr>
                <w:p w14:paraId="2939E68E">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紧邻</w:t>
                  </w:r>
                </w:p>
              </w:tc>
              <w:tc>
                <w:tcPr>
                  <w:tcW w:w="1185" w:type="dxa"/>
                  <w:vAlign w:val="center"/>
                </w:tcPr>
                <w:p w14:paraId="09E3580E">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昼间</w:t>
                  </w:r>
                </w:p>
              </w:tc>
              <w:tc>
                <w:tcPr>
                  <w:tcW w:w="1186" w:type="dxa"/>
                  <w:vAlign w:val="center"/>
                </w:tcPr>
                <w:p w14:paraId="5CE1E2D6">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bCs/>
                      <w:sz w:val="21"/>
                      <w:szCs w:val="21"/>
                      <w:lang w:val="en-US" w:eastAsia="zh-CN"/>
                    </w:rPr>
                    <w:t>61.13</w:t>
                  </w:r>
                </w:p>
              </w:tc>
              <w:tc>
                <w:tcPr>
                  <w:tcW w:w="1186" w:type="dxa"/>
                  <w:vAlign w:val="center"/>
                </w:tcPr>
                <w:p w14:paraId="3CD93393">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70</w:t>
                  </w:r>
                </w:p>
              </w:tc>
              <w:tc>
                <w:tcPr>
                  <w:tcW w:w="1186" w:type="dxa"/>
                  <w:vAlign w:val="center"/>
                </w:tcPr>
                <w:p w14:paraId="5A9BF4EC">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r w14:paraId="0435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47" w:type="dxa"/>
                  <w:vMerge w:val="continue"/>
                  <w:vAlign w:val="center"/>
                </w:tcPr>
                <w:p w14:paraId="3BA8B941">
                  <w:pPr>
                    <w:bidi w:val="0"/>
                    <w:spacing w:line="240" w:lineRule="auto"/>
                    <w:jc w:val="center"/>
                  </w:pPr>
                </w:p>
              </w:tc>
              <w:tc>
                <w:tcPr>
                  <w:tcW w:w="1521" w:type="dxa"/>
                  <w:vMerge w:val="continue"/>
                  <w:vAlign w:val="center"/>
                </w:tcPr>
                <w:p w14:paraId="6A34329C">
                  <w:pPr>
                    <w:bidi w:val="0"/>
                    <w:spacing w:line="240" w:lineRule="auto"/>
                    <w:jc w:val="center"/>
                  </w:pPr>
                </w:p>
              </w:tc>
              <w:tc>
                <w:tcPr>
                  <w:tcW w:w="1185" w:type="dxa"/>
                  <w:vMerge w:val="continue"/>
                  <w:vAlign w:val="center"/>
                </w:tcPr>
                <w:p w14:paraId="506EC19A">
                  <w:pPr>
                    <w:bidi w:val="0"/>
                    <w:spacing w:line="240" w:lineRule="auto"/>
                    <w:jc w:val="center"/>
                  </w:pPr>
                </w:p>
              </w:tc>
              <w:tc>
                <w:tcPr>
                  <w:tcW w:w="1185" w:type="dxa"/>
                  <w:vAlign w:val="center"/>
                </w:tcPr>
                <w:p w14:paraId="7A3195F8">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夜间</w:t>
                  </w:r>
                </w:p>
              </w:tc>
              <w:tc>
                <w:tcPr>
                  <w:tcW w:w="1186" w:type="dxa"/>
                  <w:vAlign w:val="center"/>
                </w:tcPr>
                <w:p w14:paraId="3A851016">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57.01</w:t>
                  </w:r>
                </w:p>
              </w:tc>
              <w:tc>
                <w:tcPr>
                  <w:tcW w:w="1186" w:type="dxa"/>
                  <w:vAlign w:val="center"/>
                </w:tcPr>
                <w:p w14:paraId="7DFCA974">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55</w:t>
                  </w:r>
                </w:p>
              </w:tc>
              <w:tc>
                <w:tcPr>
                  <w:tcW w:w="1186" w:type="dxa"/>
                  <w:vAlign w:val="center"/>
                </w:tcPr>
                <w:p w14:paraId="2FE216AD">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未达标</w:t>
                  </w:r>
                </w:p>
              </w:tc>
            </w:tr>
            <w:tr w14:paraId="548B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47" w:type="dxa"/>
                  <w:vMerge w:val="restart"/>
                  <w:vAlign w:val="center"/>
                </w:tcPr>
                <w:p w14:paraId="1861CF62">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1521" w:type="dxa"/>
                  <w:vMerge w:val="restart"/>
                  <w:vAlign w:val="center"/>
                </w:tcPr>
                <w:p w14:paraId="101AC515">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芒赛村（约1657户，8262人）</w:t>
                  </w:r>
                </w:p>
              </w:tc>
              <w:tc>
                <w:tcPr>
                  <w:tcW w:w="1185" w:type="dxa"/>
                  <w:vMerge w:val="restart"/>
                  <w:vAlign w:val="center"/>
                </w:tcPr>
                <w:p w14:paraId="0A7F895E">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紧邻</w:t>
                  </w:r>
                </w:p>
              </w:tc>
              <w:tc>
                <w:tcPr>
                  <w:tcW w:w="1185" w:type="dxa"/>
                  <w:vAlign w:val="center"/>
                </w:tcPr>
                <w:p w14:paraId="0462CC16">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昼间</w:t>
                  </w:r>
                </w:p>
              </w:tc>
              <w:tc>
                <w:tcPr>
                  <w:tcW w:w="1186" w:type="dxa"/>
                  <w:vAlign w:val="center"/>
                </w:tcPr>
                <w:p w14:paraId="4DFE0B47">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61.13</w:t>
                  </w:r>
                </w:p>
              </w:tc>
              <w:tc>
                <w:tcPr>
                  <w:tcW w:w="1186" w:type="dxa"/>
                  <w:vAlign w:val="center"/>
                </w:tcPr>
                <w:p w14:paraId="094D2AAE">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70</w:t>
                  </w:r>
                </w:p>
              </w:tc>
              <w:tc>
                <w:tcPr>
                  <w:tcW w:w="1186" w:type="dxa"/>
                  <w:vAlign w:val="center"/>
                </w:tcPr>
                <w:p w14:paraId="61BB3888">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r w14:paraId="685F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47" w:type="dxa"/>
                  <w:vMerge w:val="continue"/>
                  <w:vAlign w:val="center"/>
                </w:tcPr>
                <w:p w14:paraId="61C65255">
                  <w:pPr>
                    <w:bidi w:val="0"/>
                    <w:spacing w:line="240" w:lineRule="auto"/>
                    <w:jc w:val="center"/>
                  </w:pPr>
                </w:p>
              </w:tc>
              <w:tc>
                <w:tcPr>
                  <w:tcW w:w="1521" w:type="dxa"/>
                  <w:vMerge w:val="continue"/>
                  <w:vAlign w:val="center"/>
                </w:tcPr>
                <w:p w14:paraId="00A040EA">
                  <w:pPr>
                    <w:bidi w:val="0"/>
                    <w:spacing w:line="240" w:lineRule="auto"/>
                    <w:jc w:val="center"/>
                  </w:pPr>
                </w:p>
              </w:tc>
              <w:tc>
                <w:tcPr>
                  <w:tcW w:w="1185" w:type="dxa"/>
                  <w:vMerge w:val="continue"/>
                  <w:vAlign w:val="center"/>
                </w:tcPr>
                <w:p w14:paraId="4118ECC9">
                  <w:pPr>
                    <w:bidi w:val="0"/>
                    <w:spacing w:line="240" w:lineRule="auto"/>
                    <w:jc w:val="center"/>
                  </w:pPr>
                </w:p>
              </w:tc>
              <w:tc>
                <w:tcPr>
                  <w:tcW w:w="1185" w:type="dxa"/>
                  <w:vAlign w:val="center"/>
                </w:tcPr>
                <w:p w14:paraId="16060B98">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夜间</w:t>
                  </w:r>
                </w:p>
              </w:tc>
              <w:tc>
                <w:tcPr>
                  <w:tcW w:w="1186" w:type="dxa"/>
                  <w:vAlign w:val="center"/>
                </w:tcPr>
                <w:p w14:paraId="53358AE2">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57.01</w:t>
                  </w:r>
                </w:p>
              </w:tc>
              <w:tc>
                <w:tcPr>
                  <w:tcW w:w="1186" w:type="dxa"/>
                  <w:vAlign w:val="center"/>
                </w:tcPr>
                <w:p w14:paraId="2BAFE89E">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r>
                    <w:rPr>
                      <w:rFonts w:hint="eastAsia" w:cs="Times New Roman"/>
                      <w:sz w:val="21"/>
                      <w:szCs w:val="21"/>
                      <w:vertAlign w:val="baseline"/>
                      <w:lang w:val="en-US" w:eastAsia="zh-CN"/>
                    </w:rPr>
                    <w:t>5</w:t>
                  </w:r>
                </w:p>
              </w:tc>
              <w:tc>
                <w:tcPr>
                  <w:tcW w:w="1186" w:type="dxa"/>
                  <w:vAlign w:val="center"/>
                </w:tcPr>
                <w:p w14:paraId="37AC9B02">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未达标</w:t>
                  </w:r>
                </w:p>
              </w:tc>
            </w:tr>
            <w:tr w14:paraId="438A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296" w:type="dxa"/>
                  <w:gridSpan w:val="7"/>
                  <w:vAlign w:val="center"/>
                </w:tcPr>
                <w:p w14:paraId="6E36AE5B">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5号路</w:t>
                  </w:r>
                </w:p>
              </w:tc>
            </w:tr>
            <w:tr w14:paraId="113A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47" w:type="dxa"/>
                  <w:vMerge w:val="restart"/>
                  <w:vAlign w:val="center"/>
                </w:tcPr>
                <w:p w14:paraId="0AFF32D3">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c>
                <w:tcPr>
                  <w:tcW w:w="1521" w:type="dxa"/>
                  <w:vMerge w:val="restart"/>
                  <w:vAlign w:val="center"/>
                </w:tcPr>
                <w:p w14:paraId="05BE529A">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拉院村（约385户，1819人）</w:t>
                  </w:r>
                </w:p>
              </w:tc>
              <w:tc>
                <w:tcPr>
                  <w:tcW w:w="1185" w:type="dxa"/>
                  <w:vMerge w:val="restart"/>
                  <w:vAlign w:val="center"/>
                </w:tcPr>
                <w:p w14:paraId="1F184CC7">
                  <w:p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紧邻</w:t>
                  </w:r>
                </w:p>
              </w:tc>
              <w:tc>
                <w:tcPr>
                  <w:tcW w:w="1185" w:type="dxa"/>
                  <w:vAlign w:val="center"/>
                </w:tcPr>
                <w:p w14:paraId="0B4B8300">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昼间</w:t>
                  </w:r>
                </w:p>
              </w:tc>
              <w:tc>
                <w:tcPr>
                  <w:tcW w:w="1186" w:type="dxa"/>
                  <w:vAlign w:val="center"/>
                </w:tcPr>
                <w:p w14:paraId="4F8F638E">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bCs/>
                      <w:sz w:val="21"/>
                      <w:szCs w:val="21"/>
                      <w:lang w:val="en-US" w:eastAsia="zh-CN"/>
                    </w:rPr>
                    <w:t>58.99</w:t>
                  </w:r>
                </w:p>
              </w:tc>
              <w:tc>
                <w:tcPr>
                  <w:tcW w:w="1186" w:type="dxa"/>
                  <w:vAlign w:val="center"/>
                </w:tcPr>
                <w:p w14:paraId="70830545">
                  <w:pPr>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70</w:t>
                  </w:r>
                </w:p>
              </w:tc>
              <w:tc>
                <w:tcPr>
                  <w:tcW w:w="1186" w:type="dxa"/>
                  <w:vAlign w:val="center"/>
                </w:tcPr>
                <w:p w14:paraId="786B9154">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r w14:paraId="08A9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7" w:type="dxa"/>
                  <w:vMerge w:val="continue"/>
                  <w:vAlign w:val="center"/>
                </w:tcPr>
                <w:p w14:paraId="5DD1B512">
                  <w:pPr>
                    <w:bidi w:val="0"/>
                    <w:spacing w:line="240" w:lineRule="auto"/>
                    <w:jc w:val="center"/>
                  </w:pPr>
                </w:p>
              </w:tc>
              <w:tc>
                <w:tcPr>
                  <w:tcW w:w="1521" w:type="dxa"/>
                  <w:vMerge w:val="continue"/>
                  <w:vAlign w:val="center"/>
                </w:tcPr>
                <w:p w14:paraId="028C9B97">
                  <w:pPr>
                    <w:bidi w:val="0"/>
                    <w:spacing w:line="240" w:lineRule="auto"/>
                    <w:jc w:val="center"/>
                  </w:pPr>
                </w:p>
              </w:tc>
              <w:tc>
                <w:tcPr>
                  <w:tcW w:w="1185" w:type="dxa"/>
                  <w:vMerge w:val="continue"/>
                  <w:vAlign w:val="center"/>
                </w:tcPr>
                <w:p w14:paraId="6CEA65CD">
                  <w:pPr>
                    <w:bidi w:val="0"/>
                    <w:spacing w:line="240" w:lineRule="auto"/>
                    <w:jc w:val="center"/>
                  </w:pPr>
                </w:p>
              </w:tc>
              <w:tc>
                <w:tcPr>
                  <w:tcW w:w="1185" w:type="dxa"/>
                  <w:vAlign w:val="center"/>
                </w:tcPr>
                <w:p w14:paraId="3EE3D7C5">
                  <w:pPr>
                    <w:bidi w:val="0"/>
                    <w:spacing w:line="240" w:lineRule="auto"/>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夜间</w:t>
                  </w:r>
                </w:p>
              </w:tc>
              <w:tc>
                <w:tcPr>
                  <w:tcW w:w="1186" w:type="dxa"/>
                  <w:vAlign w:val="center"/>
                </w:tcPr>
                <w:p w14:paraId="20B7B9C6">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53.41</w:t>
                  </w:r>
                </w:p>
              </w:tc>
              <w:tc>
                <w:tcPr>
                  <w:tcW w:w="1186" w:type="dxa"/>
                  <w:vAlign w:val="center"/>
                </w:tcPr>
                <w:p w14:paraId="3CD10F4D">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r>
                    <w:rPr>
                      <w:rFonts w:hint="eastAsia" w:cs="Times New Roman"/>
                      <w:sz w:val="21"/>
                      <w:szCs w:val="21"/>
                      <w:vertAlign w:val="baseline"/>
                      <w:lang w:val="en-US" w:eastAsia="zh-CN"/>
                    </w:rPr>
                    <w:t>5</w:t>
                  </w:r>
                </w:p>
              </w:tc>
              <w:tc>
                <w:tcPr>
                  <w:tcW w:w="1186" w:type="dxa"/>
                  <w:vAlign w:val="center"/>
                </w:tcPr>
                <w:p w14:paraId="357B2F8C">
                  <w:p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达标</w:t>
                  </w:r>
                </w:p>
              </w:tc>
            </w:tr>
          </w:tbl>
          <w:p w14:paraId="48271241">
            <w:pPr>
              <w:bidi w:val="0"/>
              <w:ind w:firstLine="480" w:firstLineChars="200"/>
              <w:rPr>
                <w:rFonts w:hint="default"/>
                <w:lang w:val="en-US" w:eastAsia="zh-CN"/>
              </w:rPr>
            </w:pPr>
            <w:r>
              <w:rPr>
                <w:rFonts w:hint="eastAsia"/>
                <w:lang w:val="en-US" w:eastAsia="zh-CN"/>
              </w:rPr>
              <w:t>根据表7-12可知，芒烘村、芒乃村能达到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2类标准，</w:t>
            </w:r>
            <w:r>
              <w:rPr>
                <w:rFonts w:hint="eastAsia"/>
                <w:lang w:val="en-US" w:eastAsia="zh-CN"/>
              </w:rPr>
              <w:t>紧邻道路的拉院村能达到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4a类标准，</w:t>
            </w:r>
            <w:r>
              <w:rPr>
                <w:rFonts w:hint="eastAsia"/>
                <w:lang w:val="en-US" w:eastAsia="zh-CN"/>
              </w:rPr>
              <w:t>芒掌村和芒赛村夜间未能达到</w:t>
            </w:r>
            <w:r>
              <w:rPr>
                <w:rFonts w:hint="default" w:ascii="Times New Roman" w:hAnsi="Times New Roman" w:cs="Times New Roman"/>
                <w:color w:val="000000" w:themeColor="text1"/>
                <w:sz w:val="24"/>
                <w:highlight w:val="none"/>
                <w14:textFill>
                  <w14:solidFill>
                    <w14:schemeClr w14:val="tx1"/>
                  </w14:solidFill>
                </w14:textFill>
              </w:rPr>
              <w:t>《声环境质量标准》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GB3096-2008</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4a类标准。</w:t>
            </w:r>
          </w:p>
          <w:p w14:paraId="271F047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本评价所得到的噪声预测结果是一个基于可研报告提供的车流量的理论计算值，与公路运营后的实际噪声值之间会存在一定的差异</w:t>
            </w:r>
            <w:r>
              <w:rPr>
                <w:rFonts w:hint="eastAsia" w:cs="Times New Roman"/>
                <w:sz w:val="24"/>
                <w:lang w:eastAsia="zh-CN"/>
              </w:rPr>
              <w:t>。</w:t>
            </w:r>
            <w:r>
              <w:rPr>
                <w:rFonts w:hint="default" w:ascii="Times New Roman" w:hAnsi="Times New Roman" w:cs="Times New Roman"/>
                <w:sz w:val="24"/>
              </w:rPr>
              <w:t>为进一步降低交通噪声</w:t>
            </w:r>
            <w:r>
              <w:rPr>
                <w:rFonts w:hint="eastAsia" w:cs="Times New Roman"/>
                <w:sz w:val="24"/>
                <w:lang w:eastAsia="zh-CN"/>
              </w:rPr>
              <w:t>对环境保护目标</w:t>
            </w:r>
            <w:r>
              <w:rPr>
                <w:rFonts w:hint="default" w:ascii="Times New Roman" w:hAnsi="Times New Roman" w:cs="Times New Roman"/>
                <w:sz w:val="24"/>
              </w:rPr>
              <w:t>的影响，应采取如下措施：</w:t>
            </w:r>
          </w:p>
          <w:p w14:paraId="75F19AF4">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1 \* GB3 </w:instrText>
            </w:r>
            <w:r>
              <w:rPr>
                <w:rFonts w:hint="default" w:ascii="Times New Roman" w:hAnsi="Times New Roman" w:cs="Times New Roman"/>
                <w:sz w:val="24"/>
              </w:rPr>
              <w:fldChar w:fldCharType="separate"/>
            </w:r>
            <w:r>
              <w:rPr>
                <w:rFonts w:hint="default" w:ascii="Times New Roman" w:hAnsi="Times New Roman" w:cs="Times New Roman"/>
                <w:sz w:val="24"/>
              </w:rPr>
              <w:t>①</w:t>
            </w:r>
            <w:r>
              <w:rPr>
                <w:rFonts w:hint="default" w:ascii="Times New Roman" w:hAnsi="Times New Roman" w:cs="Times New Roman"/>
                <w:sz w:val="24"/>
              </w:rPr>
              <w:fldChar w:fldCharType="end"/>
            </w:r>
            <w:r>
              <w:rPr>
                <w:rFonts w:hint="eastAsia" w:cs="Times New Roman"/>
                <w:sz w:val="24"/>
                <w:lang w:eastAsia="zh-CN"/>
              </w:rPr>
              <w:t>道路采用的沥青路面能减低噪声，</w:t>
            </w:r>
            <w:r>
              <w:rPr>
                <w:rFonts w:hint="default" w:ascii="Times New Roman" w:hAnsi="Times New Roman" w:cs="Times New Roman"/>
                <w:sz w:val="24"/>
              </w:rPr>
              <w:t>加强道路检查，及时维修损坏的道路，减少车辆颠簸和低速产生的噪声。</w:t>
            </w:r>
          </w:p>
          <w:p w14:paraId="4CEC31C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2 \* GB3 </w:instrText>
            </w:r>
            <w:r>
              <w:rPr>
                <w:rFonts w:hint="default" w:ascii="Times New Roman" w:hAnsi="Times New Roman" w:cs="Times New Roman"/>
                <w:sz w:val="24"/>
              </w:rPr>
              <w:fldChar w:fldCharType="separate"/>
            </w:r>
            <w:r>
              <w:rPr>
                <w:rFonts w:hint="default" w:ascii="Times New Roman" w:hAnsi="Times New Roman" w:cs="Times New Roman"/>
                <w:sz w:val="24"/>
              </w:rPr>
              <w:t>②</w:t>
            </w:r>
            <w:r>
              <w:rPr>
                <w:rFonts w:hint="default" w:ascii="Times New Roman" w:hAnsi="Times New Roman" w:cs="Times New Roman"/>
                <w:sz w:val="24"/>
              </w:rPr>
              <w:fldChar w:fldCharType="end"/>
            </w:r>
            <w:r>
              <w:rPr>
                <w:rFonts w:hint="default" w:ascii="Times New Roman" w:hAnsi="Times New Roman" w:cs="Times New Roman"/>
                <w:sz w:val="24"/>
              </w:rPr>
              <w:t>在</w:t>
            </w:r>
            <w:r>
              <w:rPr>
                <w:rFonts w:hint="eastAsia" w:cs="Times New Roman"/>
                <w:sz w:val="24"/>
                <w:lang w:eastAsia="zh-CN"/>
              </w:rPr>
              <w:t>环境保护目标</w:t>
            </w:r>
            <w:r>
              <w:rPr>
                <w:rFonts w:hint="default" w:ascii="Times New Roman" w:hAnsi="Times New Roman" w:cs="Times New Roman"/>
                <w:sz w:val="24"/>
              </w:rPr>
              <w:t>路段应设置禁止鸣号的禁令标志，以降低交通噪声。</w:t>
            </w:r>
          </w:p>
          <w:p w14:paraId="2C438E9B">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3 \* GB3 </w:instrText>
            </w:r>
            <w:r>
              <w:rPr>
                <w:rFonts w:hint="default" w:ascii="Times New Roman" w:hAnsi="Times New Roman" w:cs="Times New Roman"/>
                <w:sz w:val="24"/>
              </w:rPr>
              <w:fldChar w:fldCharType="separate"/>
            </w:r>
            <w:r>
              <w:rPr>
                <w:rFonts w:hint="default" w:ascii="Times New Roman" w:hAnsi="Times New Roman" w:cs="Times New Roman"/>
                <w:sz w:val="24"/>
              </w:rPr>
              <w:t>③</w:t>
            </w:r>
            <w:r>
              <w:rPr>
                <w:rFonts w:hint="default" w:ascii="Times New Roman" w:hAnsi="Times New Roman" w:cs="Times New Roman"/>
                <w:sz w:val="24"/>
              </w:rPr>
              <w:fldChar w:fldCharType="end"/>
            </w:r>
            <w:r>
              <w:rPr>
                <w:rFonts w:hint="default" w:ascii="Times New Roman" w:hAnsi="Times New Roman" w:cs="Times New Roman"/>
                <w:sz w:val="24"/>
              </w:rPr>
              <w:t>按照设计要求严格控制车辆行驶速度，禁止超速行驶。</w:t>
            </w:r>
          </w:p>
          <w:p w14:paraId="1DC5018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4 \* GB3 </w:instrText>
            </w:r>
            <w:r>
              <w:rPr>
                <w:rFonts w:hint="default" w:ascii="Times New Roman" w:hAnsi="Times New Roman" w:cs="Times New Roman"/>
                <w:sz w:val="24"/>
              </w:rPr>
              <w:fldChar w:fldCharType="separate"/>
            </w:r>
            <w:r>
              <w:rPr>
                <w:rFonts w:hint="default" w:ascii="Times New Roman" w:hAnsi="Times New Roman" w:cs="Times New Roman"/>
                <w:sz w:val="24"/>
              </w:rPr>
              <w:t>④</w:t>
            </w:r>
            <w:r>
              <w:rPr>
                <w:rFonts w:hint="default" w:ascii="Times New Roman" w:hAnsi="Times New Roman" w:cs="Times New Roman"/>
                <w:sz w:val="24"/>
              </w:rPr>
              <w:fldChar w:fldCharType="end"/>
            </w:r>
            <w:r>
              <w:rPr>
                <w:rFonts w:hint="default" w:ascii="Times New Roman" w:hAnsi="Times New Roman" w:cs="Times New Roman"/>
                <w:sz w:val="24"/>
              </w:rPr>
              <w:t>在道路绿化设计满足道路交通性能基础上，按有关规定设计种植适合本地气候的草坪、灌木和树木，在道路两侧可种植树木和花草，既能降噪、减噪，又取得美化环境的作用。</w:t>
            </w:r>
          </w:p>
          <w:p w14:paraId="17974C35">
            <w:pPr>
              <w:spacing w:line="360" w:lineRule="auto"/>
              <w:ind w:firstLine="480" w:firstLineChars="200"/>
              <w:rPr>
                <w:rFonts w:hint="eastAsia" w:ascii="Times New Roman" w:hAnsi="Times New Roman" w:eastAsia="宋体" w:cs="Times New Roman"/>
                <w:sz w:val="24"/>
                <w:lang w:val="en-US" w:eastAsia="zh-CN"/>
              </w:rPr>
            </w:pPr>
            <w:r>
              <w:rPr>
                <w:rFonts w:hint="eastAsia" w:cs="Times New Roman"/>
                <w:sz w:val="24"/>
                <w:lang w:eastAsia="zh-CN"/>
              </w:rPr>
              <w:t>项目声环境保护目标未达标的</w:t>
            </w:r>
            <w:r>
              <w:rPr>
                <w:rFonts w:hint="eastAsia"/>
                <w:lang w:val="en-US" w:eastAsia="zh-CN"/>
              </w:rPr>
              <w:t>芒掌村和芒赛村的预测噪声</w:t>
            </w:r>
            <w:r>
              <w:rPr>
                <w:rFonts w:hint="eastAsia" w:cs="Times New Roman"/>
                <w:sz w:val="24"/>
                <w:lang w:eastAsia="zh-CN"/>
              </w:rPr>
              <w:t>超出标准值不大，经过上述措施后，噪声会降低，保护目标的噪声达标，对周围环境影响不大。</w:t>
            </w:r>
          </w:p>
          <w:p w14:paraId="7939F05E">
            <w:pPr>
              <w:numPr>
                <w:ilvl w:val="0"/>
                <w:numId w:val="0"/>
              </w:numPr>
              <w:spacing w:line="360" w:lineRule="auto"/>
              <w:ind w:leftChar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3.水环境影响分析</w:t>
            </w:r>
          </w:p>
          <w:p w14:paraId="62F6D6C7">
            <w:pPr>
              <w:spacing w:line="360" w:lineRule="auto"/>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暴雨径流（非引起洪涝的暴雨）是营运期产生的非经常性污水，主要是暴雨冲刷路面而形成。根据类比监测资料，道路路面径流中的主要污染物为CODcr、石油类和SS。道路路面冲刷物的浓度集中在降水初期，降水15分钟内污染物随降水时间增加浓度增大，随后逐渐减小。本项目采用雨、污分流制，即分别设置雨、污水排水系统分别排入雨污水干管中。营运中的道路表面聚集粉尘、运输车辆散落物、车辆滴洒的油污等，暴雨冲刷后进入雨水管网，最后排入河道，会对河道水环境质量造成一定的影响，尤其是初期雨水中的污染物浓度较高。项目营运期间应加强道路保洁工作，通过加强对运输车辆的管理，除控制大中型车辆通行外，还应加强运输车辆密闭性管理，运输易散落物品的车辆，必须密封；加强道路监控，减少车辆滴落的油污等，最大限度减轻地表径流对地表水体的影响。</w:t>
            </w:r>
          </w:p>
          <w:p w14:paraId="512347DD">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因此，本评价认为道路路面径流对地表水体造成的影响，只是短时间的影响。随着降雨时段增加，这种影响会逐渐减弱，对周边水环境的影响不大。</w:t>
            </w:r>
          </w:p>
          <w:p w14:paraId="0243E7FC">
            <w:pPr>
              <w:snapToGrid w:val="0"/>
              <w:spacing w:line="360" w:lineRule="auto"/>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w:t>
            </w:r>
            <w:r>
              <w:rPr>
                <w:rFonts w:hint="default" w:ascii="Times New Roman" w:hAnsi="Times New Roman" w:cs="Times New Roman"/>
                <w:b/>
                <w:bCs/>
                <w:color w:val="auto"/>
                <w:sz w:val="24"/>
                <w:highlight w:val="none"/>
                <w:lang w:val="en-US" w:eastAsia="zh-CN"/>
              </w:rPr>
              <w:t>.</w:t>
            </w:r>
            <w:r>
              <w:rPr>
                <w:rFonts w:hint="default" w:ascii="Times New Roman" w:hAnsi="Times New Roman" w:cs="Times New Roman"/>
                <w:b/>
                <w:bCs/>
                <w:color w:val="auto"/>
                <w:sz w:val="24"/>
                <w:highlight w:val="none"/>
              </w:rPr>
              <w:t>固废影响分析</w:t>
            </w:r>
          </w:p>
          <w:p w14:paraId="4960DE1B">
            <w:pPr>
              <w:spacing w:line="360" w:lineRule="auto"/>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项目投入运营后，产生的固体废弃物主要为道路清扫垃圾、绿化垃圾、沿线下水道污泥等。</w:t>
            </w:r>
          </w:p>
          <w:p w14:paraId="0C0DCEE6">
            <w:pPr>
              <w:spacing w:line="360" w:lineRule="auto"/>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道路清扫垃圾产生量不定，由环卫人员打扫收集后送至垃圾收集点统一处理；道路沿线树木花草产生的绿化垃圾较为分散，可采取定期人力清扫的方法加以定时收集、再送入收集车辆；对机动车运输过程严加防范，以防撒漏。沿线下水道清掏的污泥由清掏单位统一处置。</w:t>
            </w:r>
          </w:p>
          <w:p w14:paraId="4454505D">
            <w:pPr>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通过采取上述措施后，营运期产生的固废对周围环境影响不大。</w:t>
            </w:r>
          </w:p>
          <w:p w14:paraId="354DC0AC">
            <w:pPr>
              <w:snapToGrid w:val="0"/>
              <w:spacing w:line="360" w:lineRule="auto"/>
              <w:jc w:val="left"/>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5.</w:t>
            </w:r>
            <w:r>
              <w:rPr>
                <w:rFonts w:hint="default" w:ascii="Times New Roman" w:hAnsi="Times New Roman" w:cs="Times New Roman"/>
                <w:b/>
                <w:bCs/>
                <w:color w:val="auto"/>
                <w:sz w:val="24"/>
                <w:highlight w:val="none"/>
              </w:rPr>
              <w:t>生态环境影响分析</w:t>
            </w:r>
          </w:p>
          <w:p w14:paraId="3A613075">
            <w:pPr>
              <w:numPr>
                <w:ilvl w:val="0"/>
                <w:numId w:val="0"/>
              </w:numPr>
              <w:spacing w:line="360" w:lineRule="auto"/>
              <w:ind w:leftChars="0" w:firstLine="480" w:firstLineChars="200"/>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val="en-US" w:eastAsia="zh-CN"/>
              </w:rPr>
              <w:t>（1）对土地利用格局的影响</w:t>
            </w:r>
          </w:p>
          <w:p w14:paraId="0D8ED2C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项目的永久占用，将使评价区被占用的土地利用性质和功能发生改变。其占用的土地，其利用性质将改变为交通用地，这种改变是永久性的，是不可逆的。但由于项目为线性工程，项目建成后从整个评价区的总体情况来看，主要的构成地类没有大的改变，因此，项目占地不会对评价区的土地利用格局造成显著影响。</w:t>
            </w:r>
          </w:p>
          <w:p w14:paraId="1EA9E3FC">
            <w:pPr>
              <w:pStyle w:val="35"/>
              <w:rPr>
                <w:rFonts w:hint="default" w:ascii="Times New Roman" w:hAnsi="Times New Roman" w:cs="Times New Roman"/>
                <w:color w:val="auto"/>
                <w:highlight w:val="none"/>
              </w:rPr>
            </w:pPr>
            <w:r>
              <w:rPr>
                <w:rFonts w:hint="default" w:ascii="Times New Roman" w:hAnsi="Times New Roman" w:cs="Times New Roman"/>
                <w:color w:val="auto"/>
                <w:highlight w:val="none"/>
              </w:rPr>
              <w:t>项目临时占地在工程结束后，可通过采取合适的复垦、恢复植被等工措施进行恢复，因此，临时占地所造成的影响是短期的局部的，不会对评价区土地的利用性质和功能、土壤的理化性质、土地利用格局等造成显著影响。</w:t>
            </w:r>
          </w:p>
          <w:p w14:paraId="204AE4C4">
            <w:pPr>
              <w:pStyle w:val="4"/>
              <w:numPr>
                <w:ilvl w:val="0"/>
                <w:numId w:val="0"/>
              </w:numPr>
              <w:snapToGrid w:val="0"/>
              <w:spacing w:before="0" w:line="360" w:lineRule="auto"/>
              <w:ind w:firstLine="480" w:firstLineChars="200"/>
              <w:outlineLvl w:val="3"/>
              <w:rPr>
                <w:rFonts w:hint="default" w:ascii="Times New Roman" w:hAnsi="Times New Roman" w:eastAsia="宋体" w:cs="Times New Roman"/>
                <w:color w:val="auto"/>
                <w:sz w:val="24"/>
                <w:szCs w:val="24"/>
                <w:highlight w:val="none"/>
              </w:rPr>
            </w:pPr>
            <w:bookmarkStart w:id="53" w:name="_Toc393913959"/>
            <w:bookmarkStart w:id="54" w:name="_Toc391628827"/>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2）对植被的影响</w:t>
            </w:r>
            <w:bookmarkEnd w:id="53"/>
            <w:bookmarkEnd w:id="54"/>
            <w:r>
              <w:rPr>
                <w:rFonts w:hint="default" w:ascii="Times New Roman" w:hAnsi="Times New Roman" w:eastAsia="宋体" w:cs="Times New Roman"/>
                <w:color w:val="auto"/>
                <w:sz w:val="24"/>
                <w:szCs w:val="24"/>
                <w:highlight w:val="none"/>
              </w:rPr>
              <w:t>分析</w:t>
            </w:r>
          </w:p>
          <w:p w14:paraId="39312FF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项目建设对植被的影响主要为：在道路路基区占地范围内的植被将遭受铲除和掩埋等，使占地范围内的植被全部消失，导致评价区各类植被面积的减少。</w:t>
            </w:r>
          </w:p>
          <w:p w14:paraId="76AD8C1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项目区主要为农作物等，项目建设将对项目用地内的植被进行清除，故项目建设对评价区内的自然植被影响相对较大，将自然植被的生态价值降低，引发新的水土流失，对当地生态环境和水土保持造成一定程度的负面影响，但在项目建成后通过植树、绿化等措施恢复和水土保持工程的实施，这些影响将有所减轻。</w:t>
            </w:r>
          </w:p>
          <w:p w14:paraId="19C3E77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的自然植被主要为农作物等，为常见种，分布较为广泛。项目占地、扰动地表等行为将对评价区的这些植物造成影响，主要体现在导致评价区内植物种群数量减少，从而使生物量减少。但项目的建设不会对受影响的植物物种造成毁灭性的影响，不会对区域的植物资源和物种多样性产生明显的不良影响，也不会导致评价区任何植物物种的灭亡。总之，项目所在区域景观生态从农村生态环境转变成城市生态环境，变化较大。但是转变成城市生态系统后，按照总体规划的实施，本项目沿线会建设绿化带，可以弥补转变中绿化地的损失。因此，项目的永久占地虽造成评价区内各植被类型的面积有不同程度的减少，但总的来说，减少的面积占评价区同类植被面积的比例不大，不会造成任何一种植被类型在评价区内消失，不会对项目区的植被造成显著的影响，对区域内植物影响是可以接受</w:t>
            </w:r>
            <w:r>
              <w:rPr>
                <w:rFonts w:hint="default"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w:t>
            </w:r>
          </w:p>
          <w:p w14:paraId="7200D477">
            <w:pPr>
              <w:pStyle w:val="35"/>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对动物的影响</w:t>
            </w:r>
          </w:p>
          <w:p w14:paraId="303D138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成后，随着土地利用类型的改变，项目区动物的主要适宜生境部分变为交通用地，导致动物的适宜生境面积有所减少。项目建成后通车后，车辆噪声将是项目区动物资源的惊扰源之一，随着项目区动物惊扰源的长期存在，将导致部分动物种群，甚至动物群落迁出项目区，迁入适宜的生境。动物迁入其他适宜生境后，将面临动物种群间的空间竞争、食物竞争增加，对动物的生存造成不利影响。</w:t>
            </w:r>
          </w:p>
          <w:p w14:paraId="7570DDCC">
            <w:pPr>
              <w:pStyle w:val="35"/>
              <w:rPr>
                <w:rFonts w:hint="default" w:ascii="Times New Roman" w:hAnsi="Times New Roman" w:cs="Times New Roman"/>
                <w:color w:val="auto"/>
                <w:highlight w:val="none"/>
              </w:rPr>
            </w:pPr>
            <w:r>
              <w:rPr>
                <w:rFonts w:hint="default" w:ascii="Times New Roman" w:hAnsi="Times New Roman" w:cs="Times New Roman"/>
                <w:color w:val="auto"/>
                <w:highlight w:val="none"/>
              </w:rPr>
              <w:t>总之，项目建成后，地表扰动停止，区域内的土地利用形成新的格局，随着无机环境的改变和稳定，有机生物将根据自身的适应能力进行迁入或迁出，重新构建一个动态平衡的生态系统。但由于项目为道路工程，属于人工设施，项目占地内将不再适宜生物生存，所以，项目建成后项目区生物的栖息地面积减少，再者道路上的汽车噪声、汽车灯光等干扰源的长期存在，将使项目区内生物种群难以增长。总体而言，项目建设造成了项目的生态功能下降和自身调控能力变差。</w:t>
            </w:r>
          </w:p>
          <w:p w14:paraId="3A7F7911">
            <w:pPr>
              <w:pStyle w:val="35"/>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对保护动物的影响</w:t>
            </w:r>
          </w:p>
          <w:p w14:paraId="3A1A640E">
            <w:pPr>
              <w:pStyle w:val="35"/>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项目区无国家重点保护野生动物，均为常见物种，如麻雀、老鼠等，它们在项目区内的数量较少，活动范围较广，且迁移、生存能力较强，所以项目建设这些动物能主动避让项目的干扰，项目建设对其影响是可以接受的。</w:t>
            </w:r>
          </w:p>
          <w:p w14:paraId="0CE74FEA">
            <w:pPr>
              <w:pStyle w:val="35"/>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小结：项目为市政道路新建项目，项目区内已无原生生态环境。项目建设完成后，提高了土地利用程度，增加道路绿化面积，丰富景观层次。原来施工暴露的地面均被硬化道路及绿化植被所覆盖，水土流失得到有效控制项目，</w:t>
            </w:r>
            <w:r>
              <w:rPr>
                <w:rFonts w:hint="default" w:ascii="Times New Roman" w:hAnsi="Times New Roman" w:cs="Times New Roman"/>
                <w:color w:val="auto"/>
                <w:szCs w:val="24"/>
                <w:highlight w:val="none"/>
              </w:rPr>
              <w:t>道路的建设在改善现状交通的前提下，对区域生态环境有一定改善作用。</w:t>
            </w:r>
          </w:p>
          <w:p w14:paraId="31FC6102">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对周边道路的影响</w:t>
            </w:r>
          </w:p>
          <w:p w14:paraId="5014C06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本项目建成后即可完善该区域的交通环境和扩大区域路网衔接，缩短运输距离，提升区域的基础设施环境，可促进项目周边土地的开发和节约利用，带动整个片区的建设和发展；同时交通基础</w:t>
            </w:r>
            <w:r>
              <w:rPr>
                <w:rFonts w:hint="eastAsia" w:cs="Times New Roman"/>
                <w:color w:val="auto"/>
                <w:sz w:val="24"/>
                <w:highlight w:val="none"/>
                <w:lang w:val="en-US" w:eastAsia="zh-CN"/>
              </w:rPr>
              <w:t>设施</w:t>
            </w:r>
            <w:r>
              <w:rPr>
                <w:rFonts w:hint="default" w:ascii="Times New Roman" w:hAnsi="Times New Roman" w:cs="Times New Roman"/>
                <w:color w:val="auto"/>
                <w:sz w:val="24"/>
                <w:highlight w:val="none"/>
              </w:rPr>
              <w:t>的快速发展改善道路沿线原有的环境状况，满足经济发展和人民生活水平的提高对交通的要求。故本项目的建设对周边道路的影响是正面的，有利的。</w:t>
            </w:r>
          </w:p>
          <w:p w14:paraId="6EF25AA8">
            <w:pPr>
              <w:numPr>
                <w:ilvl w:val="0"/>
                <w:numId w:val="0"/>
              </w:numPr>
              <w:spacing w:line="360" w:lineRule="auto"/>
              <w:ind w:leftChars="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7.环境风险分析</w:t>
            </w:r>
          </w:p>
          <w:p w14:paraId="3F01FDC8">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国家环境保护部环发〔2012〕77号文《关于进一步加强环境影响评价管理防范环境风险的通知》和国家环境保护总局（90）环管字057号《关于对重大环境污染事故隐患进行风险评价的通知》的要求，按照《建设项目环境风险评价导则》技术要求，通过风险识别、风险分析和风险后果计算等开展环境风险评价，为工程设计和环境管理提供资料和依据，以达到降低危险，减少危害的目的。</w:t>
            </w:r>
          </w:p>
          <w:p w14:paraId="34C23BEE">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（1）风险源项识别</w:t>
            </w:r>
          </w:p>
          <w:p w14:paraId="21B7449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按照GB6944-2012《危险货物分类的品名编号》，危险货物分类情况详见表7-1</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所示。</w:t>
            </w:r>
          </w:p>
          <w:p w14:paraId="2500C2FF">
            <w:pPr>
              <w:spacing w:line="240" w:lineRule="atLeast"/>
              <w:ind w:firstLine="285"/>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表7-1</w:t>
            </w: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rPr>
              <w:t xml:space="preserve">  危险货物分类情况一览表</w:t>
            </w:r>
          </w:p>
          <w:tbl>
            <w:tblPr>
              <w:tblStyle w:val="15"/>
              <w:tblW w:w="0" w:type="auto"/>
              <w:jc w:val="center"/>
              <w:tblLayout w:type="autofit"/>
              <w:tblCellMar>
                <w:top w:w="0" w:type="dxa"/>
                <w:left w:w="108" w:type="dxa"/>
                <w:bottom w:w="0" w:type="dxa"/>
                <w:right w:w="108" w:type="dxa"/>
              </w:tblCellMar>
            </w:tblPr>
            <w:tblGrid>
              <w:gridCol w:w="472"/>
              <w:gridCol w:w="2738"/>
              <w:gridCol w:w="5072"/>
            </w:tblGrid>
            <w:tr w14:paraId="421DD761">
              <w:tblPrEx>
                <w:tblCellMar>
                  <w:top w:w="0" w:type="dxa"/>
                  <w:left w:w="108" w:type="dxa"/>
                  <w:bottom w:w="0" w:type="dxa"/>
                  <w:right w:w="108" w:type="dxa"/>
                </w:tblCellMar>
              </w:tblPrEx>
              <w:trPr>
                <w:trHeight w:val="347" w:hRule="atLeast"/>
                <w:jc w:val="center"/>
              </w:trPr>
              <w:tc>
                <w:tcPr>
                  <w:tcW w:w="3210" w:type="dxa"/>
                  <w:gridSpan w:val="2"/>
                  <w:tcBorders>
                    <w:top w:val="single" w:color="auto" w:sz="12" w:space="0"/>
                    <w:left w:val="single" w:color="auto" w:sz="12" w:space="0"/>
                    <w:bottom w:val="single" w:color="auto" w:sz="6" w:space="0"/>
                    <w:right w:val="single" w:color="auto" w:sz="6" w:space="0"/>
                  </w:tcBorders>
                  <w:noWrap w:val="0"/>
                  <w:vAlign w:val="center"/>
                </w:tcPr>
                <w:p w14:paraId="298AD0C5">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5072" w:type="dxa"/>
                  <w:tcBorders>
                    <w:top w:val="single" w:color="auto" w:sz="12" w:space="0"/>
                    <w:left w:val="nil"/>
                    <w:bottom w:val="single" w:color="auto" w:sz="6" w:space="0"/>
                    <w:right w:val="single" w:color="auto" w:sz="12" w:space="0"/>
                  </w:tcBorders>
                  <w:noWrap w:val="0"/>
                  <w:vAlign w:val="center"/>
                </w:tcPr>
                <w:p w14:paraId="29767045">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属性</w:t>
                  </w:r>
                </w:p>
              </w:tc>
            </w:tr>
            <w:tr w14:paraId="7D258170">
              <w:tblPrEx>
                <w:tblCellMar>
                  <w:top w:w="0" w:type="dxa"/>
                  <w:left w:w="108" w:type="dxa"/>
                  <w:bottom w:w="0" w:type="dxa"/>
                  <w:right w:w="108" w:type="dxa"/>
                </w:tblCellMar>
              </w:tblPrEx>
              <w:trPr>
                <w:trHeight w:val="347" w:hRule="atLeast"/>
                <w:jc w:val="center"/>
              </w:trPr>
              <w:tc>
                <w:tcPr>
                  <w:tcW w:w="472" w:type="dxa"/>
                  <w:vMerge w:val="restart"/>
                  <w:tcBorders>
                    <w:top w:val="nil"/>
                    <w:left w:val="single" w:color="auto" w:sz="12" w:space="0"/>
                    <w:bottom w:val="single" w:color="auto" w:sz="6" w:space="0"/>
                    <w:right w:val="single" w:color="auto" w:sz="6" w:space="0"/>
                  </w:tcBorders>
                  <w:noWrap w:val="0"/>
                  <w:vAlign w:val="center"/>
                </w:tcPr>
                <w:p w14:paraId="71A93BD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738" w:type="dxa"/>
                  <w:vMerge w:val="restart"/>
                  <w:tcBorders>
                    <w:top w:val="nil"/>
                    <w:left w:val="nil"/>
                    <w:bottom w:val="single" w:color="auto" w:sz="6" w:space="0"/>
                    <w:right w:val="single" w:color="auto" w:sz="6" w:space="0"/>
                  </w:tcBorders>
                  <w:noWrap w:val="0"/>
                  <w:vAlign w:val="center"/>
                </w:tcPr>
                <w:p w14:paraId="70B8823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爆炸品</w:t>
                  </w:r>
                </w:p>
              </w:tc>
              <w:tc>
                <w:tcPr>
                  <w:tcW w:w="5072" w:type="dxa"/>
                  <w:tcBorders>
                    <w:top w:val="single" w:color="auto" w:sz="6" w:space="0"/>
                    <w:left w:val="nil"/>
                    <w:bottom w:val="single" w:color="auto" w:sz="6" w:space="0"/>
                    <w:right w:val="single" w:color="auto" w:sz="12" w:space="0"/>
                  </w:tcBorders>
                  <w:noWrap w:val="0"/>
                  <w:vAlign w:val="center"/>
                </w:tcPr>
                <w:p w14:paraId="30C5283E">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有整体爆炸危险的物质和物品</w:t>
                  </w:r>
                </w:p>
              </w:tc>
            </w:tr>
            <w:tr w14:paraId="4F332C40">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36DBC76B">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5278E4B5">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64430970">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有迸射危险，但无整体爆炸危险的物质和物品</w:t>
                  </w:r>
                </w:p>
              </w:tc>
            </w:tr>
            <w:tr w14:paraId="1A1F3EA9">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15972BEF">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00AAF9B8">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68260540">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有燃烧危险并有局部爆炸危险或局部迸射危险或这两种危险都有，但无整体爆炸危险的物质和物品</w:t>
                  </w:r>
                </w:p>
              </w:tc>
            </w:tr>
            <w:tr w14:paraId="7B7757A9">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3627DCC2">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5675DCDE">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262530FA">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不呈现重大危险的物质和物品</w:t>
                  </w:r>
                </w:p>
              </w:tc>
            </w:tr>
            <w:tr w14:paraId="1FDBE461">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6E6FEE5C">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51D99744">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2545BEF3">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有整体爆炸危险的非常不敏感物质</w:t>
                  </w:r>
                </w:p>
              </w:tc>
            </w:tr>
            <w:tr w14:paraId="387DAB63">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0BF58932">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4C50A074">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07AA9889">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无整体爆炸危险的极端不敏感物品</w:t>
                  </w:r>
                </w:p>
              </w:tc>
            </w:tr>
            <w:tr w14:paraId="441CD791">
              <w:tblPrEx>
                <w:tblCellMar>
                  <w:top w:w="0" w:type="dxa"/>
                  <w:left w:w="108" w:type="dxa"/>
                  <w:bottom w:w="0" w:type="dxa"/>
                  <w:right w:w="108" w:type="dxa"/>
                </w:tblCellMar>
              </w:tblPrEx>
              <w:trPr>
                <w:trHeight w:val="332" w:hRule="atLeast"/>
                <w:jc w:val="center"/>
              </w:trPr>
              <w:tc>
                <w:tcPr>
                  <w:tcW w:w="472" w:type="dxa"/>
                  <w:vMerge w:val="restart"/>
                  <w:tcBorders>
                    <w:top w:val="nil"/>
                    <w:left w:val="single" w:color="auto" w:sz="12" w:space="0"/>
                    <w:bottom w:val="single" w:color="auto" w:sz="6" w:space="0"/>
                    <w:right w:val="single" w:color="auto" w:sz="6" w:space="0"/>
                  </w:tcBorders>
                  <w:noWrap w:val="0"/>
                  <w:vAlign w:val="center"/>
                </w:tcPr>
                <w:p w14:paraId="390C430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738" w:type="dxa"/>
                  <w:vMerge w:val="restart"/>
                  <w:tcBorders>
                    <w:top w:val="nil"/>
                    <w:left w:val="nil"/>
                    <w:bottom w:val="single" w:color="auto" w:sz="6" w:space="0"/>
                    <w:right w:val="single" w:color="auto" w:sz="6" w:space="0"/>
                  </w:tcBorders>
                  <w:noWrap w:val="0"/>
                  <w:vAlign w:val="center"/>
                </w:tcPr>
                <w:p w14:paraId="29DB809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气体</w:t>
                  </w:r>
                </w:p>
              </w:tc>
              <w:tc>
                <w:tcPr>
                  <w:tcW w:w="5072" w:type="dxa"/>
                  <w:tcBorders>
                    <w:top w:val="single" w:color="auto" w:sz="6" w:space="0"/>
                    <w:left w:val="nil"/>
                    <w:bottom w:val="single" w:color="auto" w:sz="6" w:space="0"/>
                    <w:right w:val="single" w:color="auto" w:sz="12" w:space="0"/>
                  </w:tcBorders>
                  <w:noWrap w:val="0"/>
                  <w:vAlign w:val="center"/>
                </w:tcPr>
                <w:p w14:paraId="78BC52A1">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易燃气体</w:t>
                  </w:r>
                </w:p>
              </w:tc>
            </w:tr>
            <w:tr w14:paraId="666265C8">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0850FB4C">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62D0FC24">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4CF88F84">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非易燃气体</w:t>
                  </w:r>
                </w:p>
              </w:tc>
            </w:tr>
            <w:tr w14:paraId="0553BD32">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0AD3FB88">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6BE747A5">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616EFBE6">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毒性气体</w:t>
                  </w:r>
                </w:p>
              </w:tc>
            </w:tr>
            <w:tr w14:paraId="07C99FD2">
              <w:tblPrEx>
                <w:tblCellMar>
                  <w:top w:w="0" w:type="dxa"/>
                  <w:left w:w="108" w:type="dxa"/>
                  <w:bottom w:w="0" w:type="dxa"/>
                  <w:right w:w="108" w:type="dxa"/>
                </w:tblCellMar>
              </w:tblPrEx>
              <w:trPr>
                <w:trHeight w:val="347" w:hRule="atLeast"/>
                <w:jc w:val="center"/>
              </w:trPr>
              <w:tc>
                <w:tcPr>
                  <w:tcW w:w="472" w:type="dxa"/>
                  <w:tcBorders>
                    <w:top w:val="single" w:color="auto" w:sz="6" w:space="0"/>
                    <w:left w:val="single" w:color="auto" w:sz="12" w:space="0"/>
                    <w:bottom w:val="single" w:color="auto" w:sz="6" w:space="0"/>
                    <w:right w:val="single" w:color="auto" w:sz="6" w:space="0"/>
                  </w:tcBorders>
                  <w:noWrap w:val="0"/>
                  <w:vAlign w:val="center"/>
                </w:tcPr>
                <w:p w14:paraId="4ABA7D9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738" w:type="dxa"/>
                  <w:tcBorders>
                    <w:top w:val="single" w:color="auto" w:sz="6" w:space="0"/>
                    <w:left w:val="nil"/>
                    <w:bottom w:val="single" w:color="auto" w:sz="6" w:space="0"/>
                    <w:right w:val="single" w:color="auto" w:sz="6" w:space="0"/>
                  </w:tcBorders>
                  <w:noWrap w:val="0"/>
                  <w:vAlign w:val="center"/>
                </w:tcPr>
                <w:p w14:paraId="5478BC6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易燃液体</w:t>
                  </w:r>
                </w:p>
              </w:tc>
              <w:tc>
                <w:tcPr>
                  <w:tcW w:w="5072" w:type="dxa"/>
                  <w:tcBorders>
                    <w:top w:val="single" w:color="auto" w:sz="6" w:space="0"/>
                    <w:left w:val="nil"/>
                    <w:bottom w:val="single" w:color="auto" w:sz="6" w:space="0"/>
                    <w:right w:val="single" w:color="auto" w:sz="12" w:space="0"/>
                  </w:tcBorders>
                  <w:noWrap w:val="0"/>
                  <w:vAlign w:val="center"/>
                </w:tcPr>
                <w:p w14:paraId="1EAEBC5F">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包括易燃液体和液态退敏爆炸品</w:t>
                  </w:r>
                </w:p>
              </w:tc>
            </w:tr>
            <w:tr w14:paraId="4BE78D57">
              <w:tblPrEx>
                <w:tblCellMar>
                  <w:top w:w="0" w:type="dxa"/>
                  <w:left w:w="108" w:type="dxa"/>
                  <w:bottom w:w="0" w:type="dxa"/>
                  <w:right w:w="108" w:type="dxa"/>
                </w:tblCellMar>
              </w:tblPrEx>
              <w:trPr>
                <w:trHeight w:val="347" w:hRule="atLeast"/>
                <w:jc w:val="center"/>
              </w:trPr>
              <w:tc>
                <w:tcPr>
                  <w:tcW w:w="472" w:type="dxa"/>
                  <w:vMerge w:val="restart"/>
                  <w:tcBorders>
                    <w:top w:val="nil"/>
                    <w:left w:val="single" w:color="auto" w:sz="12" w:space="0"/>
                    <w:bottom w:val="single" w:color="auto" w:sz="6" w:space="0"/>
                    <w:right w:val="single" w:color="auto" w:sz="6" w:space="0"/>
                  </w:tcBorders>
                  <w:noWrap w:val="0"/>
                  <w:vAlign w:val="center"/>
                </w:tcPr>
                <w:p w14:paraId="5020A93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738" w:type="dxa"/>
                  <w:vMerge w:val="restart"/>
                  <w:tcBorders>
                    <w:top w:val="nil"/>
                    <w:left w:val="nil"/>
                    <w:bottom w:val="single" w:color="auto" w:sz="6" w:space="0"/>
                    <w:right w:val="single" w:color="auto" w:sz="6" w:space="0"/>
                  </w:tcBorders>
                  <w:noWrap w:val="0"/>
                  <w:vAlign w:val="center"/>
                </w:tcPr>
                <w:p w14:paraId="1984FFE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易燃固体、易于自燃的物质、遇水放出易燃气体的物质</w:t>
                  </w:r>
                </w:p>
              </w:tc>
              <w:tc>
                <w:tcPr>
                  <w:tcW w:w="5072" w:type="dxa"/>
                  <w:tcBorders>
                    <w:top w:val="single" w:color="auto" w:sz="6" w:space="0"/>
                    <w:left w:val="nil"/>
                    <w:bottom w:val="single" w:color="auto" w:sz="6" w:space="0"/>
                    <w:right w:val="single" w:color="auto" w:sz="12" w:space="0"/>
                  </w:tcBorders>
                  <w:noWrap w:val="0"/>
                  <w:vAlign w:val="center"/>
                </w:tcPr>
                <w:p w14:paraId="75B7D5D2">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易燃固体</w:t>
                  </w:r>
                </w:p>
              </w:tc>
            </w:tr>
            <w:tr w14:paraId="6915D0B1">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4F9A00CD">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336B0F6D">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62C28F0B">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易于自然的物质</w:t>
                  </w:r>
                </w:p>
              </w:tc>
            </w:tr>
            <w:tr w14:paraId="5188CB7B">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5133186C">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5FA71C55">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3CE687A4">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雨水放出易燃气体的物质</w:t>
                  </w:r>
                </w:p>
              </w:tc>
            </w:tr>
            <w:tr w14:paraId="3AD02DE4">
              <w:tblPrEx>
                <w:tblCellMar>
                  <w:top w:w="0" w:type="dxa"/>
                  <w:left w:w="108" w:type="dxa"/>
                  <w:bottom w:w="0" w:type="dxa"/>
                  <w:right w:w="108" w:type="dxa"/>
                </w:tblCellMar>
              </w:tblPrEx>
              <w:trPr>
                <w:trHeight w:val="332" w:hRule="atLeast"/>
                <w:jc w:val="center"/>
              </w:trPr>
              <w:tc>
                <w:tcPr>
                  <w:tcW w:w="472" w:type="dxa"/>
                  <w:vMerge w:val="restart"/>
                  <w:tcBorders>
                    <w:top w:val="nil"/>
                    <w:left w:val="single" w:color="auto" w:sz="12" w:space="0"/>
                    <w:bottom w:val="single" w:color="auto" w:sz="6" w:space="0"/>
                    <w:right w:val="single" w:color="auto" w:sz="6" w:space="0"/>
                  </w:tcBorders>
                  <w:noWrap w:val="0"/>
                  <w:vAlign w:val="center"/>
                </w:tcPr>
                <w:p w14:paraId="72955ED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738" w:type="dxa"/>
                  <w:vMerge w:val="restart"/>
                  <w:tcBorders>
                    <w:top w:val="nil"/>
                    <w:left w:val="nil"/>
                    <w:bottom w:val="single" w:color="auto" w:sz="6" w:space="0"/>
                    <w:right w:val="single" w:color="auto" w:sz="6" w:space="0"/>
                  </w:tcBorders>
                  <w:noWrap w:val="0"/>
                  <w:vAlign w:val="center"/>
                </w:tcPr>
                <w:p w14:paraId="5E93ED0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氧化性质物质和有机过氧化物</w:t>
                  </w:r>
                </w:p>
              </w:tc>
              <w:tc>
                <w:tcPr>
                  <w:tcW w:w="5072" w:type="dxa"/>
                  <w:tcBorders>
                    <w:top w:val="single" w:color="auto" w:sz="6" w:space="0"/>
                    <w:left w:val="nil"/>
                    <w:bottom w:val="single" w:color="auto" w:sz="6" w:space="0"/>
                    <w:right w:val="single" w:color="auto" w:sz="12" w:space="0"/>
                  </w:tcBorders>
                  <w:noWrap w:val="0"/>
                  <w:vAlign w:val="center"/>
                </w:tcPr>
                <w:p w14:paraId="4DCB5053">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氧化性物质</w:t>
                  </w:r>
                </w:p>
              </w:tc>
            </w:tr>
            <w:tr w14:paraId="38D88331">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62732AFF">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57D7035B">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113EC9FC">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有机过氧化物</w:t>
                  </w:r>
                </w:p>
              </w:tc>
            </w:tr>
            <w:tr w14:paraId="585E6404">
              <w:tblPrEx>
                <w:tblCellMar>
                  <w:top w:w="0" w:type="dxa"/>
                  <w:left w:w="108" w:type="dxa"/>
                  <w:bottom w:w="0" w:type="dxa"/>
                  <w:right w:w="108" w:type="dxa"/>
                </w:tblCellMar>
              </w:tblPrEx>
              <w:trPr>
                <w:trHeight w:val="347" w:hRule="atLeast"/>
                <w:jc w:val="center"/>
              </w:trPr>
              <w:tc>
                <w:tcPr>
                  <w:tcW w:w="472" w:type="dxa"/>
                  <w:vMerge w:val="restart"/>
                  <w:tcBorders>
                    <w:top w:val="nil"/>
                    <w:left w:val="single" w:color="auto" w:sz="12" w:space="0"/>
                    <w:bottom w:val="single" w:color="auto" w:sz="6" w:space="0"/>
                    <w:right w:val="single" w:color="auto" w:sz="6" w:space="0"/>
                  </w:tcBorders>
                  <w:noWrap w:val="0"/>
                  <w:vAlign w:val="center"/>
                </w:tcPr>
                <w:p w14:paraId="45E1572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738" w:type="dxa"/>
                  <w:vMerge w:val="restart"/>
                  <w:tcBorders>
                    <w:top w:val="nil"/>
                    <w:left w:val="nil"/>
                    <w:bottom w:val="single" w:color="auto" w:sz="6" w:space="0"/>
                    <w:right w:val="single" w:color="auto" w:sz="6" w:space="0"/>
                  </w:tcBorders>
                  <w:noWrap w:val="0"/>
                  <w:vAlign w:val="center"/>
                </w:tcPr>
                <w:p w14:paraId="57D0288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毒性物质和感染性物质</w:t>
                  </w:r>
                </w:p>
              </w:tc>
              <w:tc>
                <w:tcPr>
                  <w:tcW w:w="5072" w:type="dxa"/>
                  <w:tcBorders>
                    <w:top w:val="single" w:color="auto" w:sz="6" w:space="0"/>
                    <w:left w:val="nil"/>
                    <w:bottom w:val="single" w:color="auto" w:sz="6" w:space="0"/>
                    <w:right w:val="single" w:color="auto" w:sz="12" w:space="0"/>
                  </w:tcBorders>
                  <w:noWrap w:val="0"/>
                  <w:vAlign w:val="center"/>
                </w:tcPr>
                <w:p w14:paraId="0EA06DE3">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毒性物质</w:t>
                  </w:r>
                </w:p>
              </w:tc>
            </w:tr>
            <w:tr w14:paraId="1A454CA1">
              <w:tblPrEx>
                <w:tblCellMar>
                  <w:top w:w="0" w:type="dxa"/>
                  <w:left w:w="108" w:type="dxa"/>
                  <w:bottom w:w="0" w:type="dxa"/>
                  <w:right w:w="108" w:type="dxa"/>
                </w:tblCellMar>
              </w:tblPrEx>
              <w:trPr>
                <w:trHeight w:val="145" w:hRule="atLeast"/>
                <w:jc w:val="center"/>
              </w:trPr>
              <w:tc>
                <w:tcPr>
                  <w:tcW w:w="472" w:type="dxa"/>
                  <w:vMerge w:val="continue"/>
                  <w:tcBorders>
                    <w:top w:val="nil"/>
                    <w:left w:val="single" w:color="auto" w:sz="12" w:space="0"/>
                    <w:bottom w:val="single" w:color="auto" w:sz="6" w:space="0"/>
                    <w:right w:val="single" w:color="auto" w:sz="6" w:space="0"/>
                  </w:tcBorders>
                  <w:noWrap w:val="0"/>
                  <w:vAlign w:val="center"/>
                </w:tcPr>
                <w:p w14:paraId="600A0C6E">
                  <w:pPr>
                    <w:widowControl/>
                    <w:spacing w:line="240" w:lineRule="auto"/>
                    <w:jc w:val="left"/>
                    <w:rPr>
                      <w:rFonts w:hint="default" w:ascii="Times New Roman" w:hAnsi="Times New Roman" w:cs="Times New Roman"/>
                      <w:color w:val="auto"/>
                      <w:sz w:val="21"/>
                      <w:szCs w:val="21"/>
                      <w:highlight w:val="none"/>
                    </w:rPr>
                  </w:pPr>
                </w:p>
              </w:tc>
              <w:tc>
                <w:tcPr>
                  <w:tcW w:w="2738" w:type="dxa"/>
                  <w:vMerge w:val="continue"/>
                  <w:tcBorders>
                    <w:top w:val="nil"/>
                    <w:left w:val="nil"/>
                    <w:bottom w:val="single" w:color="auto" w:sz="6" w:space="0"/>
                    <w:right w:val="single" w:color="auto" w:sz="6" w:space="0"/>
                  </w:tcBorders>
                  <w:noWrap w:val="0"/>
                  <w:vAlign w:val="center"/>
                </w:tcPr>
                <w:p w14:paraId="4956FBCE">
                  <w:pPr>
                    <w:widowControl/>
                    <w:spacing w:line="240" w:lineRule="auto"/>
                    <w:jc w:val="left"/>
                    <w:rPr>
                      <w:rFonts w:hint="default" w:ascii="Times New Roman" w:hAnsi="Times New Roman" w:cs="Times New Roman"/>
                      <w:color w:val="auto"/>
                      <w:sz w:val="21"/>
                      <w:szCs w:val="21"/>
                      <w:highlight w:val="none"/>
                    </w:rPr>
                  </w:pPr>
                </w:p>
              </w:tc>
              <w:tc>
                <w:tcPr>
                  <w:tcW w:w="5072" w:type="dxa"/>
                  <w:tcBorders>
                    <w:top w:val="single" w:color="auto" w:sz="6" w:space="0"/>
                    <w:left w:val="nil"/>
                    <w:bottom w:val="single" w:color="auto" w:sz="6" w:space="0"/>
                    <w:right w:val="single" w:color="auto" w:sz="12" w:space="0"/>
                  </w:tcBorders>
                  <w:noWrap w:val="0"/>
                  <w:vAlign w:val="center"/>
                </w:tcPr>
                <w:p w14:paraId="42A246B9">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感染性物质</w:t>
                  </w:r>
                </w:p>
              </w:tc>
            </w:tr>
            <w:tr w14:paraId="6205989F">
              <w:tblPrEx>
                <w:tblCellMar>
                  <w:top w:w="0" w:type="dxa"/>
                  <w:left w:w="108" w:type="dxa"/>
                  <w:bottom w:w="0" w:type="dxa"/>
                  <w:right w:w="108" w:type="dxa"/>
                </w:tblCellMar>
              </w:tblPrEx>
              <w:trPr>
                <w:trHeight w:val="678" w:hRule="atLeast"/>
                <w:jc w:val="center"/>
              </w:trPr>
              <w:tc>
                <w:tcPr>
                  <w:tcW w:w="472" w:type="dxa"/>
                  <w:tcBorders>
                    <w:top w:val="single" w:color="auto" w:sz="6" w:space="0"/>
                    <w:left w:val="single" w:color="auto" w:sz="12" w:space="0"/>
                    <w:bottom w:val="single" w:color="auto" w:sz="6" w:space="0"/>
                    <w:right w:val="single" w:color="auto" w:sz="6" w:space="0"/>
                  </w:tcBorders>
                  <w:noWrap w:val="0"/>
                  <w:vAlign w:val="center"/>
                </w:tcPr>
                <w:p w14:paraId="2C81646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738" w:type="dxa"/>
                  <w:tcBorders>
                    <w:top w:val="single" w:color="auto" w:sz="6" w:space="0"/>
                    <w:left w:val="nil"/>
                    <w:bottom w:val="single" w:color="auto" w:sz="6" w:space="0"/>
                    <w:right w:val="single" w:color="auto" w:sz="6" w:space="0"/>
                  </w:tcBorders>
                  <w:noWrap w:val="0"/>
                  <w:vAlign w:val="center"/>
                </w:tcPr>
                <w:p w14:paraId="4C839B6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放射性物质</w:t>
                  </w:r>
                </w:p>
              </w:tc>
              <w:tc>
                <w:tcPr>
                  <w:tcW w:w="5072" w:type="dxa"/>
                  <w:tcBorders>
                    <w:top w:val="single" w:color="auto" w:sz="6" w:space="0"/>
                    <w:left w:val="nil"/>
                    <w:bottom w:val="single" w:color="auto" w:sz="6" w:space="0"/>
                    <w:right w:val="single" w:color="auto" w:sz="12" w:space="0"/>
                  </w:tcBorders>
                  <w:noWrap w:val="0"/>
                  <w:vAlign w:val="center"/>
                </w:tcPr>
                <w:p w14:paraId="448F25B9">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含有放射性核素且与其放射性活度浓度和总浓度都分别超出GB11806规定限制的物质</w:t>
                  </w:r>
                </w:p>
              </w:tc>
            </w:tr>
            <w:tr w14:paraId="12E7A33B">
              <w:tblPrEx>
                <w:tblCellMar>
                  <w:top w:w="0" w:type="dxa"/>
                  <w:left w:w="108" w:type="dxa"/>
                  <w:bottom w:w="0" w:type="dxa"/>
                  <w:right w:w="108" w:type="dxa"/>
                </w:tblCellMar>
              </w:tblPrEx>
              <w:trPr>
                <w:trHeight w:val="347" w:hRule="atLeast"/>
                <w:jc w:val="center"/>
              </w:trPr>
              <w:tc>
                <w:tcPr>
                  <w:tcW w:w="472" w:type="dxa"/>
                  <w:tcBorders>
                    <w:top w:val="single" w:color="auto" w:sz="6" w:space="0"/>
                    <w:left w:val="single" w:color="auto" w:sz="12" w:space="0"/>
                    <w:bottom w:val="single" w:color="auto" w:sz="6" w:space="0"/>
                    <w:right w:val="single" w:color="auto" w:sz="6" w:space="0"/>
                  </w:tcBorders>
                  <w:noWrap w:val="0"/>
                  <w:vAlign w:val="center"/>
                </w:tcPr>
                <w:p w14:paraId="4499514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738" w:type="dxa"/>
                  <w:tcBorders>
                    <w:top w:val="single" w:color="auto" w:sz="6" w:space="0"/>
                    <w:left w:val="nil"/>
                    <w:bottom w:val="single" w:color="auto" w:sz="6" w:space="0"/>
                    <w:right w:val="single" w:color="auto" w:sz="6" w:space="0"/>
                  </w:tcBorders>
                  <w:noWrap w:val="0"/>
                  <w:vAlign w:val="center"/>
                </w:tcPr>
                <w:p w14:paraId="5E7EC52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腐蚀性物质</w:t>
                  </w:r>
                </w:p>
              </w:tc>
              <w:tc>
                <w:tcPr>
                  <w:tcW w:w="5072" w:type="dxa"/>
                  <w:tcBorders>
                    <w:top w:val="single" w:color="auto" w:sz="6" w:space="0"/>
                    <w:left w:val="nil"/>
                    <w:bottom w:val="single" w:color="auto" w:sz="6" w:space="0"/>
                    <w:right w:val="single" w:color="auto" w:sz="12" w:space="0"/>
                  </w:tcBorders>
                  <w:noWrap w:val="0"/>
                  <w:vAlign w:val="center"/>
                </w:tcPr>
                <w:p w14:paraId="4A259A72">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通过化学作用使生物组织接触时会造成严重伤害，或在渗漏时会严重损害甚至毁坏其他部位或运载工具的物质</w:t>
                  </w:r>
                </w:p>
              </w:tc>
            </w:tr>
            <w:tr w14:paraId="31A6EFCF">
              <w:tblPrEx>
                <w:tblCellMar>
                  <w:top w:w="0" w:type="dxa"/>
                  <w:left w:w="108" w:type="dxa"/>
                  <w:bottom w:w="0" w:type="dxa"/>
                  <w:right w:w="108" w:type="dxa"/>
                </w:tblCellMar>
              </w:tblPrEx>
              <w:trPr>
                <w:trHeight w:val="332" w:hRule="atLeast"/>
                <w:jc w:val="center"/>
              </w:trPr>
              <w:tc>
                <w:tcPr>
                  <w:tcW w:w="472" w:type="dxa"/>
                  <w:tcBorders>
                    <w:top w:val="single" w:color="auto" w:sz="6" w:space="0"/>
                    <w:left w:val="single" w:color="auto" w:sz="12" w:space="0"/>
                    <w:bottom w:val="single" w:color="auto" w:sz="12" w:space="0"/>
                    <w:right w:val="single" w:color="auto" w:sz="6" w:space="0"/>
                  </w:tcBorders>
                  <w:noWrap w:val="0"/>
                  <w:vAlign w:val="center"/>
                </w:tcPr>
                <w:p w14:paraId="7EA3153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738" w:type="dxa"/>
                  <w:tcBorders>
                    <w:top w:val="single" w:color="auto" w:sz="6" w:space="0"/>
                    <w:left w:val="nil"/>
                    <w:bottom w:val="single" w:color="auto" w:sz="12" w:space="0"/>
                    <w:right w:val="single" w:color="auto" w:sz="6" w:space="0"/>
                  </w:tcBorders>
                  <w:noWrap w:val="0"/>
                  <w:vAlign w:val="center"/>
                </w:tcPr>
                <w:p w14:paraId="0C7614C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杂项危险物质和物品，包括危害环境物质</w:t>
                  </w:r>
                </w:p>
              </w:tc>
              <w:tc>
                <w:tcPr>
                  <w:tcW w:w="5072" w:type="dxa"/>
                  <w:tcBorders>
                    <w:top w:val="single" w:color="auto" w:sz="6" w:space="0"/>
                    <w:left w:val="nil"/>
                    <w:bottom w:val="single" w:color="auto" w:sz="12" w:space="0"/>
                    <w:right w:val="single" w:color="auto" w:sz="12" w:space="0"/>
                  </w:tcBorders>
                  <w:noWrap w:val="0"/>
                  <w:vAlign w:val="center"/>
                </w:tcPr>
                <w:p w14:paraId="553111C0">
                  <w:pPr>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具有其他类别未包括的危险物质和物品</w:t>
                  </w:r>
                </w:p>
              </w:tc>
            </w:tr>
          </w:tbl>
          <w:p w14:paraId="477D7E30">
            <w:pPr>
              <w:adjustRightInd w:val="0"/>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根据项目区土地利用规划图，道路沿线规划主要为行商业商务混合用地、居住商业混合用地、二类居住用地。拟建道路为城市次干道，主要功能为片区运输服务道路和区内人员出行道路，道路沿线分布的主要为拟建的住宅、商铺，因此，拟建道路运输危险物品的几率较小，</w:t>
            </w:r>
            <w:r>
              <w:rPr>
                <w:rFonts w:hint="default" w:ascii="Times New Roman" w:hAnsi="Times New Roman" w:cs="Times New Roman"/>
                <w:color w:val="auto"/>
                <w:sz w:val="24"/>
                <w:highlight w:val="none"/>
                <w:lang w:eastAsia="zh-CN"/>
              </w:rPr>
              <w:t>但是</w:t>
            </w:r>
            <w:r>
              <w:rPr>
                <w:rFonts w:hint="default" w:ascii="Times New Roman" w:hAnsi="Times New Roman" w:cs="Times New Roman"/>
                <w:color w:val="auto"/>
                <w:sz w:val="24"/>
                <w:highlight w:val="none"/>
              </w:rPr>
              <w:t>不能排除污染事故事件的发生。石油类车辆一旦出现交通事故，使运输的油罐在路途中发生爆炸、燃烧、逸漏或泄漏，将会给所在路段周围环境造成严重的恶性污染，在人员密集的路段，还会给人民群众的生产生活带来一定程度的影响。因此，必须采取有效的预防和应急措施</w:t>
            </w:r>
            <w:r>
              <w:rPr>
                <w:rFonts w:hint="default" w:ascii="Times New Roman" w:hAnsi="Times New Roman" w:cs="Times New Roman"/>
                <w:color w:val="auto"/>
                <w:sz w:val="24"/>
                <w:highlight w:val="none"/>
                <w:lang w:eastAsia="zh-CN"/>
              </w:rPr>
              <w:t>。</w:t>
            </w:r>
          </w:p>
          <w:p w14:paraId="3C271BFA">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）风险事故的防范及防治措施</w:t>
            </w:r>
          </w:p>
          <w:p w14:paraId="4D82A57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危险品运输的风险由突发的交通事故引起，可以通过一定的管理手段加以预防。就该路段危险品运输车辆交通事故可能带来环境影响而言，为防止灾害性事故发生及控制事故发生后的影响范围和程度，减轻事故造成的损失，特提出以下措施：</w:t>
            </w:r>
          </w:p>
          <w:p w14:paraId="63EE5F0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（1）危险物品的包装容器必须牢固、严密，并按照国家颁发《危险货物包装标志》（GB190）的规定印贴上专用标志和物品名称。</w:t>
            </w:r>
          </w:p>
          <w:p w14:paraId="2263E0E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（2）严格限制各种无证、无标志车或泄漏、散装超载危险化学品车辆上路。</w:t>
            </w:r>
          </w:p>
          <w:p w14:paraId="7A13573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（3）如运送剧毒化学品应按公安机关核发的“剧毒化学品道路运输通行证”的规定实施运输。</w:t>
            </w:r>
          </w:p>
          <w:p w14:paraId="52A0DA3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雨水天气路滑是造成道路交通事故的一个主要原因，交通管理部门应通过限速等手段来降低交通事故发生率，严禁运输易燃易爆腐蚀性物品的车辆在暴雨天气上路行驶；在洪水过后，应及时巡查道路，发现问题或隐患要及时处理。</w:t>
            </w:r>
          </w:p>
          <w:p w14:paraId="27A9E9C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（5）应对上路车辆设置限速标志，减少事故发生概率。</w:t>
            </w:r>
          </w:p>
          <w:p w14:paraId="5E98E2A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（6）道路管理部门应对运输危险品的车辆进行严格检查，若“三证”不全或车辆超载应禁止其上路。</w:t>
            </w:r>
          </w:p>
          <w:p w14:paraId="2C75379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（7）为减少路面夜间发生事故的概率，应在各环境敏感点设置照明、并在醒目位置设置“谨慎驾驶”的警示牌和限速牌。</w:t>
            </w:r>
          </w:p>
          <w:p w14:paraId="1AE8838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（8）由道路管理部门和消防、环保、安全生产等各有关部门组成道路事故应急指挥机构，指挥、领导和组织应急防治队伍，负责重大事故隐患的检查及应急计划的制定。</w:t>
            </w:r>
          </w:p>
          <w:p w14:paraId="42001796">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）法律法规要求</w:t>
            </w:r>
          </w:p>
          <w:p w14:paraId="7D3C891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道路危险货物运输应由具有资质的专业运输企业承担，为规范道路危险货物运输市场秩序，</w:t>
            </w:r>
            <w:r>
              <w:rPr>
                <w:rFonts w:hint="eastAsia" w:cs="Times New Roman"/>
                <w:color w:val="auto"/>
                <w:sz w:val="24"/>
                <w:highlight w:val="none"/>
                <w:lang w:eastAsia="zh-CN"/>
              </w:rPr>
              <w:t>交通运输部</w:t>
            </w:r>
            <w:r>
              <w:rPr>
                <w:rFonts w:hint="default" w:ascii="Times New Roman" w:hAnsi="Times New Roman" w:cs="Times New Roman"/>
                <w:color w:val="auto"/>
                <w:sz w:val="24"/>
                <w:highlight w:val="none"/>
              </w:rPr>
              <w:t>制定了《道路危险货物运输管理规定》（中华人民共和国</w:t>
            </w:r>
            <w:r>
              <w:rPr>
                <w:rFonts w:hint="eastAsia" w:cs="Times New Roman"/>
                <w:color w:val="auto"/>
                <w:sz w:val="24"/>
                <w:highlight w:val="none"/>
                <w:lang w:eastAsia="zh-CN"/>
              </w:rPr>
              <w:t>交通运输部</w:t>
            </w:r>
            <w:r>
              <w:rPr>
                <w:rFonts w:hint="default" w:ascii="Times New Roman" w:hAnsi="Times New Roman" w:cs="Times New Roman"/>
                <w:color w:val="auto"/>
                <w:sz w:val="24"/>
                <w:highlight w:val="none"/>
              </w:rPr>
              <w:t>2006年第9号令）。</w:t>
            </w:r>
          </w:p>
          <w:p w14:paraId="1788E8F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（1）道路危险货物运输企业或者单位应当加强安全生产管理，配备专职安全管理人员，制定突发事件应急预案，远隔落实各项安全制度。</w:t>
            </w:r>
          </w:p>
          <w:p w14:paraId="3C47F26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危险货物运输过程中发生燃烧、爆炸、污染、中毒或者被盗、丢失、流散、泄漏等事故，驾驶人员、押运人员应当立即向当地公安部门和本运输企业或者单位报告，说明事故情况、危险货物品名、危害和应急措施，并在现场采取一切可能的警示措施，并积极配合有关部门进行处置。运输企业或者单位应当立即启动应急预案。</w:t>
            </w:r>
          </w:p>
          <w:p w14:paraId="6F329C9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（3）在危险货物装卸、保管、储存过程中，应当根据危险货物的性质和保管要求，轻装轻卸，分区存放，堆码整齐，防止混杂、撒漏、破损，不得与普通货物混合存放。</w:t>
            </w:r>
          </w:p>
          <w:p w14:paraId="50D7EA55">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运输剧毒、爆炸等危险化学品的车辆，应按照《道路运输危险货物车辆标志》（GB13392）的规定安装或喷涂危险化学品警示标志，配备通讯工具，押运人员在运输过程中应携带《道路危险货物运输安全卡》。运输企业应为车辆配备人员防护和施救设备，有条件的应当安装行驶记录仪、“GPS”卫星定位系统。在车辆或罐体的后部安装告示牌，在告示牌上标明危险化学品的名称、种类、罐体容积、最大载质量、施救方法、企业联系电话：在车身两侧和后部喷涂“毒”、“爆”文字，在车辆或罐体的后部和两侧粘贴反光带，标示车辆或罐体的轮廓。</w:t>
            </w:r>
          </w:p>
          <w:p w14:paraId="03F16F21">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）应急预案</w:t>
            </w:r>
          </w:p>
          <w:p w14:paraId="5F0CF11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一旦发生风险事故，会对当地环境和周边单位等造成严重的恶性事件。因此，应当制定切实可行的风险事故管理计划。</w:t>
            </w:r>
          </w:p>
          <w:p w14:paraId="7CDC7DB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应急计划应包括指挥机构及相关协作单位的职责和任务，应急技术和处理步骤的选择、设备、器材的配置和布局，人力和物力的保证和调配，事故的动态监测制度，事故发生后的报告制度等。本项目应急计划包括如下内容：</w:t>
            </w:r>
          </w:p>
          <w:p w14:paraId="6AC8C1C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（1）建立应急网络，成立应急事故领导小组，指定应急指挥人</w:t>
            </w:r>
          </w:p>
          <w:p w14:paraId="7591A52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w:t>
            </w:r>
            <w:r>
              <w:rPr>
                <w:rFonts w:hint="default" w:ascii="Times New Roman" w:hAnsi="Times New Roman" w:cs="Times New Roman"/>
                <w:color w:val="auto"/>
                <w:sz w:val="24"/>
                <w:highlight w:val="none"/>
                <w:lang w:eastAsia="zh-CN"/>
              </w:rPr>
              <w:t>芒市</w:t>
            </w:r>
            <w:r>
              <w:rPr>
                <w:rFonts w:hint="default" w:ascii="Times New Roman" w:hAnsi="Times New Roman" w:cs="Times New Roman"/>
                <w:color w:val="auto"/>
                <w:sz w:val="24"/>
                <w:highlight w:val="none"/>
              </w:rPr>
              <w:t>交通局牵头，由市政府和其它相关单位调派人员成立危险品运输事故处理小组，负责本项目路段危险品运输事故的应急处理，并指定应急指挥人，一旦发生情况立即通知应急指挥人，由其参照应急计划联络事故应急领导小组并由其通知有关单位和地区，组织调动人员、车辆、设备、药物，联合采取应急行动。</w:t>
            </w:r>
          </w:p>
          <w:p w14:paraId="248E2F8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（2）应急措施</w:t>
            </w:r>
          </w:p>
          <w:p w14:paraId="513DD1E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旦发生运输有毒有害物品的交通事故，任何发现人员应及时通过路侧紧急电话或其他通讯方式报告指挥协调中心，指挥协调中心接到事故报告后，应立即通知就近的道路巡警前往事故点并控制现场；同时，通知就近的地方消防部门派消防车辆和人员前往救援。如果危险品为固态，可清扫处置，并对事故记录备案；如果危险品为液态，又恰逢下雨，则应考虑将物品覆盖，减少淋洗，同时建防水沟或建小防水坝把污染物品与地表径流隔离，抑制污染物的扩散，减少对地表水的污染。将受污染的水收集，并根据物品的不同性质采取不同的处理方法。</w:t>
            </w:r>
          </w:p>
          <w:p w14:paraId="106B760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发生运输有毒有害物品的交通事故时危险品进入附近水体，应立即通知环保、水利等部门，同时派环保专家和监测人员到现场进行监测分析，并派人及时打捞掉入水体的危险品容器。如果危险品为气态且有剧毒，消防人员应戴防毒面具进行处理；载危险品遗漏无法避免的情况下，需立即通知环保部门、公安部门，必要时对道路附近处于污染范围的人员进行疏离，避免发生人员中毒伤亡。</w:t>
            </w:r>
          </w:p>
          <w:p w14:paraId="0CB21E7E">
            <w:pPr>
              <w:numPr>
                <w:ilvl w:val="0"/>
                <w:numId w:val="28"/>
              </w:numPr>
              <w:adjustRightInd w:val="0"/>
              <w:snapToGrid w:val="0"/>
              <w:spacing w:line="360" w:lineRule="auto"/>
              <w:ind w:left="0" w:leftChars="0" w:firstLine="0" w:firstLine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产业政策符合性分析</w:t>
            </w:r>
          </w:p>
          <w:p w14:paraId="3C2E4CEC">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w:t>
            </w:r>
            <w:r>
              <w:rPr>
                <w:rFonts w:hint="default" w:ascii="Times New Roman" w:hAnsi="Times New Roman" w:cs="Times New Roman"/>
                <w:color w:val="auto"/>
                <w:sz w:val="24"/>
                <w:szCs w:val="22"/>
                <w:highlight w:val="none"/>
              </w:rPr>
              <w:t>《产业结构调整指导目录（2011年本）》（2013年修订）</w:t>
            </w:r>
            <w:r>
              <w:rPr>
                <w:rFonts w:hint="default" w:ascii="Times New Roman" w:hAnsi="Times New Roman" w:cs="Times New Roman"/>
                <w:color w:val="auto"/>
                <w:sz w:val="24"/>
                <w:highlight w:val="none"/>
              </w:rPr>
              <w:t>，城市公共交通建设、城市道路及智能交通体系建设项目均属于鼓励类项目。本项目属于城市道路建设，属于</w:t>
            </w:r>
            <w:r>
              <w:rPr>
                <w:rFonts w:hint="default" w:ascii="Times New Roman" w:hAnsi="Times New Roman" w:cs="Times New Roman"/>
                <w:color w:val="auto"/>
                <w:sz w:val="24"/>
                <w:szCs w:val="22"/>
                <w:highlight w:val="none"/>
              </w:rPr>
              <w:t>《产业结构调整指导目录（2011年本）》（2013年修订）</w:t>
            </w:r>
            <w:r>
              <w:rPr>
                <w:rFonts w:hint="default" w:ascii="Times New Roman" w:hAnsi="Times New Roman" w:cs="Times New Roman"/>
                <w:color w:val="auto"/>
                <w:sz w:val="24"/>
                <w:highlight w:val="none"/>
              </w:rPr>
              <w:t>中第一大类鼓励类中第二十二条“城市基础设施设置”中第4款“城市道路及智能交通体系建设，符合国家相关产业政策。</w:t>
            </w:r>
          </w:p>
          <w:p w14:paraId="7B63E3EC">
            <w:pPr>
              <w:numPr>
                <w:ilvl w:val="0"/>
                <w:numId w:val="28"/>
              </w:numPr>
              <w:spacing w:line="360" w:lineRule="auto"/>
              <w:ind w:left="0" w:leftChars="0" w:firstLine="0" w:firstLine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项目选址合理性分析</w:t>
            </w:r>
          </w:p>
          <w:p w14:paraId="7E82387A">
            <w:pPr>
              <w:spacing w:line="360" w:lineRule="auto"/>
              <w:ind w:firstLine="494"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pacing w:val="3"/>
                <w:kern w:val="0"/>
                <w:sz w:val="24"/>
                <w:highlight w:val="none"/>
              </w:rPr>
              <w:t>1、规划符合性分析</w:t>
            </w:r>
          </w:p>
          <w:p w14:paraId="7AB77B2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本项目位于芒市</w:t>
            </w:r>
            <w:r>
              <w:rPr>
                <w:rFonts w:hint="default" w:ascii="Times New Roman" w:hAnsi="Times New Roman" w:cs="Times New Roman"/>
                <w:sz w:val="24"/>
                <w:lang w:eastAsia="zh-CN"/>
              </w:rPr>
              <w:t>中心城区西北部火车站片区</w:t>
            </w:r>
            <w:r>
              <w:rPr>
                <w:rFonts w:hint="default" w:ascii="Times New Roman" w:hAnsi="Times New Roman" w:cs="Times New Roman"/>
                <w:sz w:val="24"/>
              </w:rPr>
              <w:t>，道路设计为城市规划的次干路，根据《芒市城市总体规划》（2017~2035）中心城区道路交通规划，项目属于规划道路，故本项目符合芒市总体规划。</w:t>
            </w:r>
          </w:p>
          <w:p w14:paraId="0D255C30">
            <w:pPr>
              <w:numPr>
                <w:ilvl w:val="0"/>
                <w:numId w:val="0"/>
              </w:numPr>
              <w:adjustRightInd w:val="0"/>
              <w:snapToGrid w:val="0"/>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2.</w:t>
            </w:r>
            <w:r>
              <w:rPr>
                <w:rFonts w:hint="default" w:ascii="Times New Roman" w:hAnsi="Times New Roman" w:cs="Times New Roman"/>
                <w:b/>
                <w:bCs/>
                <w:color w:val="auto"/>
                <w:sz w:val="24"/>
                <w:highlight w:val="none"/>
                <w:lang w:eastAsia="zh-CN"/>
              </w:rPr>
              <w:t>与区域市政路网规划的相符性分析</w:t>
            </w:r>
          </w:p>
          <w:p w14:paraId="4687651F">
            <w:pPr>
              <w:numPr>
                <w:ilvl w:val="0"/>
                <w:numId w:val="0"/>
              </w:numPr>
              <w:adjustRightInd w:val="0"/>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000000"/>
                <w:kern w:val="0"/>
                <w:sz w:val="24"/>
                <w:szCs w:val="24"/>
                <w:lang w:val="en-US" w:eastAsia="zh-CN" w:bidi="ar"/>
              </w:rPr>
              <w:t>本次建设道路周边有已建高速公路南连接线、勐焕路、田园大道、潞盈线等重要道路相互连通，构成芒市交通路网</w:t>
            </w:r>
            <w:r>
              <w:rPr>
                <w:rFonts w:hint="eastAsia" w:cs="Times New Roman"/>
                <w:color w:val="000000"/>
                <w:kern w:val="0"/>
                <w:sz w:val="24"/>
                <w:szCs w:val="24"/>
                <w:lang w:val="en-US" w:eastAsia="zh-CN" w:bidi="ar"/>
              </w:rPr>
              <w:t>，</w:t>
            </w:r>
            <w:r>
              <w:rPr>
                <w:rFonts w:hint="eastAsia" w:ascii="Times New Roman" w:cs="Times New Roman"/>
                <w:color w:val="auto"/>
                <w:sz w:val="24"/>
                <w:highlight w:val="none"/>
              </w:rPr>
              <w:t>整合片区的道路系统，更好地指导城市发展过程中的道路市政基础设施建设，使得本道路结合周边路网形成完善的交通格局，加快区域经济的发展</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color w:val="auto"/>
                <w:sz w:val="24"/>
                <w:highlight w:val="none"/>
                <w:lang w:eastAsia="zh-CN"/>
              </w:rPr>
              <w:t>因此，本项目的建设符合区域市政路网规划。</w:t>
            </w:r>
          </w:p>
          <w:p w14:paraId="73931756">
            <w:pPr>
              <w:numPr>
                <w:ilvl w:val="0"/>
                <w:numId w:val="0"/>
              </w:numPr>
              <w:adjustRightInd w:val="0"/>
              <w:snapToGrid w:val="0"/>
              <w:spacing w:line="360" w:lineRule="auto"/>
              <w:ind w:leftChars="0" w:firstLine="480" w:firstLineChars="200"/>
              <w:rPr>
                <w:rFonts w:hint="default" w:cs="Times New Roman"/>
                <w:b/>
                <w:bCs/>
                <w:color w:val="auto"/>
                <w:sz w:val="24"/>
                <w:highlight w:val="none"/>
                <w:lang w:val="en-US" w:eastAsia="zh-CN"/>
              </w:rPr>
            </w:pPr>
            <w:r>
              <w:rPr>
                <w:rFonts w:hint="eastAsia" w:cs="Times New Roman"/>
                <w:color w:val="auto"/>
                <w:sz w:val="24"/>
                <w:highlight w:val="none"/>
                <w:lang w:eastAsia="zh-CN"/>
              </w:rPr>
              <w:t>项目</w:t>
            </w:r>
            <w:r>
              <w:rPr>
                <w:rFonts w:hint="default" w:ascii="Times New Roman" w:hAnsi="Times New Roman" w:cs="Times New Roman"/>
                <w:color w:val="auto"/>
                <w:sz w:val="24"/>
                <w:highlight w:val="none"/>
              </w:rPr>
              <w:t>区域现状用地主要为</w:t>
            </w:r>
            <w:r>
              <w:rPr>
                <w:rFonts w:hint="default" w:ascii="Times New Roman" w:hAnsi="Times New Roman" w:cs="Times New Roman"/>
                <w:color w:val="auto"/>
                <w:sz w:val="24"/>
                <w:highlight w:val="none"/>
                <w:lang w:eastAsia="zh-CN"/>
              </w:rPr>
              <w:t>农林用地</w:t>
            </w:r>
            <w:r>
              <w:rPr>
                <w:rFonts w:hint="default" w:ascii="Times New Roman" w:hAnsi="Times New Roman" w:cs="Times New Roman"/>
                <w:color w:val="auto"/>
                <w:spacing w:val="-10"/>
                <w:kern w:val="0"/>
                <w:sz w:val="24"/>
                <w:highlight w:val="none"/>
                <w:lang w:eastAsia="zh-CN"/>
              </w:rPr>
              <w:t>、</w:t>
            </w:r>
            <w:r>
              <w:rPr>
                <w:rFonts w:hint="default" w:ascii="Times New Roman" w:hAnsi="Times New Roman" w:cs="Times New Roman"/>
                <w:color w:val="auto"/>
                <w:spacing w:val="-10"/>
                <w:kern w:val="0"/>
                <w:sz w:val="24"/>
                <w:highlight w:val="none"/>
              </w:rPr>
              <w:t>建设用地</w:t>
            </w:r>
            <w:r>
              <w:rPr>
                <w:rFonts w:hint="default" w:ascii="Times New Roman" w:hAnsi="Times New Roman" w:cs="Times New Roman"/>
                <w:color w:val="auto"/>
                <w:sz w:val="24"/>
                <w:highlight w:val="none"/>
              </w:rPr>
              <w:t>，目前已转化为建设用地。</w:t>
            </w:r>
          </w:p>
        </w:tc>
      </w:tr>
    </w:tbl>
    <w:p w14:paraId="6F275FC5">
      <w:pPr>
        <w:rPr>
          <w:rFonts w:hint="eastAsia"/>
          <w:b/>
          <w:bCs/>
          <w:color w:val="auto"/>
          <w:sz w:val="28"/>
          <w:szCs w:val="28"/>
          <w:highlight w:val="none"/>
          <w:lang w:eastAsia="zh-CN"/>
        </w:rPr>
      </w:pPr>
      <w:r>
        <w:rPr>
          <w:rFonts w:hint="eastAsia"/>
          <w:b/>
          <w:bCs/>
          <w:color w:val="auto"/>
          <w:sz w:val="28"/>
          <w:szCs w:val="28"/>
          <w:highlight w:val="none"/>
          <w:lang w:eastAsia="zh-CN"/>
        </w:rPr>
        <w:br w:type="page"/>
      </w:r>
    </w:p>
    <w:p w14:paraId="19E2ACBE">
      <w:pPr>
        <w:pStyle w:val="3"/>
        <w:bidi w:val="0"/>
        <w:rPr>
          <w:rFonts w:hint="eastAsia"/>
        </w:rPr>
      </w:pPr>
      <w:r>
        <w:rPr>
          <w:rFonts w:hint="eastAsia"/>
          <w:lang w:val="en-US" w:eastAsia="zh-CN"/>
        </w:rPr>
        <w:t>表八、</w:t>
      </w:r>
      <w:r>
        <w:rPr>
          <w:rFonts w:hint="eastAsia"/>
        </w:rPr>
        <w:t>建设项目拟采取的防治措施及预期治理效果</w:t>
      </w:r>
    </w:p>
    <w:tbl>
      <w:tblPr>
        <w:tblStyle w:val="15"/>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90"/>
        <w:gridCol w:w="1440"/>
        <w:gridCol w:w="1350"/>
        <w:gridCol w:w="2519"/>
        <w:gridCol w:w="1512"/>
      </w:tblGrid>
      <w:tr w14:paraId="1EB2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46" w:type="dxa"/>
            <w:tcBorders>
              <w:tl2br w:val="single" w:color="auto" w:sz="4" w:space="0"/>
            </w:tcBorders>
            <w:noWrap w:val="0"/>
            <w:tcMar>
              <w:left w:w="28" w:type="dxa"/>
              <w:right w:w="28" w:type="dxa"/>
            </w:tcMar>
            <w:vAlign w:val="center"/>
          </w:tcPr>
          <w:p w14:paraId="533B47E9">
            <w:pPr>
              <w:spacing w:line="240" w:lineRule="auto"/>
              <w:rPr>
                <w:rFonts w:ascii="Times New Roman" w:hAnsi="Times New Roman" w:cs="Times New Roman"/>
                <w:color w:val="auto"/>
                <w:sz w:val="21"/>
                <w:szCs w:val="21"/>
                <w:highlight w:val="none"/>
              </w:rPr>
            </w:pPr>
            <w:bookmarkStart w:id="55" w:name="_Toc3073"/>
            <w:bookmarkStart w:id="56" w:name="_Toc12095"/>
            <w:bookmarkStart w:id="57" w:name="_Toc27675"/>
            <w:bookmarkStart w:id="58" w:name="_Toc13811"/>
            <w:r>
              <w:rPr>
                <w:rFonts w:ascii="Times New Roman" w:hAnsi="Times New Roman" w:cs="Times New Roman"/>
                <w:color w:val="auto"/>
                <w:sz w:val="21"/>
                <w:szCs w:val="21"/>
                <w:highlight w:val="none"/>
              </w:rPr>
              <w:t xml:space="preserve">  内容</w:t>
            </w:r>
            <w:bookmarkEnd w:id="55"/>
            <w:bookmarkEnd w:id="56"/>
            <w:bookmarkEnd w:id="57"/>
            <w:bookmarkEnd w:id="58"/>
          </w:p>
          <w:p w14:paraId="54647B23">
            <w:pPr>
              <w:spacing w:line="240" w:lineRule="auto"/>
              <w:rPr>
                <w:rFonts w:ascii="Times New Roman" w:hAnsi="Times New Roman" w:cs="Times New Roman"/>
                <w:color w:val="auto"/>
                <w:sz w:val="21"/>
                <w:szCs w:val="21"/>
                <w:highlight w:val="none"/>
              </w:rPr>
            </w:pPr>
            <w:bookmarkStart w:id="59" w:name="_Toc14320"/>
            <w:bookmarkStart w:id="60" w:name="_Toc14457"/>
            <w:bookmarkStart w:id="61" w:name="_Toc29280"/>
            <w:bookmarkStart w:id="62" w:name="_Toc2818"/>
            <w:r>
              <w:rPr>
                <w:rFonts w:ascii="Times New Roman" w:hAnsi="Times New Roman" w:cs="Times New Roman"/>
                <w:color w:val="auto"/>
                <w:sz w:val="21"/>
                <w:szCs w:val="21"/>
                <w:highlight w:val="none"/>
              </w:rPr>
              <w:t>类型</w:t>
            </w:r>
            <w:bookmarkEnd w:id="59"/>
            <w:bookmarkEnd w:id="60"/>
            <w:bookmarkEnd w:id="61"/>
            <w:bookmarkEnd w:id="62"/>
          </w:p>
        </w:tc>
        <w:tc>
          <w:tcPr>
            <w:tcW w:w="2330" w:type="dxa"/>
            <w:gridSpan w:val="2"/>
            <w:noWrap w:val="0"/>
            <w:tcMar>
              <w:left w:w="28" w:type="dxa"/>
              <w:right w:w="28" w:type="dxa"/>
            </w:tcMar>
            <w:vAlign w:val="center"/>
          </w:tcPr>
          <w:p w14:paraId="54706AC0">
            <w:pPr>
              <w:spacing w:line="240" w:lineRule="auto"/>
              <w:jc w:val="center"/>
              <w:rPr>
                <w:rFonts w:ascii="Times New Roman" w:hAnsi="Times New Roman" w:cs="Times New Roman"/>
                <w:color w:val="auto"/>
                <w:sz w:val="21"/>
                <w:szCs w:val="21"/>
                <w:highlight w:val="none"/>
              </w:rPr>
            </w:pPr>
            <w:bookmarkStart w:id="63" w:name="_Toc13459"/>
            <w:bookmarkStart w:id="64" w:name="_Toc24457"/>
            <w:bookmarkStart w:id="65" w:name="_Toc7020"/>
            <w:bookmarkStart w:id="66" w:name="_Toc23906"/>
            <w:r>
              <w:rPr>
                <w:rFonts w:ascii="Times New Roman" w:hAnsi="Times New Roman" w:cs="Times New Roman"/>
                <w:color w:val="auto"/>
                <w:sz w:val="21"/>
                <w:szCs w:val="21"/>
                <w:highlight w:val="none"/>
              </w:rPr>
              <w:t>排放源</w:t>
            </w:r>
            <w:bookmarkEnd w:id="63"/>
            <w:bookmarkEnd w:id="64"/>
            <w:bookmarkEnd w:id="65"/>
            <w:bookmarkEnd w:id="66"/>
          </w:p>
        </w:tc>
        <w:tc>
          <w:tcPr>
            <w:tcW w:w="1350" w:type="dxa"/>
            <w:noWrap w:val="0"/>
            <w:tcMar>
              <w:left w:w="28" w:type="dxa"/>
              <w:right w:w="28" w:type="dxa"/>
            </w:tcMar>
            <w:vAlign w:val="center"/>
          </w:tcPr>
          <w:p w14:paraId="4658983E">
            <w:pPr>
              <w:spacing w:line="240" w:lineRule="auto"/>
              <w:jc w:val="center"/>
              <w:rPr>
                <w:rFonts w:ascii="Times New Roman" w:hAnsi="Times New Roman" w:cs="Times New Roman"/>
                <w:color w:val="auto"/>
                <w:sz w:val="21"/>
                <w:szCs w:val="21"/>
                <w:highlight w:val="none"/>
              </w:rPr>
            </w:pPr>
            <w:bookmarkStart w:id="67" w:name="_Toc354"/>
            <w:bookmarkStart w:id="68" w:name="_Toc31342"/>
            <w:bookmarkStart w:id="69" w:name="_Toc1292"/>
            <w:bookmarkStart w:id="70" w:name="_Toc30826"/>
            <w:r>
              <w:rPr>
                <w:rFonts w:ascii="Times New Roman" w:hAnsi="Times New Roman" w:cs="Times New Roman"/>
                <w:color w:val="auto"/>
                <w:sz w:val="21"/>
                <w:szCs w:val="21"/>
                <w:highlight w:val="none"/>
              </w:rPr>
              <w:t>污染物名称</w:t>
            </w:r>
            <w:bookmarkEnd w:id="67"/>
            <w:bookmarkEnd w:id="68"/>
            <w:bookmarkEnd w:id="69"/>
            <w:bookmarkEnd w:id="70"/>
          </w:p>
        </w:tc>
        <w:tc>
          <w:tcPr>
            <w:tcW w:w="2519" w:type="dxa"/>
            <w:noWrap w:val="0"/>
            <w:tcMar>
              <w:left w:w="28" w:type="dxa"/>
              <w:right w:w="28" w:type="dxa"/>
            </w:tcMar>
            <w:vAlign w:val="center"/>
          </w:tcPr>
          <w:p w14:paraId="48AB1DCF">
            <w:pPr>
              <w:spacing w:line="240" w:lineRule="auto"/>
              <w:jc w:val="center"/>
              <w:rPr>
                <w:rFonts w:ascii="Times New Roman" w:hAnsi="Times New Roman" w:cs="Times New Roman"/>
                <w:color w:val="auto"/>
                <w:sz w:val="21"/>
                <w:szCs w:val="21"/>
                <w:highlight w:val="none"/>
              </w:rPr>
            </w:pPr>
            <w:bookmarkStart w:id="71" w:name="_Toc28194"/>
            <w:bookmarkStart w:id="72" w:name="_Toc7109"/>
            <w:bookmarkStart w:id="73" w:name="_Toc7291"/>
            <w:bookmarkStart w:id="74" w:name="_Toc32299"/>
            <w:r>
              <w:rPr>
                <w:rFonts w:ascii="Times New Roman" w:hAnsi="Times New Roman" w:cs="Times New Roman"/>
                <w:color w:val="auto"/>
                <w:sz w:val="21"/>
                <w:szCs w:val="21"/>
                <w:highlight w:val="none"/>
              </w:rPr>
              <w:t>处理措施</w:t>
            </w:r>
            <w:bookmarkEnd w:id="71"/>
            <w:bookmarkEnd w:id="72"/>
            <w:bookmarkEnd w:id="73"/>
            <w:bookmarkEnd w:id="74"/>
          </w:p>
        </w:tc>
        <w:tc>
          <w:tcPr>
            <w:tcW w:w="1512" w:type="dxa"/>
            <w:noWrap w:val="0"/>
            <w:tcMar>
              <w:left w:w="28" w:type="dxa"/>
              <w:right w:w="28" w:type="dxa"/>
            </w:tcMar>
            <w:vAlign w:val="center"/>
          </w:tcPr>
          <w:p w14:paraId="15869984">
            <w:pPr>
              <w:spacing w:line="240" w:lineRule="auto"/>
              <w:jc w:val="center"/>
              <w:rPr>
                <w:rFonts w:ascii="Times New Roman" w:hAnsi="Times New Roman" w:cs="Times New Roman"/>
                <w:color w:val="auto"/>
                <w:sz w:val="21"/>
                <w:szCs w:val="21"/>
                <w:highlight w:val="none"/>
              </w:rPr>
            </w:pPr>
            <w:bookmarkStart w:id="75" w:name="_Toc17886"/>
            <w:bookmarkStart w:id="76" w:name="_Toc28506"/>
            <w:bookmarkStart w:id="77" w:name="_Toc23145"/>
            <w:bookmarkStart w:id="78" w:name="_Toc22905"/>
            <w:r>
              <w:rPr>
                <w:rFonts w:ascii="Times New Roman" w:hAnsi="Times New Roman" w:cs="Times New Roman"/>
                <w:color w:val="auto"/>
                <w:sz w:val="21"/>
                <w:szCs w:val="21"/>
                <w:highlight w:val="none"/>
              </w:rPr>
              <w:t>预期防治效果</w:t>
            </w:r>
            <w:bookmarkEnd w:id="75"/>
            <w:bookmarkEnd w:id="76"/>
            <w:bookmarkEnd w:id="77"/>
            <w:bookmarkEnd w:id="78"/>
          </w:p>
        </w:tc>
      </w:tr>
      <w:tr w14:paraId="7AC6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46" w:type="dxa"/>
            <w:vMerge w:val="restart"/>
            <w:noWrap w:val="0"/>
            <w:tcMar>
              <w:left w:w="28" w:type="dxa"/>
              <w:right w:w="28" w:type="dxa"/>
            </w:tcMar>
            <w:vAlign w:val="center"/>
          </w:tcPr>
          <w:p w14:paraId="42DFAAB2">
            <w:pPr>
              <w:spacing w:line="240" w:lineRule="auto"/>
              <w:jc w:val="center"/>
              <w:rPr>
                <w:rFonts w:ascii="Times New Roman" w:hAnsi="Times New Roman" w:cs="Times New Roman"/>
                <w:color w:val="auto"/>
                <w:sz w:val="21"/>
                <w:szCs w:val="21"/>
                <w:highlight w:val="none"/>
              </w:rPr>
            </w:pPr>
            <w:bookmarkStart w:id="79" w:name="_Toc25792"/>
            <w:bookmarkStart w:id="80" w:name="_Toc15757"/>
            <w:bookmarkStart w:id="81" w:name="_Toc19676"/>
            <w:bookmarkStart w:id="82" w:name="_Toc4777"/>
            <w:r>
              <w:rPr>
                <w:rFonts w:ascii="Times New Roman" w:hAnsi="Times New Roman" w:cs="Times New Roman"/>
                <w:color w:val="auto"/>
                <w:sz w:val="21"/>
                <w:szCs w:val="21"/>
                <w:highlight w:val="none"/>
              </w:rPr>
              <w:t>废水</w:t>
            </w:r>
            <w:bookmarkEnd w:id="79"/>
            <w:bookmarkEnd w:id="80"/>
            <w:bookmarkEnd w:id="81"/>
            <w:bookmarkEnd w:id="82"/>
          </w:p>
        </w:tc>
        <w:tc>
          <w:tcPr>
            <w:tcW w:w="890" w:type="dxa"/>
            <w:vMerge w:val="restart"/>
            <w:noWrap w:val="0"/>
            <w:tcMar>
              <w:top w:w="0" w:type="dxa"/>
              <w:left w:w="28" w:type="dxa"/>
              <w:bottom w:w="0" w:type="dxa"/>
              <w:right w:w="28" w:type="dxa"/>
            </w:tcMar>
            <w:vAlign w:val="center"/>
          </w:tcPr>
          <w:p w14:paraId="6F8E7A7C">
            <w:pPr>
              <w:spacing w:line="240" w:lineRule="auto"/>
              <w:jc w:val="center"/>
              <w:rPr>
                <w:rFonts w:ascii="Times New Roman" w:hAnsi="Times New Roman" w:cs="Times New Roman"/>
                <w:color w:val="auto"/>
                <w:sz w:val="21"/>
                <w:szCs w:val="21"/>
                <w:highlight w:val="none"/>
              </w:rPr>
            </w:pPr>
            <w:bookmarkStart w:id="83" w:name="_Toc22428"/>
            <w:bookmarkStart w:id="84" w:name="_Toc16844"/>
            <w:bookmarkStart w:id="85" w:name="_Toc12109"/>
            <w:bookmarkStart w:id="86" w:name="_Toc3931"/>
            <w:r>
              <w:rPr>
                <w:rFonts w:ascii="Times New Roman" w:hAnsi="Times New Roman" w:cs="Times New Roman"/>
                <w:color w:val="auto"/>
                <w:sz w:val="21"/>
                <w:szCs w:val="21"/>
                <w:highlight w:val="none"/>
              </w:rPr>
              <w:t>施工期</w:t>
            </w:r>
            <w:bookmarkEnd w:id="83"/>
            <w:bookmarkEnd w:id="84"/>
            <w:bookmarkEnd w:id="85"/>
            <w:bookmarkEnd w:id="86"/>
          </w:p>
        </w:tc>
        <w:tc>
          <w:tcPr>
            <w:tcW w:w="1440" w:type="dxa"/>
            <w:noWrap w:val="0"/>
            <w:tcMar>
              <w:top w:w="0" w:type="dxa"/>
              <w:left w:w="28" w:type="dxa"/>
              <w:bottom w:w="0" w:type="dxa"/>
              <w:right w:w="28" w:type="dxa"/>
            </w:tcMar>
            <w:vAlign w:val="center"/>
          </w:tcPr>
          <w:p w14:paraId="1AE86920">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施工机械</w:t>
            </w:r>
          </w:p>
        </w:tc>
        <w:tc>
          <w:tcPr>
            <w:tcW w:w="1350" w:type="dxa"/>
            <w:noWrap w:val="0"/>
            <w:tcMar>
              <w:left w:w="28" w:type="dxa"/>
              <w:right w:w="28" w:type="dxa"/>
            </w:tcMar>
            <w:vAlign w:val="center"/>
          </w:tcPr>
          <w:p w14:paraId="6505E08D">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施工废水</w:t>
            </w:r>
          </w:p>
        </w:tc>
        <w:tc>
          <w:tcPr>
            <w:tcW w:w="2519" w:type="dxa"/>
            <w:noWrap w:val="0"/>
            <w:tcMar>
              <w:left w:w="28" w:type="dxa"/>
              <w:right w:w="28" w:type="dxa"/>
            </w:tcMar>
            <w:vAlign w:val="center"/>
          </w:tcPr>
          <w:p w14:paraId="0C8FCB60">
            <w:pPr>
              <w:spacing w:line="240" w:lineRule="auto"/>
              <w:jc w:val="center"/>
              <w:rPr>
                <w:rFonts w:ascii="Times New Roman" w:hAnsi="Times New Roman" w:cs="Times New Roman"/>
                <w:color w:val="auto"/>
                <w:sz w:val="21"/>
                <w:szCs w:val="21"/>
                <w:highlight w:val="none"/>
              </w:rPr>
            </w:pPr>
            <w:bookmarkStart w:id="87" w:name="_Toc25637"/>
            <w:bookmarkStart w:id="88" w:name="_Toc24682"/>
            <w:bookmarkStart w:id="89" w:name="_Toc15940"/>
            <w:bookmarkStart w:id="90" w:name="_Toc25986"/>
            <w:r>
              <w:rPr>
                <w:rFonts w:ascii="Times New Roman" w:hAnsi="Times New Roman" w:cs="Times New Roman"/>
                <w:color w:val="auto"/>
                <w:sz w:val="21"/>
                <w:szCs w:val="21"/>
                <w:highlight w:val="none"/>
              </w:rPr>
              <w:t>沉砂池收集、处理</w:t>
            </w:r>
            <w:r>
              <w:rPr>
                <w:rFonts w:hint="eastAsia" w:cs="Times New Roman"/>
                <w:color w:val="auto"/>
                <w:sz w:val="21"/>
                <w:szCs w:val="21"/>
                <w:highlight w:val="none"/>
                <w:lang w:eastAsia="zh-CN"/>
              </w:rPr>
              <w:t>，回</w:t>
            </w:r>
            <w:r>
              <w:rPr>
                <w:rFonts w:ascii="Times New Roman" w:hAnsi="Times New Roman" w:cs="Times New Roman"/>
                <w:color w:val="auto"/>
                <w:sz w:val="21"/>
                <w:szCs w:val="21"/>
                <w:highlight w:val="none"/>
              </w:rPr>
              <w:t>用于道路洒水抑尘。</w:t>
            </w:r>
            <w:bookmarkEnd w:id="87"/>
            <w:bookmarkEnd w:id="88"/>
            <w:bookmarkEnd w:id="89"/>
            <w:bookmarkEnd w:id="90"/>
          </w:p>
        </w:tc>
        <w:tc>
          <w:tcPr>
            <w:tcW w:w="1512" w:type="dxa"/>
            <w:noWrap w:val="0"/>
            <w:tcMar>
              <w:left w:w="28" w:type="dxa"/>
              <w:right w:w="28" w:type="dxa"/>
            </w:tcMar>
            <w:vAlign w:val="center"/>
          </w:tcPr>
          <w:p w14:paraId="7415ADCC">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对周围环境影响不大</w:t>
            </w:r>
          </w:p>
        </w:tc>
      </w:tr>
      <w:tr w14:paraId="10D4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9" w:hRule="atLeast"/>
          <w:jc w:val="center"/>
        </w:trPr>
        <w:tc>
          <w:tcPr>
            <w:tcW w:w="846" w:type="dxa"/>
            <w:vMerge w:val="continue"/>
            <w:noWrap w:val="0"/>
            <w:tcMar>
              <w:left w:w="28" w:type="dxa"/>
              <w:right w:w="28" w:type="dxa"/>
            </w:tcMar>
            <w:vAlign w:val="center"/>
          </w:tcPr>
          <w:p w14:paraId="00843185">
            <w:pPr>
              <w:spacing w:line="240" w:lineRule="auto"/>
              <w:jc w:val="center"/>
              <w:rPr>
                <w:rFonts w:ascii="Times New Roman" w:hAnsi="Times New Roman" w:cs="Times New Roman"/>
                <w:color w:val="auto"/>
                <w:sz w:val="21"/>
                <w:szCs w:val="21"/>
                <w:highlight w:val="none"/>
              </w:rPr>
            </w:pPr>
          </w:p>
        </w:tc>
        <w:tc>
          <w:tcPr>
            <w:tcW w:w="890" w:type="dxa"/>
            <w:vMerge w:val="continue"/>
            <w:noWrap w:val="0"/>
            <w:tcMar>
              <w:top w:w="0" w:type="dxa"/>
              <w:left w:w="28" w:type="dxa"/>
              <w:bottom w:w="0" w:type="dxa"/>
              <w:right w:w="28" w:type="dxa"/>
            </w:tcMar>
            <w:vAlign w:val="center"/>
          </w:tcPr>
          <w:p w14:paraId="34AEEDAA">
            <w:pPr>
              <w:spacing w:line="240" w:lineRule="auto"/>
              <w:jc w:val="center"/>
              <w:rPr>
                <w:rFonts w:ascii="Times New Roman" w:hAnsi="Times New Roman" w:cs="Times New Roman"/>
                <w:color w:val="auto"/>
                <w:sz w:val="21"/>
                <w:szCs w:val="21"/>
                <w:highlight w:val="none"/>
              </w:rPr>
            </w:pPr>
          </w:p>
        </w:tc>
        <w:tc>
          <w:tcPr>
            <w:tcW w:w="1440" w:type="dxa"/>
            <w:noWrap w:val="0"/>
            <w:tcMar>
              <w:top w:w="0" w:type="dxa"/>
              <w:left w:w="28" w:type="dxa"/>
              <w:bottom w:w="0" w:type="dxa"/>
              <w:right w:w="28" w:type="dxa"/>
            </w:tcMar>
            <w:vAlign w:val="center"/>
          </w:tcPr>
          <w:p w14:paraId="39E9FE53">
            <w:pPr>
              <w:spacing w:line="240" w:lineRule="auto"/>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跨水域路段施工废水</w:t>
            </w:r>
          </w:p>
        </w:tc>
        <w:tc>
          <w:tcPr>
            <w:tcW w:w="1350" w:type="dxa"/>
            <w:noWrap w:val="0"/>
            <w:tcMar>
              <w:left w:w="28" w:type="dxa"/>
              <w:right w:w="28" w:type="dxa"/>
            </w:tcMar>
            <w:vAlign w:val="center"/>
          </w:tcPr>
          <w:p w14:paraId="1CEE5ED2">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SS</w:t>
            </w:r>
          </w:p>
        </w:tc>
        <w:tc>
          <w:tcPr>
            <w:tcW w:w="2519" w:type="dxa"/>
            <w:noWrap w:val="0"/>
            <w:tcMar>
              <w:left w:w="28" w:type="dxa"/>
              <w:right w:w="28" w:type="dxa"/>
            </w:tcMar>
            <w:vAlign w:val="center"/>
          </w:tcPr>
          <w:p w14:paraId="4037C498">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收集于沉砂池处理后，回用于场地洒水降尘，不外排</w:t>
            </w:r>
          </w:p>
        </w:tc>
        <w:tc>
          <w:tcPr>
            <w:tcW w:w="1512" w:type="dxa"/>
            <w:noWrap w:val="0"/>
            <w:tcMar>
              <w:left w:w="28" w:type="dxa"/>
              <w:right w:w="28" w:type="dxa"/>
            </w:tcMar>
            <w:vAlign w:val="center"/>
          </w:tcPr>
          <w:p w14:paraId="43A0CF65">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对周围环境影响不大</w:t>
            </w:r>
          </w:p>
        </w:tc>
      </w:tr>
      <w:tr w14:paraId="75F1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846" w:type="dxa"/>
            <w:vMerge w:val="continue"/>
            <w:noWrap w:val="0"/>
            <w:tcMar>
              <w:left w:w="28" w:type="dxa"/>
              <w:right w:w="28" w:type="dxa"/>
            </w:tcMar>
            <w:vAlign w:val="center"/>
          </w:tcPr>
          <w:p w14:paraId="4F9CB1B9">
            <w:pPr>
              <w:spacing w:line="240" w:lineRule="auto"/>
              <w:jc w:val="center"/>
              <w:rPr>
                <w:rFonts w:ascii="Times New Roman" w:hAnsi="Times New Roman" w:cs="Times New Roman"/>
                <w:color w:val="auto"/>
                <w:sz w:val="21"/>
                <w:szCs w:val="21"/>
                <w:highlight w:val="none"/>
              </w:rPr>
            </w:pPr>
          </w:p>
        </w:tc>
        <w:tc>
          <w:tcPr>
            <w:tcW w:w="890" w:type="dxa"/>
            <w:vMerge w:val="continue"/>
            <w:noWrap w:val="0"/>
            <w:tcMar>
              <w:top w:w="0" w:type="dxa"/>
              <w:left w:w="28" w:type="dxa"/>
              <w:bottom w:w="0" w:type="dxa"/>
              <w:right w:w="28" w:type="dxa"/>
            </w:tcMar>
            <w:vAlign w:val="center"/>
          </w:tcPr>
          <w:p w14:paraId="007BC958">
            <w:pPr>
              <w:spacing w:line="240" w:lineRule="auto"/>
              <w:jc w:val="center"/>
              <w:rPr>
                <w:rFonts w:ascii="Times New Roman" w:hAnsi="Times New Roman" w:cs="Times New Roman"/>
                <w:color w:val="auto"/>
                <w:sz w:val="21"/>
                <w:szCs w:val="21"/>
                <w:highlight w:val="none"/>
              </w:rPr>
            </w:pPr>
          </w:p>
        </w:tc>
        <w:tc>
          <w:tcPr>
            <w:tcW w:w="1440" w:type="dxa"/>
            <w:noWrap w:val="0"/>
            <w:tcMar>
              <w:top w:w="0" w:type="dxa"/>
              <w:left w:w="28" w:type="dxa"/>
              <w:bottom w:w="0" w:type="dxa"/>
              <w:right w:w="28" w:type="dxa"/>
            </w:tcMar>
            <w:vAlign w:val="center"/>
          </w:tcPr>
          <w:p w14:paraId="19BFF194">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施工人员</w:t>
            </w:r>
          </w:p>
        </w:tc>
        <w:tc>
          <w:tcPr>
            <w:tcW w:w="1350" w:type="dxa"/>
            <w:noWrap w:val="0"/>
            <w:tcMar>
              <w:left w:w="28" w:type="dxa"/>
              <w:right w:w="28" w:type="dxa"/>
            </w:tcMar>
            <w:vAlign w:val="center"/>
          </w:tcPr>
          <w:p w14:paraId="5DD35BAA">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COD、SS、BOD</w:t>
            </w:r>
            <w:r>
              <w:rPr>
                <w:rFonts w:hint="eastAsia" w:cs="Times New Roman"/>
                <w:color w:val="auto"/>
                <w:sz w:val="21"/>
                <w:szCs w:val="21"/>
                <w:highlight w:val="none"/>
                <w:vertAlign w:val="subscript"/>
                <w:lang w:val="en-US" w:eastAsia="zh-CN"/>
              </w:rPr>
              <w:t>5</w:t>
            </w:r>
          </w:p>
        </w:tc>
        <w:tc>
          <w:tcPr>
            <w:tcW w:w="2519" w:type="dxa"/>
            <w:noWrap w:val="0"/>
            <w:tcMar>
              <w:left w:w="28" w:type="dxa"/>
              <w:right w:w="28" w:type="dxa"/>
            </w:tcMar>
            <w:vAlign w:val="center"/>
          </w:tcPr>
          <w:p w14:paraId="03398B25">
            <w:pPr>
              <w:spacing w:line="240" w:lineRule="auto"/>
              <w:jc w:val="center"/>
              <w:rPr>
                <w:rFonts w:hint="eastAsia" w:cs="Times New Roman"/>
                <w:color w:val="auto"/>
                <w:sz w:val="21"/>
                <w:szCs w:val="21"/>
                <w:highlight w:val="none"/>
                <w:lang w:eastAsia="zh-CN"/>
              </w:rPr>
            </w:pPr>
            <w:r>
              <w:rPr>
                <w:rFonts w:ascii="Times New Roman" w:hAnsi="Times New Roman" w:cs="Times New Roman"/>
                <w:color w:val="auto"/>
                <w:sz w:val="21"/>
                <w:szCs w:val="21"/>
                <w:highlight w:val="none"/>
              </w:rPr>
              <w:t>经临时沉砂池收集沉淀后，回用于场地洒水降尘，不外排</w:t>
            </w:r>
          </w:p>
        </w:tc>
        <w:tc>
          <w:tcPr>
            <w:tcW w:w="1512" w:type="dxa"/>
            <w:noWrap w:val="0"/>
            <w:tcMar>
              <w:left w:w="28" w:type="dxa"/>
              <w:right w:w="28" w:type="dxa"/>
            </w:tcMar>
            <w:vAlign w:val="center"/>
          </w:tcPr>
          <w:p w14:paraId="4E49F3D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对周围环境影响不大</w:t>
            </w:r>
          </w:p>
        </w:tc>
      </w:tr>
      <w:tr w14:paraId="412F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46" w:type="dxa"/>
            <w:vMerge w:val="continue"/>
            <w:noWrap w:val="0"/>
            <w:tcMar>
              <w:left w:w="28" w:type="dxa"/>
              <w:right w:w="28" w:type="dxa"/>
            </w:tcMar>
            <w:vAlign w:val="center"/>
          </w:tcPr>
          <w:p w14:paraId="57062158">
            <w:pPr>
              <w:spacing w:line="240" w:lineRule="auto"/>
              <w:jc w:val="center"/>
              <w:rPr>
                <w:rFonts w:ascii="Times New Roman" w:hAnsi="Times New Roman" w:cs="Times New Roman"/>
                <w:color w:val="auto"/>
                <w:sz w:val="21"/>
                <w:szCs w:val="21"/>
                <w:highlight w:val="none"/>
              </w:rPr>
            </w:pPr>
          </w:p>
        </w:tc>
        <w:tc>
          <w:tcPr>
            <w:tcW w:w="890" w:type="dxa"/>
            <w:noWrap w:val="0"/>
            <w:tcMar>
              <w:top w:w="0" w:type="dxa"/>
              <w:left w:w="28" w:type="dxa"/>
              <w:bottom w:w="0" w:type="dxa"/>
              <w:right w:w="28" w:type="dxa"/>
            </w:tcMar>
            <w:vAlign w:val="center"/>
          </w:tcPr>
          <w:p w14:paraId="1500C073">
            <w:pPr>
              <w:spacing w:line="240" w:lineRule="auto"/>
              <w:jc w:val="center"/>
              <w:rPr>
                <w:rFonts w:ascii="Times New Roman" w:hAnsi="Times New Roman" w:cs="Times New Roman"/>
                <w:color w:val="auto"/>
                <w:sz w:val="21"/>
                <w:szCs w:val="21"/>
                <w:highlight w:val="none"/>
              </w:rPr>
            </w:pPr>
            <w:bookmarkStart w:id="91" w:name="_Toc23759"/>
            <w:bookmarkStart w:id="92" w:name="_Toc17542"/>
            <w:bookmarkStart w:id="93" w:name="_Toc25804"/>
            <w:bookmarkStart w:id="94" w:name="_Toc23732"/>
            <w:r>
              <w:rPr>
                <w:rFonts w:ascii="Times New Roman" w:hAnsi="Times New Roman" w:cs="Times New Roman"/>
                <w:color w:val="auto"/>
                <w:sz w:val="21"/>
                <w:szCs w:val="21"/>
                <w:highlight w:val="none"/>
              </w:rPr>
              <w:t>运营期</w:t>
            </w:r>
            <w:bookmarkEnd w:id="91"/>
            <w:bookmarkEnd w:id="92"/>
            <w:bookmarkEnd w:id="93"/>
            <w:bookmarkEnd w:id="94"/>
          </w:p>
        </w:tc>
        <w:tc>
          <w:tcPr>
            <w:tcW w:w="1440" w:type="dxa"/>
            <w:noWrap w:val="0"/>
            <w:tcMar>
              <w:top w:w="0" w:type="dxa"/>
              <w:left w:w="28" w:type="dxa"/>
              <w:bottom w:w="0" w:type="dxa"/>
              <w:right w:w="28" w:type="dxa"/>
            </w:tcMar>
            <w:vAlign w:val="center"/>
          </w:tcPr>
          <w:p w14:paraId="16149DBF">
            <w:pPr>
              <w:spacing w:line="240" w:lineRule="auto"/>
              <w:jc w:val="center"/>
              <w:rPr>
                <w:rFonts w:ascii="Times New Roman" w:hAnsi="Times New Roman" w:cs="Times New Roman"/>
                <w:color w:val="auto"/>
                <w:sz w:val="21"/>
                <w:szCs w:val="21"/>
                <w:highlight w:val="none"/>
              </w:rPr>
            </w:pPr>
            <w:bookmarkStart w:id="95" w:name="_Toc16949"/>
            <w:bookmarkStart w:id="96" w:name="_Toc32602"/>
            <w:bookmarkStart w:id="97" w:name="_Toc12748"/>
            <w:bookmarkStart w:id="98" w:name="_Toc29988"/>
            <w:r>
              <w:rPr>
                <w:rFonts w:ascii="Times New Roman" w:hAnsi="Times New Roman" w:cs="Times New Roman"/>
                <w:color w:val="auto"/>
                <w:sz w:val="21"/>
                <w:szCs w:val="21"/>
                <w:highlight w:val="none"/>
              </w:rPr>
              <w:t>路面径流</w:t>
            </w:r>
            <w:bookmarkEnd w:id="95"/>
            <w:bookmarkEnd w:id="96"/>
            <w:bookmarkEnd w:id="97"/>
            <w:bookmarkEnd w:id="98"/>
          </w:p>
        </w:tc>
        <w:tc>
          <w:tcPr>
            <w:tcW w:w="1350" w:type="dxa"/>
            <w:noWrap w:val="0"/>
            <w:tcMar>
              <w:left w:w="28" w:type="dxa"/>
              <w:right w:w="28" w:type="dxa"/>
            </w:tcMar>
            <w:vAlign w:val="center"/>
          </w:tcPr>
          <w:p w14:paraId="63A00D4E">
            <w:pPr>
              <w:spacing w:line="240" w:lineRule="auto"/>
              <w:jc w:val="center"/>
              <w:rPr>
                <w:rFonts w:ascii="Times New Roman" w:hAnsi="Times New Roman" w:cs="Times New Roman"/>
                <w:color w:val="auto"/>
                <w:sz w:val="21"/>
                <w:szCs w:val="21"/>
                <w:highlight w:val="none"/>
              </w:rPr>
            </w:pPr>
            <w:bookmarkStart w:id="99" w:name="_Toc28967"/>
            <w:bookmarkStart w:id="100" w:name="_Toc30522"/>
            <w:bookmarkStart w:id="101" w:name="_Toc20451"/>
            <w:bookmarkStart w:id="102" w:name="_Toc1848"/>
            <w:r>
              <w:rPr>
                <w:rFonts w:ascii="Times New Roman" w:hAnsi="Times New Roman" w:cs="Times New Roman"/>
                <w:color w:val="auto"/>
                <w:sz w:val="21"/>
                <w:szCs w:val="21"/>
                <w:highlight w:val="none"/>
              </w:rPr>
              <w:t>SS</w:t>
            </w:r>
            <w:bookmarkEnd w:id="99"/>
            <w:bookmarkEnd w:id="100"/>
            <w:bookmarkEnd w:id="101"/>
            <w:bookmarkEnd w:id="102"/>
          </w:p>
        </w:tc>
        <w:tc>
          <w:tcPr>
            <w:tcW w:w="2519" w:type="dxa"/>
            <w:noWrap w:val="0"/>
            <w:tcMar>
              <w:left w:w="28" w:type="dxa"/>
              <w:right w:w="28" w:type="dxa"/>
            </w:tcMar>
            <w:vAlign w:val="center"/>
          </w:tcPr>
          <w:p w14:paraId="504D9AB2">
            <w:pPr>
              <w:spacing w:line="240" w:lineRule="auto"/>
              <w:jc w:val="center"/>
              <w:rPr>
                <w:rFonts w:ascii="Times New Roman" w:hAnsi="Times New Roman" w:cs="Times New Roman"/>
                <w:color w:val="auto"/>
                <w:sz w:val="21"/>
                <w:szCs w:val="21"/>
                <w:highlight w:val="none"/>
              </w:rPr>
            </w:pPr>
            <w:bookmarkStart w:id="103" w:name="OLE_LINK18"/>
            <w:r>
              <w:rPr>
                <w:rFonts w:hint="eastAsia" w:cs="Times New Roman"/>
                <w:color w:val="auto"/>
                <w:sz w:val="21"/>
                <w:szCs w:val="21"/>
                <w:highlight w:val="none"/>
                <w:lang w:eastAsia="zh-CN"/>
              </w:rPr>
              <w:t>排入道路排水管，进入</w:t>
            </w:r>
            <w:r>
              <w:rPr>
                <w:rFonts w:ascii="Times New Roman" w:hAnsi="Times New Roman" w:cs="Times New Roman"/>
                <w:color w:val="auto"/>
                <w:sz w:val="21"/>
                <w:szCs w:val="21"/>
                <w:highlight w:val="none"/>
              </w:rPr>
              <w:t>雨水收集管网</w:t>
            </w:r>
            <w:bookmarkEnd w:id="103"/>
          </w:p>
        </w:tc>
        <w:tc>
          <w:tcPr>
            <w:tcW w:w="1512" w:type="dxa"/>
            <w:noWrap w:val="0"/>
            <w:tcMar>
              <w:left w:w="28" w:type="dxa"/>
              <w:right w:w="28" w:type="dxa"/>
            </w:tcMar>
            <w:vAlign w:val="center"/>
          </w:tcPr>
          <w:p w14:paraId="4206F5D3">
            <w:pPr>
              <w:spacing w:line="240" w:lineRule="auto"/>
              <w:jc w:val="center"/>
              <w:rPr>
                <w:rFonts w:ascii="Times New Roman" w:hAnsi="Times New Roman" w:cs="Times New Roman"/>
                <w:color w:val="auto"/>
                <w:sz w:val="21"/>
                <w:szCs w:val="21"/>
                <w:highlight w:val="none"/>
              </w:rPr>
            </w:pPr>
            <w:bookmarkStart w:id="104" w:name="_Toc15617"/>
            <w:bookmarkStart w:id="105" w:name="_Toc28588"/>
            <w:bookmarkStart w:id="106" w:name="_Toc2583"/>
            <w:bookmarkStart w:id="107" w:name="_Toc30025"/>
            <w:bookmarkStart w:id="108" w:name="OLE_LINK51"/>
            <w:r>
              <w:rPr>
                <w:rFonts w:ascii="Times New Roman" w:hAnsi="Times New Roman" w:cs="Times New Roman"/>
                <w:color w:val="auto"/>
                <w:sz w:val="21"/>
                <w:szCs w:val="21"/>
                <w:highlight w:val="none"/>
              </w:rPr>
              <w:t>对周围环境影响不大</w:t>
            </w:r>
            <w:bookmarkEnd w:id="104"/>
            <w:bookmarkEnd w:id="105"/>
            <w:bookmarkEnd w:id="106"/>
            <w:bookmarkEnd w:id="107"/>
            <w:bookmarkEnd w:id="108"/>
          </w:p>
        </w:tc>
      </w:tr>
      <w:tr w14:paraId="5EAA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846" w:type="dxa"/>
            <w:vMerge w:val="restart"/>
            <w:noWrap w:val="0"/>
            <w:tcMar>
              <w:left w:w="28" w:type="dxa"/>
              <w:right w:w="28" w:type="dxa"/>
            </w:tcMar>
            <w:vAlign w:val="center"/>
          </w:tcPr>
          <w:p w14:paraId="5FEC5581">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w:t>
            </w:r>
          </w:p>
        </w:tc>
        <w:tc>
          <w:tcPr>
            <w:tcW w:w="890" w:type="dxa"/>
            <w:vMerge w:val="restart"/>
            <w:noWrap w:val="0"/>
            <w:tcMar>
              <w:top w:w="0" w:type="dxa"/>
              <w:left w:w="28" w:type="dxa"/>
              <w:bottom w:w="0" w:type="dxa"/>
              <w:right w:w="28" w:type="dxa"/>
            </w:tcMar>
            <w:vAlign w:val="center"/>
          </w:tcPr>
          <w:p w14:paraId="598C97DA">
            <w:pPr>
              <w:spacing w:line="240" w:lineRule="auto"/>
              <w:jc w:val="center"/>
              <w:rPr>
                <w:rFonts w:ascii="Times New Roman" w:hAnsi="Times New Roman" w:cs="Times New Roman"/>
                <w:color w:val="auto"/>
                <w:sz w:val="21"/>
                <w:szCs w:val="21"/>
                <w:highlight w:val="none"/>
              </w:rPr>
            </w:pPr>
            <w:bookmarkStart w:id="109" w:name="_Toc16289"/>
            <w:bookmarkStart w:id="110" w:name="_Toc31431"/>
            <w:bookmarkStart w:id="111" w:name="_Toc16782"/>
            <w:bookmarkStart w:id="112" w:name="_Toc6470"/>
            <w:r>
              <w:rPr>
                <w:rFonts w:ascii="Times New Roman" w:hAnsi="Times New Roman" w:cs="Times New Roman"/>
                <w:color w:val="auto"/>
                <w:sz w:val="21"/>
                <w:szCs w:val="21"/>
                <w:highlight w:val="none"/>
              </w:rPr>
              <w:t>施工期</w:t>
            </w:r>
            <w:bookmarkEnd w:id="109"/>
            <w:bookmarkEnd w:id="110"/>
            <w:bookmarkEnd w:id="111"/>
            <w:bookmarkEnd w:id="112"/>
          </w:p>
        </w:tc>
        <w:tc>
          <w:tcPr>
            <w:tcW w:w="1440" w:type="dxa"/>
            <w:tcBorders>
              <w:bottom w:val="single" w:color="000000" w:sz="4" w:space="0"/>
            </w:tcBorders>
            <w:noWrap w:val="0"/>
            <w:tcMar>
              <w:top w:w="0" w:type="dxa"/>
              <w:left w:w="28" w:type="dxa"/>
              <w:bottom w:w="0" w:type="dxa"/>
              <w:right w:w="28" w:type="dxa"/>
            </w:tcMar>
            <w:vAlign w:val="center"/>
          </w:tcPr>
          <w:p w14:paraId="66AB06DD">
            <w:pPr>
              <w:spacing w:line="240" w:lineRule="auto"/>
              <w:jc w:val="center"/>
              <w:rPr>
                <w:rFonts w:hint="eastAsia" w:ascii="Times New Roman" w:hAnsi="Times New Roman" w:eastAsia="宋体" w:cs="Times New Roman"/>
                <w:color w:val="auto"/>
                <w:sz w:val="21"/>
                <w:szCs w:val="21"/>
                <w:highlight w:val="none"/>
                <w:lang w:eastAsia="zh-CN"/>
              </w:rPr>
            </w:pPr>
            <w:bookmarkStart w:id="113" w:name="_Toc2884"/>
            <w:bookmarkStart w:id="114" w:name="_Toc30516"/>
            <w:bookmarkStart w:id="115" w:name="_Toc22726"/>
            <w:bookmarkStart w:id="116" w:name="_Toc26454"/>
            <w:r>
              <w:rPr>
                <w:rFonts w:ascii="Times New Roman" w:hAnsi="Times New Roman" w:cs="Times New Roman"/>
                <w:color w:val="auto"/>
                <w:sz w:val="21"/>
                <w:szCs w:val="21"/>
                <w:highlight w:val="none"/>
              </w:rPr>
              <w:t>施工场地</w:t>
            </w:r>
            <w:bookmarkEnd w:id="113"/>
            <w:bookmarkEnd w:id="114"/>
            <w:bookmarkEnd w:id="115"/>
            <w:bookmarkEnd w:id="116"/>
          </w:p>
        </w:tc>
        <w:tc>
          <w:tcPr>
            <w:tcW w:w="1350" w:type="dxa"/>
            <w:tcBorders>
              <w:bottom w:val="single" w:color="000000" w:sz="4" w:space="0"/>
            </w:tcBorders>
            <w:noWrap w:val="0"/>
            <w:tcMar>
              <w:left w:w="28" w:type="dxa"/>
              <w:right w:w="28" w:type="dxa"/>
            </w:tcMar>
            <w:vAlign w:val="center"/>
          </w:tcPr>
          <w:p w14:paraId="28897E02">
            <w:pPr>
              <w:spacing w:line="240" w:lineRule="auto"/>
              <w:jc w:val="center"/>
              <w:rPr>
                <w:rFonts w:ascii="Times New Roman" w:hAnsi="Times New Roman" w:cs="Times New Roman"/>
                <w:color w:val="auto"/>
                <w:sz w:val="21"/>
                <w:szCs w:val="21"/>
                <w:highlight w:val="none"/>
              </w:rPr>
            </w:pPr>
            <w:bookmarkStart w:id="117" w:name="_Toc11375"/>
            <w:bookmarkStart w:id="118" w:name="_Toc7980"/>
            <w:bookmarkStart w:id="119" w:name="_Toc19704"/>
            <w:bookmarkStart w:id="120" w:name="_Toc1748"/>
            <w:r>
              <w:rPr>
                <w:rFonts w:ascii="Times New Roman" w:hAnsi="Times New Roman" w:cs="Times New Roman"/>
                <w:color w:val="auto"/>
                <w:sz w:val="21"/>
                <w:szCs w:val="21"/>
                <w:highlight w:val="none"/>
              </w:rPr>
              <w:t>扬尘</w:t>
            </w:r>
            <w:bookmarkEnd w:id="117"/>
            <w:bookmarkEnd w:id="118"/>
            <w:bookmarkEnd w:id="119"/>
            <w:bookmarkEnd w:id="120"/>
          </w:p>
        </w:tc>
        <w:tc>
          <w:tcPr>
            <w:tcW w:w="2519" w:type="dxa"/>
            <w:noWrap w:val="0"/>
            <w:tcMar>
              <w:left w:w="28" w:type="dxa"/>
              <w:right w:w="28" w:type="dxa"/>
            </w:tcMar>
            <w:vAlign w:val="center"/>
          </w:tcPr>
          <w:p w14:paraId="51F302E8">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设置遮挡</w:t>
            </w:r>
            <w:r>
              <w:rPr>
                <w:rFonts w:hint="eastAsia" w:cs="Times New Roman"/>
                <w:color w:val="auto"/>
                <w:sz w:val="21"/>
                <w:szCs w:val="21"/>
                <w:highlight w:val="none"/>
                <w:lang w:eastAsia="zh-CN"/>
              </w:rPr>
              <w:t>篷布</w:t>
            </w:r>
            <w:r>
              <w:rPr>
                <w:rFonts w:ascii="Times New Roman" w:hAnsi="Times New Roman" w:cs="Times New Roman"/>
                <w:color w:val="auto"/>
                <w:sz w:val="21"/>
                <w:szCs w:val="21"/>
                <w:highlight w:val="none"/>
              </w:rPr>
              <w:t>围栏、及时洒水。</w:t>
            </w:r>
          </w:p>
        </w:tc>
        <w:tc>
          <w:tcPr>
            <w:tcW w:w="1512" w:type="dxa"/>
            <w:noWrap w:val="0"/>
            <w:tcMar>
              <w:left w:w="28" w:type="dxa"/>
              <w:right w:w="28" w:type="dxa"/>
            </w:tcMar>
            <w:vAlign w:val="center"/>
          </w:tcPr>
          <w:p w14:paraId="63C25D0B">
            <w:pPr>
              <w:spacing w:line="240" w:lineRule="auto"/>
              <w:jc w:val="center"/>
              <w:rPr>
                <w:rFonts w:ascii="Times New Roman" w:hAnsi="Times New Roman" w:cs="Times New Roman"/>
                <w:color w:val="auto"/>
                <w:sz w:val="21"/>
                <w:szCs w:val="21"/>
                <w:highlight w:val="none"/>
              </w:rPr>
            </w:pPr>
            <w:bookmarkStart w:id="121" w:name="_Toc10950"/>
            <w:bookmarkStart w:id="122" w:name="_Toc1473"/>
            <w:bookmarkStart w:id="123" w:name="_Toc22940"/>
            <w:bookmarkStart w:id="124" w:name="_Toc29114"/>
            <w:r>
              <w:rPr>
                <w:rFonts w:ascii="Times New Roman" w:hAnsi="Times New Roman" w:cs="Times New Roman"/>
                <w:color w:val="auto"/>
                <w:sz w:val="21"/>
                <w:szCs w:val="21"/>
                <w:highlight w:val="none"/>
              </w:rPr>
              <w:t>达到《大气污染物综合排放标准》</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GB16297-96</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表2中无组织排放限值</w:t>
            </w:r>
            <w:bookmarkEnd w:id="121"/>
            <w:bookmarkEnd w:id="122"/>
            <w:bookmarkEnd w:id="123"/>
            <w:bookmarkEnd w:id="124"/>
          </w:p>
        </w:tc>
      </w:tr>
      <w:tr w14:paraId="1905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46" w:type="dxa"/>
            <w:vMerge w:val="continue"/>
            <w:noWrap w:val="0"/>
            <w:tcMar>
              <w:left w:w="28" w:type="dxa"/>
              <w:right w:w="28" w:type="dxa"/>
            </w:tcMar>
            <w:vAlign w:val="center"/>
          </w:tcPr>
          <w:p w14:paraId="4940ABB2">
            <w:pPr>
              <w:spacing w:line="240" w:lineRule="auto"/>
              <w:jc w:val="center"/>
              <w:rPr>
                <w:rFonts w:ascii="Times New Roman" w:hAnsi="Times New Roman" w:cs="Times New Roman"/>
                <w:color w:val="auto"/>
                <w:sz w:val="21"/>
                <w:szCs w:val="21"/>
                <w:highlight w:val="none"/>
              </w:rPr>
            </w:pPr>
          </w:p>
        </w:tc>
        <w:tc>
          <w:tcPr>
            <w:tcW w:w="890" w:type="dxa"/>
            <w:vMerge w:val="continue"/>
            <w:noWrap w:val="0"/>
            <w:tcMar>
              <w:top w:w="0" w:type="dxa"/>
              <w:left w:w="28" w:type="dxa"/>
              <w:bottom w:w="0" w:type="dxa"/>
              <w:right w:w="28" w:type="dxa"/>
            </w:tcMar>
            <w:vAlign w:val="center"/>
          </w:tcPr>
          <w:p w14:paraId="7D6716E3">
            <w:pPr>
              <w:spacing w:line="240" w:lineRule="auto"/>
              <w:jc w:val="center"/>
              <w:rPr>
                <w:rFonts w:ascii="Times New Roman" w:hAnsi="Times New Roman" w:cs="Times New Roman"/>
                <w:color w:val="auto"/>
                <w:sz w:val="21"/>
                <w:szCs w:val="21"/>
                <w:highlight w:val="none"/>
              </w:rPr>
            </w:pPr>
          </w:p>
        </w:tc>
        <w:tc>
          <w:tcPr>
            <w:tcW w:w="1440" w:type="dxa"/>
            <w:tcBorders>
              <w:top w:val="single" w:color="000000" w:sz="4" w:space="0"/>
              <w:bottom w:val="single" w:color="000000" w:sz="4" w:space="0"/>
            </w:tcBorders>
            <w:noWrap w:val="0"/>
            <w:tcMar>
              <w:top w:w="0" w:type="dxa"/>
              <w:left w:w="28" w:type="dxa"/>
              <w:bottom w:w="0" w:type="dxa"/>
              <w:right w:w="28" w:type="dxa"/>
            </w:tcMar>
            <w:vAlign w:val="center"/>
          </w:tcPr>
          <w:p w14:paraId="3A1C040A">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沥青摊铺、运输</w:t>
            </w:r>
          </w:p>
        </w:tc>
        <w:tc>
          <w:tcPr>
            <w:tcW w:w="1350" w:type="dxa"/>
            <w:tcBorders>
              <w:top w:val="single" w:color="000000" w:sz="4" w:space="0"/>
              <w:bottom w:val="single" w:color="000000" w:sz="4" w:space="0"/>
            </w:tcBorders>
            <w:noWrap w:val="0"/>
            <w:tcMar>
              <w:left w:w="28" w:type="dxa"/>
              <w:right w:w="28" w:type="dxa"/>
            </w:tcMar>
            <w:vAlign w:val="center"/>
          </w:tcPr>
          <w:p w14:paraId="5EC322AA">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沥青烟</w:t>
            </w:r>
          </w:p>
        </w:tc>
        <w:tc>
          <w:tcPr>
            <w:tcW w:w="2519" w:type="dxa"/>
            <w:noWrap w:val="0"/>
            <w:tcMar>
              <w:left w:w="28" w:type="dxa"/>
              <w:right w:w="28" w:type="dxa"/>
            </w:tcMar>
            <w:vAlign w:val="center"/>
          </w:tcPr>
          <w:p w14:paraId="6F6A6EB7">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自然扩撒及空气稀释</w:t>
            </w:r>
          </w:p>
        </w:tc>
        <w:tc>
          <w:tcPr>
            <w:tcW w:w="1512" w:type="dxa"/>
            <w:noWrap w:val="0"/>
            <w:tcMar>
              <w:left w:w="28" w:type="dxa"/>
              <w:right w:w="28" w:type="dxa"/>
            </w:tcMar>
            <w:vAlign w:val="center"/>
          </w:tcPr>
          <w:p w14:paraId="1C004FF2">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对周围环境影响不大</w:t>
            </w:r>
          </w:p>
        </w:tc>
      </w:tr>
      <w:tr w14:paraId="4FDF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46" w:type="dxa"/>
            <w:vMerge w:val="continue"/>
            <w:noWrap w:val="0"/>
            <w:tcMar>
              <w:left w:w="28" w:type="dxa"/>
              <w:right w:w="28" w:type="dxa"/>
            </w:tcMar>
            <w:vAlign w:val="center"/>
          </w:tcPr>
          <w:p w14:paraId="39280158">
            <w:pPr>
              <w:spacing w:line="240" w:lineRule="auto"/>
              <w:jc w:val="center"/>
              <w:rPr>
                <w:rFonts w:ascii="Times New Roman" w:hAnsi="Times New Roman" w:cs="Times New Roman"/>
                <w:color w:val="auto"/>
                <w:sz w:val="21"/>
                <w:szCs w:val="21"/>
                <w:highlight w:val="none"/>
              </w:rPr>
            </w:pPr>
          </w:p>
        </w:tc>
        <w:tc>
          <w:tcPr>
            <w:tcW w:w="890" w:type="dxa"/>
            <w:vMerge w:val="continue"/>
            <w:noWrap w:val="0"/>
            <w:tcMar>
              <w:top w:w="0" w:type="dxa"/>
              <w:left w:w="28" w:type="dxa"/>
              <w:bottom w:w="0" w:type="dxa"/>
              <w:right w:w="28" w:type="dxa"/>
            </w:tcMar>
            <w:vAlign w:val="center"/>
          </w:tcPr>
          <w:p w14:paraId="4B735095">
            <w:pPr>
              <w:spacing w:line="240" w:lineRule="auto"/>
              <w:jc w:val="center"/>
              <w:rPr>
                <w:rFonts w:ascii="Times New Roman" w:hAnsi="Times New Roman" w:cs="Times New Roman"/>
                <w:color w:val="auto"/>
                <w:sz w:val="21"/>
                <w:szCs w:val="21"/>
                <w:highlight w:val="none"/>
              </w:rPr>
            </w:pPr>
          </w:p>
        </w:tc>
        <w:tc>
          <w:tcPr>
            <w:tcW w:w="1440" w:type="dxa"/>
            <w:tcBorders>
              <w:top w:val="single" w:color="000000" w:sz="4" w:space="0"/>
              <w:bottom w:val="single" w:color="000000" w:sz="4" w:space="0"/>
            </w:tcBorders>
            <w:noWrap w:val="0"/>
            <w:tcMar>
              <w:top w:w="0" w:type="dxa"/>
              <w:left w:w="28" w:type="dxa"/>
              <w:bottom w:w="0" w:type="dxa"/>
              <w:right w:w="28" w:type="dxa"/>
            </w:tcMar>
            <w:vAlign w:val="center"/>
          </w:tcPr>
          <w:p w14:paraId="79179D55">
            <w:pPr>
              <w:spacing w:line="240" w:lineRule="auto"/>
              <w:jc w:val="center"/>
              <w:rPr>
                <w:rFonts w:ascii="Times New Roman" w:hAnsi="Times New Roman" w:cs="Times New Roman"/>
                <w:color w:val="auto"/>
                <w:sz w:val="21"/>
                <w:szCs w:val="21"/>
                <w:highlight w:val="none"/>
              </w:rPr>
            </w:pPr>
            <w:bookmarkStart w:id="125" w:name="_Toc27229"/>
            <w:bookmarkStart w:id="126" w:name="_Toc14093"/>
            <w:bookmarkStart w:id="127" w:name="_Toc2579"/>
            <w:bookmarkStart w:id="128" w:name="_Toc32168"/>
            <w:r>
              <w:rPr>
                <w:rFonts w:ascii="Times New Roman" w:hAnsi="Times New Roman" w:cs="Times New Roman"/>
                <w:color w:val="auto"/>
                <w:sz w:val="21"/>
                <w:szCs w:val="21"/>
                <w:highlight w:val="none"/>
              </w:rPr>
              <w:t>汽车尾气及机械废气</w:t>
            </w:r>
            <w:bookmarkEnd w:id="125"/>
            <w:bookmarkEnd w:id="126"/>
            <w:bookmarkEnd w:id="127"/>
            <w:bookmarkEnd w:id="128"/>
          </w:p>
        </w:tc>
        <w:tc>
          <w:tcPr>
            <w:tcW w:w="1350" w:type="dxa"/>
            <w:tcBorders>
              <w:top w:val="single" w:color="000000" w:sz="4" w:space="0"/>
              <w:bottom w:val="single" w:color="000000" w:sz="4" w:space="0"/>
            </w:tcBorders>
            <w:noWrap w:val="0"/>
            <w:tcMar>
              <w:left w:w="28" w:type="dxa"/>
              <w:right w:w="28" w:type="dxa"/>
            </w:tcMar>
            <w:vAlign w:val="center"/>
          </w:tcPr>
          <w:p w14:paraId="3AE13A10">
            <w:pPr>
              <w:spacing w:line="240" w:lineRule="auto"/>
              <w:jc w:val="center"/>
              <w:rPr>
                <w:rFonts w:ascii="Times New Roman" w:hAnsi="Times New Roman" w:cs="Times New Roman"/>
                <w:color w:val="auto"/>
                <w:sz w:val="21"/>
                <w:szCs w:val="21"/>
                <w:highlight w:val="none"/>
              </w:rPr>
            </w:pPr>
            <w:bookmarkStart w:id="129" w:name="_Toc28302"/>
            <w:bookmarkStart w:id="130" w:name="_Toc18432"/>
            <w:bookmarkStart w:id="131" w:name="_Toc14334"/>
            <w:bookmarkStart w:id="132" w:name="_Toc6201"/>
            <w:r>
              <w:rPr>
                <w:rFonts w:ascii="Times New Roman" w:hAnsi="Times New Roman" w:cs="Times New Roman"/>
                <w:color w:val="auto"/>
                <w:sz w:val="21"/>
                <w:szCs w:val="21"/>
                <w:highlight w:val="none"/>
              </w:rPr>
              <w:t>CO、NOx、THC</w:t>
            </w:r>
            <w:bookmarkEnd w:id="129"/>
            <w:bookmarkEnd w:id="130"/>
            <w:bookmarkEnd w:id="131"/>
            <w:bookmarkEnd w:id="132"/>
          </w:p>
        </w:tc>
        <w:tc>
          <w:tcPr>
            <w:tcW w:w="2519" w:type="dxa"/>
            <w:noWrap w:val="0"/>
            <w:tcMar>
              <w:left w:w="28" w:type="dxa"/>
              <w:right w:w="28" w:type="dxa"/>
            </w:tcMar>
            <w:vAlign w:val="center"/>
          </w:tcPr>
          <w:p w14:paraId="3C089252">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严格运输车辆管理，</w:t>
            </w:r>
          </w:p>
          <w:p w14:paraId="6413D99B">
            <w:pPr>
              <w:spacing w:line="240" w:lineRule="auto"/>
              <w:jc w:val="center"/>
              <w:rPr>
                <w:rFonts w:ascii="Times New Roman" w:hAnsi="Times New Roman" w:cs="Times New Roman"/>
                <w:color w:val="auto"/>
                <w:sz w:val="21"/>
                <w:szCs w:val="21"/>
                <w:highlight w:val="none"/>
              </w:rPr>
            </w:pPr>
            <w:bookmarkStart w:id="133" w:name="_Toc9108"/>
            <w:bookmarkStart w:id="134" w:name="_Toc22550"/>
            <w:bookmarkStart w:id="135" w:name="_Toc775"/>
            <w:bookmarkStart w:id="136" w:name="_Toc13903"/>
            <w:r>
              <w:rPr>
                <w:rFonts w:ascii="Times New Roman" w:hAnsi="Times New Roman" w:cs="Times New Roman"/>
                <w:color w:val="auto"/>
                <w:sz w:val="21"/>
                <w:szCs w:val="21"/>
                <w:highlight w:val="none"/>
              </w:rPr>
              <w:t>加快进度，缩短工期。</w:t>
            </w:r>
            <w:bookmarkEnd w:id="133"/>
            <w:bookmarkEnd w:id="134"/>
            <w:bookmarkEnd w:id="135"/>
            <w:bookmarkEnd w:id="136"/>
          </w:p>
        </w:tc>
        <w:tc>
          <w:tcPr>
            <w:tcW w:w="1512" w:type="dxa"/>
            <w:vMerge w:val="restart"/>
            <w:noWrap w:val="0"/>
            <w:tcMar>
              <w:left w:w="28" w:type="dxa"/>
              <w:right w:w="28" w:type="dxa"/>
            </w:tcMar>
            <w:vAlign w:val="center"/>
          </w:tcPr>
          <w:p w14:paraId="2BA4B55A">
            <w:pPr>
              <w:spacing w:line="240" w:lineRule="auto"/>
              <w:jc w:val="center"/>
              <w:rPr>
                <w:rFonts w:ascii="Times New Roman" w:hAnsi="Times New Roman" w:cs="Times New Roman"/>
                <w:color w:val="auto"/>
                <w:sz w:val="21"/>
                <w:szCs w:val="21"/>
                <w:highlight w:val="none"/>
              </w:rPr>
            </w:pPr>
            <w:bookmarkStart w:id="137" w:name="_Toc17969"/>
            <w:bookmarkStart w:id="138" w:name="_Toc16063"/>
            <w:bookmarkStart w:id="139" w:name="_Toc21315"/>
            <w:bookmarkStart w:id="140" w:name="_Toc5715"/>
            <w:r>
              <w:rPr>
                <w:rFonts w:ascii="Times New Roman" w:hAnsi="Times New Roman" w:cs="Times New Roman"/>
                <w:color w:val="auto"/>
                <w:sz w:val="21"/>
                <w:szCs w:val="21"/>
                <w:highlight w:val="none"/>
              </w:rPr>
              <w:t>对周围环境影响不大</w:t>
            </w:r>
            <w:bookmarkEnd w:id="137"/>
            <w:bookmarkEnd w:id="138"/>
            <w:bookmarkEnd w:id="139"/>
            <w:bookmarkEnd w:id="140"/>
          </w:p>
        </w:tc>
      </w:tr>
      <w:tr w14:paraId="2F3F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846" w:type="dxa"/>
            <w:vMerge w:val="continue"/>
            <w:noWrap w:val="0"/>
            <w:tcMar>
              <w:left w:w="28" w:type="dxa"/>
              <w:right w:w="28" w:type="dxa"/>
            </w:tcMar>
            <w:vAlign w:val="center"/>
          </w:tcPr>
          <w:p w14:paraId="23E4CE0A">
            <w:pPr>
              <w:spacing w:line="240" w:lineRule="auto"/>
              <w:jc w:val="center"/>
              <w:rPr>
                <w:rFonts w:ascii="Times New Roman" w:hAnsi="Times New Roman" w:cs="Times New Roman"/>
                <w:color w:val="auto"/>
                <w:sz w:val="21"/>
                <w:szCs w:val="21"/>
                <w:highlight w:val="none"/>
              </w:rPr>
            </w:pPr>
          </w:p>
        </w:tc>
        <w:tc>
          <w:tcPr>
            <w:tcW w:w="890" w:type="dxa"/>
            <w:tcBorders>
              <w:top w:val="single" w:color="000000" w:sz="4" w:space="0"/>
            </w:tcBorders>
            <w:noWrap w:val="0"/>
            <w:tcMar>
              <w:top w:w="0" w:type="dxa"/>
              <w:left w:w="28" w:type="dxa"/>
              <w:bottom w:w="0" w:type="dxa"/>
              <w:right w:w="28" w:type="dxa"/>
            </w:tcMar>
            <w:vAlign w:val="center"/>
          </w:tcPr>
          <w:p w14:paraId="35CA099D">
            <w:pPr>
              <w:spacing w:line="240" w:lineRule="auto"/>
              <w:jc w:val="center"/>
              <w:rPr>
                <w:rFonts w:ascii="Times New Roman" w:hAnsi="Times New Roman" w:cs="Times New Roman"/>
                <w:color w:val="auto"/>
                <w:sz w:val="21"/>
                <w:szCs w:val="21"/>
                <w:highlight w:val="none"/>
              </w:rPr>
            </w:pPr>
            <w:bookmarkStart w:id="141" w:name="_Toc32632"/>
            <w:bookmarkStart w:id="142" w:name="_Toc17617"/>
            <w:bookmarkStart w:id="143" w:name="_Toc22840"/>
            <w:bookmarkStart w:id="144" w:name="_Toc2893"/>
            <w:r>
              <w:rPr>
                <w:rFonts w:ascii="Times New Roman" w:hAnsi="Times New Roman" w:cs="Times New Roman"/>
                <w:color w:val="auto"/>
                <w:sz w:val="21"/>
                <w:szCs w:val="21"/>
                <w:highlight w:val="none"/>
              </w:rPr>
              <w:t>运营期</w:t>
            </w:r>
            <w:bookmarkEnd w:id="141"/>
            <w:bookmarkEnd w:id="142"/>
            <w:bookmarkEnd w:id="143"/>
            <w:bookmarkEnd w:id="144"/>
          </w:p>
        </w:tc>
        <w:tc>
          <w:tcPr>
            <w:tcW w:w="1440" w:type="dxa"/>
            <w:tcBorders>
              <w:top w:val="single" w:color="000000" w:sz="4" w:space="0"/>
              <w:bottom w:val="single" w:color="auto" w:sz="4" w:space="0"/>
            </w:tcBorders>
            <w:noWrap w:val="0"/>
            <w:tcMar>
              <w:top w:w="0" w:type="dxa"/>
              <w:left w:w="28" w:type="dxa"/>
              <w:bottom w:w="0" w:type="dxa"/>
              <w:right w:w="28" w:type="dxa"/>
            </w:tcMar>
            <w:vAlign w:val="center"/>
          </w:tcPr>
          <w:p w14:paraId="588DD4E7">
            <w:pPr>
              <w:spacing w:line="240" w:lineRule="auto"/>
              <w:jc w:val="center"/>
              <w:rPr>
                <w:rFonts w:ascii="Times New Roman" w:hAnsi="Times New Roman" w:cs="Times New Roman"/>
                <w:color w:val="auto"/>
                <w:sz w:val="21"/>
                <w:szCs w:val="21"/>
                <w:highlight w:val="none"/>
              </w:rPr>
            </w:pPr>
            <w:bookmarkStart w:id="145" w:name="_Toc6879"/>
            <w:bookmarkStart w:id="146" w:name="_Toc20813"/>
            <w:bookmarkStart w:id="147" w:name="_Toc7971"/>
            <w:bookmarkStart w:id="148" w:name="_Toc8084"/>
            <w:r>
              <w:rPr>
                <w:rFonts w:ascii="Times New Roman" w:hAnsi="Times New Roman" w:cs="Times New Roman"/>
                <w:color w:val="auto"/>
                <w:sz w:val="21"/>
                <w:szCs w:val="21"/>
                <w:highlight w:val="none"/>
              </w:rPr>
              <w:t>汽车尾气</w:t>
            </w:r>
            <w:bookmarkEnd w:id="145"/>
            <w:bookmarkEnd w:id="146"/>
            <w:bookmarkEnd w:id="147"/>
            <w:bookmarkEnd w:id="148"/>
          </w:p>
        </w:tc>
        <w:tc>
          <w:tcPr>
            <w:tcW w:w="1350" w:type="dxa"/>
            <w:tcBorders>
              <w:top w:val="single" w:color="000000" w:sz="4" w:space="0"/>
              <w:bottom w:val="single" w:color="auto" w:sz="4" w:space="0"/>
            </w:tcBorders>
            <w:noWrap w:val="0"/>
            <w:tcMar>
              <w:left w:w="28" w:type="dxa"/>
              <w:right w:w="28" w:type="dxa"/>
            </w:tcMar>
            <w:vAlign w:val="center"/>
          </w:tcPr>
          <w:p w14:paraId="417E9603">
            <w:pPr>
              <w:spacing w:line="240" w:lineRule="auto"/>
              <w:jc w:val="center"/>
              <w:rPr>
                <w:rFonts w:ascii="Times New Roman" w:hAnsi="Times New Roman" w:cs="Times New Roman"/>
                <w:color w:val="auto"/>
                <w:sz w:val="21"/>
                <w:szCs w:val="21"/>
                <w:highlight w:val="none"/>
              </w:rPr>
            </w:pPr>
            <w:bookmarkStart w:id="149" w:name="_Toc11589"/>
            <w:bookmarkStart w:id="150" w:name="_Toc13777"/>
            <w:bookmarkStart w:id="151" w:name="_Toc28002"/>
            <w:bookmarkStart w:id="152" w:name="_Toc4325"/>
            <w:r>
              <w:rPr>
                <w:rFonts w:ascii="Times New Roman" w:hAnsi="Times New Roman" w:cs="Times New Roman"/>
                <w:color w:val="auto"/>
                <w:sz w:val="21"/>
                <w:szCs w:val="21"/>
                <w:highlight w:val="none"/>
              </w:rPr>
              <w:t>CO、NOx、THC</w:t>
            </w:r>
            <w:bookmarkEnd w:id="149"/>
            <w:bookmarkEnd w:id="150"/>
            <w:bookmarkEnd w:id="151"/>
            <w:bookmarkEnd w:id="152"/>
          </w:p>
        </w:tc>
        <w:tc>
          <w:tcPr>
            <w:tcW w:w="2519" w:type="dxa"/>
            <w:tcBorders>
              <w:top w:val="single" w:color="000000" w:sz="4" w:space="0"/>
              <w:bottom w:val="single" w:color="auto" w:sz="4" w:space="0"/>
            </w:tcBorders>
            <w:noWrap w:val="0"/>
            <w:tcMar>
              <w:left w:w="28" w:type="dxa"/>
              <w:right w:w="28" w:type="dxa"/>
            </w:tcMar>
            <w:vAlign w:val="center"/>
          </w:tcPr>
          <w:p w14:paraId="41103CC9">
            <w:pPr>
              <w:spacing w:line="240" w:lineRule="auto"/>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合理布置绿化；加强</w:t>
            </w:r>
            <w:r>
              <w:rPr>
                <w:rFonts w:hint="eastAsia" w:cs="Times New Roman"/>
                <w:color w:val="auto"/>
                <w:sz w:val="21"/>
                <w:szCs w:val="21"/>
                <w:highlight w:val="none"/>
                <w:lang w:eastAsia="zh-CN"/>
              </w:rPr>
              <w:t>交通管理，</w:t>
            </w:r>
            <w:r>
              <w:rPr>
                <w:rFonts w:ascii="Times New Roman" w:hAnsi="Times New Roman"/>
                <w:sz w:val="21"/>
                <w:szCs w:val="21"/>
              </w:rPr>
              <w:t>严格车管制度</w:t>
            </w:r>
            <w:r>
              <w:rPr>
                <w:rFonts w:hint="eastAsia" w:cs="Times New Roman"/>
                <w:color w:val="auto"/>
                <w:sz w:val="21"/>
                <w:szCs w:val="21"/>
                <w:highlight w:val="none"/>
                <w:lang w:eastAsia="zh-CN"/>
              </w:rPr>
              <w:t>；</w:t>
            </w:r>
            <w:r>
              <w:rPr>
                <w:rFonts w:ascii="Times New Roman" w:hAnsi="Times New Roman"/>
                <w:sz w:val="21"/>
                <w:szCs w:val="21"/>
              </w:rPr>
              <w:t>加大环保力度，减少非正常排放等事故</w:t>
            </w:r>
            <w:r>
              <w:rPr>
                <w:rFonts w:hint="eastAsia" w:ascii="Times New Roman" w:hAnsi="Times New Roman"/>
                <w:sz w:val="21"/>
                <w:szCs w:val="21"/>
                <w:lang w:eastAsia="zh-CN"/>
              </w:rPr>
              <w:t>的发生</w:t>
            </w:r>
          </w:p>
        </w:tc>
        <w:tc>
          <w:tcPr>
            <w:tcW w:w="1512" w:type="dxa"/>
            <w:vMerge w:val="continue"/>
            <w:tcBorders>
              <w:bottom w:val="single" w:color="auto" w:sz="4" w:space="0"/>
            </w:tcBorders>
            <w:noWrap w:val="0"/>
            <w:tcMar>
              <w:left w:w="28" w:type="dxa"/>
              <w:right w:w="28" w:type="dxa"/>
            </w:tcMar>
            <w:vAlign w:val="center"/>
          </w:tcPr>
          <w:p w14:paraId="56FE7C7E">
            <w:pPr>
              <w:spacing w:line="240" w:lineRule="auto"/>
              <w:jc w:val="center"/>
              <w:rPr>
                <w:rFonts w:ascii="Times New Roman" w:hAnsi="Times New Roman" w:cs="Times New Roman"/>
                <w:color w:val="auto"/>
                <w:sz w:val="21"/>
                <w:szCs w:val="21"/>
                <w:highlight w:val="none"/>
              </w:rPr>
            </w:pPr>
          </w:p>
        </w:tc>
      </w:tr>
      <w:tr w14:paraId="2324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46" w:type="dxa"/>
            <w:vMerge w:val="restart"/>
            <w:noWrap w:val="0"/>
            <w:tcMar>
              <w:left w:w="28" w:type="dxa"/>
              <w:right w:w="28" w:type="dxa"/>
            </w:tcMar>
            <w:vAlign w:val="center"/>
          </w:tcPr>
          <w:p w14:paraId="2D5786E8">
            <w:pPr>
              <w:spacing w:line="240" w:lineRule="auto"/>
              <w:jc w:val="center"/>
              <w:rPr>
                <w:rFonts w:ascii="Times New Roman" w:hAnsi="Times New Roman" w:cs="Times New Roman"/>
                <w:color w:val="auto"/>
                <w:sz w:val="21"/>
                <w:szCs w:val="21"/>
                <w:highlight w:val="none"/>
              </w:rPr>
            </w:pPr>
            <w:bookmarkStart w:id="153" w:name="_Toc18826"/>
            <w:bookmarkStart w:id="154" w:name="_Toc30771"/>
            <w:bookmarkStart w:id="155" w:name="_Toc3938"/>
            <w:bookmarkStart w:id="156" w:name="_Toc18474"/>
            <w:r>
              <w:rPr>
                <w:rFonts w:ascii="Times New Roman" w:hAnsi="Times New Roman" w:cs="Times New Roman"/>
                <w:color w:val="auto"/>
                <w:sz w:val="21"/>
                <w:szCs w:val="21"/>
                <w:highlight w:val="none"/>
              </w:rPr>
              <w:t>固体废物</w:t>
            </w:r>
            <w:bookmarkEnd w:id="153"/>
            <w:bookmarkEnd w:id="154"/>
            <w:bookmarkEnd w:id="155"/>
            <w:bookmarkEnd w:id="156"/>
          </w:p>
        </w:tc>
        <w:tc>
          <w:tcPr>
            <w:tcW w:w="890" w:type="dxa"/>
            <w:vMerge w:val="restart"/>
            <w:noWrap w:val="0"/>
            <w:tcMar>
              <w:left w:w="28" w:type="dxa"/>
              <w:right w:w="28" w:type="dxa"/>
            </w:tcMar>
            <w:vAlign w:val="center"/>
          </w:tcPr>
          <w:p w14:paraId="28A2CAB3">
            <w:pPr>
              <w:spacing w:line="240" w:lineRule="auto"/>
              <w:jc w:val="center"/>
              <w:rPr>
                <w:rFonts w:ascii="Times New Roman" w:hAnsi="Times New Roman" w:cs="Times New Roman"/>
                <w:color w:val="auto"/>
                <w:sz w:val="21"/>
                <w:szCs w:val="21"/>
                <w:highlight w:val="none"/>
              </w:rPr>
            </w:pPr>
            <w:bookmarkStart w:id="157" w:name="_Toc26400"/>
            <w:bookmarkStart w:id="158" w:name="_Toc4505"/>
            <w:bookmarkStart w:id="159" w:name="_Toc31987"/>
            <w:bookmarkStart w:id="160" w:name="_Toc13631"/>
            <w:r>
              <w:rPr>
                <w:rFonts w:ascii="Times New Roman" w:hAnsi="Times New Roman" w:cs="Times New Roman"/>
                <w:color w:val="auto"/>
                <w:sz w:val="21"/>
                <w:szCs w:val="21"/>
                <w:highlight w:val="none"/>
              </w:rPr>
              <w:t>施工期</w:t>
            </w:r>
            <w:bookmarkEnd w:id="157"/>
            <w:bookmarkEnd w:id="158"/>
            <w:bookmarkEnd w:id="159"/>
            <w:bookmarkEnd w:id="160"/>
          </w:p>
        </w:tc>
        <w:tc>
          <w:tcPr>
            <w:tcW w:w="1440" w:type="dxa"/>
            <w:noWrap w:val="0"/>
            <w:tcMar>
              <w:left w:w="28" w:type="dxa"/>
              <w:right w:w="28" w:type="dxa"/>
            </w:tcMar>
            <w:vAlign w:val="center"/>
          </w:tcPr>
          <w:p w14:paraId="4A3ADB81">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路面开挖</w:t>
            </w:r>
          </w:p>
        </w:tc>
        <w:tc>
          <w:tcPr>
            <w:tcW w:w="1350" w:type="dxa"/>
            <w:tcBorders>
              <w:bottom w:val="single" w:color="auto" w:sz="2" w:space="0"/>
            </w:tcBorders>
            <w:noWrap w:val="0"/>
            <w:tcMar>
              <w:left w:w="28" w:type="dxa"/>
              <w:right w:w="28" w:type="dxa"/>
            </w:tcMar>
            <w:vAlign w:val="center"/>
          </w:tcPr>
          <w:p w14:paraId="285F1974">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土石方</w:t>
            </w:r>
          </w:p>
        </w:tc>
        <w:tc>
          <w:tcPr>
            <w:tcW w:w="2519" w:type="dxa"/>
            <w:tcBorders>
              <w:bottom w:val="single" w:color="auto" w:sz="2" w:space="0"/>
            </w:tcBorders>
            <w:noWrap w:val="0"/>
            <w:tcMar>
              <w:left w:w="28" w:type="dxa"/>
              <w:right w:w="28" w:type="dxa"/>
            </w:tcMar>
            <w:vAlign w:val="center"/>
          </w:tcPr>
          <w:p w14:paraId="08D4243D">
            <w:pPr>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运往</w:t>
            </w:r>
            <w:r>
              <w:rPr>
                <w:rFonts w:hint="eastAsia" w:ascii="Times New Roman" w:hAnsi="Times New Roman" w:cs="Times New Roman"/>
                <w:color w:val="auto"/>
                <w:sz w:val="21"/>
                <w:szCs w:val="21"/>
                <w:highlight w:val="none"/>
              </w:rPr>
              <w:t>合法弃渣场进行处理</w:t>
            </w:r>
          </w:p>
        </w:tc>
        <w:tc>
          <w:tcPr>
            <w:tcW w:w="1512" w:type="dxa"/>
            <w:vMerge w:val="restart"/>
            <w:noWrap w:val="0"/>
            <w:tcMar>
              <w:left w:w="28" w:type="dxa"/>
              <w:right w:w="28" w:type="dxa"/>
            </w:tcMar>
            <w:vAlign w:val="center"/>
          </w:tcPr>
          <w:p w14:paraId="4EC1B461">
            <w:pPr>
              <w:spacing w:line="240" w:lineRule="auto"/>
              <w:jc w:val="center"/>
              <w:rPr>
                <w:rFonts w:ascii="Times New Roman" w:hAnsi="Times New Roman" w:cs="Times New Roman"/>
                <w:color w:val="auto"/>
                <w:sz w:val="21"/>
                <w:szCs w:val="21"/>
                <w:highlight w:val="none"/>
              </w:rPr>
            </w:pPr>
            <w:bookmarkStart w:id="161" w:name="_Toc5189"/>
            <w:bookmarkStart w:id="162" w:name="_Toc32098"/>
            <w:bookmarkStart w:id="163" w:name="_Toc15528"/>
            <w:bookmarkStart w:id="164" w:name="_Toc6398"/>
            <w:r>
              <w:rPr>
                <w:rFonts w:ascii="Times New Roman" w:hAnsi="Times New Roman" w:cs="Times New Roman"/>
                <w:color w:val="auto"/>
                <w:sz w:val="21"/>
                <w:szCs w:val="21"/>
                <w:highlight w:val="none"/>
              </w:rPr>
              <w:t>处置率100%</w:t>
            </w:r>
            <w:bookmarkEnd w:id="161"/>
            <w:bookmarkEnd w:id="162"/>
            <w:bookmarkEnd w:id="163"/>
            <w:bookmarkEnd w:id="164"/>
          </w:p>
        </w:tc>
      </w:tr>
      <w:tr w14:paraId="3D6D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jc w:val="center"/>
        </w:trPr>
        <w:tc>
          <w:tcPr>
            <w:tcW w:w="846" w:type="dxa"/>
            <w:vMerge w:val="continue"/>
            <w:noWrap w:val="0"/>
            <w:tcMar>
              <w:left w:w="28" w:type="dxa"/>
              <w:right w:w="28" w:type="dxa"/>
            </w:tcMar>
            <w:vAlign w:val="center"/>
          </w:tcPr>
          <w:p w14:paraId="0F6A7450">
            <w:pPr>
              <w:spacing w:line="240" w:lineRule="auto"/>
              <w:jc w:val="center"/>
              <w:rPr>
                <w:rFonts w:ascii="Times New Roman" w:hAnsi="Times New Roman" w:cs="Times New Roman"/>
                <w:color w:val="auto"/>
                <w:sz w:val="21"/>
                <w:szCs w:val="21"/>
                <w:highlight w:val="none"/>
              </w:rPr>
            </w:pPr>
          </w:p>
        </w:tc>
        <w:tc>
          <w:tcPr>
            <w:tcW w:w="890" w:type="dxa"/>
            <w:vMerge w:val="continue"/>
            <w:noWrap w:val="0"/>
            <w:tcMar>
              <w:left w:w="28" w:type="dxa"/>
              <w:right w:w="28" w:type="dxa"/>
            </w:tcMar>
            <w:vAlign w:val="center"/>
          </w:tcPr>
          <w:p w14:paraId="4A130FEB">
            <w:pPr>
              <w:spacing w:line="240" w:lineRule="auto"/>
              <w:jc w:val="center"/>
              <w:rPr>
                <w:rFonts w:ascii="Times New Roman" w:hAnsi="Times New Roman" w:cs="Times New Roman"/>
                <w:color w:val="auto"/>
                <w:sz w:val="21"/>
                <w:szCs w:val="21"/>
                <w:highlight w:val="none"/>
              </w:rPr>
            </w:pPr>
          </w:p>
        </w:tc>
        <w:tc>
          <w:tcPr>
            <w:tcW w:w="1440" w:type="dxa"/>
            <w:tcBorders>
              <w:bottom w:val="single" w:color="auto" w:sz="4" w:space="0"/>
            </w:tcBorders>
            <w:noWrap w:val="0"/>
            <w:tcMar>
              <w:left w:w="28" w:type="dxa"/>
              <w:right w:w="28" w:type="dxa"/>
            </w:tcMar>
            <w:vAlign w:val="center"/>
          </w:tcPr>
          <w:p w14:paraId="63550F39">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施工场地</w:t>
            </w:r>
          </w:p>
        </w:tc>
        <w:tc>
          <w:tcPr>
            <w:tcW w:w="1350" w:type="dxa"/>
            <w:tcBorders>
              <w:bottom w:val="single" w:color="auto" w:sz="4" w:space="0"/>
            </w:tcBorders>
            <w:noWrap w:val="0"/>
            <w:tcMar>
              <w:left w:w="28" w:type="dxa"/>
              <w:right w:w="28" w:type="dxa"/>
            </w:tcMar>
            <w:vAlign w:val="center"/>
          </w:tcPr>
          <w:p w14:paraId="4B90BD43">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施工垃圾</w:t>
            </w:r>
          </w:p>
        </w:tc>
        <w:tc>
          <w:tcPr>
            <w:tcW w:w="2519" w:type="dxa"/>
            <w:tcBorders>
              <w:bottom w:val="single" w:color="auto" w:sz="2" w:space="0"/>
            </w:tcBorders>
            <w:noWrap w:val="0"/>
            <w:tcMar>
              <w:left w:w="28" w:type="dxa"/>
              <w:right w:w="28" w:type="dxa"/>
            </w:tcMar>
            <w:vAlign w:val="center"/>
          </w:tcPr>
          <w:p w14:paraId="58968B6E">
            <w:pPr>
              <w:spacing w:line="240" w:lineRule="auto"/>
              <w:jc w:val="center"/>
              <w:rPr>
                <w:rFonts w:ascii="Times New Roman" w:hAnsi="Times New Roman" w:cs="Times New Roman"/>
                <w:color w:val="auto"/>
                <w:sz w:val="21"/>
                <w:szCs w:val="21"/>
                <w:highlight w:val="none"/>
              </w:rPr>
            </w:pPr>
            <w:r>
              <w:rPr>
                <w:rFonts w:hint="eastAsia" w:ascii="Times New Roman" w:hAnsi="Times New Roman"/>
                <w:kern w:val="18"/>
                <w:sz w:val="21"/>
                <w:szCs w:val="21"/>
              </w:rPr>
              <w:t>按照《城市建筑垃圾管理规定》的规定充分回收利用，不能利用的部分应给予收集，不能随意丢弃，由施工单位运至建设部门指定地点进行妥善处置。</w:t>
            </w:r>
          </w:p>
        </w:tc>
        <w:tc>
          <w:tcPr>
            <w:tcW w:w="1512" w:type="dxa"/>
            <w:vMerge w:val="continue"/>
            <w:noWrap w:val="0"/>
            <w:tcMar>
              <w:left w:w="28" w:type="dxa"/>
              <w:right w:w="28" w:type="dxa"/>
            </w:tcMar>
            <w:vAlign w:val="center"/>
          </w:tcPr>
          <w:p w14:paraId="252BDBED">
            <w:pPr>
              <w:spacing w:line="240" w:lineRule="auto"/>
              <w:jc w:val="center"/>
              <w:rPr>
                <w:rFonts w:ascii="Times New Roman" w:hAnsi="Times New Roman" w:cs="Times New Roman"/>
                <w:color w:val="auto"/>
                <w:sz w:val="21"/>
                <w:szCs w:val="21"/>
                <w:highlight w:val="none"/>
              </w:rPr>
            </w:pPr>
          </w:p>
        </w:tc>
      </w:tr>
      <w:tr w14:paraId="62A9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46" w:type="dxa"/>
            <w:vMerge w:val="continue"/>
            <w:noWrap w:val="0"/>
            <w:tcMar>
              <w:left w:w="28" w:type="dxa"/>
              <w:right w:w="28" w:type="dxa"/>
            </w:tcMar>
            <w:vAlign w:val="center"/>
          </w:tcPr>
          <w:p w14:paraId="7A18FAF7">
            <w:pPr>
              <w:spacing w:line="240" w:lineRule="auto"/>
              <w:jc w:val="center"/>
              <w:rPr>
                <w:rFonts w:ascii="Times New Roman" w:hAnsi="Times New Roman" w:cs="Times New Roman"/>
                <w:color w:val="auto"/>
                <w:sz w:val="21"/>
                <w:szCs w:val="21"/>
                <w:highlight w:val="none"/>
              </w:rPr>
            </w:pPr>
          </w:p>
        </w:tc>
        <w:tc>
          <w:tcPr>
            <w:tcW w:w="890" w:type="dxa"/>
            <w:vMerge w:val="continue"/>
            <w:noWrap w:val="0"/>
            <w:tcMar>
              <w:left w:w="28" w:type="dxa"/>
              <w:right w:w="28" w:type="dxa"/>
            </w:tcMar>
            <w:vAlign w:val="center"/>
          </w:tcPr>
          <w:p w14:paraId="797E253D">
            <w:pPr>
              <w:spacing w:line="240" w:lineRule="auto"/>
              <w:jc w:val="center"/>
              <w:rPr>
                <w:rFonts w:ascii="Times New Roman" w:hAnsi="Times New Roman" w:cs="Times New Roman"/>
                <w:color w:val="auto"/>
                <w:sz w:val="21"/>
                <w:szCs w:val="21"/>
                <w:highlight w:val="none"/>
              </w:rPr>
            </w:pPr>
          </w:p>
        </w:tc>
        <w:tc>
          <w:tcPr>
            <w:tcW w:w="1440" w:type="dxa"/>
            <w:tcBorders>
              <w:bottom w:val="single" w:color="auto" w:sz="4" w:space="0"/>
            </w:tcBorders>
            <w:noWrap w:val="0"/>
            <w:tcMar>
              <w:left w:w="28" w:type="dxa"/>
              <w:right w:w="28" w:type="dxa"/>
            </w:tcMar>
            <w:vAlign w:val="center"/>
          </w:tcPr>
          <w:p w14:paraId="2E812336">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生活垃圾</w:t>
            </w:r>
          </w:p>
        </w:tc>
        <w:tc>
          <w:tcPr>
            <w:tcW w:w="1350" w:type="dxa"/>
            <w:tcBorders>
              <w:bottom w:val="single" w:color="auto" w:sz="4" w:space="0"/>
            </w:tcBorders>
            <w:noWrap w:val="0"/>
            <w:tcMar>
              <w:left w:w="28" w:type="dxa"/>
              <w:right w:w="28" w:type="dxa"/>
            </w:tcMar>
            <w:vAlign w:val="center"/>
          </w:tcPr>
          <w:p w14:paraId="29DDC87D">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生活垃圾</w:t>
            </w:r>
          </w:p>
        </w:tc>
        <w:tc>
          <w:tcPr>
            <w:tcW w:w="2519" w:type="dxa"/>
            <w:tcBorders>
              <w:bottom w:val="single" w:color="auto" w:sz="2" w:space="0"/>
            </w:tcBorders>
            <w:noWrap w:val="0"/>
            <w:tcMar>
              <w:left w:w="28" w:type="dxa"/>
              <w:right w:w="28" w:type="dxa"/>
            </w:tcMar>
            <w:vAlign w:val="center"/>
          </w:tcPr>
          <w:p w14:paraId="4AB0C4A9">
            <w:pPr>
              <w:spacing w:line="240" w:lineRule="auto"/>
              <w:jc w:val="center"/>
              <w:rPr>
                <w:rFonts w:ascii="Times New Roman" w:hAnsi="Times New Roman" w:cs="Times New Roman"/>
                <w:color w:val="auto"/>
                <w:sz w:val="21"/>
                <w:szCs w:val="21"/>
                <w:highlight w:val="none"/>
              </w:rPr>
            </w:pPr>
            <w:bookmarkStart w:id="165" w:name="_Toc23241"/>
            <w:bookmarkStart w:id="166" w:name="_Toc23675"/>
            <w:bookmarkStart w:id="167" w:name="_Toc31309"/>
            <w:bookmarkStart w:id="168" w:name="_Toc17877"/>
            <w:r>
              <w:rPr>
                <w:rFonts w:ascii="Times New Roman" w:hAnsi="Times New Roman" w:cs="Times New Roman"/>
                <w:color w:val="auto"/>
                <w:sz w:val="21"/>
                <w:szCs w:val="21"/>
                <w:highlight w:val="none"/>
              </w:rPr>
              <w:t>收集后</w:t>
            </w:r>
            <w:bookmarkEnd w:id="165"/>
            <w:bookmarkEnd w:id="166"/>
            <w:bookmarkEnd w:id="167"/>
            <w:bookmarkEnd w:id="168"/>
            <w:r>
              <w:rPr>
                <w:rFonts w:hint="eastAsia" w:ascii="Times New Roman" w:hAnsi="Times New Roman" w:cs="Times New Roman"/>
                <w:color w:val="auto"/>
                <w:sz w:val="21"/>
                <w:szCs w:val="21"/>
                <w:highlight w:val="none"/>
              </w:rPr>
              <w:t>委托环卫部门进行清运处置</w:t>
            </w:r>
          </w:p>
        </w:tc>
        <w:tc>
          <w:tcPr>
            <w:tcW w:w="1512" w:type="dxa"/>
            <w:vMerge w:val="continue"/>
            <w:noWrap w:val="0"/>
            <w:tcMar>
              <w:left w:w="28" w:type="dxa"/>
              <w:right w:w="28" w:type="dxa"/>
            </w:tcMar>
            <w:vAlign w:val="center"/>
          </w:tcPr>
          <w:p w14:paraId="01CC620E">
            <w:pPr>
              <w:spacing w:line="240" w:lineRule="auto"/>
              <w:jc w:val="center"/>
              <w:rPr>
                <w:rFonts w:ascii="Times New Roman" w:hAnsi="Times New Roman" w:cs="Times New Roman"/>
                <w:color w:val="auto"/>
                <w:sz w:val="21"/>
                <w:szCs w:val="21"/>
                <w:highlight w:val="none"/>
              </w:rPr>
            </w:pPr>
          </w:p>
        </w:tc>
      </w:tr>
      <w:tr w14:paraId="482A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jc w:val="center"/>
        </w:trPr>
        <w:tc>
          <w:tcPr>
            <w:tcW w:w="846" w:type="dxa"/>
            <w:vMerge w:val="continue"/>
            <w:noWrap w:val="0"/>
            <w:tcMar>
              <w:left w:w="28" w:type="dxa"/>
              <w:right w:w="28" w:type="dxa"/>
            </w:tcMar>
            <w:vAlign w:val="center"/>
          </w:tcPr>
          <w:p w14:paraId="1765E39C">
            <w:pPr>
              <w:spacing w:line="240" w:lineRule="auto"/>
              <w:jc w:val="center"/>
              <w:rPr>
                <w:rFonts w:ascii="Times New Roman" w:hAnsi="Times New Roman" w:cs="Times New Roman"/>
                <w:color w:val="auto"/>
                <w:sz w:val="21"/>
                <w:szCs w:val="21"/>
                <w:highlight w:val="none"/>
              </w:rPr>
            </w:pPr>
          </w:p>
        </w:tc>
        <w:tc>
          <w:tcPr>
            <w:tcW w:w="890" w:type="dxa"/>
            <w:vMerge w:val="continue"/>
            <w:noWrap w:val="0"/>
            <w:tcMar>
              <w:left w:w="28" w:type="dxa"/>
              <w:right w:w="28" w:type="dxa"/>
            </w:tcMar>
            <w:vAlign w:val="center"/>
          </w:tcPr>
          <w:p w14:paraId="09EF14CD">
            <w:pPr>
              <w:spacing w:line="240" w:lineRule="auto"/>
              <w:jc w:val="center"/>
              <w:rPr>
                <w:rFonts w:ascii="Times New Roman" w:hAnsi="Times New Roman" w:cs="Times New Roman"/>
                <w:color w:val="auto"/>
                <w:sz w:val="21"/>
                <w:szCs w:val="21"/>
                <w:highlight w:val="none"/>
              </w:rPr>
            </w:pPr>
          </w:p>
        </w:tc>
        <w:tc>
          <w:tcPr>
            <w:tcW w:w="1440" w:type="dxa"/>
            <w:tcBorders>
              <w:top w:val="single" w:color="auto" w:sz="4" w:space="0"/>
              <w:bottom w:val="single" w:color="auto" w:sz="4" w:space="0"/>
            </w:tcBorders>
            <w:noWrap w:val="0"/>
            <w:tcMar>
              <w:left w:w="28" w:type="dxa"/>
              <w:right w:w="28" w:type="dxa"/>
            </w:tcMar>
            <w:vAlign w:val="center"/>
          </w:tcPr>
          <w:p w14:paraId="2D576CA3">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机械维修</w:t>
            </w:r>
          </w:p>
        </w:tc>
        <w:tc>
          <w:tcPr>
            <w:tcW w:w="1350" w:type="dxa"/>
            <w:tcBorders>
              <w:top w:val="single" w:color="auto" w:sz="4" w:space="0"/>
              <w:bottom w:val="single" w:color="auto" w:sz="4" w:space="0"/>
            </w:tcBorders>
            <w:noWrap w:val="0"/>
            <w:tcMar>
              <w:left w:w="28" w:type="dxa"/>
              <w:right w:w="28" w:type="dxa"/>
            </w:tcMar>
            <w:vAlign w:val="center"/>
          </w:tcPr>
          <w:p w14:paraId="5FDCEE12">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废油</w:t>
            </w:r>
          </w:p>
        </w:tc>
        <w:tc>
          <w:tcPr>
            <w:tcW w:w="2519" w:type="dxa"/>
            <w:noWrap w:val="0"/>
            <w:tcMar>
              <w:left w:w="28" w:type="dxa"/>
              <w:right w:w="28" w:type="dxa"/>
            </w:tcMar>
            <w:vAlign w:val="center"/>
          </w:tcPr>
          <w:p w14:paraId="4F71A697">
            <w:pPr>
              <w:spacing w:line="240" w:lineRule="auto"/>
              <w:jc w:val="center"/>
              <w:rPr>
                <w:rFonts w:ascii="Times New Roman" w:hAnsi="Times New Roman" w:cs="Times New Roman"/>
                <w:color w:val="auto"/>
                <w:sz w:val="21"/>
                <w:szCs w:val="21"/>
                <w:highlight w:val="none"/>
              </w:rPr>
            </w:pPr>
            <w:r>
              <w:rPr>
                <w:rFonts w:hint="eastAsia"/>
                <w:sz w:val="21"/>
                <w:szCs w:val="21"/>
                <w:lang w:eastAsia="zh-CN"/>
              </w:rPr>
              <w:t>由维修点统一收集后交由有资质单位处置</w:t>
            </w:r>
          </w:p>
        </w:tc>
        <w:tc>
          <w:tcPr>
            <w:tcW w:w="1512" w:type="dxa"/>
            <w:vMerge w:val="continue"/>
            <w:noWrap w:val="0"/>
            <w:tcMar>
              <w:left w:w="28" w:type="dxa"/>
              <w:right w:w="28" w:type="dxa"/>
            </w:tcMar>
            <w:vAlign w:val="center"/>
          </w:tcPr>
          <w:p w14:paraId="2CB8EBDA">
            <w:pPr>
              <w:spacing w:line="240" w:lineRule="auto"/>
              <w:jc w:val="center"/>
              <w:rPr>
                <w:rFonts w:ascii="Times New Roman" w:hAnsi="Times New Roman" w:cs="Times New Roman"/>
                <w:color w:val="auto"/>
                <w:sz w:val="21"/>
                <w:szCs w:val="21"/>
                <w:highlight w:val="none"/>
              </w:rPr>
            </w:pPr>
          </w:p>
        </w:tc>
      </w:tr>
      <w:tr w14:paraId="502A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jc w:val="center"/>
        </w:trPr>
        <w:tc>
          <w:tcPr>
            <w:tcW w:w="846" w:type="dxa"/>
            <w:vMerge w:val="continue"/>
            <w:noWrap w:val="0"/>
            <w:tcMar>
              <w:left w:w="28" w:type="dxa"/>
              <w:right w:w="28" w:type="dxa"/>
            </w:tcMar>
            <w:vAlign w:val="center"/>
          </w:tcPr>
          <w:p w14:paraId="1F9CD3CE">
            <w:pPr>
              <w:spacing w:line="240" w:lineRule="auto"/>
              <w:jc w:val="center"/>
              <w:rPr>
                <w:rFonts w:ascii="Times New Roman" w:hAnsi="Times New Roman" w:cs="Times New Roman"/>
                <w:color w:val="auto"/>
                <w:sz w:val="21"/>
                <w:szCs w:val="21"/>
                <w:highlight w:val="none"/>
              </w:rPr>
            </w:pPr>
          </w:p>
        </w:tc>
        <w:tc>
          <w:tcPr>
            <w:tcW w:w="890" w:type="dxa"/>
            <w:vMerge w:val="continue"/>
            <w:noWrap w:val="0"/>
            <w:tcMar>
              <w:left w:w="28" w:type="dxa"/>
              <w:right w:w="28" w:type="dxa"/>
            </w:tcMar>
            <w:vAlign w:val="center"/>
          </w:tcPr>
          <w:p w14:paraId="692B9222">
            <w:pPr>
              <w:spacing w:line="240" w:lineRule="auto"/>
              <w:jc w:val="center"/>
              <w:rPr>
                <w:rFonts w:ascii="Times New Roman" w:hAnsi="Times New Roman" w:cs="Times New Roman"/>
                <w:color w:val="auto"/>
                <w:sz w:val="21"/>
                <w:szCs w:val="21"/>
                <w:highlight w:val="none"/>
              </w:rPr>
            </w:pPr>
          </w:p>
        </w:tc>
        <w:tc>
          <w:tcPr>
            <w:tcW w:w="1440" w:type="dxa"/>
            <w:tcBorders>
              <w:top w:val="single" w:color="auto" w:sz="4" w:space="0"/>
              <w:bottom w:val="single" w:color="auto" w:sz="4" w:space="0"/>
            </w:tcBorders>
            <w:noWrap w:val="0"/>
            <w:tcMar>
              <w:left w:w="28" w:type="dxa"/>
              <w:right w:w="28" w:type="dxa"/>
            </w:tcMar>
            <w:vAlign w:val="center"/>
          </w:tcPr>
          <w:p w14:paraId="477E0AF2">
            <w:pPr>
              <w:spacing w:line="240" w:lineRule="auto"/>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沥青</w:t>
            </w:r>
          </w:p>
        </w:tc>
        <w:tc>
          <w:tcPr>
            <w:tcW w:w="1350" w:type="dxa"/>
            <w:tcBorders>
              <w:top w:val="single" w:color="auto" w:sz="4" w:space="0"/>
              <w:bottom w:val="single" w:color="auto" w:sz="4" w:space="0"/>
            </w:tcBorders>
            <w:noWrap w:val="0"/>
            <w:tcMar>
              <w:left w:w="28" w:type="dxa"/>
              <w:right w:w="28" w:type="dxa"/>
            </w:tcMar>
            <w:vAlign w:val="center"/>
          </w:tcPr>
          <w:p w14:paraId="3FFD5268">
            <w:pPr>
              <w:spacing w:line="240" w:lineRule="auto"/>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废沥青</w:t>
            </w:r>
          </w:p>
        </w:tc>
        <w:tc>
          <w:tcPr>
            <w:tcW w:w="2519" w:type="dxa"/>
            <w:noWrap w:val="0"/>
            <w:tcMar>
              <w:left w:w="28" w:type="dxa"/>
              <w:right w:w="28" w:type="dxa"/>
            </w:tcMar>
            <w:vAlign w:val="center"/>
          </w:tcPr>
          <w:p w14:paraId="79B30D76">
            <w:pPr>
              <w:spacing w:line="240" w:lineRule="auto"/>
              <w:jc w:val="center"/>
              <w:rPr>
                <w:rFonts w:hint="eastAsia"/>
                <w:sz w:val="21"/>
                <w:szCs w:val="21"/>
                <w:lang w:eastAsia="zh-CN"/>
              </w:rPr>
            </w:pPr>
            <w:r>
              <w:rPr>
                <w:rFonts w:hint="eastAsia" w:ascii="Times New Roman" w:hAnsi="Times New Roman"/>
                <w:sz w:val="21"/>
                <w:szCs w:val="21"/>
              </w:rPr>
              <w:t>经施工人员</w:t>
            </w:r>
            <w:r>
              <w:rPr>
                <w:rFonts w:ascii="Times New Roman" w:hAnsi="Times New Roman"/>
                <w:sz w:val="21"/>
                <w:szCs w:val="21"/>
              </w:rPr>
              <w:t>统一收集后，</w:t>
            </w:r>
            <w:r>
              <w:rPr>
                <w:rFonts w:hint="eastAsia" w:ascii="Times New Roman" w:hAnsi="Times New Roman"/>
                <w:sz w:val="21"/>
                <w:szCs w:val="21"/>
              </w:rPr>
              <w:t>交由</w:t>
            </w:r>
            <w:r>
              <w:rPr>
                <w:rFonts w:hint="eastAsia"/>
                <w:sz w:val="21"/>
                <w:szCs w:val="21"/>
                <w:lang w:eastAsia="zh-CN"/>
              </w:rPr>
              <w:t>搅拌站回收</w:t>
            </w:r>
          </w:p>
        </w:tc>
        <w:tc>
          <w:tcPr>
            <w:tcW w:w="1512" w:type="dxa"/>
            <w:vMerge w:val="continue"/>
            <w:noWrap w:val="0"/>
            <w:tcMar>
              <w:left w:w="28" w:type="dxa"/>
              <w:right w:w="28" w:type="dxa"/>
            </w:tcMar>
            <w:vAlign w:val="center"/>
          </w:tcPr>
          <w:p w14:paraId="47F95E66">
            <w:pPr>
              <w:spacing w:line="240" w:lineRule="auto"/>
              <w:jc w:val="center"/>
              <w:rPr>
                <w:rFonts w:ascii="Times New Roman" w:hAnsi="Times New Roman" w:cs="Times New Roman"/>
                <w:color w:val="auto"/>
                <w:sz w:val="21"/>
                <w:szCs w:val="21"/>
                <w:highlight w:val="none"/>
              </w:rPr>
            </w:pPr>
          </w:p>
        </w:tc>
      </w:tr>
      <w:tr w14:paraId="6DD6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46" w:type="dxa"/>
            <w:vMerge w:val="continue"/>
            <w:noWrap w:val="0"/>
            <w:tcMar>
              <w:left w:w="28" w:type="dxa"/>
              <w:right w:w="28" w:type="dxa"/>
            </w:tcMar>
            <w:vAlign w:val="center"/>
          </w:tcPr>
          <w:p w14:paraId="1DB62C4B">
            <w:pPr>
              <w:spacing w:line="240" w:lineRule="auto"/>
              <w:jc w:val="center"/>
              <w:rPr>
                <w:rFonts w:ascii="Times New Roman" w:hAnsi="Times New Roman" w:cs="Times New Roman"/>
                <w:color w:val="auto"/>
                <w:sz w:val="21"/>
                <w:szCs w:val="21"/>
                <w:highlight w:val="none"/>
              </w:rPr>
            </w:pPr>
          </w:p>
        </w:tc>
        <w:tc>
          <w:tcPr>
            <w:tcW w:w="890" w:type="dxa"/>
            <w:vMerge w:val="restart"/>
            <w:tcBorders>
              <w:top w:val="single" w:color="auto" w:sz="4" w:space="0"/>
            </w:tcBorders>
            <w:noWrap w:val="0"/>
            <w:tcMar>
              <w:left w:w="28" w:type="dxa"/>
              <w:right w:w="28" w:type="dxa"/>
            </w:tcMar>
            <w:vAlign w:val="center"/>
          </w:tcPr>
          <w:p w14:paraId="3841CAE0">
            <w:pPr>
              <w:spacing w:line="240" w:lineRule="auto"/>
              <w:jc w:val="center"/>
              <w:rPr>
                <w:rFonts w:ascii="Times New Roman" w:hAnsi="Times New Roman" w:cs="Times New Roman"/>
                <w:color w:val="auto"/>
                <w:sz w:val="21"/>
                <w:szCs w:val="21"/>
                <w:highlight w:val="none"/>
              </w:rPr>
            </w:pPr>
            <w:bookmarkStart w:id="169" w:name="_Toc5108"/>
            <w:bookmarkStart w:id="170" w:name="_Toc13597"/>
            <w:bookmarkStart w:id="171" w:name="_Toc8482"/>
            <w:bookmarkStart w:id="172" w:name="_Toc10361"/>
            <w:r>
              <w:rPr>
                <w:rFonts w:ascii="Times New Roman" w:hAnsi="Times New Roman" w:cs="Times New Roman"/>
                <w:color w:val="auto"/>
                <w:sz w:val="21"/>
                <w:szCs w:val="21"/>
                <w:highlight w:val="none"/>
              </w:rPr>
              <w:t>运营期</w:t>
            </w:r>
            <w:bookmarkEnd w:id="169"/>
            <w:bookmarkEnd w:id="170"/>
            <w:bookmarkEnd w:id="171"/>
            <w:bookmarkEnd w:id="172"/>
          </w:p>
        </w:tc>
        <w:tc>
          <w:tcPr>
            <w:tcW w:w="1440" w:type="dxa"/>
            <w:tcBorders>
              <w:top w:val="single" w:color="auto" w:sz="4" w:space="0"/>
              <w:bottom w:val="single" w:color="auto" w:sz="4" w:space="0"/>
            </w:tcBorders>
            <w:noWrap w:val="0"/>
            <w:tcMar>
              <w:left w:w="28" w:type="dxa"/>
              <w:right w:w="28" w:type="dxa"/>
            </w:tcMar>
            <w:vAlign w:val="center"/>
          </w:tcPr>
          <w:p w14:paraId="07675000">
            <w:pPr>
              <w:spacing w:line="240" w:lineRule="auto"/>
              <w:jc w:val="center"/>
              <w:rPr>
                <w:rFonts w:ascii="Times New Roman" w:hAnsi="Times New Roman" w:cs="Times New Roman"/>
                <w:color w:val="auto"/>
                <w:sz w:val="21"/>
                <w:szCs w:val="21"/>
                <w:highlight w:val="none"/>
              </w:rPr>
            </w:pPr>
            <w:bookmarkStart w:id="173" w:name="_Toc13976"/>
            <w:bookmarkStart w:id="174" w:name="_Toc19629"/>
            <w:bookmarkStart w:id="175" w:name="_Toc30601"/>
            <w:bookmarkStart w:id="176" w:name="_Toc31785"/>
            <w:r>
              <w:rPr>
                <w:rFonts w:ascii="Times New Roman" w:hAnsi="Times New Roman" w:cs="Times New Roman"/>
                <w:color w:val="auto"/>
                <w:sz w:val="21"/>
                <w:szCs w:val="21"/>
                <w:highlight w:val="none"/>
              </w:rPr>
              <w:t>绿化修建</w:t>
            </w:r>
            <w:bookmarkEnd w:id="173"/>
            <w:bookmarkEnd w:id="174"/>
            <w:bookmarkEnd w:id="175"/>
            <w:bookmarkEnd w:id="176"/>
          </w:p>
        </w:tc>
        <w:tc>
          <w:tcPr>
            <w:tcW w:w="1350" w:type="dxa"/>
            <w:tcBorders>
              <w:top w:val="single" w:color="auto" w:sz="4" w:space="0"/>
              <w:bottom w:val="single" w:color="auto" w:sz="4" w:space="0"/>
            </w:tcBorders>
            <w:noWrap w:val="0"/>
            <w:tcMar>
              <w:left w:w="28" w:type="dxa"/>
              <w:right w:w="28" w:type="dxa"/>
            </w:tcMar>
            <w:vAlign w:val="center"/>
          </w:tcPr>
          <w:p w14:paraId="4BA05A45">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绿化垃圾</w:t>
            </w:r>
          </w:p>
        </w:tc>
        <w:tc>
          <w:tcPr>
            <w:tcW w:w="2519" w:type="dxa"/>
            <w:vMerge w:val="restart"/>
            <w:noWrap w:val="0"/>
            <w:tcMar>
              <w:left w:w="28" w:type="dxa"/>
              <w:right w:w="28" w:type="dxa"/>
            </w:tcMar>
            <w:vAlign w:val="center"/>
          </w:tcPr>
          <w:p w14:paraId="1DBFCAEE">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由当地环卫部门定期清运处理</w:t>
            </w:r>
          </w:p>
        </w:tc>
        <w:tc>
          <w:tcPr>
            <w:tcW w:w="1512" w:type="dxa"/>
            <w:vMerge w:val="continue"/>
            <w:noWrap w:val="0"/>
            <w:tcMar>
              <w:left w:w="28" w:type="dxa"/>
              <w:right w:w="28" w:type="dxa"/>
            </w:tcMar>
            <w:vAlign w:val="center"/>
          </w:tcPr>
          <w:p w14:paraId="2A44A7DE">
            <w:pPr>
              <w:spacing w:line="240" w:lineRule="auto"/>
              <w:jc w:val="center"/>
              <w:rPr>
                <w:rFonts w:ascii="Times New Roman" w:hAnsi="Times New Roman" w:cs="Times New Roman"/>
                <w:color w:val="auto"/>
                <w:sz w:val="21"/>
                <w:szCs w:val="21"/>
                <w:highlight w:val="none"/>
              </w:rPr>
            </w:pPr>
          </w:p>
        </w:tc>
      </w:tr>
      <w:tr w14:paraId="1708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846" w:type="dxa"/>
            <w:vMerge w:val="continue"/>
            <w:noWrap w:val="0"/>
            <w:tcMar>
              <w:left w:w="28" w:type="dxa"/>
              <w:right w:w="28" w:type="dxa"/>
            </w:tcMar>
            <w:vAlign w:val="center"/>
          </w:tcPr>
          <w:p w14:paraId="0118A1F8">
            <w:pPr>
              <w:spacing w:line="240" w:lineRule="auto"/>
              <w:jc w:val="center"/>
              <w:rPr>
                <w:rFonts w:ascii="Times New Roman" w:hAnsi="Times New Roman" w:cs="Times New Roman"/>
                <w:color w:val="auto"/>
                <w:sz w:val="21"/>
                <w:szCs w:val="21"/>
                <w:highlight w:val="none"/>
              </w:rPr>
            </w:pPr>
          </w:p>
        </w:tc>
        <w:tc>
          <w:tcPr>
            <w:tcW w:w="890" w:type="dxa"/>
            <w:vMerge w:val="continue"/>
            <w:noWrap w:val="0"/>
            <w:tcMar>
              <w:left w:w="28" w:type="dxa"/>
              <w:right w:w="28" w:type="dxa"/>
            </w:tcMar>
            <w:vAlign w:val="center"/>
          </w:tcPr>
          <w:p w14:paraId="41CF3A07">
            <w:pPr>
              <w:spacing w:line="240" w:lineRule="auto"/>
              <w:jc w:val="center"/>
              <w:rPr>
                <w:rFonts w:ascii="Times New Roman" w:hAnsi="Times New Roman" w:cs="Times New Roman"/>
                <w:color w:val="auto"/>
                <w:sz w:val="21"/>
                <w:szCs w:val="21"/>
                <w:highlight w:val="none"/>
              </w:rPr>
            </w:pPr>
          </w:p>
        </w:tc>
        <w:tc>
          <w:tcPr>
            <w:tcW w:w="1440" w:type="dxa"/>
            <w:tcBorders>
              <w:top w:val="single" w:color="auto" w:sz="4" w:space="0"/>
              <w:bottom w:val="single" w:color="auto" w:sz="4" w:space="0"/>
            </w:tcBorders>
            <w:noWrap w:val="0"/>
            <w:tcMar>
              <w:left w:w="28" w:type="dxa"/>
              <w:right w:w="28" w:type="dxa"/>
            </w:tcMar>
            <w:vAlign w:val="center"/>
          </w:tcPr>
          <w:p w14:paraId="7B4FCA9C">
            <w:pPr>
              <w:spacing w:line="240" w:lineRule="auto"/>
              <w:jc w:val="center"/>
              <w:rPr>
                <w:rFonts w:ascii="Times New Roman" w:hAnsi="Times New Roman" w:cs="Times New Roman"/>
                <w:color w:val="auto"/>
                <w:sz w:val="21"/>
                <w:szCs w:val="21"/>
                <w:highlight w:val="none"/>
              </w:rPr>
            </w:pPr>
            <w:bookmarkStart w:id="177" w:name="_Toc29541"/>
            <w:bookmarkStart w:id="178" w:name="_Toc22727"/>
            <w:bookmarkStart w:id="179" w:name="_Toc11742"/>
            <w:bookmarkStart w:id="180" w:name="_Toc8364"/>
            <w:r>
              <w:rPr>
                <w:rFonts w:ascii="Times New Roman" w:hAnsi="Times New Roman" w:cs="Times New Roman"/>
                <w:color w:val="auto"/>
                <w:sz w:val="21"/>
                <w:szCs w:val="21"/>
                <w:highlight w:val="none"/>
              </w:rPr>
              <w:t>道路路面</w:t>
            </w:r>
            <w:bookmarkEnd w:id="177"/>
            <w:bookmarkEnd w:id="178"/>
            <w:bookmarkEnd w:id="179"/>
            <w:bookmarkEnd w:id="180"/>
          </w:p>
        </w:tc>
        <w:tc>
          <w:tcPr>
            <w:tcW w:w="1350" w:type="dxa"/>
            <w:tcBorders>
              <w:top w:val="single" w:color="auto" w:sz="4" w:space="0"/>
              <w:bottom w:val="single" w:color="auto" w:sz="4" w:space="0"/>
            </w:tcBorders>
            <w:noWrap w:val="0"/>
            <w:tcMar>
              <w:left w:w="28" w:type="dxa"/>
              <w:right w:w="28" w:type="dxa"/>
            </w:tcMar>
            <w:vAlign w:val="center"/>
          </w:tcPr>
          <w:p w14:paraId="202C8512">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道路垃圾</w:t>
            </w:r>
          </w:p>
        </w:tc>
        <w:tc>
          <w:tcPr>
            <w:tcW w:w="2519" w:type="dxa"/>
            <w:vMerge w:val="continue"/>
            <w:tcBorders>
              <w:bottom w:val="single" w:color="auto" w:sz="2" w:space="0"/>
            </w:tcBorders>
            <w:noWrap w:val="0"/>
            <w:tcMar>
              <w:left w:w="28" w:type="dxa"/>
              <w:right w:w="28" w:type="dxa"/>
            </w:tcMar>
            <w:vAlign w:val="center"/>
          </w:tcPr>
          <w:p w14:paraId="4EC771EB">
            <w:pPr>
              <w:spacing w:line="240" w:lineRule="auto"/>
              <w:jc w:val="center"/>
              <w:rPr>
                <w:rFonts w:ascii="Times New Roman" w:hAnsi="Times New Roman" w:cs="Times New Roman"/>
                <w:color w:val="auto"/>
                <w:sz w:val="21"/>
                <w:szCs w:val="21"/>
                <w:highlight w:val="none"/>
              </w:rPr>
            </w:pPr>
          </w:p>
        </w:tc>
        <w:tc>
          <w:tcPr>
            <w:tcW w:w="1512" w:type="dxa"/>
            <w:vMerge w:val="continue"/>
            <w:noWrap w:val="0"/>
            <w:tcMar>
              <w:left w:w="28" w:type="dxa"/>
              <w:right w:w="28" w:type="dxa"/>
            </w:tcMar>
            <w:vAlign w:val="center"/>
          </w:tcPr>
          <w:p w14:paraId="2E6D6EE8">
            <w:pPr>
              <w:spacing w:line="240" w:lineRule="auto"/>
              <w:jc w:val="center"/>
              <w:rPr>
                <w:rFonts w:ascii="Times New Roman" w:hAnsi="Times New Roman" w:cs="Times New Roman"/>
                <w:color w:val="auto"/>
                <w:sz w:val="21"/>
                <w:szCs w:val="21"/>
                <w:highlight w:val="none"/>
              </w:rPr>
            </w:pPr>
          </w:p>
        </w:tc>
      </w:tr>
      <w:tr w14:paraId="4C00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jc w:val="center"/>
        </w:trPr>
        <w:tc>
          <w:tcPr>
            <w:tcW w:w="846" w:type="dxa"/>
            <w:vMerge w:val="restart"/>
            <w:noWrap w:val="0"/>
            <w:tcMar>
              <w:left w:w="28" w:type="dxa"/>
              <w:right w:w="28" w:type="dxa"/>
            </w:tcMar>
            <w:vAlign w:val="center"/>
          </w:tcPr>
          <w:p w14:paraId="5BD57576">
            <w:pPr>
              <w:spacing w:line="240" w:lineRule="auto"/>
              <w:jc w:val="center"/>
              <w:rPr>
                <w:rFonts w:ascii="Times New Roman" w:hAnsi="Times New Roman" w:cs="Times New Roman"/>
                <w:color w:val="auto"/>
                <w:sz w:val="21"/>
                <w:szCs w:val="21"/>
                <w:highlight w:val="none"/>
              </w:rPr>
            </w:pPr>
            <w:bookmarkStart w:id="181" w:name="_Toc9930"/>
            <w:bookmarkStart w:id="182" w:name="_Toc132"/>
            <w:bookmarkStart w:id="183" w:name="_Toc26154"/>
            <w:bookmarkStart w:id="184" w:name="_Toc22310"/>
            <w:r>
              <w:rPr>
                <w:rFonts w:ascii="Times New Roman" w:hAnsi="Times New Roman" w:cs="Times New Roman"/>
                <w:color w:val="auto"/>
                <w:sz w:val="21"/>
                <w:szCs w:val="21"/>
                <w:highlight w:val="none"/>
              </w:rPr>
              <w:t>噪声</w:t>
            </w:r>
            <w:bookmarkEnd w:id="181"/>
            <w:bookmarkEnd w:id="182"/>
            <w:bookmarkEnd w:id="183"/>
            <w:bookmarkEnd w:id="184"/>
          </w:p>
        </w:tc>
        <w:tc>
          <w:tcPr>
            <w:tcW w:w="890" w:type="dxa"/>
            <w:noWrap w:val="0"/>
            <w:tcMar>
              <w:left w:w="28" w:type="dxa"/>
              <w:right w:w="28" w:type="dxa"/>
            </w:tcMar>
            <w:vAlign w:val="center"/>
          </w:tcPr>
          <w:p w14:paraId="36E2982F">
            <w:pPr>
              <w:spacing w:line="240" w:lineRule="auto"/>
              <w:jc w:val="center"/>
              <w:rPr>
                <w:rFonts w:ascii="Times New Roman" w:hAnsi="Times New Roman" w:cs="Times New Roman"/>
                <w:color w:val="auto"/>
                <w:sz w:val="21"/>
                <w:szCs w:val="21"/>
                <w:highlight w:val="none"/>
              </w:rPr>
            </w:pPr>
            <w:bookmarkStart w:id="185" w:name="_Toc1888"/>
            <w:bookmarkStart w:id="186" w:name="_Toc17053"/>
            <w:bookmarkStart w:id="187" w:name="_Toc26439"/>
            <w:bookmarkStart w:id="188" w:name="_Toc16686"/>
            <w:r>
              <w:rPr>
                <w:rFonts w:ascii="Times New Roman" w:hAnsi="Times New Roman" w:cs="Times New Roman"/>
                <w:color w:val="auto"/>
                <w:sz w:val="21"/>
                <w:szCs w:val="21"/>
                <w:highlight w:val="none"/>
              </w:rPr>
              <w:t>施工期</w:t>
            </w:r>
            <w:bookmarkEnd w:id="185"/>
            <w:bookmarkEnd w:id="186"/>
            <w:bookmarkEnd w:id="187"/>
            <w:bookmarkEnd w:id="188"/>
          </w:p>
        </w:tc>
        <w:tc>
          <w:tcPr>
            <w:tcW w:w="1440" w:type="dxa"/>
            <w:noWrap w:val="0"/>
            <w:tcMar>
              <w:left w:w="28" w:type="dxa"/>
              <w:right w:w="28" w:type="dxa"/>
            </w:tcMar>
            <w:vAlign w:val="center"/>
          </w:tcPr>
          <w:p w14:paraId="239AD915">
            <w:pPr>
              <w:spacing w:line="240" w:lineRule="auto"/>
              <w:jc w:val="center"/>
              <w:rPr>
                <w:rFonts w:ascii="Times New Roman" w:hAnsi="Times New Roman" w:cs="Times New Roman"/>
                <w:color w:val="auto"/>
                <w:sz w:val="21"/>
                <w:szCs w:val="21"/>
                <w:highlight w:val="none"/>
              </w:rPr>
            </w:pPr>
            <w:bookmarkStart w:id="189" w:name="_Toc8982"/>
            <w:bookmarkStart w:id="190" w:name="_Toc24825"/>
            <w:bookmarkStart w:id="191" w:name="_Toc32107"/>
            <w:bookmarkStart w:id="192" w:name="_Toc25560"/>
            <w:r>
              <w:rPr>
                <w:rFonts w:ascii="Times New Roman" w:hAnsi="Times New Roman" w:cs="Times New Roman"/>
                <w:color w:val="auto"/>
                <w:sz w:val="21"/>
                <w:szCs w:val="21"/>
                <w:highlight w:val="none"/>
              </w:rPr>
              <w:t>施工机械、车辆</w:t>
            </w:r>
            <w:bookmarkEnd w:id="189"/>
            <w:bookmarkEnd w:id="190"/>
            <w:bookmarkEnd w:id="191"/>
            <w:bookmarkEnd w:id="192"/>
          </w:p>
        </w:tc>
        <w:tc>
          <w:tcPr>
            <w:tcW w:w="1350" w:type="dxa"/>
            <w:tcBorders>
              <w:bottom w:val="single" w:color="000000" w:sz="4" w:space="0"/>
            </w:tcBorders>
            <w:noWrap w:val="0"/>
            <w:tcMar>
              <w:left w:w="28" w:type="dxa"/>
              <w:right w:w="28" w:type="dxa"/>
            </w:tcMar>
            <w:vAlign w:val="center"/>
          </w:tcPr>
          <w:p w14:paraId="3720C00E">
            <w:pPr>
              <w:spacing w:line="240" w:lineRule="auto"/>
              <w:jc w:val="center"/>
              <w:rPr>
                <w:rFonts w:ascii="Times New Roman" w:hAnsi="Times New Roman" w:cs="Times New Roman"/>
                <w:color w:val="auto"/>
                <w:sz w:val="21"/>
                <w:szCs w:val="21"/>
                <w:highlight w:val="none"/>
              </w:rPr>
            </w:pPr>
            <w:bookmarkStart w:id="193" w:name="_Toc24334"/>
            <w:bookmarkStart w:id="194" w:name="_Toc20294"/>
            <w:bookmarkStart w:id="195" w:name="_Toc26645"/>
            <w:bookmarkStart w:id="196" w:name="_Toc1073"/>
            <w:r>
              <w:rPr>
                <w:rFonts w:ascii="Times New Roman" w:hAnsi="Times New Roman" w:cs="Times New Roman"/>
                <w:color w:val="auto"/>
                <w:sz w:val="21"/>
                <w:szCs w:val="21"/>
                <w:highlight w:val="none"/>
              </w:rPr>
              <w:t>噪声</w:t>
            </w:r>
            <w:bookmarkEnd w:id="193"/>
            <w:bookmarkEnd w:id="194"/>
            <w:bookmarkEnd w:id="195"/>
            <w:bookmarkEnd w:id="196"/>
          </w:p>
        </w:tc>
        <w:tc>
          <w:tcPr>
            <w:tcW w:w="2519" w:type="dxa"/>
            <w:tcBorders>
              <w:bottom w:val="single" w:color="000000" w:sz="4" w:space="0"/>
            </w:tcBorders>
            <w:noWrap w:val="0"/>
            <w:tcMar>
              <w:left w:w="28" w:type="dxa"/>
              <w:right w:w="28" w:type="dxa"/>
            </w:tcMar>
            <w:vAlign w:val="center"/>
          </w:tcPr>
          <w:p w14:paraId="1BCDA56B">
            <w:pPr>
              <w:spacing w:line="240" w:lineRule="auto"/>
              <w:jc w:val="both"/>
              <w:rPr>
                <w:rFonts w:ascii="Times New Roman" w:hAnsi="Times New Roman" w:cs="Times New Roman"/>
                <w:color w:val="auto"/>
                <w:sz w:val="21"/>
                <w:szCs w:val="21"/>
                <w:highlight w:val="none"/>
              </w:rPr>
            </w:pPr>
            <w:r>
              <w:rPr>
                <w:rFonts w:hint="eastAsia" w:cs="Times New Roman"/>
                <w:color w:val="auto"/>
                <w:sz w:val="21"/>
                <w:szCs w:val="21"/>
                <w:highlight w:val="none"/>
                <w:lang w:eastAsia="zh-CN"/>
              </w:rPr>
              <w:t>①</w:t>
            </w:r>
            <w:r>
              <w:rPr>
                <w:rFonts w:ascii="Times New Roman" w:hAnsi="Times New Roman" w:cs="Times New Roman"/>
                <w:color w:val="auto"/>
                <w:sz w:val="21"/>
                <w:szCs w:val="21"/>
                <w:highlight w:val="none"/>
              </w:rPr>
              <w:t>选</w:t>
            </w:r>
            <w:r>
              <w:rPr>
                <w:rFonts w:hint="eastAsia" w:ascii="Times New Roman" w:hAnsi="Times New Roman" w:cs="Times New Roman"/>
                <w:color w:val="auto"/>
                <w:sz w:val="21"/>
                <w:szCs w:val="21"/>
                <w:highlight w:val="none"/>
                <w:lang w:eastAsia="zh-CN"/>
              </w:rPr>
              <w:t>取</w:t>
            </w:r>
            <w:r>
              <w:rPr>
                <w:rFonts w:ascii="Times New Roman" w:hAnsi="Times New Roman" w:cs="Times New Roman"/>
                <w:color w:val="auto"/>
                <w:sz w:val="21"/>
                <w:szCs w:val="21"/>
                <w:highlight w:val="none"/>
              </w:rPr>
              <w:t>噪声低、振动小、能耗小的先进设备。</w:t>
            </w:r>
          </w:p>
          <w:p w14:paraId="2C7EAC87">
            <w:pPr>
              <w:spacing w:line="240" w:lineRule="auto"/>
              <w:jc w:val="center"/>
              <w:rPr>
                <w:rFonts w:ascii="Times New Roman" w:hAnsi="Times New Roman" w:cs="Times New Roman"/>
                <w:color w:val="auto"/>
                <w:sz w:val="21"/>
                <w:szCs w:val="21"/>
                <w:highlight w:val="none"/>
              </w:rPr>
            </w:pPr>
            <w:r>
              <w:rPr>
                <w:rFonts w:hint="eastAsia" w:cs="Times New Roman"/>
                <w:color w:val="auto"/>
                <w:sz w:val="21"/>
                <w:szCs w:val="21"/>
                <w:highlight w:val="none"/>
                <w:lang w:eastAsia="zh-CN"/>
              </w:rPr>
              <w:t>②</w:t>
            </w:r>
            <w:r>
              <w:rPr>
                <w:rFonts w:ascii="Times New Roman" w:hAnsi="Times New Roman" w:cs="Times New Roman"/>
                <w:color w:val="auto"/>
                <w:sz w:val="21"/>
                <w:szCs w:val="21"/>
                <w:highlight w:val="none"/>
              </w:rPr>
              <w:t>运输车辆减速、禁鸣。</w:t>
            </w:r>
          </w:p>
          <w:p w14:paraId="14952062">
            <w:pPr>
              <w:spacing w:line="240" w:lineRule="auto"/>
              <w:rPr>
                <w:rFonts w:ascii="Times New Roman" w:hAnsi="Times New Roman" w:cs="Times New Roman"/>
                <w:color w:val="auto"/>
                <w:sz w:val="21"/>
                <w:szCs w:val="21"/>
                <w:highlight w:val="none"/>
              </w:rPr>
            </w:pPr>
            <w:r>
              <w:rPr>
                <w:rFonts w:hint="eastAsia" w:cs="Times New Roman"/>
                <w:color w:val="auto"/>
                <w:sz w:val="21"/>
                <w:szCs w:val="21"/>
                <w:highlight w:val="none"/>
                <w:lang w:eastAsia="zh-CN"/>
              </w:rPr>
              <w:t>③</w:t>
            </w:r>
            <w:r>
              <w:rPr>
                <w:rFonts w:ascii="Times New Roman" w:hAnsi="Times New Roman" w:cs="Times New Roman"/>
                <w:color w:val="auto"/>
                <w:sz w:val="21"/>
                <w:szCs w:val="21"/>
                <w:highlight w:val="none"/>
              </w:rPr>
              <w:t>设2.5m遮挡围栏。</w:t>
            </w:r>
          </w:p>
        </w:tc>
        <w:tc>
          <w:tcPr>
            <w:tcW w:w="1512" w:type="dxa"/>
            <w:noWrap w:val="0"/>
            <w:tcMar>
              <w:left w:w="28" w:type="dxa"/>
              <w:right w:w="28" w:type="dxa"/>
            </w:tcMar>
            <w:vAlign w:val="center"/>
          </w:tcPr>
          <w:p w14:paraId="4C898397">
            <w:pPr>
              <w:spacing w:line="240" w:lineRule="auto"/>
              <w:jc w:val="center"/>
              <w:rPr>
                <w:rFonts w:ascii="Times New Roman" w:hAnsi="Times New Roman" w:cs="Times New Roman"/>
                <w:color w:val="auto"/>
                <w:sz w:val="21"/>
                <w:szCs w:val="21"/>
                <w:highlight w:val="none"/>
              </w:rPr>
            </w:pPr>
            <w:bookmarkStart w:id="197" w:name="_Toc3422"/>
            <w:bookmarkStart w:id="198" w:name="_Toc24261"/>
            <w:bookmarkStart w:id="199" w:name="_Toc20110"/>
            <w:bookmarkStart w:id="200" w:name="_Toc27061"/>
            <w:r>
              <w:rPr>
                <w:rFonts w:ascii="Times New Roman" w:hAnsi="Times New Roman" w:cs="Times New Roman"/>
                <w:color w:val="auto"/>
                <w:sz w:val="21"/>
                <w:szCs w:val="21"/>
                <w:highlight w:val="none"/>
              </w:rPr>
              <w:t>符合《建筑施工场界环境噪声排放标准》(GB12523-2011)要求</w:t>
            </w:r>
            <w:bookmarkEnd w:id="197"/>
            <w:bookmarkEnd w:id="198"/>
            <w:bookmarkEnd w:id="199"/>
            <w:bookmarkEnd w:id="200"/>
            <w:r>
              <w:rPr>
                <w:rFonts w:ascii="Times New Roman" w:hAnsi="Times New Roman" w:cs="Times New Roman"/>
                <w:color w:val="auto"/>
                <w:sz w:val="21"/>
                <w:szCs w:val="21"/>
                <w:highlight w:val="none"/>
              </w:rPr>
              <w:t>：</w:t>
            </w:r>
            <w:bookmarkStart w:id="201" w:name="_Toc30107"/>
            <w:bookmarkStart w:id="202" w:name="_Toc16173"/>
            <w:bookmarkStart w:id="203" w:name="_Toc27955"/>
            <w:bookmarkStart w:id="204" w:name="_Toc23777"/>
            <w:r>
              <w:rPr>
                <w:rFonts w:ascii="Times New Roman" w:hAnsi="Times New Roman" w:cs="Times New Roman"/>
                <w:color w:val="auto"/>
                <w:sz w:val="21"/>
                <w:szCs w:val="21"/>
                <w:highlight w:val="none"/>
              </w:rPr>
              <w:t>昼间≤70dB（A）夜间≤55dB（A）</w:t>
            </w:r>
            <w:bookmarkEnd w:id="201"/>
            <w:bookmarkEnd w:id="202"/>
            <w:bookmarkEnd w:id="203"/>
            <w:bookmarkEnd w:id="204"/>
          </w:p>
        </w:tc>
      </w:tr>
      <w:tr w14:paraId="2297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846" w:type="dxa"/>
            <w:vMerge w:val="continue"/>
            <w:noWrap w:val="0"/>
            <w:tcMar>
              <w:left w:w="28" w:type="dxa"/>
              <w:right w:w="28" w:type="dxa"/>
            </w:tcMar>
            <w:vAlign w:val="center"/>
          </w:tcPr>
          <w:p w14:paraId="3B9E145B">
            <w:pPr>
              <w:spacing w:line="240" w:lineRule="auto"/>
              <w:rPr>
                <w:rFonts w:ascii="Times New Roman" w:hAnsi="Times New Roman" w:cs="Times New Roman"/>
                <w:color w:val="auto"/>
                <w:sz w:val="21"/>
                <w:szCs w:val="21"/>
                <w:highlight w:val="none"/>
              </w:rPr>
            </w:pPr>
          </w:p>
        </w:tc>
        <w:tc>
          <w:tcPr>
            <w:tcW w:w="890" w:type="dxa"/>
            <w:noWrap w:val="0"/>
            <w:tcMar>
              <w:left w:w="28" w:type="dxa"/>
              <w:right w:w="28" w:type="dxa"/>
            </w:tcMar>
            <w:vAlign w:val="center"/>
          </w:tcPr>
          <w:p w14:paraId="4304D6DA">
            <w:pPr>
              <w:spacing w:line="240" w:lineRule="auto"/>
              <w:jc w:val="center"/>
              <w:rPr>
                <w:rFonts w:ascii="Times New Roman" w:hAnsi="Times New Roman" w:cs="Times New Roman"/>
                <w:color w:val="auto"/>
                <w:sz w:val="21"/>
                <w:szCs w:val="21"/>
                <w:highlight w:val="none"/>
              </w:rPr>
            </w:pPr>
            <w:bookmarkStart w:id="205" w:name="_Toc8215"/>
            <w:bookmarkStart w:id="206" w:name="_Toc18524"/>
            <w:bookmarkStart w:id="207" w:name="_Toc5523"/>
            <w:bookmarkStart w:id="208" w:name="_Toc26998"/>
            <w:r>
              <w:rPr>
                <w:rFonts w:ascii="Times New Roman" w:hAnsi="Times New Roman" w:cs="Times New Roman"/>
                <w:color w:val="auto"/>
                <w:sz w:val="21"/>
                <w:szCs w:val="21"/>
                <w:highlight w:val="none"/>
              </w:rPr>
              <w:t>运营期</w:t>
            </w:r>
            <w:bookmarkEnd w:id="205"/>
            <w:bookmarkEnd w:id="206"/>
            <w:bookmarkEnd w:id="207"/>
            <w:bookmarkEnd w:id="208"/>
          </w:p>
        </w:tc>
        <w:tc>
          <w:tcPr>
            <w:tcW w:w="1440" w:type="dxa"/>
            <w:noWrap w:val="0"/>
            <w:tcMar>
              <w:left w:w="28" w:type="dxa"/>
              <w:right w:w="28" w:type="dxa"/>
            </w:tcMar>
            <w:vAlign w:val="center"/>
          </w:tcPr>
          <w:p w14:paraId="200E0D3F">
            <w:pPr>
              <w:spacing w:line="240" w:lineRule="auto"/>
              <w:jc w:val="center"/>
              <w:rPr>
                <w:rFonts w:ascii="Times New Roman" w:hAnsi="Times New Roman" w:cs="Times New Roman"/>
                <w:color w:val="auto"/>
                <w:sz w:val="21"/>
                <w:szCs w:val="21"/>
                <w:highlight w:val="none"/>
              </w:rPr>
            </w:pPr>
            <w:bookmarkStart w:id="209" w:name="_Toc26715"/>
            <w:bookmarkStart w:id="210" w:name="_Toc6198"/>
            <w:bookmarkStart w:id="211" w:name="_Toc22172"/>
            <w:bookmarkStart w:id="212" w:name="_Toc26281"/>
            <w:r>
              <w:rPr>
                <w:rFonts w:ascii="Times New Roman" w:hAnsi="Times New Roman" w:cs="Times New Roman"/>
                <w:color w:val="auto"/>
                <w:sz w:val="21"/>
                <w:szCs w:val="21"/>
                <w:highlight w:val="none"/>
              </w:rPr>
              <w:t>来往车辆</w:t>
            </w:r>
            <w:bookmarkEnd w:id="209"/>
            <w:bookmarkEnd w:id="210"/>
            <w:bookmarkEnd w:id="211"/>
            <w:bookmarkEnd w:id="212"/>
          </w:p>
        </w:tc>
        <w:tc>
          <w:tcPr>
            <w:tcW w:w="1350" w:type="dxa"/>
            <w:tcBorders>
              <w:bottom w:val="single" w:color="000000" w:sz="4" w:space="0"/>
            </w:tcBorders>
            <w:noWrap w:val="0"/>
            <w:tcMar>
              <w:left w:w="28" w:type="dxa"/>
              <w:right w:w="28" w:type="dxa"/>
            </w:tcMar>
            <w:vAlign w:val="center"/>
          </w:tcPr>
          <w:p w14:paraId="47719885">
            <w:pPr>
              <w:spacing w:line="240" w:lineRule="auto"/>
              <w:jc w:val="center"/>
              <w:rPr>
                <w:rFonts w:ascii="Times New Roman" w:hAnsi="Times New Roman" w:cs="Times New Roman"/>
                <w:color w:val="auto"/>
                <w:sz w:val="21"/>
                <w:szCs w:val="21"/>
                <w:highlight w:val="none"/>
              </w:rPr>
            </w:pPr>
            <w:bookmarkStart w:id="213" w:name="_Toc11485"/>
            <w:bookmarkStart w:id="214" w:name="_Toc12198"/>
            <w:bookmarkStart w:id="215" w:name="_Toc7979"/>
            <w:bookmarkStart w:id="216" w:name="_Toc9635"/>
            <w:r>
              <w:rPr>
                <w:rFonts w:ascii="Times New Roman" w:hAnsi="Times New Roman" w:cs="Times New Roman"/>
                <w:color w:val="auto"/>
                <w:sz w:val="21"/>
                <w:szCs w:val="21"/>
                <w:highlight w:val="none"/>
              </w:rPr>
              <w:t>噪声</w:t>
            </w:r>
            <w:bookmarkEnd w:id="213"/>
            <w:bookmarkEnd w:id="214"/>
            <w:bookmarkEnd w:id="215"/>
            <w:bookmarkEnd w:id="216"/>
          </w:p>
        </w:tc>
        <w:tc>
          <w:tcPr>
            <w:tcW w:w="2519" w:type="dxa"/>
            <w:tcBorders>
              <w:bottom w:val="single" w:color="000000" w:sz="4" w:space="0"/>
            </w:tcBorders>
            <w:noWrap w:val="0"/>
            <w:tcMar>
              <w:left w:w="28" w:type="dxa"/>
              <w:right w:w="28" w:type="dxa"/>
            </w:tcMar>
            <w:vAlign w:val="center"/>
          </w:tcPr>
          <w:p w14:paraId="16293A09">
            <w:pPr>
              <w:spacing w:line="240" w:lineRule="auto"/>
              <w:jc w:val="both"/>
              <w:rPr>
                <w:rFonts w:ascii="Times New Roman" w:hAnsi="Times New Roman" w:cs="Times New Roman"/>
                <w:color w:val="auto"/>
                <w:sz w:val="21"/>
                <w:szCs w:val="21"/>
                <w:highlight w:val="none"/>
              </w:rPr>
            </w:pPr>
            <w:r>
              <w:rPr>
                <w:rFonts w:hint="eastAsia" w:ascii="宋体" w:hAnsi="宋体" w:cs="宋体"/>
                <w:color w:val="auto"/>
                <w:sz w:val="21"/>
                <w:szCs w:val="21"/>
                <w:highlight w:val="none"/>
              </w:rPr>
              <w:t>①</w:t>
            </w:r>
            <w:r>
              <w:rPr>
                <w:rFonts w:ascii="Times New Roman" w:hAnsi="Times New Roman" w:cs="Times New Roman"/>
                <w:color w:val="auto"/>
                <w:sz w:val="21"/>
                <w:szCs w:val="21"/>
                <w:highlight w:val="none"/>
              </w:rPr>
              <w:t>加强敏感点周边绿化</w:t>
            </w:r>
          </w:p>
          <w:p w14:paraId="74607F80">
            <w:pPr>
              <w:spacing w:line="240" w:lineRule="auto"/>
              <w:rPr>
                <w:rFonts w:ascii="Times New Roman" w:hAnsi="Times New Roman" w:cs="Times New Roman"/>
                <w:color w:val="auto"/>
                <w:sz w:val="21"/>
                <w:szCs w:val="21"/>
                <w:highlight w:val="none"/>
              </w:rPr>
            </w:pPr>
            <w:r>
              <w:rPr>
                <w:rFonts w:hint="eastAsia" w:ascii="宋体" w:hAnsi="宋体" w:cs="宋体"/>
                <w:color w:val="auto"/>
                <w:sz w:val="21"/>
                <w:szCs w:val="21"/>
                <w:highlight w:val="none"/>
              </w:rPr>
              <w:t>②</w:t>
            </w:r>
            <w:r>
              <w:rPr>
                <w:rFonts w:ascii="Times New Roman" w:hAnsi="Times New Roman" w:cs="Times New Roman"/>
                <w:color w:val="auto"/>
                <w:sz w:val="21"/>
                <w:szCs w:val="21"/>
                <w:highlight w:val="none"/>
              </w:rPr>
              <w:t>限鸣、限行、限速</w:t>
            </w:r>
          </w:p>
          <w:p w14:paraId="3778A1D3">
            <w:pPr>
              <w:spacing w:line="240" w:lineRule="auto"/>
              <w:jc w:val="both"/>
              <w:rPr>
                <w:rFonts w:ascii="Times New Roman" w:hAnsi="Times New Roman" w:cs="Times New Roman"/>
                <w:color w:val="auto"/>
                <w:sz w:val="21"/>
                <w:szCs w:val="21"/>
                <w:highlight w:val="none"/>
              </w:rPr>
            </w:pPr>
            <w:r>
              <w:rPr>
                <w:rFonts w:hint="eastAsia" w:ascii="宋体" w:hAnsi="宋体" w:cs="宋体"/>
                <w:color w:val="auto"/>
                <w:sz w:val="21"/>
                <w:szCs w:val="21"/>
                <w:highlight w:val="none"/>
              </w:rPr>
              <w:t>③</w:t>
            </w:r>
            <w:r>
              <w:rPr>
                <w:rFonts w:ascii="Times New Roman" w:hAnsi="Times New Roman" w:cs="Times New Roman"/>
                <w:color w:val="auto"/>
                <w:sz w:val="21"/>
                <w:szCs w:val="21"/>
                <w:highlight w:val="none"/>
              </w:rPr>
              <w:t>加强机动车噪声控制与工程管理</w:t>
            </w:r>
          </w:p>
          <w:p w14:paraId="7B88E9CE">
            <w:pPr>
              <w:spacing w:line="240" w:lineRule="auto"/>
              <w:jc w:val="both"/>
              <w:rPr>
                <w:rFonts w:ascii="Times New Roman" w:hAnsi="Times New Roman" w:cs="Times New Roman"/>
                <w:color w:val="auto"/>
                <w:sz w:val="21"/>
                <w:szCs w:val="21"/>
                <w:highlight w:val="none"/>
              </w:rPr>
            </w:pPr>
            <w:r>
              <w:rPr>
                <w:rFonts w:hint="eastAsia" w:ascii="宋体" w:hAnsi="宋体" w:cs="宋体"/>
                <w:color w:val="auto"/>
                <w:sz w:val="21"/>
                <w:szCs w:val="21"/>
                <w:highlight w:val="none"/>
              </w:rPr>
              <w:t>④</w:t>
            </w:r>
            <w:r>
              <w:rPr>
                <w:rFonts w:ascii="Times New Roman" w:hAnsi="Times New Roman" w:cs="Times New Roman"/>
                <w:color w:val="auto"/>
                <w:sz w:val="21"/>
                <w:szCs w:val="21"/>
                <w:highlight w:val="none"/>
              </w:rPr>
              <w:t>路政部门宜对道路进行经常性维护</w:t>
            </w:r>
          </w:p>
        </w:tc>
        <w:tc>
          <w:tcPr>
            <w:tcW w:w="1512" w:type="dxa"/>
            <w:noWrap w:val="0"/>
            <w:tcMar>
              <w:left w:w="28" w:type="dxa"/>
              <w:right w:w="28" w:type="dxa"/>
            </w:tcMar>
            <w:vAlign w:val="center"/>
          </w:tcPr>
          <w:p w14:paraId="713B9F8C">
            <w:pPr>
              <w:spacing w:line="240" w:lineRule="auto"/>
              <w:jc w:val="center"/>
              <w:rPr>
                <w:rFonts w:ascii="Times New Roman" w:hAnsi="Times New Roman" w:cs="Times New Roman"/>
                <w:color w:val="auto"/>
                <w:sz w:val="21"/>
                <w:szCs w:val="21"/>
                <w:highlight w:val="none"/>
              </w:rPr>
            </w:pPr>
            <w:bookmarkStart w:id="217" w:name="_Toc10614"/>
            <w:bookmarkStart w:id="218" w:name="_Toc5665"/>
            <w:bookmarkStart w:id="219" w:name="_Toc25451"/>
            <w:bookmarkStart w:id="220" w:name="_Toc23172"/>
            <w:r>
              <w:rPr>
                <w:rFonts w:ascii="Times New Roman" w:hAnsi="Times New Roman" w:cs="Times New Roman"/>
                <w:color w:val="auto"/>
                <w:sz w:val="21"/>
                <w:szCs w:val="21"/>
                <w:highlight w:val="none"/>
              </w:rPr>
              <w:t>满足《声环境质量标准》（GB3096-2008）中2类、4a类区标准</w:t>
            </w:r>
            <w:bookmarkEnd w:id="217"/>
            <w:bookmarkEnd w:id="218"/>
            <w:bookmarkEnd w:id="219"/>
            <w:bookmarkEnd w:id="220"/>
          </w:p>
        </w:tc>
      </w:tr>
      <w:tr w14:paraId="65CB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2" w:hRule="atLeast"/>
          <w:jc w:val="center"/>
        </w:trPr>
        <w:tc>
          <w:tcPr>
            <w:tcW w:w="8557" w:type="dxa"/>
            <w:gridSpan w:val="6"/>
            <w:noWrap w:val="0"/>
            <w:vAlign w:val="center"/>
          </w:tcPr>
          <w:p w14:paraId="20FC1147">
            <w:pPr>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主要生态防治措施及预期效果：</w:t>
            </w:r>
          </w:p>
          <w:p w14:paraId="757BD2AB">
            <w:pPr>
              <w:snapToGrid w:val="0"/>
              <w:spacing w:line="360" w:lineRule="auto"/>
              <w:ind w:firstLine="480" w:firstLineChars="200"/>
              <w:rPr>
                <w:rFonts w:ascii="Times New Roman" w:hAnsi="Times New Roman" w:cs="Times New Roman"/>
                <w:color w:val="auto"/>
                <w:sz w:val="24"/>
                <w:szCs w:val="24"/>
                <w:highlight w:val="none"/>
              </w:rPr>
            </w:pPr>
            <w:r>
              <w:rPr>
                <w:rFonts w:hint="eastAsia" w:cs="Times New Roman"/>
                <w:color w:val="auto"/>
                <w:sz w:val="24"/>
                <w:szCs w:val="24"/>
                <w:highlight w:val="none"/>
                <w:lang w:eastAsia="zh-CN"/>
              </w:rPr>
              <w:t>项目在施工和营运过程中对生态的影响主要是对道路评价范围内植物植被，水土流失的影响。</w:t>
            </w:r>
            <w:r>
              <w:rPr>
                <w:rFonts w:ascii="Times New Roman" w:hAnsi="Times New Roman" w:cs="Times New Roman"/>
                <w:color w:val="auto"/>
                <w:sz w:val="24"/>
                <w:szCs w:val="24"/>
                <w:highlight w:val="none"/>
              </w:rPr>
              <w:t>在满足道路交通功能的前提下，在道路范围内尽量增加可绿化面积</w:t>
            </w:r>
            <w:r>
              <w:rPr>
                <w:rFonts w:hint="eastAsia" w:cs="Times New Roman"/>
                <w:color w:val="auto"/>
                <w:sz w:val="24"/>
                <w:szCs w:val="24"/>
                <w:highlight w:val="none"/>
                <w:lang w:eastAsia="zh-CN"/>
              </w:rPr>
              <w:t>，</w:t>
            </w:r>
            <w:r>
              <w:rPr>
                <w:rFonts w:hint="eastAsia" w:ascii="Times New Roman" w:hAnsi="Times New Roman"/>
                <w:sz w:val="24"/>
                <w:szCs w:val="24"/>
              </w:rPr>
              <w:t>将道路对周边生态环境影响</w:t>
            </w:r>
            <w:r>
              <w:rPr>
                <w:rFonts w:hint="eastAsia"/>
                <w:sz w:val="24"/>
                <w:szCs w:val="24"/>
                <w:lang w:val="en-US" w:eastAsia="zh-CN"/>
              </w:rPr>
              <w:t>降</w:t>
            </w:r>
            <w:bookmarkStart w:id="250" w:name="_GoBack"/>
            <w:bookmarkEnd w:id="250"/>
            <w:r>
              <w:rPr>
                <w:rFonts w:hint="eastAsia" w:ascii="Times New Roman" w:hAnsi="Times New Roman"/>
                <w:sz w:val="24"/>
                <w:szCs w:val="24"/>
              </w:rPr>
              <w:t>至最低</w:t>
            </w:r>
            <w:r>
              <w:rPr>
                <w:rFonts w:hint="eastAsia" w:ascii="Times New Roman" w:hAnsi="Times New Roman"/>
                <w:sz w:val="24"/>
                <w:szCs w:val="24"/>
                <w:lang w:eastAsia="zh-CN"/>
              </w:rPr>
              <w:t>。</w:t>
            </w:r>
            <w:r>
              <w:rPr>
                <w:rFonts w:ascii="Times New Roman" w:hAnsi="Times New Roman" w:cs="Times New Roman"/>
                <w:color w:val="auto"/>
                <w:sz w:val="24"/>
                <w:szCs w:val="24"/>
                <w:highlight w:val="none"/>
              </w:rPr>
              <w:t>绿化遵循适地适树原则，优先考虑乡土树种。绿化时充分考虑行车视距及防眩光等道路交通安全方面的要求。</w:t>
            </w:r>
          </w:p>
          <w:p w14:paraId="46E74EDE">
            <w:pPr>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生态恢复方案</w:t>
            </w:r>
          </w:p>
          <w:p w14:paraId="43C7FD35">
            <w:pPr>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植被选择</w:t>
            </w:r>
          </w:p>
          <w:p w14:paraId="1DCEF083">
            <w:pPr>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w:t>
            </w:r>
            <w:r>
              <w:rPr>
                <w:rFonts w:hint="eastAsia" w:ascii="Times New Roman" w:hAnsi="Times New Roman" w:cs="Times New Roman"/>
                <w:color w:val="auto"/>
                <w:sz w:val="24"/>
                <w:szCs w:val="24"/>
                <w:highlight w:val="none"/>
                <w:lang w:eastAsia="zh-CN"/>
              </w:rPr>
              <w:t>芒市火车站片区主要道路建设工程</w:t>
            </w:r>
            <w:r>
              <w:rPr>
                <w:rFonts w:ascii="Times New Roman" w:hAnsi="Times New Roman" w:cs="Times New Roman"/>
                <w:color w:val="auto"/>
                <w:sz w:val="24"/>
                <w:szCs w:val="24"/>
                <w:highlight w:val="none"/>
              </w:rPr>
              <w:t>可行性研究报告》可知，本次设计选择了以下植被：</w:t>
            </w:r>
          </w:p>
          <w:p w14:paraId="4918B7E3">
            <w:pPr>
              <w:keepNext w:val="0"/>
              <w:keepLines w:val="0"/>
              <w:widowControl/>
              <w:suppressLineNumbers w:val="0"/>
              <w:spacing w:line="360" w:lineRule="auto"/>
              <w:ind w:firstLine="480" w:firstLineChars="200"/>
              <w:jc w:val="left"/>
              <w:rPr>
                <w:sz w:val="24"/>
                <w:szCs w:val="24"/>
              </w:rPr>
            </w:pPr>
            <w:r>
              <w:rPr>
                <w:rFonts w:ascii="Times New Roman" w:hAnsi="Times New Roman" w:cs="Times New Roman"/>
                <w:color w:val="auto"/>
                <w:sz w:val="24"/>
                <w:szCs w:val="24"/>
                <w:highlight w:val="none"/>
              </w:rPr>
              <w:fldChar w:fldCharType="begin"/>
            </w:r>
            <w:r>
              <w:rPr>
                <w:rFonts w:ascii="Times New Roman" w:hAnsi="Times New Roman" w:cs="Times New Roman"/>
                <w:color w:val="auto"/>
                <w:sz w:val="24"/>
                <w:szCs w:val="24"/>
                <w:highlight w:val="none"/>
              </w:rPr>
              <w:instrText xml:space="preserve"> = 1 \* GB3 </w:instrText>
            </w:r>
            <w:r>
              <w:rPr>
                <w:rFonts w:ascii="Times New Roman" w:hAnsi="Times New Roman" w:cs="Times New Roman"/>
                <w:color w:val="auto"/>
                <w:sz w:val="24"/>
                <w:szCs w:val="24"/>
                <w:highlight w:val="none"/>
              </w:rPr>
              <w:fldChar w:fldCharType="separate"/>
            </w:r>
            <w:r>
              <w:rPr>
                <w:rFonts w:hint="eastAsia" w:ascii="宋体" w:hAnsi="宋体" w:cs="宋体"/>
                <w:color w:val="auto"/>
                <w:sz w:val="24"/>
                <w:szCs w:val="24"/>
                <w:highlight w:val="none"/>
              </w:rPr>
              <w:t>①</w:t>
            </w:r>
            <w:r>
              <w:rPr>
                <w:rFonts w:ascii="Times New Roman" w:hAnsi="Times New Roman" w:cs="Times New Roman"/>
                <w:color w:val="auto"/>
                <w:sz w:val="24"/>
                <w:szCs w:val="24"/>
                <w:highlight w:val="none"/>
              </w:rPr>
              <w:fldChar w:fldCharType="end"/>
            </w:r>
            <w:r>
              <w:rPr>
                <w:rFonts w:ascii="Times New Roman" w:hAnsi="Times New Roman" w:cs="Times New Roman"/>
                <w:color w:val="auto"/>
                <w:sz w:val="24"/>
                <w:szCs w:val="24"/>
                <w:highlight w:val="none"/>
              </w:rPr>
              <w:t>行道树：</w:t>
            </w:r>
            <w:r>
              <w:rPr>
                <w:rFonts w:hint="eastAsia" w:ascii="Times New Roman" w:hAnsi="Times New Roman" w:cs="Times New Roman"/>
                <w:color w:val="auto"/>
                <w:sz w:val="24"/>
                <w:szCs w:val="24"/>
                <w:highlight w:val="none"/>
                <w:lang w:eastAsia="zh-CN"/>
              </w:rPr>
              <w:t>加拿利海枣、铁力木、</w:t>
            </w:r>
            <w:r>
              <w:rPr>
                <w:rFonts w:hint="eastAsia"/>
                <w:color w:val="auto"/>
                <w:sz w:val="24"/>
                <w:szCs w:val="24"/>
                <w:highlight w:val="none"/>
                <w:lang w:eastAsia="zh-CN"/>
              </w:rPr>
              <w:t>大青树、假槟榔</w:t>
            </w:r>
          </w:p>
          <w:p w14:paraId="126A41D1">
            <w:pPr>
              <w:snapToGrid w:val="0"/>
              <w:spacing w:line="360" w:lineRule="auto"/>
              <w:ind w:firstLine="480" w:firstLineChars="200"/>
              <w:rPr>
                <w:rFonts w:hint="eastAsia"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rPr>
              <w:fldChar w:fldCharType="begin"/>
            </w:r>
            <w:r>
              <w:rPr>
                <w:rFonts w:ascii="Times New Roman" w:hAnsi="Times New Roman" w:cs="Times New Roman"/>
                <w:color w:val="auto"/>
                <w:sz w:val="24"/>
                <w:szCs w:val="24"/>
                <w:highlight w:val="none"/>
              </w:rPr>
              <w:instrText xml:space="preserve"> = 2 \* GB3 </w:instrText>
            </w:r>
            <w:r>
              <w:rPr>
                <w:rFonts w:ascii="Times New Roman" w:hAnsi="Times New Roman" w:cs="Times New Roman"/>
                <w:color w:val="auto"/>
                <w:sz w:val="24"/>
                <w:szCs w:val="24"/>
                <w:highlight w:val="none"/>
              </w:rPr>
              <w:fldChar w:fldCharType="separate"/>
            </w:r>
            <w:r>
              <w:rPr>
                <w:rFonts w:hint="eastAsia" w:ascii="宋体" w:hAnsi="宋体" w:cs="宋体"/>
                <w:color w:val="auto"/>
                <w:sz w:val="24"/>
                <w:szCs w:val="24"/>
                <w:highlight w:val="none"/>
              </w:rPr>
              <w:t>②</w:t>
            </w:r>
            <w:r>
              <w:rPr>
                <w:rFonts w:ascii="Times New Roman" w:hAnsi="Times New Roman" w:cs="Times New Roman"/>
                <w:color w:val="auto"/>
                <w:sz w:val="24"/>
                <w:szCs w:val="24"/>
                <w:highlight w:val="none"/>
              </w:rPr>
              <w:fldChar w:fldCharType="end"/>
            </w:r>
            <w:r>
              <w:rPr>
                <w:rFonts w:hint="eastAsia" w:ascii="Times New Roman" w:hAnsi="Times New Roman" w:cs="Times New Roman"/>
                <w:color w:val="auto"/>
                <w:sz w:val="24"/>
                <w:szCs w:val="24"/>
                <w:highlight w:val="none"/>
              </w:rPr>
              <w:t>主要乔木：</w:t>
            </w:r>
            <w:r>
              <w:rPr>
                <w:rFonts w:hint="eastAsia" w:cs="Times New Roman"/>
                <w:color w:val="auto"/>
                <w:sz w:val="24"/>
                <w:szCs w:val="24"/>
                <w:highlight w:val="none"/>
                <w:lang w:eastAsia="zh-CN"/>
              </w:rPr>
              <w:t>假槟榔、中东海枣、小叶榄仁、</w:t>
            </w:r>
            <w:r>
              <w:rPr>
                <w:rFonts w:hint="eastAsia" w:ascii="Times New Roman" w:hAnsi="Times New Roman" w:cs="Times New Roman"/>
                <w:color w:val="auto"/>
                <w:sz w:val="24"/>
                <w:szCs w:val="24"/>
                <w:highlight w:val="none"/>
                <w:lang w:eastAsia="zh-CN"/>
              </w:rPr>
              <w:t>黄花风铃木、凤凰木</w:t>
            </w:r>
          </w:p>
          <w:p w14:paraId="26ACA5F9">
            <w:pPr>
              <w:snapToGrid w:val="0"/>
              <w:spacing w:line="360" w:lineRule="auto"/>
              <w:ind w:firstLine="480" w:firstLineChars="200"/>
              <w:rPr>
                <w:rFonts w:hint="eastAsia" w:ascii="Times New Roman" w:hAnsi="Times New Roman" w:cs="Times New Roman"/>
                <w:color w:val="auto"/>
                <w:sz w:val="24"/>
                <w:szCs w:val="24"/>
                <w:highlight w:val="none"/>
                <w:lang w:eastAsia="zh-CN"/>
              </w:rPr>
            </w:pPr>
            <w:r>
              <w:rPr>
                <w:rFonts w:hint="eastAsia" w:ascii="宋体" w:hAnsi="宋体" w:cs="Times New Roman"/>
                <w:color w:val="auto"/>
                <w:sz w:val="24"/>
                <w:szCs w:val="24"/>
                <w:highlight w:val="none"/>
              </w:rPr>
              <w:t>③</w:t>
            </w:r>
            <w:r>
              <w:rPr>
                <w:rFonts w:hint="eastAsia" w:ascii="Times New Roman" w:hAnsi="Times New Roman" w:cs="Times New Roman"/>
                <w:color w:val="auto"/>
                <w:sz w:val="24"/>
                <w:szCs w:val="24"/>
                <w:highlight w:val="none"/>
              </w:rPr>
              <w:t>主要灌木：</w:t>
            </w:r>
            <w:r>
              <w:rPr>
                <w:rFonts w:hint="eastAsia" w:ascii="Times New Roman" w:hAnsi="Times New Roman" w:cs="Times New Roman"/>
                <w:color w:val="auto"/>
                <w:sz w:val="24"/>
                <w:szCs w:val="24"/>
                <w:highlight w:val="none"/>
                <w:lang w:eastAsia="zh-CN"/>
              </w:rPr>
              <w:t>叶子花球</w:t>
            </w:r>
          </w:p>
          <w:p w14:paraId="4CE61CEE">
            <w:pPr>
              <w:snapToGrid w:val="0"/>
              <w:spacing w:line="360" w:lineRule="auto"/>
              <w:ind w:firstLine="480" w:firstLineChars="200"/>
              <w:rPr>
                <w:rFonts w:hint="eastAsia" w:ascii="Times New Roman" w:hAnsi="Times New Roman" w:cs="Times New Roman"/>
                <w:color w:val="auto"/>
                <w:sz w:val="24"/>
                <w:szCs w:val="24"/>
                <w:highlight w:val="none"/>
                <w:lang w:eastAsia="zh-CN"/>
              </w:rPr>
            </w:pPr>
            <w:r>
              <w:rPr>
                <w:rFonts w:hint="eastAsia" w:ascii="宋体" w:hAnsi="宋体" w:cs="Times New Roman"/>
                <w:color w:val="auto"/>
                <w:sz w:val="24"/>
                <w:szCs w:val="24"/>
                <w:highlight w:val="none"/>
              </w:rPr>
              <w:t>④</w:t>
            </w:r>
            <w:r>
              <w:rPr>
                <w:rFonts w:hint="eastAsia" w:ascii="Times New Roman" w:hAnsi="Times New Roman" w:cs="Times New Roman"/>
                <w:color w:val="auto"/>
                <w:sz w:val="24"/>
                <w:szCs w:val="24"/>
                <w:highlight w:val="none"/>
              </w:rPr>
              <w:t>主要地被</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红花继木、</w:t>
            </w:r>
            <w:r>
              <w:rPr>
                <w:rFonts w:hint="eastAsia" w:ascii="Times New Roman" w:hAnsi="Times New Roman" w:cs="Times New Roman"/>
                <w:color w:val="auto"/>
                <w:sz w:val="24"/>
                <w:szCs w:val="24"/>
                <w:highlight w:val="none"/>
                <w:lang w:eastAsia="zh-CN"/>
              </w:rPr>
              <w:t>黄金菊、九里香、龙船花、金叶假连翘</w:t>
            </w:r>
            <w:r>
              <w:rPr>
                <w:rFonts w:hint="eastAsia" w:cs="Times New Roman"/>
                <w:color w:val="auto"/>
                <w:sz w:val="24"/>
                <w:szCs w:val="24"/>
                <w:highlight w:val="none"/>
                <w:lang w:eastAsia="zh-CN"/>
              </w:rPr>
              <w:t>、福建茶、变叶木</w:t>
            </w:r>
          </w:p>
          <w:p w14:paraId="78F1C24E">
            <w:pPr>
              <w:snapToGrid w:val="0"/>
              <w:spacing w:line="360" w:lineRule="auto"/>
              <w:ind w:firstLine="480" w:firstLineChars="200"/>
              <w:rPr>
                <w:rFonts w:hint="eastAsia"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所选植被均能适应项目所在区域的自然环境和气候条件。地被植物与乔木植物搭配，营造出色彩层次分明、视线通透的景观效果。</w:t>
            </w:r>
          </w:p>
          <w:p w14:paraId="68E65918">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4"/>
                <w:szCs w:val="24"/>
                <w:lang w:val="en-US" w:eastAsia="zh-CN" w:bidi="ar"/>
              </w:rPr>
              <w:t>总体来看，本项目建设对生态影响是局部的，经过对道路绿化建设，对区域生态环境质量影响较小。</w:t>
            </w:r>
          </w:p>
        </w:tc>
      </w:tr>
    </w:tbl>
    <w:p w14:paraId="7E303AAE">
      <w:pPr>
        <w:rPr>
          <w:rFonts w:hint="eastAsia"/>
          <w:b/>
          <w:bCs/>
          <w:color w:val="auto"/>
          <w:sz w:val="28"/>
          <w:szCs w:val="28"/>
          <w:highlight w:val="none"/>
          <w:lang w:eastAsia="zh-CN"/>
        </w:rPr>
      </w:pPr>
      <w:r>
        <w:rPr>
          <w:rFonts w:hint="eastAsia"/>
          <w:b/>
          <w:bCs/>
          <w:color w:val="auto"/>
          <w:sz w:val="28"/>
          <w:szCs w:val="28"/>
          <w:highlight w:val="none"/>
          <w:lang w:eastAsia="zh-CN"/>
        </w:rPr>
        <w:br w:type="page"/>
      </w:r>
    </w:p>
    <w:p w14:paraId="0E84A152">
      <w:pPr>
        <w:pStyle w:val="3"/>
        <w:bidi w:val="0"/>
        <w:rPr>
          <w:rFonts w:hint="eastAsia"/>
          <w:lang w:val="en-US" w:eastAsia="zh-CN"/>
        </w:rPr>
      </w:pPr>
      <w:r>
        <w:rPr>
          <w:rFonts w:hint="eastAsia"/>
          <w:lang w:val="en-US" w:eastAsia="zh-CN"/>
        </w:rPr>
        <w:t>表九、结论与建议</w:t>
      </w:r>
    </w:p>
    <w:tbl>
      <w:tblPr>
        <w:tblStyle w:val="16"/>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6"/>
      </w:tblGrid>
      <w:tr w14:paraId="6569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6" w:hRule="atLeast"/>
        </w:trPr>
        <w:tc>
          <w:tcPr>
            <w:tcW w:w="8596" w:type="dxa"/>
          </w:tcPr>
          <w:p w14:paraId="18604527">
            <w:pPr>
              <w:numPr>
                <w:ilvl w:val="0"/>
                <w:numId w:val="33"/>
              </w:numPr>
              <w:spacing w:line="360" w:lineRule="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项目概况</w:t>
            </w:r>
          </w:p>
          <w:p w14:paraId="09E554F4">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sz w:val="24"/>
                <w:szCs w:val="24"/>
                <w:vertAlign w:val="baseline"/>
                <w:lang w:val="en-US" w:eastAsia="zh-CN"/>
              </w:rPr>
              <w:t>芒市火车站片区主要道路新建工程由芒市城市建设投资开发有限公司组织实施建设，</w:t>
            </w:r>
            <w:r>
              <w:rPr>
                <w:rFonts w:hint="default" w:ascii="Times New Roman" w:hAnsi="Times New Roman" w:cs="Times New Roman"/>
                <w:color w:val="auto"/>
                <w:sz w:val="24"/>
                <w:highlight w:val="none"/>
                <w:lang w:eastAsia="zh-CN"/>
              </w:rPr>
              <w:t>项目总</w:t>
            </w:r>
            <w:r>
              <w:rPr>
                <w:rFonts w:hint="default" w:ascii="Times New Roman" w:hAnsi="Times New Roman" w:cs="Times New Roman"/>
                <w:color w:val="auto"/>
                <w:sz w:val="24"/>
                <w:highlight w:val="none"/>
              </w:rPr>
              <w:t>投资</w:t>
            </w:r>
            <w:r>
              <w:rPr>
                <w:rFonts w:hint="eastAsia" w:cs="Times New Roman"/>
                <w:color w:val="auto"/>
                <w:sz w:val="24"/>
                <w:highlight w:val="none"/>
                <w:lang w:val="en-US" w:eastAsia="zh-CN"/>
              </w:rPr>
              <w:t>86594.77</w:t>
            </w:r>
            <w:r>
              <w:rPr>
                <w:rFonts w:hint="default" w:ascii="Times New Roman" w:hAnsi="Times New Roman" w:cs="Times New Roman"/>
                <w:color w:val="auto"/>
                <w:sz w:val="24"/>
                <w:highlight w:val="none"/>
              </w:rPr>
              <w:t>万元，</w:t>
            </w:r>
            <w:r>
              <w:rPr>
                <w:rFonts w:hint="default" w:ascii="Times New Roman" w:hAnsi="Times New Roman" w:cs="Times New Roman"/>
                <w:color w:val="000000" w:themeColor="text1"/>
                <w:sz w:val="24"/>
                <w:highlight w:val="none"/>
                <w14:textFill>
                  <w14:solidFill>
                    <w14:schemeClr w14:val="tx1"/>
                  </w14:solidFill>
                </w14:textFill>
              </w:rPr>
              <w:t>环保投资</w:t>
            </w:r>
            <w:r>
              <w:rPr>
                <w:rFonts w:hint="eastAsia" w:cs="Times New Roman"/>
                <w:color w:val="000000" w:themeColor="text1"/>
                <w:sz w:val="24"/>
                <w:highlight w:val="none"/>
                <w:lang w:val="en-US" w:eastAsia="zh-CN"/>
                <w14:textFill>
                  <w14:solidFill>
                    <w14:schemeClr w14:val="tx1"/>
                  </w14:solidFill>
                </w14:textFill>
              </w:rPr>
              <w:t>5629.3</w:t>
            </w:r>
            <w:r>
              <w:rPr>
                <w:rFonts w:hint="default" w:ascii="Times New Roman" w:hAnsi="Times New Roman" w:cs="Times New Roman"/>
                <w:color w:val="000000" w:themeColor="text1"/>
                <w:sz w:val="24"/>
                <w:highlight w:val="none"/>
                <w14:textFill>
                  <w14:solidFill>
                    <w14:schemeClr w14:val="tx1"/>
                  </w14:solidFill>
                </w14:textFill>
              </w:rPr>
              <w:t>万元，环保投资占总投资</w:t>
            </w:r>
            <w:r>
              <w:rPr>
                <w:rFonts w:hint="default" w:ascii="Times New Roman" w:hAnsi="Times New Roman" w:cs="Times New Roman"/>
                <w:color w:val="000000" w:themeColor="text1"/>
                <w:sz w:val="24"/>
                <w:highlight w:val="none"/>
                <w:lang w:val="en-US" w:eastAsia="zh-CN"/>
                <w14:textFill>
                  <w14:solidFill>
                    <w14:schemeClr w14:val="tx1"/>
                  </w14:solidFill>
                </w14:textFill>
              </w:rPr>
              <w:t>6.</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auto"/>
                <w:sz w:val="24"/>
                <w:highlight w:val="none"/>
              </w:rPr>
              <w:t>本建设内容主要包括</w:t>
            </w:r>
            <w:r>
              <w:rPr>
                <w:rFonts w:hint="eastAsia" w:cs="Times New Roman"/>
                <w:color w:val="auto"/>
                <w:sz w:val="24"/>
                <w:highlight w:val="none"/>
                <w:lang w:val="en-US" w:eastAsia="zh-CN"/>
              </w:rPr>
              <w:t>7</w:t>
            </w:r>
            <w:r>
              <w:rPr>
                <w:rFonts w:hint="default" w:ascii="Times New Roman" w:hAnsi="Times New Roman" w:eastAsia="宋体" w:cs="Times New Roman"/>
                <w:color w:val="000000"/>
                <w:kern w:val="0"/>
                <w:sz w:val="24"/>
                <w:szCs w:val="24"/>
                <w:lang w:val="en-US" w:eastAsia="zh-CN" w:bidi="ar"/>
              </w:rPr>
              <w:t>条道路， 1 号路（长 807.824m、红线宽 40m）、2 号路（长 807.129m、红线宽 32m）、3 号路（长 1228.227m、红线宽 32m）、4号路（合并段长 145m，宽 42m；二分段，北侧长 672.268m、南侧长 672.138m、红线宽均为 25m）、5 号路（长 2286.292m，其中 32m 段长 1503.75m；25m段长 782.542m）、6 号路（长 807.129m、红线宽 32m）、7 号路（长 4616.468m、红线宽 40m）。道路总长约 12km，占地面积约 415330.2</w:t>
            </w:r>
            <w:r>
              <w:rPr>
                <w:rFonts w:hint="eastAsia" w:cs="Times New Roman"/>
                <w:color w:val="000000"/>
                <w:kern w:val="0"/>
                <w:sz w:val="24"/>
                <w:szCs w:val="24"/>
                <w:lang w:val="en-US" w:eastAsia="zh-CN" w:bidi="ar"/>
              </w:rPr>
              <w:t>m</w:t>
            </w:r>
            <w:r>
              <w:rPr>
                <w:rFonts w:hint="eastAsia"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1号路、4号路、7号路设计为双向6车道，2号路、3号路</w:t>
            </w:r>
            <w:r>
              <w:rPr>
                <w:rFonts w:hint="eastAsia"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5号路、6号路设计为双向4车道。</w:t>
            </w:r>
            <w:r>
              <w:rPr>
                <w:rFonts w:hint="default" w:ascii="Times New Roman" w:hAnsi="Times New Roman" w:eastAsia="宋体" w:cs="Times New Roman"/>
                <w:color w:val="000000"/>
                <w:kern w:val="0"/>
                <w:sz w:val="24"/>
                <w:szCs w:val="24"/>
                <w:lang w:val="en-US" w:eastAsia="zh-CN" w:bidi="ar"/>
              </w:rPr>
              <w:t>拟建道路均为城市次干道</w:t>
            </w:r>
            <w:r>
              <w:rPr>
                <w:rFonts w:hint="eastAsia" w:cs="Times New Roman"/>
                <w:color w:val="000000"/>
                <w:kern w:val="0"/>
                <w:sz w:val="24"/>
                <w:szCs w:val="24"/>
                <w:lang w:val="en-US" w:eastAsia="zh-CN" w:bidi="ar"/>
              </w:rPr>
              <w:t>，</w:t>
            </w:r>
            <w:r>
              <w:rPr>
                <w:rFonts w:hint="default" w:ascii="Times New Roman" w:hAnsi="Times New Roman" w:cs="Times New Roman"/>
                <w:color w:val="auto"/>
                <w:sz w:val="24"/>
                <w:highlight w:val="none"/>
                <w:lang w:val="en-US" w:eastAsia="zh-CN"/>
              </w:rPr>
              <w:t>设计速度40km/h</w:t>
            </w:r>
            <w:r>
              <w:rPr>
                <w:rFonts w:hint="eastAsia" w:cs="Times New Roman"/>
                <w:color w:val="auto"/>
                <w:sz w:val="24"/>
                <w:highlight w:val="none"/>
                <w:lang w:val="en-US" w:eastAsia="zh-CN"/>
              </w:rPr>
              <w:t>。</w:t>
            </w:r>
          </w:p>
          <w:p w14:paraId="1D355DB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根据相关法律法规要求，对本项目的环境影响进行评价，评价结</w:t>
            </w:r>
            <w:r>
              <w:rPr>
                <w:rFonts w:hint="eastAsia" w:cs="Times New Roman"/>
                <w:color w:val="auto"/>
                <w:sz w:val="24"/>
                <w:highlight w:val="none"/>
                <w:lang w:eastAsia="zh-CN"/>
              </w:rPr>
              <w:t>论</w:t>
            </w:r>
            <w:r>
              <w:rPr>
                <w:rFonts w:hint="default" w:ascii="Times New Roman" w:hAnsi="Times New Roman" w:cs="Times New Roman"/>
                <w:color w:val="auto"/>
                <w:sz w:val="24"/>
                <w:highlight w:val="none"/>
              </w:rPr>
              <w:t>与建议如下：</w:t>
            </w:r>
          </w:p>
          <w:p w14:paraId="648166E4">
            <w:pPr>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二、结论</w:t>
            </w:r>
          </w:p>
          <w:p w14:paraId="23F46547">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1、产业政策符合性结论</w:t>
            </w:r>
          </w:p>
          <w:p w14:paraId="1FAACEE9">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szCs w:val="22"/>
                <w:highlight w:val="none"/>
              </w:rPr>
              <w:t>对</w:t>
            </w:r>
            <w:r>
              <w:rPr>
                <w:rFonts w:hint="default" w:ascii="Times New Roman" w:hAnsi="Times New Roman" w:cs="Times New Roman"/>
                <w:color w:val="auto"/>
                <w:sz w:val="24"/>
                <w:highlight w:val="none"/>
              </w:rPr>
              <w:t>照</w:t>
            </w:r>
            <w:r>
              <w:rPr>
                <w:rFonts w:hint="default" w:ascii="Times New Roman" w:hAnsi="Times New Roman" w:cs="Times New Roman"/>
                <w:color w:val="auto"/>
                <w:sz w:val="24"/>
                <w:szCs w:val="22"/>
                <w:highlight w:val="none"/>
              </w:rPr>
              <w:t>《产业结构调整指导目录（2011年本）》（2013年修订）</w:t>
            </w:r>
            <w:r>
              <w:rPr>
                <w:rFonts w:hint="default" w:ascii="Times New Roman" w:hAnsi="Times New Roman" w:cs="Times New Roman"/>
                <w:color w:val="auto"/>
                <w:sz w:val="24"/>
                <w:highlight w:val="none"/>
              </w:rPr>
              <w:t>，城市公共交通建设、城市道路及智能交通体系建设项目均属于鼓励类项目。本项目属于城市道路路网建设，属于</w:t>
            </w:r>
            <w:r>
              <w:rPr>
                <w:rFonts w:hint="default" w:ascii="Times New Roman" w:hAnsi="Times New Roman" w:cs="Times New Roman"/>
                <w:color w:val="auto"/>
                <w:sz w:val="24"/>
                <w:szCs w:val="22"/>
                <w:highlight w:val="none"/>
              </w:rPr>
              <w:t>《产业结构调整指导目录（2011年本）》（2013年修订）</w:t>
            </w:r>
            <w:r>
              <w:rPr>
                <w:rFonts w:hint="default" w:ascii="Times New Roman" w:hAnsi="Times New Roman" w:cs="Times New Roman"/>
                <w:color w:val="auto"/>
                <w:sz w:val="24"/>
                <w:highlight w:val="none"/>
              </w:rPr>
              <w:t>中第一大类鼓励类中第二十二条“城市基础设施设置”中第4款“城市道路及智能交通体系建设，符合国家相关产业政策。</w:t>
            </w:r>
          </w:p>
          <w:p w14:paraId="37BED6D4">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2、选址合理性结论</w:t>
            </w:r>
          </w:p>
          <w:p w14:paraId="19F52432">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根据项目可研资料，本工程属于城市次干道，用地区域属于统一规划的建设用地，工程选址及线路走向联动着周边整个片区规划</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且项目工程占地不在风景名胜区、自然保护区、饮用水源保护区。用地主要为农用地等，项目的选址根据工程分析和环境影响分析，本项目建设不会对周围环境造成明显不利影响。</w:t>
            </w:r>
          </w:p>
          <w:p w14:paraId="2C6B0EF9">
            <w:pPr>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综合评述，本项目选址合理可行。</w:t>
            </w:r>
          </w:p>
          <w:p w14:paraId="7820FD1E">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3、施工期环境影响分析结论</w:t>
            </w:r>
          </w:p>
          <w:p w14:paraId="594DDF8E">
            <w:pPr>
              <w:tabs>
                <w:tab w:val="left" w:pos="10260"/>
              </w:tabs>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（1）水环境影响分析</w:t>
            </w:r>
          </w:p>
          <w:p w14:paraId="01FE230C">
            <w:pPr>
              <w:tabs>
                <w:tab w:val="left" w:pos="1026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在建筑施工过程中，施工人员生活污水、设备清洗废水、泥浆废水等经项目区拟建沉砂池收集处理后，回用于施工场地洒水抑尘，不外排，对周边地表水体影响不大。</w:t>
            </w:r>
          </w:p>
          <w:p w14:paraId="75F66F92">
            <w:pPr>
              <w:tabs>
                <w:tab w:val="left" w:pos="10260"/>
              </w:tabs>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（2）环境空气影响分析</w:t>
            </w:r>
          </w:p>
          <w:p w14:paraId="30EA3B80">
            <w:pPr>
              <w:tabs>
                <w:tab w:val="left" w:pos="10260"/>
              </w:tabs>
              <w:adjustRightInd w:val="0"/>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在施工期主要污染物是扬尘、粉尘、沥青烟。粉尘经采取洒水措施后对环境影响不大，施工车辆在未铺沥青的道路上产生的扬尘污染比较严重，且影响范围也较大，但影响周期短，且将随施工结束而消失，采取必要的措施后，对环境空气的影响可以接受。本项目施工沥</w:t>
            </w:r>
            <w:r>
              <w:rPr>
                <w:rFonts w:hint="default" w:ascii="Times New Roman" w:hAnsi="Times New Roman" w:cs="Times New Roman"/>
                <w:color w:val="auto"/>
                <w:sz w:val="24"/>
                <w:highlight w:val="none"/>
                <w:lang w:eastAsia="zh-CN"/>
              </w:rPr>
              <w:t>青采用外购，路面摊铺和运输过程中产生的沥青烟</w:t>
            </w:r>
            <w:r>
              <w:rPr>
                <w:rFonts w:hint="eastAsia" w:cs="Times New Roman"/>
                <w:color w:val="auto"/>
                <w:sz w:val="24"/>
                <w:highlight w:val="none"/>
                <w:lang w:eastAsia="zh-CN"/>
              </w:rPr>
              <w:t>经大气扩散</w:t>
            </w:r>
            <w:r>
              <w:rPr>
                <w:rFonts w:hint="default" w:ascii="Times New Roman" w:hAnsi="Times New Roman" w:cs="Times New Roman"/>
                <w:color w:val="auto"/>
                <w:sz w:val="24"/>
                <w:highlight w:val="none"/>
                <w:lang w:eastAsia="zh-CN"/>
              </w:rPr>
              <w:t>对周围环境影响不大。</w:t>
            </w:r>
          </w:p>
          <w:p w14:paraId="4489898D">
            <w:pPr>
              <w:tabs>
                <w:tab w:val="left" w:pos="1026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（3）声环境影响分析</w:t>
            </w:r>
          </w:p>
          <w:p w14:paraId="25C2672F">
            <w:pPr>
              <w:tabs>
                <w:tab w:val="left" w:pos="10260"/>
              </w:tabs>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各种施工机械的使用和车辆运输以及工程施工都将不同程度地产生噪声影响，但这种不利影响是短期的，采取措施后影响不大</w:t>
            </w:r>
            <w:r>
              <w:rPr>
                <w:rFonts w:hint="default" w:ascii="Times New Roman" w:hAnsi="Times New Roman" w:cs="Times New Roman"/>
                <w:color w:val="auto"/>
                <w:sz w:val="24"/>
                <w:highlight w:val="none"/>
              </w:rPr>
              <w:t>，并随着施工期的结束而消失</w:t>
            </w:r>
            <w:r>
              <w:rPr>
                <w:rFonts w:hint="default" w:ascii="Times New Roman" w:hAnsi="Times New Roman" w:cs="Times New Roman"/>
                <w:bCs/>
                <w:color w:val="auto"/>
                <w:sz w:val="24"/>
                <w:highlight w:val="none"/>
              </w:rPr>
              <w:t>。</w:t>
            </w:r>
          </w:p>
          <w:p w14:paraId="1B087D86">
            <w:pPr>
              <w:tabs>
                <w:tab w:val="left" w:pos="1026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（4）固体废物影响分析</w:t>
            </w:r>
          </w:p>
          <w:p w14:paraId="02C9A878">
            <w:pPr>
              <w:tabs>
                <w:tab w:val="left" w:pos="10260"/>
              </w:tabs>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项目施工期产生的固体废弃物主要有废弃土石方、施工垃圾和生活垃圾；其中废弃土石方运至合法弃</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场进行处理；施工垃圾主要为建设过程中废弃施工材料，如木材、钢材等</w:t>
            </w:r>
            <w:r>
              <w:rPr>
                <w:rFonts w:hint="default" w:ascii="Times New Roman" w:hAnsi="Times New Roman" w:cs="Times New Roman"/>
                <w:kern w:val="18"/>
                <w:sz w:val="24"/>
              </w:rPr>
              <w:t>按照《城市建筑垃圾管理规定》的规定充分回收利用，不能利用的部分应给予收集，不能随意丢弃，由施工单位运至建设部门指定地点进行妥善处置</w:t>
            </w:r>
            <w:r>
              <w:rPr>
                <w:rFonts w:hint="default" w:ascii="Times New Roman" w:hAnsi="Times New Roman" w:cs="Times New Roman"/>
                <w:color w:val="auto"/>
                <w:sz w:val="24"/>
                <w:highlight w:val="none"/>
              </w:rPr>
              <w:t>；本项目生活垃圾产生量</w:t>
            </w:r>
            <w:r>
              <w:rPr>
                <w:rFonts w:hint="default" w:ascii="Times New Roman" w:hAnsi="Times New Roman" w:cs="Times New Roman"/>
                <w:color w:val="auto"/>
                <w:sz w:val="24"/>
                <w:highlight w:val="none"/>
                <w:lang w:val="en-US" w:eastAsia="zh-CN"/>
              </w:rPr>
              <w:t>6.6</w:t>
            </w:r>
            <w:r>
              <w:rPr>
                <w:rFonts w:hint="default" w:ascii="Times New Roman" w:hAnsi="Times New Roman" w:cs="Times New Roman"/>
                <w:color w:val="auto"/>
                <w:sz w:val="24"/>
                <w:highlight w:val="none"/>
              </w:rPr>
              <w:t>t，生活垃圾中主要含有有机物、纸、塑料、金属、玻璃陶瓷等，其中有机物所占比例最大，约为40％。生活垃圾统一收集后委托环卫部门进行清运处理；施工期固体废物处置率100%，对周围环境影响不大。</w:t>
            </w:r>
          </w:p>
          <w:p w14:paraId="10201C7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（5）生态影响分析</w:t>
            </w:r>
          </w:p>
          <w:p w14:paraId="0082E51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生态影响主要是施工期路基挖填使地表裸露，在雨季造成一定量的水土流失；道路建设对周围局部环境产生景观破坏，但随着施工期的结束及项目绿化的完成这些影响将逐渐减弱。</w:t>
            </w:r>
          </w:p>
          <w:p w14:paraId="1BCD64EE">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4、运营期环境影响分析结论</w:t>
            </w:r>
          </w:p>
          <w:p w14:paraId="51340EBE">
            <w:pPr>
              <w:snapToGrid w:val="0"/>
              <w:spacing w:line="360" w:lineRule="auto"/>
              <w:ind w:firstLine="480" w:firstLineChars="200"/>
              <w:rPr>
                <w:rFonts w:hint="default" w:ascii="Times New Roman" w:hAnsi="Times New Roman" w:cs="Times New Roman"/>
                <w:color w:val="auto"/>
                <w:sz w:val="24"/>
                <w:highlight w:val="none"/>
              </w:rPr>
            </w:pPr>
            <w:bookmarkStart w:id="221" w:name="_Toc17269"/>
            <w:bookmarkStart w:id="222" w:name="_Toc24043"/>
            <w:bookmarkStart w:id="223" w:name="_Toc31459"/>
            <w:bookmarkStart w:id="224" w:name="_Toc25617"/>
            <w:r>
              <w:rPr>
                <w:rFonts w:hint="default" w:ascii="Times New Roman" w:hAnsi="Times New Roman" w:cs="Times New Roman"/>
                <w:color w:val="auto"/>
                <w:sz w:val="24"/>
                <w:highlight w:val="none"/>
              </w:rPr>
              <w:t>（1）地表水环境影响分析结论</w:t>
            </w:r>
            <w:bookmarkEnd w:id="221"/>
            <w:bookmarkEnd w:id="222"/>
            <w:bookmarkEnd w:id="223"/>
            <w:bookmarkEnd w:id="224"/>
          </w:p>
          <w:p w14:paraId="5FA2750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2"/>
                <w:highlight w:val="none"/>
              </w:rPr>
              <w:t>本公路建设内容不包括养护站、服务区、加油站等设施，营运期工程自身无废水产生。营运期的地表径流雨水通过雨水沟排放，不会对地表水体造成影响</w:t>
            </w:r>
            <w:r>
              <w:rPr>
                <w:rFonts w:hint="default" w:ascii="Times New Roman" w:hAnsi="Times New Roman" w:cs="Times New Roman"/>
                <w:color w:val="auto"/>
                <w:sz w:val="24"/>
                <w:highlight w:val="none"/>
              </w:rPr>
              <w:t>，不会对当地居民的饮用水资源、水质造成影响。</w:t>
            </w:r>
          </w:p>
          <w:p w14:paraId="79184161">
            <w:pPr>
              <w:snapToGrid w:val="0"/>
              <w:spacing w:line="360" w:lineRule="auto"/>
              <w:ind w:firstLine="480" w:firstLineChars="200"/>
              <w:rPr>
                <w:rFonts w:hint="default" w:ascii="Times New Roman" w:hAnsi="Times New Roman" w:cs="Times New Roman"/>
                <w:color w:val="auto"/>
                <w:sz w:val="24"/>
                <w:highlight w:val="none"/>
              </w:rPr>
            </w:pPr>
            <w:bookmarkStart w:id="225" w:name="_Toc20615"/>
            <w:bookmarkStart w:id="226" w:name="_Toc16352"/>
            <w:bookmarkStart w:id="227" w:name="_Toc12521"/>
            <w:bookmarkStart w:id="228" w:name="_Toc3912"/>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大气环境影响分析结论</w:t>
            </w:r>
            <w:bookmarkEnd w:id="225"/>
            <w:bookmarkEnd w:id="226"/>
            <w:bookmarkEnd w:id="227"/>
            <w:bookmarkEnd w:id="228"/>
          </w:p>
          <w:p w14:paraId="114E6EA3">
            <w:pPr>
              <w:pStyle w:val="23"/>
              <w:snapToGrid w:val="0"/>
              <w:spacing w:line="360" w:lineRule="auto"/>
              <w:ind w:firstLine="436" w:firstLineChars="182"/>
              <w:rPr>
                <w:rFonts w:hint="default" w:ascii="Times New Roman" w:hAnsi="Times New Roman" w:cs="Times New Roman"/>
                <w:b/>
                <w:bCs w:val="0"/>
                <w:color w:val="auto"/>
                <w:sz w:val="24"/>
                <w:highlight w:val="none"/>
              </w:rPr>
            </w:pPr>
            <w:r>
              <w:rPr>
                <w:rFonts w:hint="default" w:ascii="Times New Roman" w:hAnsi="Times New Roman" w:cs="Times New Roman"/>
                <w:color w:val="auto"/>
                <w:sz w:val="24"/>
                <w:highlight w:val="none"/>
              </w:rPr>
              <w:t>营运期对环境空气的污染主要是机动车尾气污染，通过预测分析可知，道路两侧CO、NO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的日均浓度能够满足环境空气二类功能区的要求；各敏感点处CO、NO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浓度均能满足《环境空气质量标准》（GB3095-2012）二级标准，机动车尾气对项目区环境空气影响较小。</w:t>
            </w:r>
            <w:r>
              <w:rPr>
                <w:rFonts w:hint="eastAsia" w:ascii="Times New Roman" w:hAnsi="Times New Roman"/>
                <w:sz w:val="24"/>
              </w:rPr>
              <w:t>道路建成后，两侧设置有绿化带，道路产生的汽车尾气经绿化带吸收、稀释</w:t>
            </w:r>
            <w:r>
              <w:rPr>
                <w:rFonts w:hint="eastAsia" w:ascii="Times New Roman" w:hAnsi="Times New Roman"/>
                <w:sz w:val="24"/>
                <w:lang w:eastAsia="zh-CN"/>
              </w:rPr>
              <w:t>，且</w:t>
            </w:r>
            <w:r>
              <w:rPr>
                <w:rFonts w:hint="default" w:ascii="Times New Roman" w:hAnsi="Times New Roman" w:cs="Times New Roman"/>
                <w:color w:val="auto"/>
                <w:sz w:val="24"/>
                <w:highlight w:val="none"/>
              </w:rPr>
              <w:t>随着科技水平的不断提高，汽车尾气净化系统将逐步改进，道路汽车尾气对沿线两侧环境空气的影响范围以及影响程度都将会缩小。</w:t>
            </w:r>
          </w:p>
          <w:p w14:paraId="443039B1">
            <w:pPr>
              <w:snapToGrid w:val="0"/>
              <w:spacing w:line="360" w:lineRule="auto"/>
              <w:ind w:firstLine="480" w:firstLineChars="200"/>
              <w:rPr>
                <w:rFonts w:hint="default" w:ascii="Times New Roman" w:hAnsi="Times New Roman" w:cs="Times New Roman"/>
                <w:color w:val="auto"/>
                <w:sz w:val="24"/>
                <w:highlight w:val="none"/>
              </w:rPr>
            </w:pPr>
            <w:bookmarkStart w:id="229" w:name="_Toc18542"/>
            <w:bookmarkStart w:id="230" w:name="_Toc32177"/>
            <w:bookmarkStart w:id="231" w:name="_Toc32516"/>
            <w:bookmarkStart w:id="232" w:name="_Toc27991"/>
            <w:bookmarkStart w:id="233" w:name="_Toc15912"/>
            <w:r>
              <w:rPr>
                <w:rFonts w:hint="default" w:ascii="Times New Roman" w:hAnsi="Times New Roman" w:cs="Times New Roman"/>
                <w:color w:val="auto"/>
                <w:sz w:val="24"/>
                <w:highlight w:val="none"/>
              </w:rPr>
              <w:t>（3）声环境影响分析结论</w:t>
            </w:r>
            <w:bookmarkEnd w:id="229"/>
            <w:bookmarkEnd w:id="230"/>
            <w:bookmarkEnd w:id="231"/>
            <w:bookmarkEnd w:id="232"/>
            <w:bookmarkEnd w:id="233"/>
          </w:p>
          <w:p w14:paraId="5FEE102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通过预测可知，项目运营期，交通噪声将对区域声环境产生一定影响，</w:t>
            </w:r>
            <w:r>
              <w:rPr>
                <w:rFonts w:hint="eastAsia" w:cs="Times New Roman"/>
                <w:color w:val="auto"/>
                <w:sz w:val="24"/>
                <w:highlight w:val="none"/>
                <w:lang w:eastAsia="zh-CN"/>
              </w:rPr>
              <w:t>在</w:t>
            </w:r>
            <w:r>
              <w:rPr>
                <w:rFonts w:hint="default" w:ascii="Times New Roman" w:hAnsi="Times New Roman" w:cs="Times New Roman"/>
                <w:color w:val="auto"/>
                <w:sz w:val="24"/>
                <w:highlight w:val="none"/>
              </w:rPr>
              <w:t>通过采取</w:t>
            </w:r>
            <w:r>
              <w:rPr>
                <w:rFonts w:hint="default" w:ascii="Times New Roman" w:hAnsi="Times New Roman" w:cs="Times New Roman"/>
                <w:color w:val="auto"/>
                <w:sz w:val="24"/>
                <w:highlight w:val="none"/>
                <w:lang w:val="zh-CN"/>
              </w:rPr>
              <w:t>绿化阻隔、禁止鸣笛等措施后，</w:t>
            </w:r>
            <w:r>
              <w:rPr>
                <w:rFonts w:hint="default" w:ascii="Times New Roman" w:hAnsi="Times New Roman" w:cs="Times New Roman"/>
                <w:color w:val="auto"/>
                <w:sz w:val="24"/>
                <w:highlight w:val="none"/>
              </w:rPr>
              <w:t>噪声均能满足GB3096-2008《声环境质量标准》中相应标准要求，</w:t>
            </w:r>
            <w:r>
              <w:rPr>
                <w:rFonts w:hint="default" w:ascii="Times New Roman" w:hAnsi="Times New Roman" w:cs="Times New Roman"/>
                <w:snapToGrid w:val="0"/>
                <w:color w:val="auto"/>
                <w:sz w:val="24"/>
                <w:highlight w:val="none"/>
              </w:rPr>
              <w:t>对周边敏感点的影响不大</w:t>
            </w:r>
            <w:r>
              <w:rPr>
                <w:rFonts w:hint="default" w:ascii="Times New Roman" w:hAnsi="Times New Roman" w:cs="Times New Roman"/>
                <w:color w:val="auto"/>
                <w:sz w:val="24"/>
                <w:highlight w:val="none"/>
              </w:rPr>
              <w:t>。</w:t>
            </w:r>
          </w:p>
          <w:p w14:paraId="19A8A8AC">
            <w:pPr>
              <w:snapToGrid w:val="0"/>
              <w:spacing w:line="360" w:lineRule="auto"/>
              <w:ind w:firstLine="480" w:firstLineChars="200"/>
              <w:rPr>
                <w:rFonts w:hint="default" w:ascii="Times New Roman" w:hAnsi="Times New Roman" w:cs="Times New Roman"/>
                <w:color w:val="auto"/>
                <w:sz w:val="24"/>
                <w:highlight w:val="none"/>
              </w:rPr>
            </w:pPr>
            <w:bookmarkStart w:id="234" w:name="_Toc23074"/>
            <w:bookmarkStart w:id="235" w:name="_Toc8459"/>
            <w:bookmarkStart w:id="236" w:name="_Toc28685"/>
            <w:bookmarkStart w:id="237" w:name="_Toc5405"/>
            <w:bookmarkStart w:id="238" w:name="_Toc27332"/>
            <w:r>
              <w:rPr>
                <w:rFonts w:hint="default" w:ascii="Times New Roman" w:hAnsi="Times New Roman" w:cs="Times New Roman"/>
                <w:color w:val="auto"/>
                <w:sz w:val="24"/>
                <w:highlight w:val="none"/>
              </w:rPr>
              <w:t>（4）固体废物环境影响分析结论</w:t>
            </w:r>
            <w:bookmarkEnd w:id="234"/>
            <w:bookmarkEnd w:id="235"/>
            <w:bookmarkEnd w:id="236"/>
            <w:bookmarkEnd w:id="237"/>
            <w:bookmarkEnd w:id="238"/>
          </w:p>
          <w:p w14:paraId="291978B6">
            <w:pPr>
              <w:snapToGrid w:val="0"/>
              <w:spacing w:line="360" w:lineRule="auto"/>
              <w:ind w:firstLine="480" w:firstLineChars="200"/>
              <w:rPr>
                <w:rFonts w:hint="eastAsia" w:ascii="Times New Roman" w:hAnsi="Times New Roman" w:eastAsia="宋体" w:cs="Times New Roman"/>
                <w:color w:val="auto"/>
                <w:sz w:val="24"/>
                <w:szCs w:val="22"/>
                <w:highlight w:val="none"/>
                <w:lang w:eastAsia="zh-CN"/>
              </w:rPr>
            </w:pPr>
            <w:r>
              <w:rPr>
                <w:rFonts w:hint="default" w:ascii="Times New Roman" w:hAnsi="Times New Roman" w:cs="Times New Roman"/>
                <w:color w:val="auto"/>
                <w:sz w:val="24"/>
                <w:szCs w:val="22"/>
                <w:highlight w:val="none"/>
              </w:rPr>
              <w:t>营运期的固体废弃物主要是运输车辆撒落的运载物、发生交通事故的车辆装载的货物、乘客丢弃的物品等。由于本道路建成后对道路全线进行养护，在对道路进行养护的同时，也对沿线的垃圾进行收集，清扫、集中处理，故营运期固体废物对周围环境影响不大。</w:t>
            </w:r>
          </w:p>
          <w:p w14:paraId="37C54935">
            <w:pPr>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5、危险品运输事故风险分析结论</w:t>
            </w:r>
          </w:p>
          <w:p w14:paraId="6C71388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（1）本项目在运营期过程中，由危险品运输事故造成的各种风险具有一定的潜在危险性。根据预测，本项目发生危险品运输事故的概率非常小的。</w:t>
            </w:r>
          </w:p>
          <w:p w14:paraId="29990F5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（2）事故处理按本报告表提出的应急</w:t>
            </w:r>
            <w:r>
              <w:rPr>
                <w:rFonts w:hint="eastAsia" w:cs="Times New Roman"/>
                <w:color w:val="auto"/>
                <w:sz w:val="24"/>
                <w:highlight w:val="none"/>
                <w:lang w:eastAsia="zh-CN"/>
              </w:rPr>
              <w:t>预</w:t>
            </w:r>
            <w:r>
              <w:rPr>
                <w:rFonts w:hint="default" w:ascii="Times New Roman" w:hAnsi="Times New Roman" w:cs="Times New Roman"/>
                <w:color w:val="auto"/>
                <w:sz w:val="24"/>
                <w:highlight w:val="none"/>
              </w:rPr>
              <w:t>案实施，可最大程度上减轻事故对社会环境和自然环境产生的影响。</w:t>
            </w:r>
          </w:p>
          <w:p w14:paraId="62FA4315">
            <w:pPr>
              <w:snapToGrid w:val="0"/>
              <w:spacing w:line="360" w:lineRule="auto"/>
              <w:ind w:firstLine="482" w:firstLineChars="200"/>
              <w:rPr>
                <w:rFonts w:hint="default" w:ascii="Times New Roman" w:hAnsi="Times New Roman" w:cs="Times New Roman"/>
                <w:b/>
                <w:bCs/>
                <w:color w:val="auto"/>
                <w:sz w:val="24"/>
                <w:highlight w:val="none"/>
              </w:rPr>
            </w:pPr>
            <w:bookmarkStart w:id="239" w:name="_Toc13503"/>
            <w:bookmarkStart w:id="240" w:name="_Toc17977"/>
            <w:bookmarkStart w:id="241" w:name="_Toc32608"/>
            <w:bookmarkStart w:id="242" w:name="_Toc13740"/>
            <w:bookmarkStart w:id="243" w:name="_Toc31542"/>
            <w:r>
              <w:rPr>
                <w:rFonts w:hint="default" w:ascii="Times New Roman" w:hAnsi="Times New Roman" w:cs="Times New Roman"/>
                <w:b/>
                <w:bCs/>
                <w:color w:val="auto"/>
                <w:sz w:val="24"/>
                <w:highlight w:val="none"/>
              </w:rPr>
              <w:t>6、总结论</w:t>
            </w:r>
            <w:bookmarkEnd w:id="239"/>
            <w:bookmarkEnd w:id="240"/>
            <w:bookmarkEnd w:id="241"/>
            <w:bookmarkEnd w:id="242"/>
            <w:bookmarkEnd w:id="243"/>
          </w:p>
          <w:p w14:paraId="4D9559B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本项目属于城市道路路网建设，符合国家产业政策，选址合理可行，项目按照环评及技术规范要求对各污染因素采取相应的防治措施后能保证污染物得到合理处置，不会对选址区域环境造成大的污染，不会降低和改变该区域的环境质量和环境功能，排放的污染物对周围环境影响较小。从环境保护的角度来讲，该项目在拟建地建设是可行的。</w:t>
            </w:r>
          </w:p>
          <w:p w14:paraId="62FB8074">
            <w:pPr>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三、污染防治对策措施</w:t>
            </w:r>
          </w:p>
          <w:p w14:paraId="3773487A">
            <w:pPr>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根据我国环保法律法规的规定，凡对环境有影响的建设项目，其配套的污染防治设施必须实行“三同时”原则，即与主体工程同时设计、同时施工、同时投产使用。要求建设单位严格执行“三同时”的有关规定。</w:t>
            </w:r>
          </w:p>
          <w:p w14:paraId="12C195E3">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施工期：</w:t>
            </w:r>
          </w:p>
          <w:p w14:paraId="4F00F900">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1、大气污染防治对策措施</w:t>
            </w:r>
          </w:p>
          <w:p w14:paraId="53E8B13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（1）项目不设置沥青拌合场，</w:t>
            </w:r>
            <w:r>
              <w:rPr>
                <w:rFonts w:hint="default" w:ascii="Times New Roman" w:hAnsi="Times New Roman" w:cs="Times New Roman"/>
                <w:color w:val="auto"/>
                <w:sz w:val="24"/>
                <w:highlight w:val="none"/>
                <w:lang w:eastAsia="zh-CN"/>
              </w:rPr>
              <w:t>外购</w:t>
            </w:r>
            <w:r>
              <w:rPr>
                <w:rFonts w:hint="default" w:ascii="Times New Roman" w:hAnsi="Times New Roman" w:cs="Times New Roman"/>
                <w:color w:val="auto"/>
                <w:sz w:val="24"/>
                <w:highlight w:val="none"/>
              </w:rPr>
              <w:t>沥青；</w:t>
            </w:r>
          </w:p>
          <w:p w14:paraId="5753774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（2）道路采取封闭遮挡施工，遮挡围墙高度不低于2.5m，做到文明施工，减缓扬尘对环境空气的影响。</w:t>
            </w:r>
          </w:p>
          <w:p w14:paraId="6F514F1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（3）施工</w:t>
            </w:r>
            <w:r>
              <w:rPr>
                <w:rFonts w:hint="eastAsia" w:cs="Times New Roman"/>
                <w:color w:val="auto"/>
                <w:sz w:val="24"/>
                <w:highlight w:val="none"/>
                <w:lang w:eastAsia="zh-CN"/>
              </w:rPr>
              <w:t>道路</w:t>
            </w:r>
            <w:r>
              <w:rPr>
                <w:rFonts w:hint="default" w:ascii="Times New Roman" w:hAnsi="Times New Roman" w:cs="Times New Roman"/>
                <w:color w:val="auto"/>
                <w:sz w:val="24"/>
                <w:highlight w:val="none"/>
              </w:rPr>
              <w:t>必须进行硬化处理，设置车辆过水池、沉砂池、过滤池及车辆清洗设备（即“三池一设备”）。</w:t>
            </w:r>
          </w:p>
          <w:p w14:paraId="69B9A9B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（4）粉尘逸散性的工程材料、砂石，应当集中堆置于工地区域，采取下列扬尘防范措施：①覆盖防尘布或防尘网；②定期洒水降尘；③袋装。</w:t>
            </w:r>
          </w:p>
          <w:p w14:paraId="3E70DC8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（5）配备专门的洒水车辆，在晴天定时对施工场地进行洒水抑尘，防止粉尘飞扬。</w:t>
            </w:r>
          </w:p>
          <w:p w14:paraId="5732A51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（7）施工单位未经批准不得在工地围护设施外随意堆放建筑材料。</w:t>
            </w:r>
          </w:p>
          <w:p w14:paraId="070493B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（8）对施工场地进行洒水，同时对</w:t>
            </w:r>
            <w:r>
              <w:rPr>
                <w:rFonts w:hint="eastAsia" w:cs="Times New Roman"/>
                <w:color w:val="auto"/>
                <w:sz w:val="24"/>
                <w:highlight w:val="none"/>
                <w:lang w:eastAsia="zh-CN"/>
              </w:rPr>
              <w:t>临时</w:t>
            </w:r>
            <w:r>
              <w:rPr>
                <w:rFonts w:hint="default" w:ascii="Times New Roman" w:hAnsi="Times New Roman" w:cs="Times New Roman"/>
                <w:color w:val="auto"/>
                <w:sz w:val="24"/>
                <w:highlight w:val="none"/>
              </w:rPr>
              <w:t>堆</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场采用防尘布进行遮盖，遇大风天气洒水降尘，避免风力扬尘的产生。</w:t>
            </w:r>
          </w:p>
          <w:p w14:paraId="7BE6144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（9）工程建设期间，施工单位应安排专人负责工地保洁、降尘，并在施工垃圾运输期间，负责施工垃圾运输车辆的进出场工作。</w:t>
            </w:r>
          </w:p>
          <w:p w14:paraId="5306DD86">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2、水污染防治对策措施</w:t>
            </w:r>
          </w:p>
          <w:p w14:paraId="7270823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施工单位应合理安排施工时间；在施工场地设置临时截排水沟，并在总排水沟出口处设置临时沉砂池，用以收集和处理产生的泥沙废水，经沉淀处理后的废水可回用于施工现场的洒水降尘和混凝土保养，禁止将未进行沉淀处理的废水随意乱排。</w:t>
            </w:r>
          </w:p>
          <w:p w14:paraId="5DE45AE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（2）施工期运输车辆及</w:t>
            </w:r>
            <w:r>
              <w:rPr>
                <w:rFonts w:hint="eastAsia" w:cs="Times New Roman"/>
                <w:color w:val="auto"/>
                <w:sz w:val="24"/>
                <w:highlight w:val="none"/>
                <w:lang w:eastAsia="zh-CN"/>
              </w:rPr>
              <w:t>施工机器</w:t>
            </w:r>
            <w:r>
              <w:rPr>
                <w:rFonts w:hint="default" w:ascii="Times New Roman" w:hAnsi="Times New Roman" w:cs="Times New Roman"/>
                <w:color w:val="auto"/>
                <w:sz w:val="24"/>
                <w:highlight w:val="none"/>
              </w:rPr>
              <w:t>的冲洗废水，经施工场地内设置临时沉砂池沉淀处理后，全部回用做项目区施工养护和洒水降尘，且项目应加强管理，做好机械的日常维修保养，杜绝跑、冒、滴、漏现象；另外，雨天应对各类机械进行遮盖防雨。</w:t>
            </w:r>
          </w:p>
          <w:p w14:paraId="5CDCBE99">
            <w:pPr>
              <w:snapToGrid w:val="0"/>
              <w:spacing w:line="360" w:lineRule="auto"/>
              <w:ind w:firstLine="480" w:firstLineChars="200"/>
              <w:rPr>
                <w:rFonts w:hint="default" w:ascii="Times New Roman" w:hAnsi="Times New Roman" w:cs="Times New Roman"/>
                <w:color w:val="FF0000"/>
                <w:sz w:val="24"/>
                <w:highlight w:val="none"/>
              </w:rPr>
            </w:pPr>
            <w:r>
              <w:rPr>
                <w:rFonts w:hint="default" w:ascii="Times New Roman" w:hAnsi="Times New Roman" w:cs="Times New Roman"/>
                <w:color w:val="auto"/>
                <w:sz w:val="24"/>
                <w:highlight w:val="none"/>
              </w:rPr>
              <w:t>（3）施工现场不设置施工营地，施工人员及管理监督人员依托周边民房、或当地的施工人员回家不在施工场地内进行食宿，无生活污水产生。施工人员生活废水主要为施工人员洗手用水，经沉砂池沉淀后直接回用于施工场地洒水抑尘，不外排。</w:t>
            </w:r>
          </w:p>
          <w:p w14:paraId="4CD30B8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（4）为减缓暴雨径流对周围地表水环境产生的不利影响，在施工过程中修建简易排水沟渠和沉砂池，经沉砂池沉淀后回用于施工现场洒水抑尘，回用不完的部分按</w:t>
            </w:r>
            <w:r>
              <w:rPr>
                <w:rFonts w:hint="eastAsia" w:cs="Times New Roman"/>
                <w:color w:val="auto"/>
                <w:sz w:val="24"/>
                <w:highlight w:val="none"/>
                <w:lang w:val="en-US" w:eastAsia="zh-CN"/>
              </w:rPr>
              <w:t>照</w:t>
            </w:r>
            <w:r>
              <w:rPr>
                <w:rFonts w:hint="default" w:ascii="Times New Roman" w:hAnsi="Times New Roman" w:cs="Times New Roman"/>
                <w:color w:val="auto"/>
                <w:sz w:val="24"/>
                <w:highlight w:val="none"/>
              </w:rPr>
              <w:t>排水部门指定的排水方式及排放口进行排放，防止道路建设对地表水体产生的不利影响。</w:t>
            </w:r>
          </w:p>
          <w:p w14:paraId="796B1D0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（5）临时堆</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场设置拦沙设施</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堆体顶部覆盖隔雨膜，以降低雨水对表土的冲刷，进而避免影响地表水体水质。</w:t>
            </w:r>
          </w:p>
          <w:p w14:paraId="392ED9E8">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3、噪声污染防治对策措施</w:t>
            </w:r>
          </w:p>
          <w:p w14:paraId="25FBF7E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（1）对各声源设备进行合理布局，并在</w:t>
            </w:r>
            <w:r>
              <w:rPr>
                <w:rFonts w:hint="default" w:ascii="Times New Roman" w:hAnsi="Times New Roman" w:cs="Times New Roman"/>
                <w:color w:val="auto"/>
                <w:spacing w:val="6"/>
                <w:sz w:val="24"/>
                <w:highlight w:val="none"/>
              </w:rPr>
              <w:t>施工现场周边设置遮挡高度2.5m的围挡。</w:t>
            </w:r>
          </w:p>
          <w:p w14:paraId="1B112C5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（2）</w:t>
            </w:r>
            <w:r>
              <w:rPr>
                <w:rFonts w:hint="default" w:ascii="Times New Roman" w:hAnsi="Times New Roman" w:eastAsia="宋体" w:cs="Times New Roman"/>
                <w:color w:val="000000"/>
                <w:kern w:val="0"/>
                <w:sz w:val="24"/>
                <w:szCs w:val="24"/>
                <w:lang w:val="en-US" w:eastAsia="zh-CN" w:bidi="ar"/>
              </w:rPr>
              <w:t>对于施工期间噪声污染防治措施，应严格执行《建筑施工场界噪声限值》</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GB12523-2011</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中的规定。加强管理和调度，提高工效，午间和夜间应避免或禁止施工。</w:t>
            </w:r>
          </w:p>
          <w:p w14:paraId="0C42F83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（3）工程运输车辆禁止使用音量高于95分贝的喇叭，合理选择运输路线，避免利用村庄或住宅小区周边道路通行，车辆行经居民集中区等敏感区域时采取减速、禁鸣措施。</w:t>
            </w:r>
          </w:p>
          <w:p w14:paraId="41688861">
            <w:pPr>
              <w:adjustRightInd w:val="0"/>
              <w:snapToGrid w:val="0"/>
              <w:spacing w:line="360" w:lineRule="auto"/>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（4）在满足施工需要的前提下，尽可能选取噪声低、振动小、能耗小的先进设备。加强对施工机械的维护保养，避免由于设备性能差而使机械噪声增大的现象发生。</w:t>
            </w:r>
          </w:p>
          <w:p w14:paraId="36C25D2D">
            <w:pPr>
              <w:adjustRightInd w:val="0"/>
              <w:snapToGrid w:val="0"/>
              <w:spacing w:line="360" w:lineRule="auto"/>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（5）加强施工区内动力机械设备管理，将可在固定地点施工的机械设置在临时建筑房内作业，使较强声源尽可能远离道路两侧居民住宅等敏感区域。</w:t>
            </w:r>
          </w:p>
          <w:p w14:paraId="1EAFCE0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（6）加强对施工人员的环境宣传和教育，使他们认真落实各项降噪措施，做到文明施工。在施工现场设置投诉电话，建设单位在接到噪声影响投诉后应及时与当地</w:t>
            </w:r>
            <w:r>
              <w:rPr>
                <w:rFonts w:hint="eastAsia" w:cs="Times New Roman"/>
                <w:color w:val="auto"/>
                <w:sz w:val="24"/>
                <w:highlight w:val="none"/>
                <w:lang w:eastAsia="zh-CN"/>
              </w:rPr>
              <w:t>生态环境</w:t>
            </w:r>
            <w:r>
              <w:rPr>
                <w:rFonts w:hint="default" w:ascii="Times New Roman" w:hAnsi="Times New Roman" w:cs="Times New Roman"/>
                <w:color w:val="auto"/>
                <w:sz w:val="24"/>
                <w:highlight w:val="none"/>
              </w:rPr>
              <w:t>部门联系，以便及时处理各种环境纠纷。</w:t>
            </w:r>
          </w:p>
          <w:p w14:paraId="29DAA572">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4、固体废物防治对策措施</w:t>
            </w:r>
          </w:p>
          <w:p w14:paraId="5D18E985">
            <w:pPr>
              <w:widowControl/>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（1）施工期间，运送散装建筑材料的车辆，用蓬布遮盖，以防物料洒落；</w:t>
            </w:r>
          </w:p>
          <w:p w14:paraId="1B9EA3AD">
            <w:pPr>
              <w:widowControl/>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（2）建设过程中产生的废弃土石方运至合法弃</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场处理；</w:t>
            </w:r>
          </w:p>
          <w:p w14:paraId="62F5762D">
            <w:pPr>
              <w:widowControl/>
              <w:snapToGrid w:val="0"/>
              <w:spacing w:line="360" w:lineRule="auto"/>
              <w:ind w:firstLine="480" w:firstLineChars="200"/>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color w:val="auto"/>
                <w:sz w:val="24"/>
                <w:highlight w:val="none"/>
              </w:rPr>
              <w:t>（3）施工垃圾主要为废弃施工材料，如木材、钢材等</w:t>
            </w:r>
            <w:r>
              <w:rPr>
                <w:rFonts w:hint="default" w:ascii="Times New Roman" w:hAnsi="Times New Roman" w:cs="Times New Roman"/>
                <w:kern w:val="18"/>
                <w:sz w:val="24"/>
              </w:rPr>
              <w:t>按照《城市建筑垃圾管理规定》的规定充分回收利用，不能利用的部分应给予收集，不能随意丢弃，由施工单位运至建设部门指定地点进行妥善处置</w:t>
            </w:r>
            <w:r>
              <w:rPr>
                <w:rFonts w:hint="default" w:ascii="Times New Roman" w:hAnsi="Times New Roman" w:cs="Times New Roman"/>
                <w:kern w:val="18"/>
                <w:sz w:val="24"/>
                <w:lang w:eastAsia="zh-CN"/>
              </w:rPr>
              <w:t>。</w:t>
            </w:r>
          </w:p>
          <w:p w14:paraId="2B754B42">
            <w:pPr>
              <w:widowControl/>
              <w:snapToGrid w:val="0"/>
              <w:spacing w:line="360" w:lineRule="auto"/>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合理安排施工时间。土方施工应尽量避开在雨季进行，并在雨季来临前将已开挖回填土方的边坡排水设施处理好。如在雨季施工，应尽量减小施工面坡度，并做到施工料随取、随运、随铺、随压，以减少雨水的冲刷侵蚀；</w:t>
            </w:r>
          </w:p>
          <w:p w14:paraId="58994F9B">
            <w:pPr>
              <w:snapToGrid w:val="0"/>
              <w:spacing w:line="360" w:lineRule="auto"/>
              <w:ind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highlight w:val="none"/>
              </w:rPr>
              <w:t>（5）</w:t>
            </w:r>
            <w:r>
              <w:rPr>
                <w:rFonts w:hint="default" w:ascii="Times New Roman" w:hAnsi="Times New Roman" w:cs="Times New Roman"/>
                <w:color w:val="auto"/>
                <w:sz w:val="24"/>
                <w:szCs w:val="28"/>
                <w:highlight w:val="none"/>
              </w:rPr>
              <w:t>施工人员产生的生活垃圾</w:t>
            </w:r>
            <w:r>
              <w:rPr>
                <w:rFonts w:hint="default" w:ascii="Times New Roman" w:hAnsi="Times New Roman" w:cs="Times New Roman"/>
                <w:color w:val="auto"/>
                <w:sz w:val="24"/>
                <w:highlight w:val="none"/>
              </w:rPr>
              <w:t>统一收集后，委托环卫部门进行清运处理</w:t>
            </w:r>
            <w:r>
              <w:rPr>
                <w:rFonts w:hint="default" w:ascii="Times New Roman" w:hAnsi="Times New Roman" w:cs="Times New Roman"/>
                <w:color w:val="auto"/>
                <w:sz w:val="24"/>
                <w:szCs w:val="28"/>
                <w:highlight w:val="none"/>
              </w:rPr>
              <w:t>。</w:t>
            </w:r>
          </w:p>
          <w:p w14:paraId="48A35ED4">
            <w:pPr>
              <w:snapToGrid w:val="0"/>
              <w:spacing w:line="360" w:lineRule="auto"/>
              <w:ind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（6）路基施工填挖过程中做到随挖、随运、随填、随夯，不留松土。路基施工尽量采用机械化施工，合理安排施工进度，做到工序紧凑、有序，以缩短工期，减少路基施工水土流失量。</w:t>
            </w:r>
          </w:p>
          <w:p w14:paraId="4743446C">
            <w:pPr>
              <w:snapToGrid w:val="0"/>
              <w:spacing w:line="360" w:lineRule="auto"/>
              <w:ind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（7）路面水土流失主要发生在铺筑混凝土之前，施工期需要采取临时拦渣或导排水措施，同时应注重施工工序，分段填筑、分层碾压、分段浇筑，缩短路面在雨季的裸露时间，减少或避免水土流失。</w:t>
            </w:r>
          </w:p>
          <w:p w14:paraId="6888E596">
            <w:pPr>
              <w:snapToGrid w:val="0"/>
              <w:spacing w:line="360" w:lineRule="auto"/>
              <w:ind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（8）表土严禁随意倾倒在周边道路、河道、绿化带、空旷地带和居民生活垃圾容器内。</w:t>
            </w:r>
          </w:p>
          <w:p w14:paraId="0417DDA8">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5、生态环境保护措施</w:t>
            </w:r>
          </w:p>
          <w:p w14:paraId="6F75F9C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（1）加强征地规划范围内的土地资源与临时占地的管理与保护，精心设计，合理规划布局，严禁计划外占地，严禁不合理堆放。</w:t>
            </w:r>
          </w:p>
          <w:p w14:paraId="20B635C8">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工程竣工后，施工临时设施全面拆除，对施工临时建筑物及废弃杂物及时清理。对土石方临时堆场等临时占地进行全面复垦，种植当地的适生的植物物种，尽量减少工程区内的施工痕迹，改善临时占地的生态环境，然后让其自然恢复。</w:t>
            </w:r>
          </w:p>
          <w:p w14:paraId="274E459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（3）合理安排工期，尽可能避开暴雨季节进行大规模土石方开挖与回填，避免雨水对地表土壤的冲刷和破坏。</w:t>
            </w:r>
          </w:p>
          <w:p w14:paraId="60BE1985">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（4）对</w:t>
            </w:r>
            <w:r>
              <w:rPr>
                <w:rFonts w:hint="eastAsia" w:cs="Times New Roman"/>
                <w:color w:val="auto"/>
                <w:sz w:val="24"/>
                <w:highlight w:val="none"/>
                <w:lang w:eastAsia="zh-CN"/>
              </w:rPr>
              <w:t>临时</w:t>
            </w:r>
            <w:r>
              <w:rPr>
                <w:rFonts w:hint="default" w:ascii="Times New Roman" w:hAnsi="Times New Roman" w:cs="Times New Roman"/>
                <w:color w:val="auto"/>
                <w:sz w:val="24"/>
                <w:highlight w:val="none"/>
              </w:rPr>
              <w:t>堆</w:t>
            </w:r>
            <w:r>
              <w:rPr>
                <w:rFonts w:hint="eastAsia" w:cs="Times New Roman"/>
                <w:color w:val="auto"/>
                <w:sz w:val="24"/>
                <w:highlight w:val="none"/>
                <w:lang w:eastAsia="zh-CN"/>
              </w:rPr>
              <w:t>土</w:t>
            </w:r>
            <w:r>
              <w:rPr>
                <w:rFonts w:hint="default" w:ascii="Times New Roman" w:hAnsi="Times New Roman" w:cs="Times New Roman"/>
                <w:color w:val="auto"/>
                <w:sz w:val="24"/>
                <w:highlight w:val="none"/>
              </w:rPr>
              <w:t>场等施工迹地进行清理，及时栽种绿化植被。</w:t>
            </w:r>
          </w:p>
          <w:p w14:paraId="5970CA39">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（5）加强施工的管理，禁止土石方、废水倾倒进入附近水体。</w:t>
            </w:r>
          </w:p>
          <w:p w14:paraId="5BE699A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（6）施工人员进场后，应立即进行生态保护教育，严格施工纪律，不准踩踏、损毁征地范围之外的农作物和草木，要求施工人员在施工过程中文明施工，自觉树立保护生态和保护植被的意识。</w:t>
            </w:r>
          </w:p>
          <w:p w14:paraId="73D019E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）施工的同时，边进行土地整治、覆土植被，避免形成新的水土流失。</w:t>
            </w:r>
          </w:p>
          <w:p w14:paraId="03E57DB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）监理单位要将生态保护和水土保持的相关内容纳入施工监理工作之中。根据监理工作要求，制订项目环境监理实施方案，加强对施工过程中生态保护与水土保持工作的动态监控。</w:t>
            </w:r>
          </w:p>
          <w:p w14:paraId="23A95C8F">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运营期：</w:t>
            </w:r>
          </w:p>
          <w:p w14:paraId="5885DD5D">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1、大气污染防治对策措施</w:t>
            </w:r>
          </w:p>
          <w:p w14:paraId="0DC49C26">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（1）在公路两侧，特别是关心点近的路段附近植树、种草，绿化树种应选用对汽车尾气吸收效果较好的树种。这样既可净化吸收车辆尾气中的污染物，又可美化环境和改善公路沿线景观。</w:t>
            </w:r>
          </w:p>
          <w:p w14:paraId="1BCFCA3F">
            <w:pPr>
              <w:pStyle w:val="23"/>
              <w:spacing w:line="360" w:lineRule="auto"/>
              <w:ind w:firstLine="436" w:firstLineChars="1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（2）加强路面养护和清洁，维护良好的路况，保证汽车在良好的路况下行驶，减少扬尘和尾气污染。加强对公路沿线绿化的养护，维护绿化的减污功能。</w:t>
            </w:r>
          </w:p>
          <w:p w14:paraId="77391C5C">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（3）环评建议路面及绿化纳入相关部门管理，及时安排相关人员清扫路面和绿化工程的维护。</w:t>
            </w:r>
          </w:p>
          <w:p w14:paraId="1A4A5BFC">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2、噪声污染防治对策措施</w:t>
            </w:r>
          </w:p>
          <w:p w14:paraId="74537155">
            <w:pPr>
              <w:pStyle w:val="23"/>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val="0"/>
                <w:color w:val="auto"/>
                <w:sz w:val="24"/>
                <w:highlight w:val="none"/>
              </w:rPr>
              <w:t>（1）</w:t>
            </w:r>
            <w:r>
              <w:rPr>
                <w:rFonts w:hint="eastAsia" w:cs="Times New Roman"/>
                <w:sz w:val="24"/>
                <w:lang w:eastAsia="zh-CN"/>
              </w:rPr>
              <w:t>道路采用的沥青路面能减低噪声，</w:t>
            </w:r>
            <w:r>
              <w:rPr>
                <w:rFonts w:hint="default" w:ascii="Times New Roman" w:hAnsi="Times New Roman" w:cs="Times New Roman"/>
                <w:color w:val="auto"/>
                <w:sz w:val="24"/>
                <w:highlight w:val="none"/>
              </w:rPr>
              <w:t>定期检查与保养路面，及时对受损路面维修和修复，使路面保持良好状态。</w:t>
            </w:r>
          </w:p>
          <w:p w14:paraId="03073AF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）严格限制车速，严禁超速行驶，尤其是夜间超速行驶。</w:t>
            </w:r>
          </w:p>
          <w:p w14:paraId="1A3686AD">
            <w:pPr>
              <w:adjustRightInd w:val="0"/>
              <w:snapToGrid w:val="0"/>
              <w:spacing w:line="360" w:lineRule="auto"/>
              <w:ind w:firstLine="480" w:firstLineChars="200"/>
              <w:rPr>
                <w:rFonts w:hint="eastAsia" w:cs="Times New Roman"/>
                <w:color w:val="auto"/>
                <w:sz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在环境保护目标路段应设置鸣号的禁令标志，以降低交通噪声。</w:t>
            </w:r>
          </w:p>
          <w:p w14:paraId="30ECDECF">
            <w:pPr>
              <w:spacing w:line="360" w:lineRule="auto"/>
              <w:ind w:firstLine="480" w:firstLineChars="200"/>
              <w:rPr>
                <w:rFonts w:hint="default" w:ascii="Times New Roman" w:hAnsi="Times New Roman" w:cs="Times New Roman"/>
                <w:sz w:val="24"/>
              </w:rPr>
            </w:pPr>
            <w:r>
              <w:rPr>
                <w:rFonts w:hint="eastAsia" w:cs="Times New Roman"/>
                <w:color w:val="auto"/>
                <w:sz w:val="24"/>
                <w:highlight w:val="none"/>
                <w:lang w:eastAsia="zh-CN"/>
              </w:rPr>
              <w:t>（</w:t>
            </w:r>
            <w:r>
              <w:rPr>
                <w:rFonts w:hint="eastAsia" w:cs="Times New Roman"/>
                <w:color w:val="auto"/>
                <w:sz w:val="24"/>
                <w:highlight w:val="none"/>
                <w:lang w:val="en-US" w:eastAsia="zh-CN"/>
              </w:rPr>
              <w:t>4</w:t>
            </w:r>
            <w:r>
              <w:rPr>
                <w:rFonts w:hint="eastAsia" w:cs="Times New Roman"/>
                <w:color w:val="auto"/>
                <w:sz w:val="24"/>
                <w:highlight w:val="none"/>
                <w:lang w:eastAsia="zh-CN"/>
              </w:rPr>
              <w:t>）</w:t>
            </w:r>
            <w:r>
              <w:rPr>
                <w:rFonts w:hint="default" w:ascii="Times New Roman" w:hAnsi="Times New Roman" w:cs="Times New Roman"/>
                <w:sz w:val="24"/>
              </w:rPr>
              <w:t>在道路绿化设计满足道路交通性能基础上，按有关规定设计种植适合本地气候的草坪、灌木和树木，在道路两侧可种植树木和花草，既能降噪、减噪，又取得美化环境的作用。</w:t>
            </w:r>
          </w:p>
          <w:p w14:paraId="3BE9A457">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3、水污染防治对策措施</w:t>
            </w:r>
          </w:p>
          <w:p w14:paraId="450DB293">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道路沿线铺设雨污管网，收集周边村民产生的雨水、污水，减少了对周边地表水体的影响。加强运营期道路设施维护与修理，保证道路排水系统以及路堤防护工程、边坡绿化工程的正常功能，强化路堤的稳定和保护。</w:t>
            </w:r>
          </w:p>
          <w:p w14:paraId="7AA0DBCA">
            <w:pPr>
              <w:adjustRightInd w:val="0"/>
              <w:snapToGrid w:val="0"/>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路面上由于汽车尾气、粉尘和漏油等，路面径流中含有石油类、COD等水环境污染物，如进入附近水体会对水环境造成污染，因此必须加强防范，其具体措施主要包括：禁止将废油倒入河中；定期检查车辆以防漏油事件发生等，防止对水体水质的污染。</w:t>
            </w:r>
          </w:p>
          <w:p w14:paraId="2479700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制定化学危险品运输事故或泄漏的应急处理方案，实施化学危险品过境申报制度，沿线化学危险品运输实行“准运证”、“驾驶员证”、“押运员”制度。经批准后，一般应安排危险品运输车辆在交通量少的时段通行，并对运输车辆实施监控。在气候不好的条件下，应禁止上路。在交叉口等路段处设置“谨慎驾驶”警示牌和“危险品车辆限速”标志牌，提醒危险品车辆驾驶员注意安全和控制车速，减少事故发生几率。为保证突发事故能得到及时处置，道路管理部门将应急事故处理纳入管理职责，与消防、公安、环保部门建立热线电话，及时处理好突发事故，将对环境的影响减至最小。</w:t>
            </w:r>
          </w:p>
          <w:p w14:paraId="49D58AD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（4）在运行中，加强管理，保证管网的正常运行；制定紧急事故预案，防止问题出现时造成不良后果。</w:t>
            </w:r>
          </w:p>
          <w:p w14:paraId="6D79E20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（5）加强道路运输管理；环卫部门增强路面保洁工作。</w:t>
            </w:r>
          </w:p>
          <w:p w14:paraId="0FAE4F21">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4、固体废物防治对策措施</w:t>
            </w:r>
          </w:p>
          <w:p w14:paraId="16F78EC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环卫部门应加强路面保洁工作，及时清扫道路垃圾，保持路面洁净。</w:t>
            </w:r>
          </w:p>
          <w:p w14:paraId="4E208FE5">
            <w:pPr>
              <w:snapToGrid w:val="0"/>
              <w:spacing w:line="360" w:lineRule="auto"/>
              <w:ind w:firstLine="482" w:firstLineChars="200"/>
              <w:rPr>
                <w:rFonts w:hint="default" w:ascii="Times New Roman" w:hAnsi="Times New Roman" w:cs="Times New Roman"/>
                <w:b/>
                <w:bCs/>
                <w:color w:val="auto"/>
                <w:sz w:val="24"/>
                <w:highlight w:val="none"/>
              </w:rPr>
            </w:pPr>
            <w:bookmarkStart w:id="244" w:name="_Toc19661"/>
            <w:bookmarkStart w:id="245" w:name="_Toc11037"/>
            <w:bookmarkStart w:id="246" w:name="_Toc15990"/>
            <w:bookmarkStart w:id="247" w:name="_Toc994"/>
            <w:bookmarkStart w:id="248" w:name="_Toc28547"/>
            <w:r>
              <w:rPr>
                <w:rFonts w:hint="default" w:ascii="Times New Roman" w:hAnsi="Times New Roman" w:cs="Times New Roman"/>
                <w:b/>
                <w:bCs/>
                <w:color w:val="auto"/>
                <w:sz w:val="24"/>
                <w:highlight w:val="none"/>
              </w:rPr>
              <w:t>5、危险品运输事故防范及应急措施</w:t>
            </w:r>
            <w:bookmarkEnd w:id="244"/>
            <w:bookmarkEnd w:id="245"/>
            <w:bookmarkEnd w:id="246"/>
            <w:bookmarkEnd w:id="247"/>
            <w:bookmarkEnd w:id="248"/>
          </w:p>
          <w:p w14:paraId="666D22A8">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（1）危险物品的包装容器必须牢固、严密，并按照国家颁发《危险货物包装标志》（GB190）的规定印贴上专用标志和物品名称。</w:t>
            </w:r>
          </w:p>
          <w:p w14:paraId="2BE1CF94">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（2）严格限制各种无证、无标志车或泄漏、散装超载危险化学品车辆上路。</w:t>
            </w:r>
          </w:p>
          <w:p w14:paraId="2F75BCDB">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（3）如运送剧毒化学品应按公安机关核发的“剧毒化学品道路运输通行证” 的规定实施运输。</w:t>
            </w:r>
          </w:p>
          <w:p w14:paraId="612BF733">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雨水天气路滑是造成道路交通事故的一个主要原因，交通管理部门应通过限速等手段来降低交通事故发生率，严禁运输易燃易爆腐蚀性物品的车辆在暴雨天气上路行驶；在洪水过后，应及时巡查道路，发现问题或隐患要及时处理。</w:t>
            </w:r>
          </w:p>
          <w:p w14:paraId="034E1AEC">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（5）应对上路车辆设置限速标志，减少事故发生概率。</w:t>
            </w:r>
          </w:p>
          <w:p w14:paraId="4D23EB3F">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（6）道路管理部门应对运输危险品的车辆进行严格检查，若“三证”不全或车辆超载应禁止其上路。</w:t>
            </w:r>
          </w:p>
          <w:p w14:paraId="3CDBAE1D">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（7）为减少路面夜间发生事故的概率，应在</w:t>
            </w:r>
            <w:r>
              <w:rPr>
                <w:rFonts w:hint="default" w:ascii="Times New Roman" w:hAnsi="Times New Roman" w:cs="Times New Roman"/>
                <w:color w:val="auto"/>
                <w:sz w:val="24"/>
                <w:highlight w:val="none"/>
                <w:lang w:eastAsia="zh-CN"/>
              </w:rPr>
              <w:t>交叉口</w:t>
            </w:r>
            <w:r>
              <w:rPr>
                <w:rFonts w:hint="default" w:ascii="Times New Roman" w:hAnsi="Times New Roman" w:cs="Times New Roman"/>
                <w:color w:val="auto"/>
                <w:sz w:val="24"/>
                <w:highlight w:val="none"/>
              </w:rPr>
              <w:t>设置照明、并在醒目位置设置“谨慎驾驶”的警示牌和限速牌。</w:t>
            </w:r>
          </w:p>
          <w:p w14:paraId="00DC51C9">
            <w:pPr>
              <w:adjustRightInd w:val="0"/>
              <w:snapToGrid w:val="0"/>
              <w:spacing w:line="360" w:lineRule="auto"/>
              <w:ind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（8）由道路管理部门和消防、环保、安全生产等各有关部门组成道路事故应急指挥机构，指挥、领导和组织应急防治队伍，负责重大事故隐患的检查及应急计划的制定。</w:t>
            </w:r>
          </w:p>
          <w:p w14:paraId="5C6531A6">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6、其他</w:t>
            </w:r>
          </w:p>
          <w:p w14:paraId="4E70D64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（1）建设项目必须执行国务院颁布的“三同时”制度，有关防治措施必须与道路主体工程同时设计、同时施工、同时投产。</w:t>
            </w:r>
          </w:p>
          <w:p w14:paraId="6905516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（2）今后如果在项目周边再开发房地产业，应通过规划进行控制，充分考虑交通噪声对居民的影响因素，尽量远离道路，并形成一定绿化隔离带，以回避或减轻交通噪声造成的影响。</w:t>
            </w:r>
          </w:p>
          <w:p w14:paraId="6E67245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应委托监理单位对项目进行施工监理，将本项目的环境保护作为工程的一个组成部分。建设单位与施工单位的合同中应明确各项环保措施，施工单位应有专职或兼职人员对环境保护进行监督管理。坚持文明施工，科学管理，合理安排工期，教育施工人员并使之提高环境保护意识和社会公德。</w:t>
            </w:r>
          </w:p>
          <w:p w14:paraId="2EA723E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（4）项目设置的环保人员应经常进行现场监督，及时发现并纠正不符合环保要求的施工活动。</w:t>
            </w:r>
          </w:p>
          <w:p w14:paraId="258B238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（5）道路运营期加强路面养护，保证路面平整，减轻汽车行驶颠簸产生的噪声对周围环境的影响。</w:t>
            </w:r>
          </w:p>
          <w:p w14:paraId="697DFBAE">
            <w:pPr>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四、建议</w:t>
            </w:r>
          </w:p>
          <w:p w14:paraId="78386441">
            <w:pPr>
              <w:pStyle w:val="36"/>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（1）项目投入运营后，相关部门应把道路管理放在首位，及时做好道路路面及路基的养护；</w:t>
            </w:r>
          </w:p>
          <w:p w14:paraId="7E1635F7">
            <w:pPr>
              <w:pStyle w:val="36"/>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（2）明确各施工单位的环境保护责任，工程建设过程中的污染防治措施必须与建设项目同时设计、同时施工、同时投入运行；</w:t>
            </w:r>
          </w:p>
          <w:p w14:paraId="2FA8BA01">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kern w:val="0"/>
                <w:sz w:val="24"/>
                <w:highlight w:val="none"/>
              </w:rPr>
              <w:t>确保落实环保资金，保证环保设施和环保工程的建设。</w:t>
            </w:r>
          </w:p>
          <w:p w14:paraId="4447FA40">
            <w:pPr>
              <w:pStyle w:val="6"/>
              <w:snapToGrid w:val="0"/>
              <w:spacing w:line="360" w:lineRule="auto"/>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rPr>
              <w:t>五、环境管理、环境监理及环境监测</w:t>
            </w:r>
          </w:p>
          <w:p w14:paraId="274D152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（1）环境管理</w:t>
            </w:r>
          </w:p>
          <w:p w14:paraId="03306E7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环境管理计划是指工程在施工期、运营期执行和遵守国家、省、市的有关环保法律、法规、政策和标准，对企业的生产实行有效监控，及时掌握和了解污染治理与控制措施的执行效果，以及周围地区环境质量变化，及时调整工程运行方式和环境保护措施，并接受地方环境保护行政主管部门的环境监督，最终达到保护环境的目的，取得更好的综合环境效益。</w:t>
            </w:r>
          </w:p>
          <w:p w14:paraId="654F7C2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由于项目建设期和运行期的环境管理内容具有较大的差异，而且二者的工作时限有先后之分，所以设立单独的组织机构，采用分阶段负责的方式对拟建项目进行环境管理。</w:t>
            </w:r>
          </w:p>
          <w:p w14:paraId="3E77380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为了切实减轻环境影响，落实本报告中提出的环境管理计划，在项目运作的各个阶段，应执行相应的环境监督计划：</w:t>
            </w:r>
          </w:p>
          <w:p w14:paraId="70265FD4">
            <w:pPr>
              <w:spacing w:line="360" w:lineRule="auto"/>
              <w:ind w:firstLine="482" w:firstLineChars="20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表9-1  环境管理计划</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2"/>
              <w:gridCol w:w="1179"/>
              <w:gridCol w:w="5685"/>
              <w:gridCol w:w="1034"/>
            </w:tblGrid>
            <w:tr w14:paraId="5A10E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1664" w:type="dxa"/>
                  <w:gridSpan w:val="2"/>
                  <w:noWrap w:val="0"/>
                  <w:vAlign w:val="center"/>
                </w:tcPr>
                <w:p w14:paraId="76B1CE8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环境问题</w:t>
                  </w:r>
                </w:p>
              </w:tc>
              <w:tc>
                <w:tcPr>
                  <w:tcW w:w="5894" w:type="dxa"/>
                  <w:noWrap w:val="0"/>
                  <w:vAlign w:val="center"/>
                </w:tcPr>
                <w:p w14:paraId="71ADA0A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管理内容</w:t>
                  </w:r>
                </w:p>
              </w:tc>
              <w:tc>
                <w:tcPr>
                  <w:tcW w:w="1059" w:type="dxa"/>
                  <w:noWrap w:val="0"/>
                  <w:vAlign w:val="center"/>
                </w:tcPr>
                <w:p w14:paraId="27C101C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实施机构</w:t>
                  </w:r>
                </w:p>
              </w:tc>
            </w:tr>
            <w:tr w14:paraId="6F86D3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2064717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210" w:type="dxa"/>
                  <w:noWrap w:val="0"/>
                  <w:vAlign w:val="center"/>
                </w:tcPr>
                <w:p w14:paraId="2D2C672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设计阶段</w:t>
                  </w:r>
                </w:p>
              </w:tc>
              <w:tc>
                <w:tcPr>
                  <w:tcW w:w="5894" w:type="dxa"/>
                  <w:noWrap w:val="0"/>
                  <w:vAlign w:val="center"/>
                </w:tcPr>
                <w:p w14:paraId="4BCEE4AC">
                  <w:pPr>
                    <w:spacing w:line="240" w:lineRule="auto"/>
                    <w:rPr>
                      <w:rFonts w:hint="default" w:ascii="Times New Roman" w:hAnsi="Times New Roman" w:cs="Times New Roman"/>
                      <w:color w:val="auto"/>
                      <w:sz w:val="21"/>
                      <w:szCs w:val="21"/>
                      <w:highlight w:val="none"/>
                    </w:rPr>
                  </w:pPr>
                </w:p>
              </w:tc>
              <w:tc>
                <w:tcPr>
                  <w:tcW w:w="1059" w:type="dxa"/>
                  <w:noWrap w:val="0"/>
                  <w:vAlign w:val="center"/>
                </w:tcPr>
                <w:p w14:paraId="03FD4FA4">
                  <w:pPr>
                    <w:spacing w:line="240" w:lineRule="auto"/>
                    <w:jc w:val="center"/>
                    <w:rPr>
                      <w:rFonts w:hint="default" w:ascii="Times New Roman" w:hAnsi="Times New Roman" w:cs="Times New Roman"/>
                      <w:color w:val="auto"/>
                      <w:sz w:val="21"/>
                      <w:szCs w:val="21"/>
                      <w:highlight w:val="none"/>
                    </w:rPr>
                  </w:pPr>
                </w:p>
              </w:tc>
            </w:tr>
            <w:tr w14:paraId="6F26E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6F11C28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210" w:type="dxa"/>
                  <w:noWrap w:val="0"/>
                  <w:vAlign w:val="center"/>
                </w:tcPr>
                <w:p w14:paraId="0D63844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道路设计</w:t>
                  </w:r>
                </w:p>
              </w:tc>
              <w:tc>
                <w:tcPr>
                  <w:tcW w:w="5894" w:type="dxa"/>
                  <w:noWrap w:val="0"/>
                  <w:vAlign w:val="center"/>
                </w:tcPr>
                <w:p w14:paraId="10B8AB38">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●科学合理设计施工方案，尽量减少占地，保护农田，减轻居民区大气和噪声污染影响。尽可能避让居民点等环境敏感目标。</w:t>
                  </w:r>
                </w:p>
              </w:tc>
              <w:tc>
                <w:tcPr>
                  <w:tcW w:w="1059" w:type="dxa"/>
                  <w:noWrap w:val="0"/>
                  <w:vAlign w:val="center"/>
                </w:tcPr>
                <w:p w14:paraId="1E98468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44FE8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43D996D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210" w:type="dxa"/>
                  <w:noWrap w:val="0"/>
                  <w:vAlign w:val="center"/>
                </w:tcPr>
                <w:p w14:paraId="210C563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空气污染</w:t>
                  </w:r>
                </w:p>
              </w:tc>
              <w:tc>
                <w:tcPr>
                  <w:tcW w:w="5894" w:type="dxa"/>
                  <w:noWrap w:val="0"/>
                  <w:vAlign w:val="center"/>
                </w:tcPr>
                <w:p w14:paraId="720C5ACE">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●在确定废弃物堆置位置时，考虑运输扬尘和其它问题对环境敏感地区(如居民区)的影响。</w:t>
                  </w:r>
                </w:p>
              </w:tc>
              <w:tc>
                <w:tcPr>
                  <w:tcW w:w="1059" w:type="dxa"/>
                  <w:noWrap w:val="0"/>
                  <w:vAlign w:val="center"/>
                </w:tcPr>
                <w:p w14:paraId="30C6178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5662C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14514EF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210" w:type="dxa"/>
                  <w:noWrap w:val="0"/>
                  <w:vAlign w:val="center"/>
                </w:tcPr>
                <w:p w14:paraId="6601A55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894" w:type="dxa"/>
                  <w:noWrap w:val="0"/>
                  <w:vAlign w:val="center"/>
                </w:tcPr>
                <w:p w14:paraId="0FB7A59A">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●对噪声超标的敏感点，视噪声超标情况进行减噪措施设计，如采取隔声屏障措施，减少营运期交通噪声影响。</w:t>
                  </w:r>
                </w:p>
              </w:tc>
              <w:tc>
                <w:tcPr>
                  <w:tcW w:w="1059" w:type="dxa"/>
                  <w:noWrap w:val="0"/>
                  <w:vAlign w:val="center"/>
                </w:tcPr>
                <w:p w14:paraId="665EA41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1B583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0844A73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210" w:type="dxa"/>
                  <w:noWrap w:val="0"/>
                  <w:vAlign w:val="center"/>
                </w:tcPr>
                <w:p w14:paraId="361D18D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5894" w:type="dxa"/>
                  <w:noWrap w:val="0"/>
                  <w:vAlign w:val="center"/>
                </w:tcPr>
                <w:p w14:paraId="6AA5149B">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●选线应精心研究，适当的绿化设计，减少对沿线自然景观的影响。</w:t>
                  </w:r>
                </w:p>
              </w:tc>
              <w:tc>
                <w:tcPr>
                  <w:tcW w:w="1059" w:type="dxa"/>
                  <w:noWrap w:val="0"/>
                  <w:vAlign w:val="center"/>
                </w:tcPr>
                <w:p w14:paraId="20A7A07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2F847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197EFA1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210" w:type="dxa"/>
                  <w:noWrap w:val="0"/>
                  <w:vAlign w:val="center"/>
                </w:tcPr>
                <w:p w14:paraId="5FACB32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5894" w:type="dxa"/>
                  <w:noWrap w:val="0"/>
                  <w:vAlign w:val="center"/>
                </w:tcPr>
                <w:p w14:paraId="160F8AC9">
                  <w:pPr>
                    <w:spacing w:line="240" w:lineRule="auto"/>
                    <w:rPr>
                      <w:rFonts w:hint="default" w:ascii="Times New Roman" w:hAnsi="Times New Roman" w:cs="Times New Roman"/>
                      <w:color w:val="auto"/>
                      <w:sz w:val="21"/>
                      <w:szCs w:val="21"/>
                      <w:highlight w:val="none"/>
                    </w:rPr>
                  </w:pPr>
                </w:p>
              </w:tc>
              <w:tc>
                <w:tcPr>
                  <w:tcW w:w="1059" w:type="dxa"/>
                  <w:noWrap w:val="0"/>
                  <w:vAlign w:val="center"/>
                </w:tcPr>
                <w:p w14:paraId="1F4BC6AE">
                  <w:pPr>
                    <w:spacing w:line="240" w:lineRule="auto"/>
                    <w:jc w:val="center"/>
                    <w:rPr>
                      <w:rFonts w:hint="default" w:ascii="Times New Roman" w:hAnsi="Times New Roman" w:cs="Times New Roman"/>
                      <w:color w:val="auto"/>
                      <w:sz w:val="21"/>
                      <w:szCs w:val="21"/>
                      <w:highlight w:val="none"/>
                    </w:rPr>
                  </w:pPr>
                </w:p>
              </w:tc>
            </w:tr>
            <w:tr w14:paraId="03C4F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44D1C16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210" w:type="dxa"/>
                  <w:noWrap w:val="0"/>
                  <w:vAlign w:val="center"/>
                </w:tcPr>
                <w:p w14:paraId="6703E81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空气污染</w:t>
                  </w:r>
                </w:p>
              </w:tc>
              <w:tc>
                <w:tcPr>
                  <w:tcW w:w="5894" w:type="dxa"/>
                  <w:noWrap w:val="0"/>
                  <w:vAlign w:val="center"/>
                </w:tcPr>
                <w:p w14:paraId="320A671C">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●靠近居民点的地方采取合理的措施，如洒水降尘等，以减少大气污染。洒水量及频次视当地土质、天气情况等相应增加。</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●运送建筑材料的卡车采用帆布等遮盖，严禁超载，减少跑漏。</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●施工现场及运料道路在无雨的天气定期洒水，防止尘土飞扬。</w:t>
                  </w:r>
                </w:p>
              </w:tc>
              <w:tc>
                <w:tcPr>
                  <w:tcW w:w="1059" w:type="dxa"/>
                  <w:noWrap w:val="0"/>
                  <w:vAlign w:val="center"/>
                </w:tcPr>
                <w:p w14:paraId="509CCE3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5791E5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3173A96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210" w:type="dxa"/>
                  <w:noWrap w:val="0"/>
                  <w:vAlign w:val="center"/>
                </w:tcPr>
                <w:p w14:paraId="0935955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土壤侵蚀</w:t>
                  </w:r>
                </w:p>
              </w:tc>
              <w:tc>
                <w:tcPr>
                  <w:tcW w:w="5894" w:type="dxa"/>
                  <w:noWrap w:val="0"/>
                  <w:vAlign w:val="center"/>
                </w:tcPr>
                <w:p w14:paraId="3F4F3352">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●路基完工三个月内在道路沿线合适处植树种草。如现有的灌溉或排水系统已损坏，要采取适当的措施修复或重建。</w:t>
                  </w:r>
                </w:p>
              </w:tc>
              <w:tc>
                <w:tcPr>
                  <w:tcW w:w="1059" w:type="dxa"/>
                  <w:noWrap w:val="0"/>
                  <w:vAlign w:val="center"/>
                </w:tcPr>
                <w:p w14:paraId="7CFD6C2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211C1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2769F88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210" w:type="dxa"/>
                  <w:noWrap w:val="0"/>
                  <w:vAlign w:val="center"/>
                </w:tcPr>
                <w:p w14:paraId="3FB68A5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w:t>
                  </w:r>
                </w:p>
              </w:tc>
              <w:tc>
                <w:tcPr>
                  <w:tcW w:w="5894" w:type="dxa"/>
                  <w:noWrap w:val="0"/>
                  <w:vAlign w:val="center"/>
                </w:tcPr>
                <w:p w14:paraId="72AFC9E8">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●在建造永久性的排水系统同时，在施工区建造用于排水的临时截排水沟渠或水管。</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●采取合理措施，如沉淀池以防向灌溉水渠、排水沟直接排放施工污水。</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●选用先进施工工艺防止污染地表水。</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●生活垃圾统一收集，集中处理，不得乱堆乱放或直接排入水体。</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●机械油料的泄漏或废油料的倾倒进入水体后将会引起水</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污染，所以应加强环境管理，开展环保教育。</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●施工材料如水泥、油料、化学品应备有临时遮挡的帆布，</w:t>
                  </w:r>
                </w:p>
              </w:tc>
              <w:tc>
                <w:tcPr>
                  <w:tcW w:w="1059" w:type="dxa"/>
                  <w:noWrap w:val="0"/>
                  <w:vAlign w:val="center"/>
                </w:tcPr>
                <w:p w14:paraId="5676E32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07F857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712DF41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210" w:type="dxa"/>
                  <w:noWrap w:val="0"/>
                  <w:vAlign w:val="center"/>
                </w:tcPr>
                <w:p w14:paraId="5A4B66E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894" w:type="dxa"/>
                  <w:noWrap w:val="0"/>
                  <w:vAlign w:val="center"/>
                </w:tcPr>
                <w:p w14:paraId="0E491FF2">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●严格执行噪声标准以防止公路施工人员受噪声侵害，靠近强声源的工人将戴上耳塞，并限制工作时间。</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●尽量选用低噪设备，并加强机械和车辆的维修和保养，保持其较低噪声水平。</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因生产工艺要求及其他特殊情况须在午间、夜间进行施工作业的，应当事前取得建设行政主管部门的午间、夜间施工意见书，由环境保护行政主管部门出具可在午间、夜间进行施工作业的证明，并公告附近的居民。</w:t>
                  </w:r>
                </w:p>
              </w:tc>
              <w:tc>
                <w:tcPr>
                  <w:tcW w:w="1059" w:type="dxa"/>
                  <w:noWrap w:val="0"/>
                  <w:vAlign w:val="center"/>
                </w:tcPr>
                <w:p w14:paraId="4BA0C70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13C22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5B6B139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210" w:type="dxa"/>
                  <w:noWrap w:val="0"/>
                  <w:vAlign w:val="center"/>
                </w:tcPr>
                <w:p w14:paraId="61F5FF7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5894" w:type="dxa"/>
                  <w:noWrap w:val="0"/>
                  <w:vAlign w:val="center"/>
                </w:tcPr>
                <w:p w14:paraId="7E8DA396">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沿线道路绿化严格按照设计要求进行。</w:t>
                  </w:r>
                </w:p>
              </w:tc>
              <w:tc>
                <w:tcPr>
                  <w:tcW w:w="1059" w:type="dxa"/>
                  <w:noWrap w:val="0"/>
                  <w:vAlign w:val="center"/>
                </w:tcPr>
                <w:p w14:paraId="00B49A7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5A293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331D699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210" w:type="dxa"/>
                  <w:noWrap w:val="0"/>
                  <w:vAlign w:val="center"/>
                </w:tcPr>
                <w:p w14:paraId="72D1974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施工营地</w:t>
                  </w:r>
                </w:p>
              </w:tc>
              <w:tc>
                <w:tcPr>
                  <w:tcW w:w="5894" w:type="dxa"/>
                  <w:noWrap w:val="0"/>
                  <w:vAlign w:val="center"/>
                </w:tcPr>
                <w:p w14:paraId="270C1D23">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●加强对施工管理和施工人员的环境教育。</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●在施工营地应设置垃圾箱和卫生处理设施。</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●工人定期检查身体，以防工人和当地人群间可能的传染病传播，需要时及时处理。</w:t>
                  </w:r>
                </w:p>
              </w:tc>
              <w:tc>
                <w:tcPr>
                  <w:tcW w:w="1059" w:type="dxa"/>
                  <w:noWrap w:val="0"/>
                  <w:vAlign w:val="center"/>
                </w:tcPr>
                <w:p w14:paraId="6A97F3E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358296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441132D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210" w:type="dxa"/>
                  <w:noWrap w:val="0"/>
                  <w:vAlign w:val="center"/>
                </w:tcPr>
                <w:p w14:paraId="2BFDC88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施工安全</w:t>
                  </w:r>
                </w:p>
              </w:tc>
              <w:tc>
                <w:tcPr>
                  <w:tcW w:w="5894" w:type="dxa"/>
                  <w:noWrap w:val="0"/>
                  <w:vAlign w:val="center"/>
                </w:tcPr>
                <w:p w14:paraId="038C7271">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●为保证施工安全，施工期间在临时道路上应设置安全标</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志。</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●施工路段设执勤岗，疏导交通，保证行人安全。</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●施工期，采取有效的安全和警告措施以降低事故发生率。</w:t>
                  </w:r>
                </w:p>
              </w:tc>
              <w:tc>
                <w:tcPr>
                  <w:tcW w:w="1059" w:type="dxa"/>
                  <w:noWrap w:val="0"/>
                  <w:vAlign w:val="center"/>
                </w:tcPr>
                <w:p w14:paraId="1C36680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71042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5672162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210" w:type="dxa"/>
                  <w:noWrap w:val="0"/>
                  <w:vAlign w:val="center"/>
                </w:tcPr>
                <w:p w14:paraId="4DEFCD4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运输管理</w:t>
                  </w:r>
                </w:p>
              </w:tc>
              <w:tc>
                <w:tcPr>
                  <w:tcW w:w="5894" w:type="dxa"/>
                  <w:noWrap w:val="0"/>
                  <w:vAlign w:val="center"/>
                </w:tcPr>
                <w:p w14:paraId="07ADC628">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●建筑材料的运送应尽量避免影响现有的交通设施，减少尘埃和噪声污染。</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●咨询</w:t>
                  </w:r>
                  <w:r>
                    <w:rPr>
                      <w:rFonts w:hint="eastAsia" w:cs="Times New Roman"/>
                      <w:color w:val="auto"/>
                      <w:sz w:val="21"/>
                      <w:szCs w:val="21"/>
                      <w:highlight w:val="none"/>
                      <w:lang w:eastAsia="zh-CN"/>
                    </w:rPr>
                    <w:t>交通运输部</w:t>
                  </w:r>
                  <w:r>
                    <w:rPr>
                      <w:rFonts w:hint="default" w:ascii="Times New Roman" w:hAnsi="Times New Roman" w:cs="Times New Roman"/>
                      <w:color w:val="auto"/>
                      <w:sz w:val="21"/>
                      <w:szCs w:val="21"/>
                      <w:highlight w:val="none"/>
                    </w:rPr>
                    <w:t>门，指导交通运行，施工期间尽可能减少交通阻塞和降低其运输效率。</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●制订合适的建筑材料运输计划，避开现有道路交通高峰。</w:t>
                  </w:r>
                </w:p>
              </w:tc>
              <w:tc>
                <w:tcPr>
                  <w:tcW w:w="1059" w:type="dxa"/>
                  <w:noWrap w:val="0"/>
                  <w:vAlign w:val="center"/>
                </w:tcPr>
                <w:p w14:paraId="4A84072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58AFD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587848F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210" w:type="dxa"/>
                  <w:noWrap w:val="0"/>
                  <w:vAlign w:val="center"/>
                </w:tcPr>
                <w:p w14:paraId="4CF222C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施工管理</w:t>
                  </w:r>
                </w:p>
              </w:tc>
              <w:tc>
                <w:tcPr>
                  <w:tcW w:w="5894" w:type="dxa"/>
                  <w:noWrap w:val="0"/>
                  <w:vAlign w:val="center"/>
                </w:tcPr>
                <w:p w14:paraId="42A969DA">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●根据审查批复的环评报告书和工程施工图设计进行施工期环境监理。</w:t>
                  </w:r>
                </w:p>
              </w:tc>
              <w:tc>
                <w:tcPr>
                  <w:tcW w:w="1059" w:type="dxa"/>
                  <w:noWrap w:val="0"/>
                  <w:vAlign w:val="center"/>
                </w:tcPr>
                <w:p w14:paraId="67786AD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3EE6C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1CC8583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210" w:type="dxa"/>
                  <w:noWrap w:val="0"/>
                  <w:vAlign w:val="center"/>
                </w:tcPr>
                <w:p w14:paraId="02667E5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5894" w:type="dxa"/>
                  <w:noWrap w:val="0"/>
                  <w:vAlign w:val="center"/>
                </w:tcPr>
                <w:p w14:paraId="0F274DB0">
                  <w:pPr>
                    <w:spacing w:line="240" w:lineRule="auto"/>
                    <w:rPr>
                      <w:rFonts w:hint="default" w:ascii="Times New Roman" w:hAnsi="Times New Roman" w:cs="Times New Roman"/>
                      <w:color w:val="auto"/>
                      <w:sz w:val="21"/>
                      <w:szCs w:val="21"/>
                      <w:highlight w:val="none"/>
                    </w:rPr>
                  </w:pPr>
                </w:p>
              </w:tc>
              <w:tc>
                <w:tcPr>
                  <w:tcW w:w="1059" w:type="dxa"/>
                  <w:noWrap w:val="0"/>
                  <w:vAlign w:val="center"/>
                </w:tcPr>
                <w:p w14:paraId="5BCCA8DC">
                  <w:pPr>
                    <w:spacing w:line="240" w:lineRule="auto"/>
                    <w:jc w:val="center"/>
                    <w:rPr>
                      <w:rFonts w:hint="default" w:ascii="Times New Roman" w:hAnsi="Times New Roman" w:cs="Times New Roman"/>
                      <w:color w:val="auto"/>
                      <w:sz w:val="21"/>
                      <w:szCs w:val="21"/>
                      <w:highlight w:val="none"/>
                    </w:rPr>
                  </w:pPr>
                </w:p>
              </w:tc>
            </w:tr>
            <w:tr w14:paraId="1DD61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6482CD9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210" w:type="dxa"/>
                  <w:noWrap w:val="0"/>
                  <w:vAlign w:val="center"/>
                </w:tcPr>
                <w:p w14:paraId="02343B3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894" w:type="dxa"/>
                  <w:noWrap w:val="0"/>
                  <w:vAlign w:val="center"/>
                </w:tcPr>
                <w:p w14:paraId="19E10EFC">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●加强交通管理，出入口设监控站，禁止噪声过大的车上路。</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●根据监测结果，在噪声敏感点应采用合适的措施，减缓交通噪声影响。</w:t>
                  </w:r>
                </w:p>
              </w:tc>
              <w:tc>
                <w:tcPr>
                  <w:tcW w:w="1059" w:type="dxa"/>
                  <w:vMerge w:val="restart"/>
                  <w:noWrap w:val="0"/>
                  <w:vAlign w:val="center"/>
                </w:tcPr>
                <w:p w14:paraId="626C974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r>
            <w:tr w14:paraId="39EA1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45F6674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210" w:type="dxa"/>
                  <w:noWrap w:val="0"/>
                  <w:vAlign w:val="center"/>
                </w:tcPr>
                <w:p w14:paraId="1538241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空气污染</w:t>
                  </w:r>
                </w:p>
              </w:tc>
              <w:tc>
                <w:tcPr>
                  <w:tcW w:w="5894" w:type="dxa"/>
                  <w:noWrap w:val="0"/>
                  <w:vAlign w:val="center"/>
                </w:tcPr>
                <w:p w14:paraId="027325A4">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●严格执行汽车排放车检制度，限制尾气超标排放车辆上路。</w:t>
                  </w:r>
                </w:p>
              </w:tc>
              <w:tc>
                <w:tcPr>
                  <w:tcW w:w="1059" w:type="dxa"/>
                  <w:vMerge w:val="continue"/>
                  <w:noWrap w:val="0"/>
                  <w:vAlign w:val="center"/>
                </w:tcPr>
                <w:p w14:paraId="43D53687">
                  <w:pPr>
                    <w:spacing w:line="240" w:lineRule="auto"/>
                    <w:jc w:val="center"/>
                    <w:rPr>
                      <w:rFonts w:hint="default" w:ascii="Times New Roman" w:hAnsi="Times New Roman" w:cs="Times New Roman"/>
                      <w:color w:val="auto"/>
                      <w:sz w:val="21"/>
                      <w:szCs w:val="21"/>
                      <w:highlight w:val="none"/>
                    </w:rPr>
                  </w:pPr>
                </w:p>
              </w:tc>
            </w:tr>
            <w:tr w14:paraId="324D3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77138C5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210" w:type="dxa"/>
                  <w:noWrap w:val="0"/>
                  <w:vAlign w:val="center"/>
                </w:tcPr>
                <w:p w14:paraId="63B473F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车辆管理</w:t>
                  </w:r>
                </w:p>
              </w:tc>
              <w:tc>
                <w:tcPr>
                  <w:tcW w:w="5894" w:type="dxa"/>
                  <w:noWrap w:val="0"/>
                  <w:vAlign w:val="center"/>
                </w:tcPr>
                <w:p w14:paraId="2AC38938">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●禁止低速、高噪声和大耗油量的旧车上路营运。</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●加强对公民教育，使其认识到车辆带来的环境污染问题，并了解有关法规。</w:t>
                  </w:r>
                </w:p>
              </w:tc>
              <w:tc>
                <w:tcPr>
                  <w:tcW w:w="1059" w:type="dxa"/>
                  <w:vMerge w:val="continue"/>
                  <w:noWrap w:val="0"/>
                  <w:vAlign w:val="center"/>
                </w:tcPr>
                <w:p w14:paraId="04DA7263">
                  <w:pPr>
                    <w:spacing w:line="240" w:lineRule="auto"/>
                    <w:jc w:val="center"/>
                    <w:rPr>
                      <w:rFonts w:hint="default" w:ascii="Times New Roman" w:hAnsi="Times New Roman" w:cs="Times New Roman"/>
                      <w:color w:val="auto"/>
                      <w:sz w:val="21"/>
                      <w:szCs w:val="21"/>
                      <w:highlight w:val="none"/>
                    </w:rPr>
                  </w:pPr>
                </w:p>
              </w:tc>
            </w:tr>
            <w:tr w14:paraId="0D4D2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0A978E4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210" w:type="dxa"/>
                  <w:noWrap w:val="0"/>
                  <w:vAlign w:val="center"/>
                </w:tcPr>
                <w:p w14:paraId="732B5C3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危险品管理</w:t>
                  </w:r>
                </w:p>
              </w:tc>
              <w:tc>
                <w:tcPr>
                  <w:tcW w:w="5894" w:type="dxa"/>
                  <w:noWrap w:val="0"/>
                  <w:vAlign w:val="center"/>
                </w:tcPr>
                <w:p w14:paraId="2A3AC9A9">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●建设单位应成立应急领导小组，专门处理危险品突发事故。</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●运输危险品应持有公安部门颁发的三张证书。即运输许可证、驾驶员执照及保安员证书。危险品车辆应配备危险品标志。</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●公安局应给运输危险品的车辆指定专门的行车路线和停车点。</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●如发生危险品意外溢出事件，应按照应急计划，立即通知有关部门，采取联合应急行动。还将成立一个监控组处理类似事故。</w:t>
                  </w:r>
                </w:p>
              </w:tc>
              <w:tc>
                <w:tcPr>
                  <w:tcW w:w="1059" w:type="dxa"/>
                  <w:vMerge w:val="continue"/>
                  <w:noWrap w:val="0"/>
                  <w:vAlign w:val="center"/>
                </w:tcPr>
                <w:p w14:paraId="23E92EF1">
                  <w:pPr>
                    <w:spacing w:line="240" w:lineRule="auto"/>
                    <w:jc w:val="center"/>
                    <w:rPr>
                      <w:rFonts w:hint="default" w:ascii="Times New Roman" w:hAnsi="Times New Roman" w:cs="Times New Roman"/>
                      <w:color w:val="auto"/>
                      <w:sz w:val="21"/>
                      <w:szCs w:val="21"/>
                      <w:highlight w:val="none"/>
                    </w:rPr>
                  </w:pPr>
                </w:p>
              </w:tc>
            </w:tr>
            <w:tr w14:paraId="3A8F0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54" w:type="dxa"/>
                  <w:noWrap w:val="0"/>
                  <w:vAlign w:val="center"/>
                </w:tcPr>
                <w:p w14:paraId="7C6937B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210" w:type="dxa"/>
                  <w:noWrap w:val="0"/>
                  <w:vAlign w:val="center"/>
                </w:tcPr>
                <w:p w14:paraId="262F2F1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公路绿化</w:t>
                  </w:r>
                </w:p>
              </w:tc>
              <w:tc>
                <w:tcPr>
                  <w:tcW w:w="5894" w:type="dxa"/>
                  <w:noWrap w:val="0"/>
                  <w:vAlign w:val="center"/>
                </w:tcPr>
                <w:p w14:paraId="32BAE7D5">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●加强对公路绿化的维护，全面预防病虫害发生。</w:t>
                  </w:r>
                </w:p>
              </w:tc>
              <w:tc>
                <w:tcPr>
                  <w:tcW w:w="1059" w:type="dxa"/>
                  <w:vMerge w:val="continue"/>
                  <w:noWrap w:val="0"/>
                  <w:vAlign w:val="center"/>
                </w:tcPr>
                <w:p w14:paraId="303621BB">
                  <w:pPr>
                    <w:spacing w:line="240" w:lineRule="auto"/>
                    <w:jc w:val="center"/>
                    <w:rPr>
                      <w:rFonts w:hint="default" w:ascii="Times New Roman" w:hAnsi="Times New Roman" w:cs="Times New Roman"/>
                      <w:color w:val="auto"/>
                      <w:sz w:val="21"/>
                      <w:szCs w:val="21"/>
                      <w:highlight w:val="none"/>
                    </w:rPr>
                  </w:pPr>
                </w:p>
              </w:tc>
            </w:tr>
          </w:tbl>
          <w:p w14:paraId="28E8469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（2）环境监理</w:t>
            </w:r>
          </w:p>
          <w:p w14:paraId="21A3BDE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监理范围：工程所在区域与工程影响区域工作范围：施工现场、施工道路、建设办公区、附属设施等以及上述范围内生产施工对周边造成环境污染和生态破坏的区域；工程运营造成环境影响所采取环保措施的区域。</w:t>
            </w:r>
          </w:p>
          <w:p w14:paraId="34ACCB8A">
            <w:pPr>
              <w:snapToGrid w:val="0"/>
              <w:spacing w:line="360" w:lineRule="auto"/>
              <w:ind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rPr>
              <w:t>建设单位应委托具有资质的监理部门对工程建设的各个阶段，按照国家有关规定实施全程监理，以保证环境污染治理实施的建设。环境监理计划见表9-2。</w:t>
            </w:r>
          </w:p>
          <w:p w14:paraId="25E84845">
            <w:pPr>
              <w:snapToGrid w:val="0"/>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表9-2  项目施工期环境监理计划</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440"/>
              <w:gridCol w:w="1500"/>
              <w:gridCol w:w="2340"/>
              <w:gridCol w:w="2017"/>
            </w:tblGrid>
            <w:tr w14:paraId="6E38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dxa"/>
                  <w:noWrap w:val="0"/>
                  <w:vAlign w:val="center"/>
                </w:tcPr>
                <w:p w14:paraId="10ACDF62">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1440" w:type="dxa"/>
                  <w:noWrap w:val="0"/>
                  <w:vAlign w:val="center"/>
                </w:tcPr>
                <w:p w14:paraId="2DB24252">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监理地点</w:t>
                  </w:r>
                </w:p>
              </w:tc>
              <w:tc>
                <w:tcPr>
                  <w:tcW w:w="1500" w:type="dxa"/>
                  <w:noWrap w:val="0"/>
                  <w:vAlign w:val="center"/>
                </w:tcPr>
                <w:p w14:paraId="1AA544B8">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重点保护目标</w:t>
                  </w:r>
                </w:p>
              </w:tc>
              <w:tc>
                <w:tcPr>
                  <w:tcW w:w="2340" w:type="dxa"/>
                  <w:noWrap w:val="0"/>
                  <w:vAlign w:val="center"/>
                </w:tcPr>
                <w:p w14:paraId="6CC25FAA">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主要工程环境监理内容</w:t>
                  </w:r>
                </w:p>
              </w:tc>
              <w:tc>
                <w:tcPr>
                  <w:tcW w:w="2017" w:type="dxa"/>
                  <w:noWrap w:val="0"/>
                  <w:vAlign w:val="center"/>
                </w:tcPr>
                <w:p w14:paraId="6955C789">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出现超标或违规现象处置方案</w:t>
                  </w:r>
                </w:p>
              </w:tc>
            </w:tr>
            <w:tr w14:paraId="150C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dxa"/>
                  <w:noWrap w:val="0"/>
                  <w:vAlign w:val="center"/>
                </w:tcPr>
                <w:p w14:paraId="37532C74">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1440" w:type="dxa"/>
                  <w:noWrap w:val="0"/>
                  <w:vAlign w:val="center"/>
                </w:tcPr>
                <w:p w14:paraId="301E2A04">
                  <w:pPr>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施工现场</w:t>
                  </w:r>
                  <w:r>
                    <w:rPr>
                      <w:rFonts w:hint="eastAsia" w:cs="Times New Roman"/>
                      <w:color w:val="auto"/>
                      <w:sz w:val="21"/>
                      <w:szCs w:val="21"/>
                      <w:highlight w:val="none"/>
                      <w:lang w:eastAsia="zh-CN"/>
                    </w:rPr>
                    <w:t>、沉淀池</w:t>
                  </w:r>
                </w:p>
              </w:tc>
              <w:tc>
                <w:tcPr>
                  <w:tcW w:w="1500" w:type="dxa"/>
                  <w:noWrap w:val="0"/>
                  <w:vAlign w:val="center"/>
                </w:tcPr>
                <w:p w14:paraId="77D92699">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工程沿线环境敏感点</w:t>
                  </w:r>
                </w:p>
              </w:tc>
              <w:tc>
                <w:tcPr>
                  <w:tcW w:w="2340" w:type="dxa"/>
                  <w:noWrap w:val="0"/>
                  <w:vAlign w:val="center"/>
                </w:tcPr>
                <w:p w14:paraId="2129C1EE">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不得向沿线水体中直接排放施工废水</w:t>
                  </w:r>
                </w:p>
              </w:tc>
              <w:tc>
                <w:tcPr>
                  <w:tcW w:w="2017" w:type="dxa"/>
                  <w:noWrap w:val="0"/>
                  <w:vAlign w:val="center"/>
                </w:tcPr>
                <w:p w14:paraId="0AEE9BF8">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通知建设单位和施工单位采取补救措施</w:t>
                  </w:r>
                </w:p>
              </w:tc>
            </w:tr>
            <w:tr w14:paraId="2CB3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dxa"/>
                  <w:noWrap w:val="0"/>
                  <w:vAlign w:val="center"/>
                </w:tcPr>
                <w:p w14:paraId="6B051CF1">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1440" w:type="dxa"/>
                  <w:noWrap w:val="0"/>
                  <w:vAlign w:val="center"/>
                </w:tcPr>
                <w:p w14:paraId="15E157F0">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施工运输道路、筑路材料堆放场地</w:t>
                  </w:r>
                </w:p>
              </w:tc>
              <w:tc>
                <w:tcPr>
                  <w:tcW w:w="1500" w:type="dxa"/>
                  <w:noWrap w:val="0"/>
                  <w:vAlign w:val="center"/>
                </w:tcPr>
                <w:p w14:paraId="4F6DF427">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工程沿线环境敏感点</w:t>
                  </w:r>
                </w:p>
              </w:tc>
              <w:tc>
                <w:tcPr>
                  <w:tcW w:w="2340" w:type="dxa"/>
                  <w:noWrap w:val="0"/>
                  <w:vAlign w:val="center"/>
                </w:tcPr>
                <w:p w14:paraId="35AA1C54">
                  <w:pPr>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敏感点附近的施工道路洒水逸尘、筑路材料堆放、运输粉状物料加盖篷布</w:t>
                  </w:r>
                  <w:r>
                    <w:rPr>
                      <w:rFonts w:hint="eastAsia" w:cs="Times New Roman"/>
                      <w:color w:val="auto"/>
                      <w:sz w:val="21"/>
                      <w:szCs w:val="21"/>
                      <w:highlight w:val="none"/>
                      <w:lang w:eastAsia="zh-CN"/>
                    </w:rPr>
                    <w:t>，施工现场设置围挡</w:t>
                  </w:r>
                </w:p>
              </w:tc>
              <w:tc>
                <w:tcPr>
                  <w:tcW w:w="2017" w:type="dxa"/>
                  <w:noWrap w:val="0"/>
                  <w:vAlign w:val="center"/>
                </w:tcPr>
                <w:p w14:paraId="704D5B14">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通知建设单位和施工单位采取补救措施</w:t>
                  </w:r>
                </w:p>
              </w:tc>
            </w:tr>
            <w:tr w14:paraId="09A6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dxa"/>
                  <w:noWrap w:val="0"/>
                  <w:vAlign w:val="center"/>
                </w:tcPr>
                <w:p w14:paraId="3A83C1F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440" w:type="dxa"/>
                  <w:noWrap w:val="0"/>
                  <w:vAlign w:val="center"/>
                </w:tcPr>
                <w:p w14:paraId="583ED1FD">
                  <w:pPr>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施工运输道路</w:t>
                  </w:r>
                  <w:r>
                    <w:rPr>
                      <w:rFonts w:hint="eastAsia" w:cs="Times New Roman"/>
                      <w:color w:val="auto"/>
                      <w:sz w:val="21"/>
                      <w:szCs w:val="21"/>
                      <w:highlight w:val="none"/>
                      <w:lang w:eastAsia="zh-CN"/>
                    </w:rPr>
                    <w:t>、</w:t>
                  </w:r>
                </w:p>
                <w:p w14:paraId="11EE22A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w:t>
                  </w:r>
                </w:p>
              </w:tc>
              <w:tc>
                <w:tcPr>
                  <w:tcW w:w="1500" w:type="dxa"/>
                  <w:noWrap w:val="0"/>
                  <w:vAlign w:val="center"/>
                </w:tcPr>
                <w:p w14:paraId="3019B403">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工程沿线环境敏感点</w:t>
                  </w:r>
                </w:p>
              </w:tc>
              <w:tc>
                <w:tcPr>
                  <w:tcW w:w="2340" w:type="dxa"/>
                  <w:noWrap w:val="0"/>
                  <w:vAlign w:val="center"/>
                </w:tcPr>
                <w:p w14:paraId="6DA49058">
                  <w:pPr>
                    <w:numPr>
                      <w:ilvl w:val="0"/>
                      <w:numId w:val="0"/>
                    </w:numPr>
                    <w:snapToGrid w:val="0"/>
                    <w:spacing w:line="240" w:lineRule="auto"/>
                    <w:jc w:val="both"/>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合理安排施工时间、居民点附近夜间禁止施工，选用低噪声设备</w:t>
                  </w:r>
                </w:p>
                <w:p w14:paraId="1F62853F">
                  <w:pPr>
                    <w:numPr>
                      <w:ilvl w:val="0"/>
                      <w:numId w:val="0"/>
                    </w:numPr>
                    <w:snapToGrid w:val="0"/>
                    <w:spacing w:line="240" w:lineRule="auto"/>
                    <w:jc w:val="both"/>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）施工现场周围设置围挡</w:t>
                  </w:r>
                </w:p>
              </w:tc>
              <w:tc>
                <w:tcPr>
                  <w:tcW w:w="2017" w:type="dxa"/>
                  <w:noWrap w:val="0"/>
                  <w:vAlign w:val="center"/>
                </w:tcPr>
                <w:p w14:paraId="76F6F45B">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通知建设单位和施工单位采取补救措施</w:t>
                  </w:r>
                </w:p>
              </w:tc>
            </w:tr>
            <w:tr w14:paraId="2EB2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dxa"/>
                  <w:noWrap w:val="0"/>
                  <w:vAlign w:val="center"/>
                </w:tcPr>
                <w:p w14:paraId="3A5376D4">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1440" w:type="dxa"/>
                  <w:noWrap w:val="0"/>
                  <w:vAlign w:val="center"/>
                </w:tcPr>
                <w:p w14:paraId="7043F870">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占用农用地等</w:t>
                  </w:r>
                </w:p>
              </w:tc>
              <w:tc>
                <w:tcPr>
                  <w:tcW w:w="1500" w:type="dxa"/>
                  <w:noWrap w:val="0"/>
                  <w:vAlign w:val="center"/>
                </w:tcPr>
                <w:p w14:paraId="3F6CB1E1">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沿线</w:t>
                  </w:r>
                </w:p>
              </w:tc>
              <w:tc>
                <w:tcPr>
                  <w:tcW w:w="2340" w:type="dxa"/>
                  <w:noWrap w:val="0"/>
                  <w:vAlign w:val="center"/>
                </w:tcPr>
                <w:p w14:paraId="078697EE">
                  <w:pPr>
                    <w:snapToGrid w:val="0"/>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（1）严格在施工范围内施工。</w:t>
                  </w:r>
                </w:p>
                <w:p w14:paraId="1F54CE49">
                  <w:pPr>
                    <w:snapToGrid w:val="0"/>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（2）绿化选用适宜该片区生长的树种、草地。</w:t>
                  </w:r>
                </w:p>
              </w:tc>
              <w:tc>
                <w:tcPr>
                  <w:tcW w:w="2017" w:type="dxa"/>
                  <w:noWrap w:val="0"/>
                  <w:vAlign w:val="center"/>
                </w:tcPr>
                <w:p w14:paraId="461867C5">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通知建设单位和施工单位采取补救措施</w:t>
                  </w:r>
                </w:p>
              </w:tc>
            </w:tr>
            <w:tr w14:paraId="79D7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dxa"/>
                  <w:noWrap w:val="0"/>
                  <w:vAlign w:val="center"/>
                </w:tcPr>
                <w:p w14:paraId="02BC9929">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环保设施施工</w:t>
                  </w:r>
                </w:p>
              </w:tc>
              <w:tc>
                <w:tcPr>
                  <w:tcW w:w="1440" w:type="dxa"/>
                  <w:noWrap w:val="0"/>
                  <w:vAlign w:val="center"/>
                </w:tcPr>
                <w:p w14:paraId="6F1F177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项目各项环保设施的建设</w:t>
                  </w:r>
                </w:p>
              </w:tc>
              <w:tc>
                <w:tcPr>
                  <w:tcW w:w="1500" w:type="dxa"/>
                  <w:noWrap w:val="0"/>
                  <w:vAlign w:val="center"/>
                </w:tcPr>
                <w:p w14:paraId="77FFF8BE">
                  <w:pPr>
                    <w:snapToGrid w:val="0"/>
                    <w:spacing w:line="240" w:lineRule="auto"/>
                    <w:jc w:val="center"/>
                    <w:rPr>
                      <w:rFonts w:hint="default" w:ascii="Times New Roman" w:hAnsi="Times New Roman" w:cs="Times New Roman"/>
                      <w:color w:val="auto"/>
                      <w:sz w:val="21"/>
                      <w:szCs w:val="21"/>
                      <w:highlight w:val="none"/>
                    </w:rPr>
                  </w:pPr>
                </w:p>
              </w:tc>
              <w:tc>
                <w:tcPr>
                  <w:tcW w:w="2340" w:type="dxa"/>
                  <w:noWrap w:val="0"/>
                  <w:vAlign w:val="center"/>
                </w:tcPr>
                <w:p w14:paraId="6468FAF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（1）敏感点噪声防治措施落实（绿化带、围墙）。</w:t>
                  </w:r>
                </w:p>
                <w:p w14:paraId="02BF3041">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（2）沿线环保警示牌等环境风险事故防范措施</w:t>
                  </w:r>
                </w:p>
              </w:tc>
              <w:tc>
                <w:tcPr>
                  <w:tcW w:w="2017" w:type="dxa"/>
                  <w:noWrap w:val="0"/>
                  <w:vAlign w:val="center"/>
                </w:tcPr>
                <w:p w14:paraId="073B88E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同工程监理</w:t>
                  </w:r>
                </w:p>
              </w:tc>
            </w:tr>
          </w:tbl>
          <w:p w14:paraId="3583B06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（3）环境监测</w:t>
            </w:r>
          </w:p>
          <w:p w14:paraId="3FB8C48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1）环境监测的目的及监测机构设置</w:t>
            </w:r>
          </w:p>
          <w:p w14:paraId="02CCC598">
            <w:pPr>
              <w:snapToGrid w:val="0"/>
              <w:spacing w:line="360" w:lineRule="auto"/>
              <w:ind w:firstLine="554" w:firstLineChars="231"/>
              <w:jc w:val="left"/>
              <w:rPr>
                <w:rFonts w:hint="default" w:ascii="Times New Roman" w:hAnsi="Times New Roman" w:cs="Times New Roman"/>
                <w:color w:val="auto"/>
                <w:highlight w:val="none"/>
              </w:rPr>
            </w:pPr>
            <w:bookmarkStart w:id="249" w:name="_Toc216433305"/>
            <w:r>
              <w:rPr>
                <w:rFonts w:hint="default" w:ascii="Times New Roman" w:hAnsi="Times New Roman" w:cs="Times New Roman"/>
                <w:color w:val="auto"/>
                <w:sz w:val="24"/>
                <w:highlight w:val="none"/>
              </w:rPr>
              <w:t>制定环境监测计划的目的，首先是对在环境影响评价过程中所识别、预测的不利影响进行跟踪监测，以便评价建设项目的实际环境影响和所采取的环保措施的实际效果；其次是有能力及时发现在环境影响评价过程中未预计到的实际发生的不利影响。环境监测是项目环境管理工作的重要部分，只有通过监测才能够客观准确的评估环境影响的危害，掌握环境质量及其变化趋势，预测项目施工及运营中的不利因素。环境监测有利于项目的开发进度和正常生产，减轻环境问题对公众生存环境带来的威胁，避免因项目开发带来新的环境问题，为运营期的环境保护及污染物控制、环境监理和环境管理提供科学依据。项目外环境的监测可以检验项目管理和治理的改进程度，也是环境保护管理部门对项目环保工作的重要监控手段。</w:t>
            </w:r>
          </w:p>
          <w:p w14:paraId="1DD460D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环境监测任务由建设单位成立的工程环境管理部门组织实施。环境监测不设专用监测站，委托给有资质的环境监测单位进行监测</w:t>
            </w:r>
            <w:bookmarkEnd w:id="249"/>
            <w:r>
              <w:rPr>
                <w:rFonts w:hint="default" w:ascii="Times New Roman" w:hAnsi="Times New Roman" w:cs="Times New Roman"/>
                <w:color w:val="auto"/>
                <w:sz w:val="24"/>
                <w:highlight w:val="none"/>
              </w:rPr>
              <w:t>。</w:t>
            </w:r>
          </w:p>
          <w:p w14:paraId="76DC7F1B">
            <w:pPr>
              <w:snapToGrid w:val="0"/>
              <w:spacing w:line="360" w:lineRule="auto"/>
              <w:ind w:left="480" w:left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2）环境监测内容及监测计划</w:t>
            </w:r>
          </w:p>
          <w:p w14:paraId="61F743B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根据项目特点，项目施工期环境监测计划见表9-3，运营期环境监测计划见表9-4。</w:t>
            </w:r>
          </w:p>
          <w:p w14:paraId="4B577E73">
            <w:pPr>
              <w:snapToGrid w:val="0"/>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表9-3  施工期环境监测计划</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23"/>
              <w:gridCol w:w="1785"/>
              <w:gridCol w:w="1417"/>
              <w:gridCol w:w="2216"/>
              <w:gridCol w:w="1045"/>
              <w:gridCol w:w="1079"/>
            </w:tblGrid>
            <w:tr w14:paraId="64D5E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3" w:type="dxa"/>
                  <w:noWrap w:val="0"/>
                  <w:vAlign w:val="center"/>
                </w:tcPr>
                <w:p w14:paraId="670FADFD">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785" w:type="dxa"/>
                  <w:noWrap w:val="0"/>
                  <w:vAlign w:val="center"/>
                </w:tcPr>
                <w:p w14:paraId="1ABF76ED">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1417" w:type="dxa"/>
                  <w:noWrap w:val="0"/>
                  <w:vAlign w:val="center"/>
                </w:tcPr>
                <w:p w14:paraId="045997F5">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指标</w:t>
                  </w:r>
                </w:p>
              </w:tc>
              <w:tc>
                <w:tcPr>
                  <w:tcW w:w="2216" w:type="dxa"/>
                  <w:noWrap w:val="0"/>
                  <w:vAlign w:val="center"/>
                </w:tcPr>
                <w:p w14:paraId="15549C22">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监测时间、频率</w:t>
                  </w:r>
                </w:p>
              </w:tc>
              <w:tc>
                <w:tcPr>
                  <w:tcW w:w="1045" w:type="dxa"/>
                  <w:noWrap w:val="0"/>
                  <w:vAlign w:val="center"/>
                </w:tcPr>
                <w:p w14:paraId="75C0CD0A">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实施机构</w:t>
                  </w:r>
                </w:p>
              </w:tc>
              <w:tc>
                <w:tcPr>
                  <w:tcW w:w="1079" w:type="dxa"/>
                  <w:noWrap w:val="0"/>
                  <w:vAlign w:val="center"/>
                </w:tcPr>
                <w:p w14:paraId="0BE8DADE">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监督机构</w:t>
                  </w:r>
                </w:p>
              </w:tc>
            </w:tr>
            <w:tr w14:paraId="0F512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3" w:hRule="atLeast"/>
                <w:jc w:val="center"/>
              </w:trPr>
              <w:tc>
                <w:tcPr>
                  <w:tcW w:w="823" w:type="dxa"/>
                  <w:vMerge w:val="restart"/>
                  <w:noWrap w:val="0"/>
                  <w:vAlign w:val="center"/>
                </w:tcPr>
                <w:p w14:paraId="0C9969D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785" w:type="dxa"/>
                  <w:noWrap w:val="0"/>
                  <w:vAlign w:val="center"/>
                </w:tcPr>
                <w:p w14:paraId="1A6E293A">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芒烘村</w:t>
                  </w:r>
                </w:p>
              </w:tc>
              <w:tc>
                <w:tcPr>
                  <w:tcW w:w="1417" w:type="dxa"/>
                  <w:vMerge w:val="restart"/>
                  <w:noWrap w:val="0"/>
                  <w:vAlign w:val="center"/>
                </w:tcPr>
                <w:p w14:paraId="33D4D4B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Leq（A）</w:t>
                  </w:r>
                </w:p>
              </w:tc>
              <w:tc>
                <w:tcPr>
                  <w:tcW w:w="2216" w:type="dxa"/>
                  <w:vMerge w:val="restart"/>
                  <w:noWrap w:val="0"/>
                  <w:vAlign w:val="center"/>
                </w:tcPr>
                <w:p w14:paraId="1770E05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施工期1次，每次2天，昼夜各一次</w:t>
                  </w:r>
                </w:p>
              </w:tc>
              <w:tc>
                <w:tcPr>
                  <w:tcW w:w="1045" w:type="dxa"/>
                  <w:vMerge w:val="restart"/>
                  <w:noWrap w:val="0"/>
                  <w:vAlign w:val="center"/>
                </w:tcPr>
                <w:p w14:paraId="001F525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具有资质的环境监测部门</w:t>
                  </w:r>
                </w:p>
              </w:tc>
              <w:tc>
                <w:tcPr>
                  <w:tcW w:w="1079" w:type="dxa"/>
                  <w:vMerge w:val="restart"/>
                  <w:noWrap w:val="0"/>
                  <w:vAlign w:val="center"/>
                </w:tcPr>
                <w:p w14:paraId="38D362C1">
                  <w:pPr>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德宏州生态环境局芒市分局</w:t>
                  </w:r>
                </w:p>
              </w:tc>
            </w:tr>
            <w:tr w14:paraId="353DA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823" w:type="dxa"/>
                  <w:vMerge w:val="continue"/>
                  <w:noWrap w:val="0"/>
                  <w:vAlign w:val="center"/>
                </w:tcPr>
                <w:p w14:paraId="2EA73CFD">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20DC9630">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拉院村</w:t>
                  </w:r>
                </w:p>
              </w:tc>
              <w:tc>
                <w:tcPr>
                  <w:tcW w:w="1417" w:type="dxa"/>
                  <w:vMerge w:val="continue"/>
                  <w:noWrap w:val="0"/>
                  <w:vAlign w:val="center"/>
                </w:tcPr>
                <w:p w14:paraId="2DAFA78F">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55AA4356">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54011C84">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376769AB">
                  <w:pPr>
                    <w:spacing w:line="240" w:lineRule="auto"/>
                    <w:jc w:val="center"/>
                    <w:rPr>
                      <w:rFonts w:hint="default" w:ascii="Times New Roman" w:hAnsi="Times New Roman" w:cs="Times New Roman"/>
                      <w:color w:val="auto"/>
                      <w:sz w:val="21"/>
                      <w:szCs w:val="21"/>
                      <w:highlight w:val="none"/>
                    </w:rPr>
                  </w:pPr>
                </w:p>
              </w:tc>
            </w:tr>
            <w:tr w14:paraId="6210E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23" w:type="dxa"/>
                  <w:vMerge w:val="continue"/>
                  <w:noWrap w:val="0"/>
                  <w:vAlign w:val="center"/>
                </w:tcPr>
                <w:p w14:paraId="4546D91E">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2AB18B13">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芒辛村</w:t>
                  </w:r>
                </w:p>
              </w:tc>
              <w:tc>
                <w:tcPr>
                  <w:tcW w:w="1417" w:type="dxa"/>
                  <w:vMerge w:val="continue"/>
                  <w:noWrap w:val="0"/>
                  <w:vAlign w:val="center"/>
                </w:tcPr>
                <w:p w14:paraId="213924D1">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20ADC209">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3BCB8970">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14253BCB">
                  <w:pPr>
                    <w:spacing w:line="240" w:lineRule="auto"/>
                    <w:jc w:val="center"/>
                    <w:rPr>
                      <w:rFonts w:hint="default" w:ascii="Times New Roman" w:hAnsi="Times New Roman" w:cs="Times New Roman"/>
                      <w:color w:val="auto"/>
                      <w:sz w:val="21"/>
                      <w:szCs w:val="21"/>
                      <w:highlight w:val="none"/>
                    </w:rPr>
                  </w:pPr>
                </w:p>
              </w:tc>
            </w:tr>
            <w:tr w14:paraId="797EB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823" w:type="dxa"/>
                  <w:vMerge w:val="continue"/>
                  <w:noWrap w:val="0"/>
                  <w:vAlign w:val="center"/>
                </w:tcPr>
                <w:p w14:paraId="18C12266">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440AEFBD">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芒赛村</w:t>
                  </w:r>
                </w:p>
              </w:tc>
              <w:tc>
                <w:tcPr>
                  <w:tcW w:w="1417" w:type="dxa"/>
                  <w:vMerge w:val="continue"/>
                  <w:noWrap w:val="0"/>
                  <w:vAlign w:val="center"/>
                </w:tcPr>
                <w:p w14:paraId="426B94F5">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73FDBCD4">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551E3E31">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0C662352">
                  <w:pPr>
                    <w:spacing w:line="240" w:lineRule="auto"/>
                    <w:jc w:val="center"/>
                    <w:rPr>
                      <w:rFonts w:hint="default" w:ascii="Times New Roman" w:hAnsi="Times New Roman" w:cs="Times New Roman"/>
                      <w:color w:val="auto"/>
                      <w:sz w:val="21"/>
                      <w:szCs w:val="21"/>
                      <w:highlight w:val="none"/>
                    </w:rPr>
                  </w:pPr>
                </w:p>
              </w:tc>
            </w:tr>
            <w:tr w14:paraId="5844C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23" w:type="dxa"/>
                  <w:vMerge w:val="continue"/>
                  <w:noWrap w:val="0"/>
                  <w:vAlign w:val="center"/>
                </w:tcPr>
                <w:p w14:paraId="50032572">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767805C9">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芒乃村</w:t>
                  </w:r>
                </w:p>
              </w:tc>
              <w:tc>
                <w:tcPr>
                  <w:tcW w:w="1417" w:type="dxa"/>
                  <w:vMerge w:val="continue"/>
                  <w:noWrap w:val="0"/>
                  <w:vAlign w:val="center"/>
                </w:tcPr>
                <w:p w14:paraId="25FCFD02">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04267631">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692A75E8">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264A9D9F">
                  <w:pPr>
                    <w:spacing w:line="240" w:lineRule="auto"/>
                    <w:jc w:val="center"/>
                    <w:rPr>
                      <w:rFonts w:hint="default" w:ascii="Times New Roman" w:hAnsi="Times New Roman" w:cs="Times New Roman"/>
                      <w:color w:val="auto"/>
                      <w:sz w:val="21"/>
                      <w:szCs w:val="21"/>
                      <w:highlight w:val="none"/>
                    </w:rPr>
                  </w:pPr>
                </w:p>
              </w:tc>
            </w:tr>
            <w:tr w14:paraId="0D0EB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23" w:type="dxa"/>
                  <w:vMerge w:val="restart"/>
                  <w:noWrap w:val="0"/>
                  <w:vAlign w:val="center"/>
                </w:tcPr>
                <w:p w14:paraId="65A5A844">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大气</w:t>
                  </w:r>
                </w:p>
              </w:tc>
              <w:tc>
                <w:tcPr>
                  <w:tcW w:w="1785" w:type="dxa"/>
                  <w:noWrap w:val="0"/>
                  <w:vAlign w:val="center"/>
                </w:tcPr>
                <w:p w14:paraId="5B816F8A">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芒烘村</w:t>
                  </w:r>
                </w:p>
              </w:tc>
              <w:tc>
                <w:tcPr>
                  <w:tcW w:w="1417" w:type="dxa"/>
                  <w:vMerge w:val="restart"/>
                  <w:noWrap w:val="0"/>
                  <w:vAlign w:val="center"/>
                </w:tcPr>
                <w:p w14:paraId="4B514D5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TSP</w:t>
                  </w:r>
                </w:p>
              </w:tc>
              <w:tc>
                <w:tcPr>
                  <w:tcW w:w="2216" w:type="dxa"/>
                  <w:vMerge w:val="restart"/>
                  <w:noWrap w:val="0"/>
                  <w:vAlign w:val="center"/>
                </w:tcPr>
                <w:p w14:paraId="3B04E7DD">
                  <w:pPr>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sz w:val="21"/>
                      <w:szCs w:val="21"/>
                      <w:lang w:eastAsia="zh-CN"/>
                    </w:rPr>
                    <w:t>施工高峰期</w:t>
                  </w:r>
                  <w:r>
                    <w:rPr>
                      <w:rFonts w:hint="eastAsia" w:ascii="Times New Roman" w:hAnsi="Times New Roman"/>
                      <w:sz w:val="21"/>
                      <w:szCs w:val="21"/>
                      <w:lang w:val="en-US" w:eastAsia="zh-CN"/>
                    </w:rPr>
                    <w:t>1次，</w:t>
                  </w:r>
                  <w:r>
                    <w:rPr>
                      <w:rFonts w:hint="eastAsia" w:ascii="Times New Roman" w:hAnsi="Times New Roman"/>
                      <w:sz w:val="21"/>
                      <w:szCs w:val="21"/>
                    </w:rPr>
                    <w:t>连续监测2天、每天3次</w:t>
                  </w:r>
                </w:p>
              </w:tc>
              <w:tc>
                <w:tcPr>
                  <w:tcW w:w="1045" w:type="dxa"/>
                  <w:vMerge w:val="restart"/>
                  <w:noWrap w:val="0"/>
                  <w:vAlign w:val="center"/>
                </w:tcPr>
                <w:p w14:paraId="06E117B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具有资质的环境监测部门</w:t>
                  </w:r>
                </w:p>
              </w:tc>
              <w:tc>
                <w:tcPr>
                  <w:tcW w:w="1079" w:type="dxa"/>
                  <w:vMerge w:val="restart"/>
                  <w:noWrap w:val="0"/>
                  <w:vAlign w:val="center"/>
                </w:tcPr>
                <w:p w14:paraId="6B08360A">
                  <w:pPr>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德宏州生态环境局芒市分局</w:t>
                  </w:r>
                </w:p>
              </w:tc>
            </w:tr>
            <w:tr w14:paraId="2C462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23" w:type="dxa"/>
                  <w:vMerge w:val="continue"/>
                  <w:noWrap w:val="0"/>
                  <w:vAlign w:val="center"/>
                </w:tcPr>
                <w:p w14:paraId="1FCB0FC7">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46B8430C">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拉院村</w:t>
                  </w:r>
                </w:p>
              </w:tc>
              <w:tc>
                <w:tcPr>
                  <w:tcW w:w="1417" w:type="dxa"/>
                  <w:vMerge w:val="continue"/>
                  <w:noWrap w:val="0"/>
                  <w:vAlign w:val="center"/>
                </w:tcPr>
                <w:p w14:paraId="0F578790">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32CC5F6F">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694A26B4">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3B935AC9">
                  <w:pPr>
                    <w:spacing w:line="240" w:lineRule="auto"/>
                    <w:jc w:val="center"/>
                    <w:rPr>
                      <w:rFonts w:hint="default" w:ascii="Times New Roman" w:hAnsi="Times New Roman" w:cs="Times New Roman"/>
                      <w:color w:val="auto"/>
                      <w:sz w:val="21"/>
                      <w:szCs w:val="21"/>
                      <w:highlight w:val="none"/>
                    </w:rPr>
                  </w:pPr>
                </w:p>
              </w:tc>
            </w:tr>
            <w:tr w14:paraId="52B1D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23" w:type="dxa"/>
                  <w:vMerge w:val="continue"/>
                  <w:noWrap w:val="0"/>
                  <w:vAlign w:val="center"/>
                </w:tcPr>
                <w:p w14:paraId="35B8ECE6">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105D1CA9">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芒辛村</w:t>
                  </w:r>
                </w:p>
              </w:tc>
              <w:tc>
                <w:tcPr>
                  <w:tcW w:w="1417" w:type="dxa"/>
                  <w:vMerge w:val="continue"/>
                  <w:noWrap w:val="0"/>
                  <w:vAlign w:val="center"/>
                </w:tcPr>
                <w:p w14:paraId="650834AE">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331EAE18">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31D1A21B">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1C27C89C">
                  <w:pPr>
                    <w:spacing w:line="240" w:lineRule="auto"/>
                    <w:jc w:val="center"/>
                    <w:rPr>
                      <w:rFonts w:hint="default" w:ascii="Times New Roman" w:hAnsi="Times New Roman" w:cs="Times New Roman"/>
                      <w:color w:val="auto"/>
                      <w:sz w:val="21"/>
                      <w:szCs w:val="21"/>
                      <w:highlight w:val="none"/>
                    </w:rPr>
                  </w:pPr>
                </w:p>
              </w:tc>
            </w:tr>
            <w:tr w14:paraId="7F673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23" w:type="dxa"/>
                  <w:vMerge w:val="continue"/>
                  <w:noWrap w:val="0"/>
                  <w:vAlign w:val="center"/>
                </w:tcPr>
                <w:p w14:paraId="7CC4C693">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5552DB92">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芒赛村</w:t>
                  </w:r>
                </w:p>
              </w:tc>
              <w:tc>
                <w:tcPr>
                  <w:tcW w:w="1417" w:type="dxa"/>
                  <w:vMerge w:val="continue"/>
                  <w:noWrap w:val="0"/>
                  <w:vAlign w:val="center"/>
                </w:tcPr>
                <w:p w14:paraId="414400E5">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4438CAC2">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1B9D0058">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212C1521">
                  <w:pPr>
                    <w:spacing w:line="240" w:lineRule="auto"/>
                    <w:jc w:val="center"/>
                    <w:rPr>
                      <w:rFonts w:hint="default" w:ascii="Times New Roman" w:hAnsi="Times New Roman" w:cs="Times New Roman"/>
                      <w:color w:val="auto"/>
                      <w:sz w:val="21"/>
                      <w:szCs w:val="21"/>
                      <w:highlight w:val="none"/>
                    </w:rPr>
                  </w:pPr>
                </w:p>
              </w:tc>
            </w:tr>
            <w:tr w14:paraId="5AAC2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23" w:type="dxa"/>
                  <w:vMerge w:val="continue"/>
                  <w:noWrap w:val="0"/>
                  <w:vAlign w:val="center"/>
                </w:tcPr>
                <w:p w14:paraId="7A2E4414">
                  <w:pPr>
                    <w:spacing w:line="240" w:lineRule="auto"/>
                    <w:jc w:val="center"/>
                    <w:rPr>
                      <w:rFonts w:hint="default" w:ascii="Times New Roman" w:hAnsi="Times New Roman" w:cs="Times New Roman"/>
                      <w:color w:val="auto"/>
                      <w:sz w:val="21"/>
                      <w:szCs w:val="21"/>
                      <w:highlight w:val="none"/>
                    </w:rPr>
                  </w:pPr>
                </w:p>
              </w:tc>
              <w:tc>
                <w:tcPr>
                  <w:tcW w:w="1785" w:type="dxa"/>
                  <w:noWrap w:val="0"/>
                  <w:vAlign w:val="center"/>
                </w:tcPr>
                <w:p w14:paraId="706D87DA">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芒乃村</w:t>
                  </w:r>
                </w:p>
              </w:tc>
              <w:tc>
                <w:tcPr>
                  <w:tcW w:w="1417" w:type="dxa"/>
                  <w:vMerge w:val="continue"/>
                  <w:noWrap w:val="0"/>
                  <w:vAlign w:val="center"/>
                </w:tcPr>
                <w:p w14:paraId="46320381">
                  <w:pPr>
                    <w:spacing w:line="240" w:lineRule="auto"/>
                    <w:jc w:val="center"/>
                    <w:rPr>
                      <w:rFonts w:hint="default" w:ascii="Times New Roman" w:hAnsi="Times New Roman" w:cs="Times New Roman"/>
                      <w:color w:val="auto"/>
                      <w:sz w:val="21"/>
                      <w:szCs w:val="21"/>
                      <w:highlight w:val="none"/>
                    </w:rPr>
                  </w:pPr>
                </w:p>
              </w:tc>
              <w:tc>
                <w:tcPr>
                  <w:tcW w:w="2216" w:type="dxa"/>
                  <w:vMerge w:val="continue"/>
                  <w:noWrap w:val="0"/>
                  <w:vAlign w:val="center"/>
                </w:tcPr>
                <w:p w14:paraId="4726D43F">
                  <w:pPr>
                    <w:spacing w:line="240" w:lineRule="auto"/>
                    <w:jc w:val="center"/>
                    <w:rPr>
                      <w:rFonts w:hint="default" w:ascii="Times New Roman" w:hAnsi="Times New Roman" w:cs="Times New Roman"/>
                      <w:color w:val="auto"/>
                      <w:sz w:val="21"/>
                      <w:szCs w:val="21"/>
                      <w:highlight w:val="none"/>
                    </w:rPr>
                  </w:pPr>
                </w:p>
              </w:tc>
              <w:tc>
                <w:tcPr>
                  <w:tcW w:w="1045" w:type="dxa"/>
                  <w:vMerge w:val="continue"/>
                  <w:noWrap w:val="0"/>
                  <w:vAlign w:val="center"/>
                </w:tcPr>
                <w:p w14:paraId="03A28959">
                  <w:pPr>
                    <w:spacing w:line="240" w:lineRule="auto"/>
                    <w:jc w:val="center"/>
                    <w:rPr>
                      <w:rFonts w:hint="default" w:ascii="Times New Roman" w:hAnsi="Times New Roman" w:cs="Times New Roman"/>
                      <w:color w:val="auto"/>
                      <w:sz w:val="21"/>
                      <w:szCs w:val="21"/>
                      <w:highlight w:val="none"/>
                    </w:rPr>
                  </w:pPr>
                </w:p>
              </w:tc>
              <w:tc>
                <w:tcPr>
                  <w:tcW w:w="1079" w:type="dxa"/>
                  <w:vMerge w:val="continue"/>
                  <w:noWrap w:val="0"/>
                  <w:vAlign w:val="center"/>
                </w:tcPr>
                <w:p w14:paraId="04333CA1">
                  <w:pPr>
                    <w:spacing w:line="240" w:lineRule="auto"/>
                    <w:jc w:val="center"/>
                    <w:rPr>
                      <w:rFonts w:hint="default" w:ascii="Times New Roman" w:hAnsi="Times New Roman" w:cs="Times New Roman"/>
                      <w:color w:val="auto"/>
                      <w:sz w:val="21"/>
                      <w:szCs w:val="21"/>
                      <w:highlight w:val="none"/>
                    </w:rPr>
                  </w:pPr>
                </w:p>
              </w:tc>
            </w:tr>
          </w:tbl>
          <w:p w14:paraId="166F6C32">
            <w:pPr>
              <w:spacing w:before="240"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表9-4  运营期环境监测计划</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357"/>
              <w:gridCol w:w="924"/>
              <w:gridCol w:w="1430"/>
              <w:gridCol w:w="1387"/>
              <w:gridCol w:w="1112"/>
              <w:gridCol w:w="1159"/>
            </w:tblGrid>
            <w:tr w14:paraId="36E0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noWrap w:val="0"/>
                  <w:vAlign w:val="center"/>
                </w:tcPr>
                <w:p w14:paraId="77397B37">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357" w:type="dxa"/>
                  <w:noWrap w:val="0"/>
                  <w:vAlign w:val="center"/>
                </w:tcPr>
                <w:p w14:paraId="4B3BC27B">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924" w:type="dxa"/>
                  <w:noWrap w:val="0"/>
                  <w:vAlign w:val="center"/>
                </w:tcPr>
                <w:p w14:paraId="11FA9EDF">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指标</w:t>
                  </w:r>
                </w:p>
              </w:tc>
              <w:tc>
                <w:tcPr>
                  <w:tcW w:w="1430" w:type="dxa"/>
                  <w:noWrap w:val="0"/>
                  <w:vAlign w:val="center"/>
                </w:tcPr>
                <w:p w14:paraId="27373CDF">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监测时间、频率</w:t>
                  </w:r>
                </w:p>
              </w:tc>
              <w:tc>
                <w:tcPr>
                  <w:tcW w:w="1387" w:type="dxa"/>
                  <w:noWrap w:val="0"/>
                  <w:vAlign w:val="center"/>
                </w:tcPr>
                <w:p w14:paraId="3A730794">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实施机构</w:t>
                  </w:r>
                </w:p>
              </w:tc>
              <w:tc>
                <w:tcPr>
                  <w:tcW w:w="1112" w:type="dxa"/>
                  <w:noWrap w:val="0"/>
                  <w:vAlign w:val="center"/>
                </w:tcPr>
                <w:p w14:paraId="4C0D6A7E">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监测方法</w:t>
                  </w:r>
                </w:p>
              </w:tc>
              <w:tc>
                <w:tcPr>
                  <w:tcW w:w="1159" w:type="dxa"/>
                  <w:noWrap w:val="0"/>
                  <w:vAlign w:val="center"/>
                </w:tcPr>
                <w:p w14:paraId="302BDC64">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监督机构</w:t>
                  </w:r>
                </w:p>
              </w:tc>
            </w:tr>
            <w:tr w14:paraId="5C03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01" w:type="dxa"/>
                  <w:vMerge w:val="restart"/>
                  <w:noWrap w:val="0"/>
                  <w:vAlign w:val="center"/>
                </w:tcPr>
                <w:p w14:paraId="1A4F2BD0">
                  <w:pPr>
                    <w:pStyle w:val="37"/>
                    <w:tabs>
                      <w:tab w:val="left" w:pos="1498"/>
                    </w:tabs>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噪声</w:t>
                  </w:r>
                </w:p>
              </w:tc>
              <w:tc>
                <w:tcPr>
                  <w:tcW w:w="1357" w:type="dxa"/>
                  <w:noWrap w:val="0"/>
                  <w:vAlign w:val="center"/>
                </w:tcPr>
                <w:p w14:paraId="54EFF28B">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eastAsia="zh-CN"/>
                    </w:rPr>
                    <w:t>芒烘村</w:t>
                  </w:r>
                </w:p>
              </w:tc>
              <w:tc>
                <w:tcPr>
                  <w:tcW w:w="924" w:type="dxa"/>
                  <w:vMerge w:val="restart"/>
                  <w:noWrap w:val="0"/>
                  <w:vAlign w:val="center"/>
                </w:tcPr>
                <w:p w14:paraId="3DFDF029">
                  <w:pPr>
                    <w:pStyle w:val="37"/>
                    <w:tabs>
                      <w:tab w:val="left" w:pos="1498"/>
                    </w:tabs>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Leq（A）</w:t>
                  </w:r>
                </w:p>
              </w:tc>
              <w:tc>
                <w:tcPr>
                  <w:tcW w:w="1430" w:type="dxa"/>
                  <w:vMerge w:val="restart"/>
                  <w:noWrap w:val="0"/>
                  <w:vAlign w:val="center"/>
                </w:tcPr>
                <w:p w14:paraId="247F3B50">
                  <w:pPr>
                    <w:pStyle w:val="37"/>
                    <w:tabs>
                      <w:tab w:val="left" w:pos="1498"/>
                    </w:tabs>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运营期每年</w:t>
                  </w:r>
                  <w:r>
                    <w:rPr>
                      <w:rFonts w:hint="eastAsia" w:cs="Times New Roman"/>
                      <w:color w:val="auto"/>
                      <w:sz w:val="21"/>
                      <w:szCs w:val="21"/>
                      <w:highlight w:val="none"/>
                      <w:lang w:val="en-US" w:eastAsia="zh-CN"/>
                    </w:rPr>
                    <w:t>1次，连续监测2天，昼夜各一次</w:t>
                  </w:r>
                </w:p>
              </w:tc>
              <w:tc>
                <w:tcPr>
                  <w:tcW w:w="1387" w:type="dxa"/>
                  <w:vMerge w:val="restart"/>
                  <w:noWrap w:val="0"/>
                  <w:vAlign w:val="center"/>
                </w:tcPr>
                <w:p w14:paraId="3FC1269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具有资质的环境监测部门</w:t>
                  </w:r>
                </w:p>
              </w:tc>
              <w:tc>
                <w:tcPr>
                  <w:tcW w:w="1112" w:type="dxa"/>
                  <w:vMerge w:val="restart"/>
                  <w:noWrap w:val="0"/>
                  <w:vAlign w:val="center"/>
                </w:tcPr>
                <w:p w14:paraId="05C21A3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按国家标准方法进行</w:t>
                  </w:r>
                </w:p>
              </w:tc>
              <w:tc>
                <w:tcPr>
                  <w:tcW w:w="1159" w:type="dxa"/>
                  <w:vMerge w:val="restart"/>
                  <w:noWrap w:val="0"/>
                  <w:vAlign w:val="center"/>
                </w:tcPr>
                <w:p w14:paraId="53490588">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德宏州生态环境局芒市分局</w:t>
                  </w:r>
                </w:p>
              </w:tc>
            </w:tr>
            <w:tr w14:paraId="7718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01" w:type="dxa"/>
                  <w:vMerge w:val="continue"/>
                  <w:noWrap w:val="0"/>
                  <w:vAlign w:val="center"/>
                </w:tcPr>
                <w:p w14:paraId="29BD28AD">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57" w:type="dxa"/>
                  <w:noWrap w:val="0"/>
                  <w:vAlign w:val="center"/>
                </w:tcPr>
                <w:p w14:paraId="78BCAC9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拉院村</w:t>
                  </w:r>
                </w:p>
              </w:tc>
              <w:tc>
                <w:tcPr>
                  <w:tcW w:w="924" w:type="dxa"/>
                  <w:vMerge w:val="continue"/>
                  <w:noWrap w:val="0"/>
                  <w:vAlign w:val="center"/>
                </w:tcPr>
                <w:p w14:paraId="285044E1">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430" w:type="dxa"/>
                  <w:vMerge w:val="continue"/>
                  <w:noWrap w:val="0"/>
                  <w:vAlign w:val="center"/>
                </w:tcPr>
                <w:p w14:paraId="4768B9CB">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87" w:type="dxa"/>
                  <w:vMerge w:val="continue"/>
                  <w:noWrap w:val="0"/>
                  <w:vAlign w:val="center"/>
                </w:tcPr>
                <w:p w14:paraId="0F945180">
                  <w:pPr>
                    <w:spacing w:line="240" w:lineRule="auto"/>
                    <w:jc w:val="center"/>
                    <w:rPr>
                      <w:rFonts w:hint="default" w:ascii="Times New Roman" w:hAnsi="Times New Roman" w:cs="Times New Roman"/>
                      <w:color w:val="auto"/>
                      <w:sz w:val="21"/>
                      <w:szCs w:val="21"/>
                      <w:highlight w:val="none"/>
                    </w:rPr>
                  </w:pPr>
                </w:p>
              </w:tc>
              <w:tc>
                <w:tcPr>
                  <w:tcW w:w="1112" w:type="dxa"/>
                  <w:vMerge w:val="continue"/>
                  <w:noWrap w:val="0"/>
                  <w:vAlign w:val="center"/>
                </w:tcPr>
                <w:p w14:paraId="43B9C77F">
                  <w:pPr>
                    <w:spacing w:line="240" w:lineRule="auto"/>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14A807DD">
                  <w:pPr>
                    <w:spacing w:line="240" w:lineRule="auto"/>
                    <w:jc w:val="center"/>
                    <w:rPr>
                      <w:rFonts w:hint="default" w:ascii="Times New Roman" w:hAnsi="Times New Roman" w:cs="Times New Roman"/>
                      <w:color w:val="auto"/>
                      <w:sz w:val="21"/>
                      <w:szCs w:val="21"/>
                      <w:highlight w:val="none"/>
                    </w:rPr>
                  </w:pPr>
                </w:p>
              </w:tc>
            </w:tr>
            <w:tr w14:paraId="7A56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1" w:type="dxa"/>
                  <w:vMerge w:val="continue"/>
                  <w:noWrap w:val="0"/>
                  <w:vAlign w:val="center"/>
                </w:tcPr>
                <w:p w14:paraId="1960C93C">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57" w:type="dxa"/>
                  <w:noWrap w:val="0"/>
                  <w:vAlign w:val="center"/>
                </w:tcPr>
                <w:p w14:paraId="14730A4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芒辛村</w:t>
                  </w:r>
                </w:p>
              </w:tc>
              <w:tc>
                <w:tcPr>
                  <w:tcW w:w="924" w:type="dxa"/>
                  <w:vMerge w:val="continue"/>
                  <w:noWrap w:val="0"/>
                  <w:vAlign w:val="center"/>
                </w:tcPr>
                <w:p w14:paraId="7145EFB0">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430" w:type="dxa"/>
                  <w:vMerge w:val="continue"/>
                  <w:noWrap w:val="0"/>
                  <w:vAlign w:val="center"/>
                </w:tcPr>
                <w:p w14:paraId="059BDBA9">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87" w:type="dxa"/>
                  <w:vMerge w:val="continue"/>
                  <w:noWrap w:val="0"/>
                  <w:vAlign w:val="center"/>
                </w:tcPr>
                <w:p w14:paraId="3846B91C">
                  <w:pPr>
                    <w:spacing w:line="240" w:lineRule="auto"/>
                    <w:jc w:val="center"/>
                    <w:rPr>
                      <w:rFonts w:hint="default" w:ascii="Times New Roman" w:hAnsi="Times New Roman" w:cs="Times New Roman"/>
                      <w:color w:val="auto"/>
                      <w:sz w:val="21"/>
                      <w:szCs w:val="21"/>
                      <w:highlight w:val="none"/>
                    </w:rPr>
                  </w:pPr>
                </w:p>
              </w:tc>
              <w:tc>
                <w:tcPr>
                  <w:tcW w:w="1112" w:type="dxa"/>
                  <w:vMerge w:val="continue"/>
                  <w:noWrap w:val="0"/>
                  <w:vAlign w:val="center"/>
                </w:tcPr>
                <w:p w14:paraId="04AA39AF">
                  <w:pPr>
                    <w:spacing w:line="240" w:lineRule="auto"/>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034AD1DA">
                  <w:pPr>
                    <w:spacing w:line="240" w:lineRule="auto"/>
                    <w:jc w:val="center"/>
                    <w:rPr>
                      <w:rFonts w:hint="default" w:ascii="Times New Roman" w:hAnsi="Times New Roman" w:cs="Times New Roman"/>
                      <w:color w:val="auto"/>
                      <w:sz w:val="21"/>
                      <w:szCs w:val="21"/>
                      <w:highlight w:val="none"/>
                    </w:rPr>
                  </w:pPr>
                </w:p>
              </w:tc>
            </w:tr>
            <w:tr w14:paraId="1FC3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01" w:type="dxa"/>
                  <w:vMerge w:val="continue"/>
                  <w:noWrap w:val="0"/>
                  <w:vAlign w:val="center"/>
                </w:tcPr>
                <w:p w14:paraId="0BC1A201">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57" w:type="dxa"/>
                  <w:noWrap w:val="0"/>
                  <w:vAlign w:val="center"/>
                </w:tcPr>
                <w:p w14:paraId="0206255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芒赛村</w:t>
                  </w:r>
                </w:p>
              </w:tc>
              <w:tc>
                <w:tcPr>
                  <w:tcW w:w="924" w:type="dxa"/>
                  <w:vMerge w:val="continue"/>
                  <w:noWrap w:val="0"/>
                  <w:vAlign w:val="center"/>
                </w:tcPr>
                <w:p w14:paraId="2416733D">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430" w:type="dxa"/>
                  <w:vMerge w:val="continue"/>
                  <w:noWrap w:val="0"/>
                  <w:vAlign w:val="center"/>
                </w:tcPr>
                <w:p w14:paraId="1307DF7A">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87" w:type="dxa"/>
                  <w:vMerge w:val="continue"/>
                  <w:noWrap w:val="0"/>
                  <w:vAlign w:val="center"/>
                </w:tcPr>
                <w:p w14:paraId="472D3F2E">
                  <w:pPr>
                    <w:spacing w:line="240" w:lineRule="auto"/>
                    <w:jc w:val="center"/>
                    <w:rPr>
                      <w:rFonts w:hint="default" w:ascii="Times New Roman" w:hAnsi="Times New Roman" w:cs="Times New Roman"/>
                      <w:color w:val="auto"/>
                      <w:sz w:val="21"/>
                      <w:szCs w:val="21"/>
                      <w:highlight w:val="none"/>
                    </w:rPr>
                  </w:pPr>
                </w:p>
              </w:tc>
              <w:tc>
                <w:tcPr>
                  <w:tcW w:w="1112" w:type="dxa"/>
                  <w:vMerge w:val="continue"/>
                  <w:noWrap w:val="0"/>
                  <w:vAlign w:val="center"/>
                </w:tcPr>
                <w:p w14:paraId="7BE569ED">
                  <w:pPr>
                    <w:spacing w:line="240" w:lineRule="auto"/>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3FD7D999">
                  <w:pPr>
                    <w:spacing w:line="240" w:lineRule="auto"/>
                    <w:jc w:val="center"/>
                    <w:rPr>
                      <w:rFonts w:hint="default" w:ascii="Times New Roman" w:hAnsi="Times New Roman" w:cs="Times New Roman"/>
                      <w:color w:val="auto"/>
                      <w:sz w:val="21"/>
                      <w:szCs w:val="21"/>
                      <w:highlight w:val="none"/>
                    </w:rPr>
                  </w:pPr>
                </w:p>
              </w:tc>
            </w:tr>
            <w:tr w14:paraId="5417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001" w:type="dxa"/>
                  <w:vMerge w:val="continue"/>
                  <w:noWrap w:val="0"/>
                  <w:vAlign w:val="center"/>
                </w:tcPr>
                <w:p w14:paraId="702DBD89">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57" w:type="dxa"/>
                  <w:noWrap w:val="0"/>
                  <w:vAlign w:val="center"/>
                </w:tcPr>
                <w:p w14:paraId="3BF5B0B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芒乃村</w:t>
                  </w:r>
                </w:p>
              </w:tc>
              <w:tc>
                <w:tcPr>
                  <w:tcW w:w="924" w:type="dxa"/>
                  <w:vMerge w:val="continue"/>
                  <w:noWrap w:val="0"/>
                  <w:vAlign w:val="center"/>
                </w:tcPr>
                <w:p w14:paraId="0CC83A29">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430" w:type="dxa"/>
                  <w:vMerge w:val="continue"/>
                  <w:noWrap w:val="0"/>
                  <w:vAlign w:val="center"/>
                </w:tcPr>
                <w:p w14:paraId="2F0491DD">
                  <w:pPr>
                    <w:pStyle w:val="37"/>
                    <w:tabs>
                      <w:tab w:val="left" w:pos="1498"/>
                    </w:tabs>
                    <w:spacing w:line="240" w:lineRule="auto"/>
                    <w:ind w:firstLine="0" w:firstLineChars="0"/>
                    <w:jc w:val="center"/>
                    <w:rPr>
                      <w:rFonts w:hint="default" w:ascii="Times New Roman" w:hAnsi="Times New Roman" w:cs="Times New Roman"/>
                      <w:color w:val="auto"/>
                      <w:sz w:val="21"/>
                      <w:szCs w:val="21"/>
                      <w:highlight w:val="none"/>
                    </w:rPr>
                  </w:pPr>
                </w:p>
              </w:tc>
              <w:tc>
                <w:tcPr>
                  <w:tcW w:w="1387" w:type="dxa"/>
                  <w:vMerge w:val="continue"/>
                  <w:noWrap w:val="0"/>
                  <w:vAlign w:val="center"/>
                </w:tcPr>
                <w:p w14:paraId="411CF62A">
                  <w:pPr>
                    <w:spacing w:line="240" w:lineRule="auto"/>
                    <w:jc w:val="center"/>
                    <w:rPr>
                      <w:rFonts w:hint="default" w:ascii="Times New Roman" w:hAnsi="Times New Roman" w:cs="Times New Roman"/>
                      <w:color w:val="auto"/>
                      <w:sz w:val="21"/>
                      <w:szCs w:val="21"/>
                      <w:highlight w:val="none"/>
                    </w:rPr>
                  </w:pPr>
                </w:p>
              </w:tc>
              <w:tc>
                <w:tcPr>
                  <w:tcW w:w="1112" w:type="dxa"/>
                  <w:vMerge w:val="continue"/>
                  <w:noWrap w:val="0"/>
                  <w:vAlign w:val="center"/>
                </w:tcPr>
                <w:p w14:paraId="1A1F9E82">
                  <w:pPr>
                    <w:spacing w:line="240" w:lineRule="auto"/>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2D6DC559">
                  <w:pPr>
                    <w:spacing w:line="240" w:lineRule="auto"/>
                    <w:jc w:val="center"/>
                    <w:rPr>
                      <w:rFonts w:hint="default" w:ascii="Times New Roman" w:hAnsi="Times New Roman" w:cs="Times New Roman"/>
                      <w:color w:val="auto"/>
                      <w:sz w:val="21"/>
                      <w:szCs w:val="21"/>
                      <w:highlight w:val="none"/>
                    </w:rPr>
                  </w:pPr>
                </w:p>
              </w:tc>
            </w:tr>
          </w:tbl>
          <w:p w14:paraId="2A85A7E5">
            <w:pPr>
              <w:snapToGrid w:val="0"/>
              <w:spacing w:before="160" w:beforeLines="50" w:line="360" w:lineRule="auto"/>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六、“三同时”制度</w:t>
            </w:r>
          </w:p>
          <w:p w14:paraId="0093A0A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本项目“三同时”污染防治设施措施详见表9-5。</w:t>
            </w:r>
          </w:p>
          <w:p w14:paraId="5D531906">
            <w:pPr>
              <w:pStyle w:val="5"/>
              <w:snapToGrid w:val="0"/>
              <w:spacing w:line="360" w:lineRule="auto"/>
              <w:ind w:firstLine="482"/>
              <w:jc w:val="center"/>
              <w:rPr>
                <w:rFonts w:hint="default" w:ascii="Times New Roman" w:hAnsi="Times New Roman" w:cs="Times New Roman"/>
                <w:b/>
                <w:bCs/>
                <w:color w:val="FF0000"/>
                <w:sz w:val="24"/>
                <w:highlight w:val="none"/>
              </w:rPr>
            </w:pPr>
            <w:r>
              <w:rPr>
                <w:rFonts w:hint="default" w:ascii="Times New Roman" w:hAnsi="Times New Roman" w:cs="Times New Roman"/>
                <w:b/>
                <w:bCs/>
                <w:color w:val="auto"/>
                <w:sz w:val="24"/>
                <w:highlight w:val="none"/>
              </w:rPr>
              <w:t xml:space="preserve">表9-5 </w:t>
            </w:r>
            <w:r>
              <w:rPr>
                <w:rFonts w:hint="default" w:ascii="Times New Roman" w:hAnsi="Times New Roman" w:cs="Times New Roman"/>
                <w:b/>
                <w:bCs/>
                <w:color w:val="000000" w:themeColor="text1"/>
                <w:sz w:val="24"/>
                <w:highlight w:val="none"/>
                <w14:textFill>
                  <w14:solidFill>
                    <w14:schemeClr w14:val="tx1"/>
                  </w14:solidFill>
                </w14:textFill>
              </w:rPr>
              <w:t xml:space="preserve"> 工程竣工环境保护验收一览表</w:t>
            </w:r>
          </w:p>
          <w:tbl>
            <w:tblPr>
              <w:tblStyle w:val="15"/>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898"/>
              <w:gridCol w:w="940"/>
              <w:gridCol w:w="1098"/>
              <w:gridCol w:w="2602"/>
              <w:gridCol w:w="2122"/>
            </w:tblGrid>
            <w:tr w14:paraId="2936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7" w:type="dxa"/>
                  <w:noWrap w:val="0"/>
                  <w:vAlign w:val="center"/>
                </w:tcPr>
                <w:p w14:paraId="6C93291E">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898" w:type="dxa"/>
                  <w:noWrap w:val="0"/>
                  <w:vAlign w:val="center"/>
                </w:tcPr>
                <w:p w14:paraId="0EE58CF8">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环境要素</w:t>
                  </w:r>
                </w:p>
              </w:tc>
              <w:tc>
                <w:tcPr>
                  <w:tcW w:w="940" w:type="dxa"/>
                  <w:noWrap w:val="0"/>
                  <w:vAlign w:val="center"/>
                </w:tcPr>
                <w:p w14:paraId="23AED346">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验收主要内容</w:t>
                  </w:r>
                </w:p>
              </w:tc>
              <w:tc>
                <w:tcPr>
                  <w:tcW w:w="1098" w:type="dxa"/>
                  <w:noWrap w:val="0"/>
                  <w:vAlign w:val="center"/>
                </w:tcPr>
                <w:p w14:paraId="287FA6F4">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验收因子/范围</w:t>
                  </w:r>
                </w:p>
              </w:tc>
              <w:tc>
                <w:tcPr>
                  <w:tcW w:w="2602" w:type="dxa"/>
                  <w:noWrap w:val="0"/>
                  <w:vAlign w:val="center"/>
                </w:tcPr>
                <w:p w14:paraId="27C01B55">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验收要求</w:t>
                  </w:r>
                </w:p>
              </w:tc>
              <w:tc>
                <w:tcPr>
                  <w:tcW w:w="2122" w:type="dxa"/>
                  <w:noWrap w:val="0"/>
                  <w:vAlign w:val="center"/>
                </w:tcPr>
                <w:p w14:paraId="0373D111">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验收执行标准</w:t>
                  </w:r>
                </w:p>
              </w:tc>
            </w:tr>
            <w:tr w14:paraId="394C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657" w:type="dxa"/>
                  <w:noWrap w:val="0"/>
                  <w:vAlign w:val="center"/>
                </w:tcPr>
                <w:p w14:paraId="205073FC">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98" w:type="dxa"/>
                  <w:noWrap w:val="0"/>
                  <w:vAlign w:val="center"/>
                </w:tcPr>
                <w:p w14:paraId="7EB5E7C0">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940" w:type="dxa"/>
                  <w:noWrap w:val="0"/>
                  <w:vAlign w:val="center"/>
                </w:tcPr>
                <w:p w14:paraId="78CB4846">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绿化工程</w:t>
                  </w:r>
                </w:p>
              </w:tc>
              <w:tc>
                <w:tcPr>
                  <w:tcW w:w="1098" w:type="dxa"/>
                  <w:noWrap w:val="0"/>
                  <w:vAlign w:val="center"/>
                </w:tcPr>
                <w:p w14:paraId="1EEE81F4">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道路沿线及两侧</w:t>
                  </w:r>
                </w:p>
              </w:tc>
              <w:tc>
                <w:tcPr>
                  <w:tcW w:w="2602" w:type="dxa"/>
                  <w:noWrap w:val="0"/>
                  <w:vAlign w:val="center"/>
                </w:tcPr>
                <w:p w14:paraId="111D025C">
                  <w:pPr>
                    <w:pStyle w:val="5"/>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eastAsia="zh-CN"/>
                    </w:rPr>
                  </w:pP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栽种</w:t>
                  </w:r>
                  <w:r>
                    <w:rPr>
                      <w:rFonts w:hint="default" w:ascii="Times New Roman" w:hAnsi="Times New Roman" w:cs="Times New Roman"/>
                      <w:color w:val="auto"/>
                      <w:sz w:val="21"/>
                      <w:szCs w:val="21"/>
                      <w:highlight w:val="none"/>
                      <w:lang w:eastAsia="zh-CN"/>
                    </w:rPr>
                    <w:t>大青树、黄花风铃木、凤凰木、叶子花球、黄金局、九里香、龙船花、金叶假连翘等</w:t>
                  </w:r>
                  <w:r>
                    <w:rPr>
                      <w:rFonts w:hint="eastAsia" w:cs="Times New Roman"/>
                      <w:color w:val="auto"/>
                      <w:sz w:val="21"/>
                      <w:szCs w:val="21"/>
                      <w:highlight w:val="none"/>
                      <w:lang w:eastAsia="zh-CN"/>
                    </w:rPr>
                    <w:t>；检查临时占地的回复情况</w:t>
                  </w:r>
                </w:p>
              </w:tc>
              <w:tc>
                <w:tcPr>
                  <w:tcW w:w="2122" w:type="dxa"/>
                  <w:noWrap w:val="0"/>
                  <w:vAlign w:val="center"/>
                </w:tcPr>
                <w:p w14:paraId="29C5CF4F">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植被恢复率100%。</w:t>
                  </w:r>
                </w:p>
              </w:tc>
            </w:tr>
            <w:tr w14:paraId="5BAE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0" w:hRule="atLeast"/>
              </w:trPr>
              <w:tc>
                <w:tcPr>
                  <w:tcW w:w="657" w:type="dxa"/>
                  <w:noWrap w:val="0"/>
                  <w:vAlign w:val="center"/>
                </w:tcPr>
                <w:p w14:paraId="7CC1F91E">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98" w:type="dxa"/>
                  <w:noWrap w:val="0"/>
                  <w:vAlign w:val="center"/>
                </w:tcPr>
                <w:p w14:paraId="08F12E20">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940" w:type="dxa"/>
                  <w:noWrap w:val="0"/>
                  <w:vAlign w:val="center"/>
                </w:tcPr>
                <w:p w14:paraId="1BC2FD27">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雨水、污水管网</w:t>
                  </w:r>
                </w:p>
              </w:tc>
              <w:tc>
                <w:tcPr>
                  <w:tcW w:w="1098" w:type="dxa"/>
                  <w:noWrap w:val="0"/>
                  <w:vAlign w:val="center"/>
                </w:tcPr>
                <w:p w14:paraId="5088A556">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管网</w:t>
                  </w:r>
                </w:p>
              </w:tc>
              <w:tc>
                <w:tcPr>
                  <w:tcW w:w="2602" w:type="dxa"/>
                  <w:noWrap w:val="0"/>
                  <w:vAlign w:val="center"/>
                </w:tcPr>
                <w:p w14:paraId="5D09935E">
                  <w:pPr>
                    <w:keepNext w:val="0"/>
                    <w:keepLines w:val="0"/>
                    <w:widowControl/>
                    <w:suppressLineNumbers w:val="0"/>
                    <w:spacing w:line="240" w:lineRule="auto"/>
                    <w:ind w:firstLine="420" w:firstLineChars="200"/>
                    <w:jc w:val="left"/>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根据雨水管道设计</w:t>
                  </w:r>
                  <w:r>
                    <w:rPr>
                      <w:rFonts w:hint="default" w:ascii="Times New Roman" w:hAnsi="Times New Roman" w:eastAsia="宋体" w:cs="Times New Roman"/>
                      <w:color w:val="000000"/>
                      <w:kern w:val="0"/>
                      <w:sz w:val="21"/>
                      <w:szCs w:val="21"/>
                      <w:lang w:val="en-US" w:eastAsia="zh-CN" w:bidi="ar"/>
                    </w:rPr>
                    <w:t>1 号路、7 号路雨水管采用双侧布置，布置于道路两侧机动车道下，距道路中心线 15m</w:t>
                  </w:r>
                  <w:r>
                    <w:rPr>
                      <w:rFonts w:hint="default" w:ascii="Times New Roman" w:hAnsi="Times New Roman" w:cs="Times New Roman"/>
                      <w:color w:val="000000"/>
                      <w:kern w:val="0"/>
                      <w:sz w:val="21"/>
                      <w:szCs w:val="21"/>
                      <w:lang w:val="en-US" w:eastAsia="zh-CN" w:bidi="ar"/>
                    </w:rPr>
                    <w:t>。2号路、3号路、</w:t>
                  </w:r>
                  <w:r>
                    <w:rPr>
                      <w:rFonts w:hint="default" w:ascii="Times New Roman" w:hAnsi="Times New Roman" w:eastAsia="宋体" w:cs="Times New Roman"/>
                      <w:color w:val="000000"/>
                      <w:kern w:val="0"/>
                      <w:sz w:val="21"/>
                      <w:szCs w:val="21"/>
                      <w:lang w:val="en-US" w:eastAsia="zh-CN" w:bidi="ar"/>
                    </w:rPr>
                    <w:t>5号路</w:t>
                  </w:r>
                  <w:r>
                    <w:rPr>
                      <w:rFonts w:hint="eastAsia" w:ascii="Times New Roman" w:hAnsi="Times New Roman" w:cs="Times New Roman"/>
                      <w:color w:val="000000"/>
                      <w:kern w:val="0"/>
                      <w:sz w:val="21"/>
                      <w:szCs w:val="21"/>
                      <w:lang w:val="en-US" w:eastAsia="zh-CN" w:bidi="ar"/>
                    </w:rPr>
                    <w:t>（红线宽度32m）</w:t>
                  </w:r>
                  <w:r>
                    <w:rPr>
                      <w:rFonts w:hint="default" w:ascii="Times New Roman" w:hAnsi="Times New Roman" w:cs="Times New Roman"/>
                      <w:color w:val="000000"/>
                      <w:kern w:val="0"/>
                      <w:sz w:val="21"/>
                      <w:szCs w:val="21"/>
                      <w:lang w:val="en-US" w:eastAsia="zh-CN" w:bidi="ar"/>
                    </w:rPr>
                    <w:t>、6号路</w:t>
                  </w:r>
                  <w:r>
                    <w:rPr>
                      <w:rFonts w:hint="default" w:ascii="Times New Roman" w:hAnsi="Times New Roman" w:eastAsia="宋体" w:cs="Times New Roman"/>
                      <w:color w:val="000000"/>
                      <w:kern w:val="0"/>
                      <w:sz w:val="21"/>
                      <w:szCs w:val="21"/>
                      <w:lang w:val="en-US" w:eastAsia="zh-CN" w:bidi="ar"/>
                    </w:rPr>
                    <w:t>雨水管采用双侧布置，布置于道路两侧机动车道下，距道路中心线 11.5m。</w:t>
                  </w:r>
                  <w:r>
                    <w:rPr>
                      <w:rFonts w:hint="default" w:ascii="Times New Roman" w:hAnsi="Times New Roman" w:cs="Times New Roman"/>
                      <w:color w:val="000000"/>
                      <w:kern w:val="0"/>
                      <w:sz w:val="21"/>
                      <w:szCs w:val="21"/>
                      <w:lang w:val="en-US" w:eastAsia="zh-CN" w:bidi="ar"/>
                    </w:rPr>
                    <w:t>4号路南北侧道路和5号路（红线宽25m）</w:t>
                  </w:r>
                  <w:r>
                    <w:rPr>
                      <w:rFonts w:hint="default" w:ascii="Times New Roman" w:hAnsi="Times New Roman" w:eastAsia="宋体" w:cs="Times New Roman"/>
                      <w:color w:val="000000"/>
                      <w:kern w:val="0"/>
                      <w:sz w:val="21"/>
                      <w:szCs w:val="21"/>
                      <w:lang w:val="en-US" w:eastAsia="zh-CN" w:bidi="ar"/>
                    </w:rPr>
                    <w:t>雨水管采用单侧布置，布置于道路北侧机动车道下，距道路中心线 9.0m</w:t>
                  </w:r>
                  <w:r>
                    <w:rPr>
                      <w:rFonts w:hint="default" w:ascii="Times New Roman" w:hAnsi="Times New Roman" w:cs="Times New Roman"/>
                      <w:color w:val="000000"/>
                      <w:kern w:val="0"/>
                      <w:sz w:val="21"/>
                      <w:szCs w:val="21"/>
                      <w:lang w:val="en-US" w:eastAsia="zh-CN" w:bidi="ar"/>
                    </w:rPr>
                    <w:t>。</w:t>
                  </w:r>
                </w:p>
                <w:p w14:paraId="3A1231C3">
                  <w:pPr>
                    <w:keepNext w:val="0"/>
                    <w:keepLines w:val="0"/>
                    <w:widowControl/>
                    <w:suppressLineNumbers w:val="0"/>
                    <w:spacing w:line="240" w:lineRule="auto"/>
                    <w:ind w:firstLine="420" w:firstLineChars="20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000000"/>
                      <w:kern w:val="0"/>
                      <w:sz w:val="21"/>
                      <w:szCs w:val="21"/>
                      <w:lang w:val="en-US" w:eastAsia="zh-CN" w:bidi="ar"/>
                    </w:rPr>
                    <w:t>根据污水管布设4号路红线宽度42m</w:t>
                  </w:r>
                  <w:r>
                    <w:rPr>
                      <w:rFonts w:hint="default" w:ascii="Times New Roman" w:hAnsi="Times New Roman" w:eastAsia="宋体" w:cs="Times New Roman"/>
                      <w:color w:val="000000"/>
                      <w:kern w:val="0"/>
                      <w:sz w:val="21"/>
                      <w:szCs w:val="21"/>
                      <w:lang w:val="en-US" w:eastAsia="zh-CN" w:bidi="ar"/>
                    </w:rPr>
                    <w:t>污水管采用双侧布置，布置于道路非机动车道下，距道路中心线 17.5m。</w:t>
                  </w:r>
                  <w:r>
                    <w:rPr>
                      <w:rFonts w:hint="default" w:ascii="Times New Roman" w:hAnsi="Times New Roman" w:cs="Times New Roman"/>
                      <w:color w:val="000000"/>
                      <w:kern w:val="0"/>
                      <w:sz w:val="21"/>
                      <w:szCs w:val="21"/>
                      <w:lang w:val="en-US" w:eastAsia="zh-CN" w:bidi="ar"/>
                    </w:rPr>
                    <w:t>2号路、3号路、</w:t>
                  </w:r>
                  <w:r>
                    <w:rPr>
                      <w:rFonts w:hint="default" w:ascii="Times New Roman" w:hAnsi="Times New Roman" w:eastAsia="宋体" w:cs="Times New Roman"/>
                      <w:color w:val="000000"/>
                      <w:kern w:val="0"/>
                      <w:sz w:val="21"/>
                      <w:szCs w:val="21"/>
                      <w:lang w:val="en-US" w:eastAsia="zh-CN" w:bidi="ar"/>
                    </w:rPr>
                    <w:t>5号</w:t>
                  </w:r>
                  <w:r>
                    <w:rPr>
                      <w:rFonts w:hint="default" w:ascii="Times New Roman" w:hAnsi="Times New Roman" w:cs="Times New Roman"/>
                      <w:color w:val="000000"/>
                      <w:kern w:val="0"/>
                      <w:sz w:val="21"/>
                      <w:szCs w:val="21"/>
                      <w:lang w:val="en-US" w:eastAsia="zh-CN" w:bidi="ar"/>
                    </w:rPr>
                    <w:t>路、6号路</w:t>
                  </w:r>
                  <w:r>
                    <w:rPr>
                      <w:rFonts w:hint="default" w:ascii="Times New Roman" w:hAnsi="Times New Roman" w:eastAsia="宋体" w:cs="Times New Roman"/>
                      <w:color w:val="000000"/>
                      <w:kern w:val="0"/>
                      <w:sz w:val="21"/>
                      <w:szCs w:val="21"/>
                      <w:lang w:val="en-US" w:eastAsia="zh-CN" w:bidi="ar"/>
                    </w:rPr>
                    <w:t>红线宽度32m，污水管采用双侧布置，布置于道路两侧非机动车道下，距道路中心线14.5m。</w:t>
                  </w:r>
                  <w:r>
                    <w:rPr>
                      <w:rFonts w:hint="default" w:ascii="Times New Roman" w:hAnsi="Times New Roman" w:cs="Times New Roman"/>
                      <w:color w:val="000000"/>
                      <w:kern w:val="0"/>
                      <w:sz w:val="21"/>
                      <w:szCs w:val="21"/>
                      <w:lang w:val="en-US" w:eastAsia="zh-CN" w:bidi="ar"/>
                    </w:rPr>
                    <w:t>1号路、</w:t>
                  </w:r>
                  <w:r>
                    <w:rPr>
                      <w:rFonts w:hint="default" w:ascii="Times New Roman" w:hAnsi="Times New Roman" w:eastAsia="宋体" w:cs="Times New Roman"/>
                      <w:color w:val="000000"/>
                      <w:kern w:val="0"/>
                      <w:sz w:val="21"/>
                      <w:szCs w:val="21"/>
                      <w:lang w:val="en-US" w:eastAsia="zh-CN" w:bidi="ar"/>
                    </w:rPr>
                    <w:t>7号路红线宽度40m，污水管采用双侧布置，布置于道路两侧机动车道下，距道路中心线 17m。</w:t>
                  </w:r>
                  <w:r>
                    <w:rPr>
                      <w:rFonts w:hint="default" w:ascii="Times New Roman" w:hAnsi="Times New Roman" w:cs="Times New Roman"/>
                      <w:color w:val="000000"/>
                      <w:kern w:val="0"/>
                      <w:sz w:val="21"/>
                      <w:szCs w:val="21"/>
                      <w:lang w:val="en-US" w:eastAsia="zh-CN" w:bidi="ar"/>
                    </w:rPr>
                    <w:t>4号路和5号路红线宽度25m</w:t>
                  </w:r>
                  <w:r>
                    <w:rPr>
                      <w:rFonts w:hint="default" w:ascii="Times New Roman" w:hAnsi="Times New Roman" w:eastAsia="宋体" w:cs="Times New Roman"/>
                      <w:color w:val="000000"/>
                      <w:kern w:val="0"/>
                      <w:sz w:val="21"/>
                      <w:szCs w:val="21"/>
                      <w:lang w:val="en-US" w:eastAsia="zh-CN" w:bidi="ar"/>
                    </w:rPr>
                    <w:t>污水管采用双侧布置，布置于道路两侧非机动车道下</w:t>
                  </w:r>
                  <w:r>
                    <w:rPr>
                      <w:rFonts w:hint="default" w:ascii="Times New Roman" w:hAnsi="Times New Roman" w:cs="Times New Roman"/>
                      <w:color w:val="000000"/>
                      <w:kern w:val="0"/>
                      <w:sz w:val="21"/>
                      <w:szCs w:val="21"/>
                      <w:lang w:val="en-US" w:eastAsia="zh-CN" w:bidi="ar"/>
                    </w:rPr>
                    <w:t>。</w:t>
                  </w:r>
                </w:p>
              </w:tc>
              <w:tc>
                <w:tcPr>
                  <w:tcW w:w="2122" w:type="dxa"/>
                  <w:noWrap w:val="0"/>
                  <w:vAlign w:val="center"/>
                </w:tcPr>
                <w:p w14:paraId="750F27C2">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实行雨污分流</w:t>
                  </w:r>
                </w:p>
              </w:tc>
            </w:tr>
            <w:tr w14:paraId="3024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657" w:type="dxa"/>
                  <w:noWrap w:val="0"/>
                  <w:vAlign w:val="center"/>
                </w:tcPr>
                <w:p w14:paraId="71F2EF90">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98" w:type="dxa"/>
                  <w:noWrap w:val="0"/>
                  <w:vAlign w:val="center"/>
                </w:tcPr>
                <w:p w14:paraId="471E1B56">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940" w:type="dxa"/>
                  <w:noWrap w:val="0"/>
                  <w:vAlign w:val="center"/>
                </w:tcPr>
                <w:p w14:paraId="34BEBF2D">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营运期噪声防治措施</w:t>
                  </w:r>
                </w:p>
              </w:tc>
              <w:tc>
                <w:tcPr>
                  <w:tcW w:w="1098" w:type="dxa"/>
                  <w:noWrap w:val="0"/>
                  <w:vAlign w:val="center"/>
                </w:tcPr>
                <w:p w14:paraId="7AF17318">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道路沿线敏感点、交叉口</w:t>
                  </w:r>
                </w:p>
              </w:tc>
              <w:tc>
                <w:tcPr>
                  <w:tcW w:w="2602" w:type="dxa"/>
                  <w:noWrap w:val="0"/>
                  <w:vAlign w:val="center"/>
                </w:tcPr>
                <w:p w14:paraId="1E6C8BDB">
                  <w:pPr>
                    <w:spacing w:line="240" w:lineRule="auto"/>
                    <w:ind w:firstLine="420" w:firstLineChars="20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设置限速和禁鸣标志；加强道路管理及路面养护，保持</w:t>
                  </w:r>
                  <w:r>
                    <w:rPr>
                      <w:rFonts w:hint="eastAsia" w:cs="Times New Roman"/>
                      <w:color w:val="auto"/>
                      <w:sz w:val="21"/>
                      <w:szCs w:val="21"/>
                      <w:highlight w:val="none"/>
                      <w:lang w:eastAsia="zh-CN"/>
                    </w:rPr>
                    <w:t>道</w:t>
                  </w:r>
                  <w:r>
                    <w:rPr>
                      <w:rFonts w:hint="default" w:ascii="Times New Roman" w:hAnsi="Times New Roman" w:cs="Times New Roman"/>
                      <w:color w:val="auto"/>
                      <w:sz w:val="21"/>
                      <w:szCs w:val="21"/>
                      <w:highlight w:val="none"/>
                    </w:rPr>
                    <w:t>路的良好运营状态</w:t>
                  </w:r>
                  <w:r>
                    <w:rPr>
                      <w:rFonts w:hint="eastAsia" w:cs="Times New Roman"/>
                      <w:color w:val="auto"/>
                      <w:sz w:val="21"/>
                      <w:szCs w:val="21"/>
                      <w:highlight w:val="none"/>
                      <w:lang w:eastAsia="zh-CN"/>
                    </w:rPr>
                    <w:t>；道路两侧种植适合本地气候的树木和花草</w:t>
                  </w:r>
                </w:p>
              </w:tc>
              <w:tc>
                <w:tcPr>
                  <w:tcW w:w="2122" w:type="dxa"/>
                  <w:noWrap w:val="0"/>
                  <w:vAlign w:val="center"/>
                </w:tcPr>
                <w:p w14:paraId="7CE38DB8">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满足《声环境质量标准》（GB3096-2008）2类标准：昼间≤60dB，夜间≤50dB； 4a类，昼间≤70dB，夜间≤55dB。</w:t>
                  </w:r>
                </w:p>
              </w:tc>
            </w:tr>
            <w:tr w14:paraId="6B55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57" w:type="dxa"/>
                  <w:noWrap w:val="0"/>
                  <w:vAlign w:val="center"/>
                </w:tcPr>
                <w:p w14:paraId="2A18B299">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898" w:type="dxa"/>
                  <w:noWrap w:val="0"/>
                  <w:vAlign w:val="center"/>
                </w:tcPr>
                <w:p w14:paraId="00FABEC5">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940" w:type="dxa"/>
                  <w:noWrap w:val="0"/>
                  <w:vAlign w:val="center"/>
                </w:tcPr>
                <w:p w14:paraId="23082548">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项目沿线绿化</w:t>
                  </w:r>
                </w:p>
              </w:tc>
              <w:tc>
                <w:tcPr>
                  <w:tcW w:w="1098" w:type="dxa"/>
                  <w:noWrap w:val="0"/>
                  <w:vAlign w:val="center"/>
                </w:tcPr>
                <w:p w14:paraId="02A38F5C">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道路沿线</w:t>
                  </w:r>
                </w:p>
              </w:tc>
              <w:tc>
                <w:tcPr>
                  <w:tcW w:w="2602" w:type="dxa"/>
                  <w:noWrap w:val="0"/>
                  <w:vAlign w:val="center"/>
                </w:tcPr>
                <w:p w14:paraId="74D9028B">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乔、灌等草本植物</w:t>
                  </w:r>
                </w:p>
              </w:tc>
              <w:tc>
                <w:tcPr>
                  <w:tcW w:w="2122" w:type="dxa"/>
                  <w:noWrap w:val="0"/>
                  <w:vAlign w:val="center"/>
                </w:tcPr>
                <w:p w14:paraId="1B297499">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执行《环境空气质量标准》</w:t>
                  </w:r>
                </w:p>
                <w:p w14:paraId="293CA621">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（GB3095-2012）二级标准</w:t>
                  </w:r>
                </w:p>
              </w:tc>
            </w:tr>
            <w:tr w14:paraId="7623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7" w:type="dxa"/>
                  <w:noWrap w:val="0"/>
                  <w:vAlign w:val="center"/>
                </w:tcPr>
                <w:p w14:paraId="68C53D64">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898" w:type="dxa"/>
                  <w:noWrap w:val="0"/>
                  <w:vAlign w:val="center"/>
                </w:tcPr>
                <w:p w14:paraId="299593C6">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940" w:type="dxa"/>
                  <w:noWrap w:val="0"/>
                  <w:vAlign w:val="center"/>
                </w:tcPr>
                <w:p w14:paraId="022D1A5A">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清扫垃圾</w:t>
                  </w:r>
                </w:p>
              </w:tc>
              <w:tc>
                <w:tcPr>
                  <w:tcW w:w="1098" w:type="dxa"/>
                  <w:noWrap w:val="0"/>
                  <w:vAlign w:val="center"/>
                </w:tcPr>
                <w:p w14:paraId="3B08543D">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道路沿线</w:t>
                  </w:r>
                </w:p>
              </w:tc>
              <w:tc>
                <w:tcPr>
                  <w:tcW w:w="2602" w:type="dxa"/>
                  <w:noWrap w:val="0"/>
                  <w:vAlign w:val="center"/>
                </w:tcPr>
                <w:p w14:paraId="63CA4EA4">
                  <w:pPr>
                    <w:pStyle w:val="5"/>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道路沿线垃圾桶分布；</w:t>
                  </w:r>
                  <w:r>
                    <w:rPr>
                      <w:rFonts w:hint="eastAsia" w:ascii="Times New Roman" w:hAnsi="Times New Roman"/>
                      <w:kern w:val="0"/>
                      <w:sz w:val="21"/>
                      <w:szCs w:val="21"/>
                    </w:rPr>
                    <w:t>公路</w:t>
                  </w:r>
                  <w:r>
                    <w:rPr>
                      <w:rFonts w:ascii="Times New Roman" w:hAnsi="Times New Roman"/>
                      <w:kern w:val="0"/>
                      <w:sz w:val="21"/>
                      <w:szCs w:val="21"/>
                    </w:rPr>
                    <w:t>清扫产生的垃圾</w:t>
                  </w:r>
                  <w:r>
                    <w:rPr>
                      <w:rFonts w:hint="eastAsia" w:ascii="Times New Roman" w:hAnsi="Times New Roman"/>
                      <w:kern w:val="0"/>
                      <w:sz w:val="21"/>
                      <w:szCs w:val="21"/>
                      <w:lang w:eastAsia="zh-CN"/>
                    </w:rPr>
                    <w:t>由环保部门定期清运处理</w:t>
                  </w:r>
                </w:p>
              </w:tc>
              <w:tc>
                <w:tcPr>
                  <w:tcW w:w="2122" w:type="dxa"/>
                  <w:noWrap w:val="0"/>
                  <w:vAlign w:val="center"/>
                </w:tcPr>
                <w:p w14:paraId="20386363">
                  <w:pPr>
                    <w:pStyle w:val="5"/>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处置率</w:t>
                  </w:r>
                  <w:r>
                    <w:rPr>
                      <w:rFonts w:hint="eastAsia" w:cs="Times New Roman"/>
                      <w:color w:val="auto"/>
                      <w:sz w:val="21"/>
                      <w:szCs w:val="21"/>
                      <w:highlight w:val="none"/>
                      <w:lang w:val="en-US" w:eastAsia="zh-CN"/>
                    </w:rPr>
                    <w:t>100%</w:t>
                  </w:r>
                </w:p>
              </w:tc>
            </w:tr>
            <w:tr w14:paraId="1365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57" w:type="dxa"/>
                  <w:noWrap w:val="0"/>
                  <w:vAlign w:val="center"/>
                </w:tcPr>
                <w:p w14:paraId="4794BE06">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898" w:type="dxa"/>
                  <w:noWrap w:val="0"/>
                  <w:vAlign w:val="center"/>
                </w:tcPr>
                <w:p w14:paraId="5FD1411A">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940" w:type="dxa"/>
                  <w:noWrap w:val="0"/>
                  <w:vAlign w:val="center"/>
                </w:tcPr>
                <w:p w14:paraId="041DB84A">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标志牌</w:t>
                  </w:r>
                </w:p>
              </w:tc>
              <w:tc>
                <w:tcPr>
                  <w:tcW w:w="1098" w:type="dxa"/>
                  <w:noWrap w:val="0"/>
                  <w:vAlign w:val="center"/>
                </w:tcPr>
                <w:p w14:paraId="4B75E50E">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道路起止点及敏感路段</w:t>
                  </w:r>
                </w:p>
              </w:tc>
              <w:tc>
                <w:tcPr>
                  <w:tcW w:w="2602" w:type="dxa"/>
                  <w:noWrap w:val="0"/>
                  <w:vAlign w:val="center"/>
                </w:tcPr>
                <w:p w14:paraId="3285887C">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按相关要求设置标志牌，并制定应急预案。</w:t>
                  </w:r>
                </w:p>
              </w:tc>
              <w:tc>
                <w:tcPr>
                  <w:tcW w:w="2122" w:type="dxa"/>
                  <w:noWrap w:val="0"/>
                  <w:vAlign w:val="center"/>
                </w:tcPr>
                <w:p w14:paraId="0917A4B0">
                  <w:pPr>
                    <w:pStyle w:val="5"/>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尽可能地降低风险事故发生的概率</w:t>
                  </w:r>
                </w:p>
              </w:tc>
            </w:tr>
          </w:tbl>
          <w:p w14:paraId="1C549074">
            <w:pPr>
              <w:snapToGrid w:val="0"/>
              <w:spacing w:line="360" w:lineRule="auto"/>
              <w:ind w:firstLine="480" w:firstLineChars="200"/>
              <w:rPr>
                <w:rFonts w:hint="default" w:ascii="Times New Roman" w:hAnsi="Times New Roman" w:cs="Times New Roman"/>
                <w:color w:val="auto"/>
                <w:sz w:val="24"/>
                <w:szCs w:val="28"/>
                <w:highlight w:val="none"/>
              </w:rPr>
            </w:pPr>
          </w:p>
          <w:p w14:paraId="173B1040">
            <w:pPr>
              <w:spacing w:line="360" w:lineRule="auto"/>
              <w:rPr>
                <w:rFonts w:hint="default" w:ascii="Times New Roman" w:hAnsi="Times New Roman" w:cs="Times New Roman"/>
                <w:b/>
                <w:kern w:val="21"/>
                <w:sz w:val="28"/>
              </w:rPr>
            </w:pPr>
            <w:r>
              <w:rPr>
                <w:rFonts w:hint="default" w:ascii="Times New Roman" w:hAnsi="Times New Roman" w:cs="Times New Roman"/>
                <w:b/>
                <w:kern w:val="21"/>
                <w:sz w:val="28"/>
                <w:lang w:eastAsia="zh-CN"/>
              </w:rPr>
              <w:t>七、</w:t>
            </w:r>
            <w:r>
              <w:rPr>
                <w:rFonts w:hint="default" w:ascii="Times New Roman" w:hAnsi="Times New Roman" w:cs="Times New Roman"/>
                <w:b/>
                <w:kern w:val="21"/>
                <w:sz w:val="28"/>
              </w:rPr>
              <w:t>建议</w:t>
            </w:r>
          </w:p>
          <w:p w14:paraId="470D46FC">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（1）工程建设期间应做到标准化管理，减少施工对环境的影响。</w:t>
            </w:r>
          </w:p>
          <w:p w14:paraId="5E9D67F9">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（2）保证足够的环保资金，实施本报告建议的各项治污和生态保护措施。</w:t>
            </w:r>
          </w:p>
          <w:p w14:paraId="1DCC2897">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（3）加强用水管理，提高节水意识，提倡经济用水，减少浪费水资源。</w:t>
            </w:r>
          </w:p>
          <w:p w14:paraId="64EDC02A">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（4）</w:t>
            </w:r>
            <w:r>
              <w:rPr>
                <w:rFonts w:hint="default" w:ascii="Times New Roman" w:hAnsi="Times New Roman" w:cs="Times New Roman"/>
                <w:sz w:val="24"/>
              </w:rPr>
              <w:t>严格按照项目环境管理和环境监测计划，做好环境保护相关工作。</w:t>
            </w:r>
          </w:p>
          <w:p w14:paraId="69F0DF1D">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（5）待项目植被措施完善后，建设单位进行自主验收，并向当地环保部门进行备案登记。</w:t>
            </w:r>
          </w:p>
          <w:p w14:paraId="4FDA1C7F">
            <w:pPr>
              <w:spacing w:line="360" w:lineRule="auto"/>
              <w:ind w:firstLine="480" w:firstLineChars="200"/>
              <w:rPr>
                <w:rFonts w:hint="default" w:ascii="Times New Roman" w:hAnsi="Times New Roman" w:eastAsia="宋体" w:cs="Times New Roman"/>
                <w:vertAlign w:val="baseline"/>
                <w:lang w:val="en-US" w:eastAsia="zh-CN"/>
              </w:rPr>
            </w:pP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6）加强道路运营期管理，及时清扫道路上垃圾及时清理垃圾桶内垃圾。</w:t>
            </w:r>
          </w:p>
        </w:tc>
      </w:tr>
    </w:tbl>
    <w:p w14:paraId="5BC0F63E">
      <w:pPr>
        <w:rPr>
          <w:rFonts w:hint="eastAsia"/>
          <w:b/>
          <w:bCs/>
          <w:color w:val="auto"/>
          <w:sz w:val="28"/>
          <w:szCs w:val="28"/>
          <w:highlight w:val="none"/>
          <w:lang w:eastAsia="zh-CN"/>
        </w:rPr>
      </w:pPr>
      <w:r>
        <w:rPr>
          <w:rFonts w:hint="eastAsia"/>
          <w:b/>
          <w:bCs/>
          <w:color w:val="auto"/>
          <w:sz w:val="28"/>
          <w:szCs w:val="28"/>
          <w:highlight w:val="none"/>
          <w:lang w:eastAsia="zh-CN"/>
        </w:rPr>
        <w:br w:type="page"/>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70"/>
      </w:tblGrid>
      <w:tr w14:paraId="127C68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9" w:hRule="atLeast"/>
          <w:jc w:val="center"/>
        </w:trPr>
        <w:tc>
          <w:tcPr>
            <w:tcW w:w="8870" w:type="dxa"/>
            <w:tcBorders>
              <w:top w:val="single" w:color="auto" w:sz="8" w:space="0"/>
              <w:left w:val="single" w:color="auto" w:sz="8" w:space="0"/>
              <w:bottom w:val="single" w:color="auto" w:sz="8" w:space="0"/>
              <w:right w:val="single" w:color="auto" w:sz="8" w:space="0"/>
            </w:tcBorders>
            <w:noWrap w:val="0"/>
            <w:vAlign w:val="center"/>
          </w:tcPr>
          <w:p w14:paraId="4459912C">
            <w:pPr>
              <w:rPr>
                <w:rFonts w:ascii="Times New Roman" w:hAnsi="Times New Roman" w:cs="Times New Roman"/>
                <w:color w:val="auto"/>
                <w:sz w:val="24"/>
                <w:highlight w:val="none"/>
                <w:u w:val="single"/>
              </w:rPr>
            </w:pPr>
            <w:r>
              <w:rPr>
                <w:rFonts w:ascii="Times New Roman" w:hAnsi="Times New Roman" w:cs="Times New Roman"/>
                <w:b/>
                <w:bCs/>
                <w:color w:val="auto"/>
                <w:sz w:val="24"/>
                <w:highlight w:val="none"/>
              </w:rPr>
              <w:t>预审意见：</w:t>
            </w:r>
          </w:p>
          <w:p w14:paraId="525BA266">
            <w:pPr>
              <w:rPr>
                <w:rFonts w:ascii="Times New Roman" w:hAnsi="Times New Roman" w:cs="Times New Roman"/>
                <w:color w:val="auto"/>
                <w:sz w:val="24"/>
                <w:highlight w:val="none"/>
                <w:u w:val="single"/>
              </w:rPr>
            </w:pPr>
          </w:p>
          <w:p w14:paraId="5D73D1CA">
            <w:pPr>
              <w:rPr>
                <w:rFonts w:ascii="Times New Roman" w:hAnsi="Times New Roman" w:cs="Times New Roman"/>
                <w:color w:val="auto"/>
                <w:sz w:val="24"/>
                <w:highlight w:val="none"/>
                <w:u w:val="single"/>
              </w:rPr>
            </w:pPr>
          </w:p>
          <w:p w14:paraId="153A2650">
            <w:pPr>
              <w:rPr>
                <w:rFonts w:ascii="Times New Roman" w:hAnsi="Times New Roman" w:cs="Times New Roman"/>
                <w:color w:val="auto"/>
                <w:sz w:val="24"/>
                <w:highlight w:val="none"/>
                <w:u w:val="single"/>
              </w:rPr>
            </w:pPr>
          </w:p>
          <w:p w14:paraId="555FF9A8">
            <w:pPr>
              <w:rPr>
                <w:rFonts w:ascii="Times New Roman" w:hAnsi="Times New Roman" w:cs="Times New Roman"/>
                <w:color w:val="auto"/>
                <w:sz w:val="24"/>
                <w:highlight w:val="none"/>
                <w:u w:val="single"/>
              </w:rPr>
            </w:pPr>
          </w:p>
          <w:p w14:paraId="15233F6C">
            <w:pPr>
              <w:rPr>
                <w:rFonts w:ascii="Times New Roman" w:hAnsi="Times New Roman" w:cs="Times New Roman"/>
                <w:color w:val="auto"/>
                <w:sz w:val="24"/>
                <w:highlight w:val="none"/>
                <w:u w:val="single"/>
              </w:rPr>
            </w:pPr>
          </w:p>
          <w:p w14:paraId="1950CBF8">
            <w:pPr>
              <w:rPr>
                <w:rFonts w:ascii="Times New Roman" w:hAnsi="Times New Roman" w:cs="Times New Roman"/>
                <w:color w:val="auto"/>
                <w:sz w:val="24"/>
                <w:highlight w:val="none"/>
                <w:u w:val="single"/>
              </w:rPr>
            </w:pPr>
          </w:p>
          <w:p w14:paraId="21350C8D">
            <w:pPr>
              <w:rPr>
                <w:rFonts w:ascii="Times New Roman" w:hAnsi="Times New Roman" w:cs="Times New Roman"/>
                <w:color w:val="auto"/>
                <w:sz w:val="24"/>
                <w:highlight w:val="none"/>
                <w:u w:val="single"/>
              </w:rPr>
            </w:pPr>
          </w:p>
          <w:p w14:paraId="61F885FC">
            <w:pPr>
              <w:rPr>
                <w:rFonts w:ascii="Times New Roman" w:hAnsi="Times New Roman" w:cs="Times New Roman"/>
                <w:color w:val="auto"/>
                <w:sz w:val="24"/>
                <w:highlight w:val="none"/>
                <w:u w:val="single"/>
              </w:rPr>
            </w:pPr>
          </w:p>
          <w:p w14:paraId="4010CD94">
            <w:pP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公  章</w:t>
            </w:r>
          </w:p>
          <w:p w14:paraId="077039E3">
            <w:pPr>
              <w:rPr>
                <w:rFonts w:ascii="Times New Roman" w:hAnsi="Times New Roman" w:cs="Times New Roman"/>
                <w:color w:val="auto"/>
                <w:sz w:val="24"/>
                <w:highlight w:val="none"/>
                <w:u w:val="single"/>
              </w:rPr>
            </w:pPr>
          </w:p>
          <w:p w14:paraId="4AFE99B3">
            <w:pPr>
              <w:rPr>
                <w:rFonts w:ascii="Times New Roman" w:hAnsi="Times New Roman" w:cs="Times New Roman"/>
                <w:color w:val="auto"/>
                <w:sz w:val="24"/>
                <w:highlight w:val="none"/>
              </w:rPr>
            </w:pPr>
          </w:p>
          <w:p w14:paraId="6A9768D1">
            <w:pPr>
              <w:rPr>
                <w:rFonts w:ascii="Times New Roman" w:hAnsi="Times New Roman" w:cs="Times New Roman"/>
                <w:color w:val="auto"/>
                <w:sz w:val="24"/>
                <w:highlight w:val="none"/>
              </w:rPr>
            </w:pPr>
            <w:r>
              <w:rPr>
                <w:rFonts w:ascii="Times New Roman" w:hAnsi="Times New Roman" w:cs="Times New Roman"/>
                <w:color w:val="auto"/>
                <w:sz w:val="24"/>
                <w:highlight w:val="none"/>
              </w:rPr>
              <w:t>经办人：                             年  月  日</w:t>
            </w:r>
          </w:p>
        </w:tc>
      </w:tr>
      <w:tr w14:paraId="332A4D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9" w:hRule="atLeast"/>
          <w:jc w:val="center"/>
        </w:trPr>
        <w:tc>
          <w:tcPr>
            <w:tcW w:w="8870" w:type="dxa"/>
            <w:tcBorders>
              <w:top w:val="single" w:color="auto" w:sz="8" w:space="0"/>
              <w:left w:val="single" w:color="auto" w:sz="8" w:space="0"/>
              <w:bottom w:val="single" w:color="auto" w:sz="8" w:space="0"/>
              <w:right w:val="single" w:color="auto" w:sz="8" w:space="0"/>
            </w:tcBorders>
            <w:noWrap w:val="0"/>
            <w:vAlign w:val="top"/>
          </w:tcPr>
          <w:p w14:paraId="20EA44B2">
            <w:pPr>
              <w:rPr>
                <w:rFonts w:ascii="Times New Roman" w:hAnsi="Times New Roman" w:cs="Times New Roman"/>
                <w:color w:val="auto"/>
                <w:sz w:val="24"/>
                <w:highlight w:val="none"/>
              </w:rPr>
            </w:pPr>
            <w:r>
              <w:rPr>
                <w:rFonts w:ascii="Times New Roman" w:hAnsi="Times New Roman" w:cs="Times New Roman"/>
                <w:b/>
                <w:bCs/>
                <w:color w:val="auto"/>
                <w:sz w:val="24"/>
                <w:highlight w:val="none"/>
              </w:rPr>
              <w:t>下一级环境保护行政主管部门审查意见：</w:t>
            </w:r>
          </w:p>
          <w:p w14:paraId="65DD66E0">
            <w:pPr>
              <w:rPr>
                <w:rFonts w:ascii="Times New Roman" w:hAnsi="Times New Roman" w:cs="Times New Roman"/>
                <w:color w:val="auto"/>
                <w:sz w:val="24"/>
                <w:highlight w:val="none"/>
                <w:u w:val="single"/>
              </w:rPr>
            </w:pPr>
          </w:p>
          <w:p w14:paraId="6D9F80F1">
            <w:pPr>
              <w:rPr>
                <w:rFonts w:ascii="Times New Roman" w:hAnsi="Times New Roman" w:cs="Times New Roman"/>
                <w:color w:val="auto"/>
                <w:sz w:val="24"/>
                <w:highlight w:val="none"/>
                <w:u w:val="single"/>
              </w:rPr>
            </w:pPr>
          </w:p>
          <w:p w14:paraId="04C2FD92">
            <w:pPr>
              <w:rPr>
                <w:rFonts w:ascii="Times New Roman" w:hAnsi="Times New Roman" w:cs="Times New Roman"/>
                <w:color w:val="auto"/>
                <w:sz w:val="24"/>
                <w:highlight w:val="none"/>
                <w:u w:val="single"/>
              </w:rPr>
            </w:pPr>
          </w:p>
          <w:p w14:paraId="676C9041">
            <w:pPr>
              <w:rPr>
                <w:rFonts w:ascii="Times New Roman" w:hAnsi="Times New Roman" w:cs="Times New Roman"/>
                <w:color w:val="auto"/>
                <w:sz w:val="24"/>
                <w:highlight w:val="none"/>
                <w:u w:val="single"/>
              </w:rPr>
            </w:pPr>
          </w:p>
          <w:p w14:paraId="48F5915C">
            <w:pPr>
              <w:rPr>
                <w:rFonts w:ascii="Times New Roman" w:hAnsi="Times New Roman" w:cs="Times New Roman"/>
                <w:color w:val="auto"/>
                <w:sz w:val="24"/>
                <w:highlight w:val="none"/>
                <w:u w:val="single"/>
              </w:rPr>
            </w:pPr>
          </w:p>
          <w:p w14:paraId="36188B6E">
            <w:pPr>
              <w:rPr>
                <w:rFonts w:ascii="Times New Roman" w:hAnsi="Times New Roman" w:cs="Times New Roman"/>
                <w:color w:val="auto"/>
                <w:sz w:val="24"/>
                <w:highlight w:val="none"/>
                <w:u w:val="single"/>
              </w:rPr>
            </w:pPr>
          </w:p>
          <w:p w14:paraId="066FDDD0">
            <w:pPr>
              <w:rPr>
                <w:rFonts w:ascii="Times New Roman" w:hAnsi="Times New Roman" w:cs="Times New Roman"/>
                <w:color w:val="auto"/>
                <w:sz w:val="24"/>
                <w:highlight w:val="none"/>
                <w:u w:val="single"/>
              </w:rPr>
            </w:pPr>
          </w:p>
          <w:p w14:paraId="2525F7A7">
            <w:pPr>
              <w:rPr>
                <w:rFonts w:ascii="Times New Roman" w:hAnsi="Times New Roman" w:cs="Times New Roman"/>
                <w:color w:val="auto"/>
                <w:sz w:val="24"/>
                <w:highlight w:val="none"/>
                <w:u w:val="single"/>
              </w:rPr>
            </w:pPr>
          </w:p>
          <w:p w14:paraId="5242B461">
            <w:pPr>
              <w:rPr>
                <w:rFonts w:ascii="Times New Roman" w:hAnsi="Times New Roman" w:cs="Times New Roman"/>
                <w:color w:val="auto"/>
                <w:sz w:val="24"/>
                <w:highlight w:val="none"/>
                <w:u w:val="single"/>
              </w:rPr>
            </w:pPr>
          </w:p>
          <w:p w14:paraId="0C26BD43">
            <w:pPr>
              <w:rPr>
                <w:rFonts w:ascii="Times New Roman" w:hAnsi="Times New Roman" w:cs="Times New Roman"/>
                <w:color w:val="auto"/>
                <w:sz w:val="24"/>
                <w:highlight w:val="none"/>
                <w:u w:val="single"/>
              </w:rPr>
            </w:pPr>
          </w:p>
          <w:p w14:paraId="7A022EB2">
            <w:pPr>
              <w:jc w:val="center"/>
              <w:rPr>
                <w:rFonts w:ascii="Times New Roman" w:hAnsi="Times New Roman" w:cs="Times New Roman"/>
                <w:color w:val="auto"/>
                <w:sz w:val="24"/>
                <w:highlight w:val="none"/>
              </w:rPr>
            </w:pPr>
          </w:p>
          <w:p w14:paraId="3CAAB72A">
            <w:pPr>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公  章</w:t>
            </w:r>
          </w:p>
          <w:p w14:paraId="75399AE2">
            <w:pPr>
              <w:jc w:val="right"/>
              <w:rPr>
                <w:rFonts w:ascii="Times New Roman" w:hAnsi="Times New Roman" w:cs="Times New Roman"/>
                <w:color w:val="auto"/>
                <w:sz w:val="24"/>
                <w:highlight w:val="none"/>
                <w:u w:val="single"/>
              </w:rPr>
            </w:pPr>
          </w:p>
          <w:p w14:paraId="4A2BD379">
            <w:pPr>
              <w:rPr>
                <w:rFonts w:ascii="Times New Roman" w:hAnsi="Times New Roman" w:cs="Times New Roman"/>
                <w:color w:val="auto"/>
                <w:sz w:val="24"/>
                <w:highlight w:val="none"/>
              </w:rPr>
            </w:pPr>
            <w:r>
              <w:rPr>
                <w:rFonts w:ascii="Times New Roman" w:hAnsi="Times New Roman" w:cs="Times New Roman"/>
                <w:color w:val="auto"/>
                <w:sz w:val="24"/>
                <w:highlight w:val="none"/>
              </w:rPr>
              <w:t>经办人：                             年  月  日</w:t>
            </w:r>
          </w:p>
        </w:tc>
      </w:tr>
      <w:tr w14:paraId="64D94C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26" w:hRule="atLeast"/>
          <w:jc w:val="center"/>
        </w:trPr>
        <w:tc>
          <w:tcPr>
            <w:tcW w:w="8870" w:type="dxa"/>
            <w:tcBorders>
              <w:top w:val="single" w:color="auto" w:sz="8" w:space="0"/>
              <w:left w:val="single" w:color="auto" w:sz="8" w:space="0"/>
              <w:bottom w:val="single" w:color="auto" w:sz="8" w:space="0"/>
              <w:right w:val="single" w:color="auto" w:sz="8" w:space="0"/>
            </w:tcBorders>
            <w:noWrap w:val="0"/>
            <w:vAlign w:val="top"/>
          </w:tcPr>
          <w:p w14:paraId="72434F81">
            <w:pP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审批意见：</w:t>
            </w:r>
          </w:p>
          <w:p w14:paraId="7F5CAE93">
            <w:pPr>
              <w:rPr>
                <w:rFonts w:ascii="Times New Roman" w:hAnsi="Times New Roman" w:cs="Times New Roman"/>
                <w:color w:val="auto"/>
                <w:sz w:val="24"/>
                <w:highlight w:val="none"/>
                <w:u w:val="single"/>
              </w:rPr>
            </w:pPr>
          </w:p>
          <w:p w14:paraId="6E0845D7">
            <w:pPr>
              <w:rPr>
                <w:rFonts w:ascii="Times New Roman" w:hAnsi="Times New Roman" w:cs="Times New Roman"/>
                <w:color w:val="auto"/>
                <w:sz w:val="24"/>
                <w:highlight w:val="none"/>
                <w:u w:val="single"/>
              </w:rPr>
            </w:pPr>
          </w:p>
          <w:p w14:paraId="7A9C2377">
            <w:pPr>
              <w:rPr>
                <w:rFonts w:ascii="Times New Roman" w:hAnsi="Times New Roman" w:cs="Times New Roman"/>
                <w:color w:val="auto"/>
                <w:sz w:val="24"/>
                <w:highlight w:val="none"/>
                <w:u w:val="single"/>
              </w:rPr>
            </w:pPr>
          </w:p>
          <w:p w14:paraId="52A1097F">
            <w:pPr>
              <w:rPr>
                <w:rFonts w:ascii="Times New Roman" w:hAnsi="Times New Roman" w:cs="Times New Roman"/>
                <w:color w:val="auto"/>
                <w:sz w:val="24"/>
                <w:highlight w:val="none"/>
                <w:u w:val="single"/>
              </w:rPr>
            </w:pPr>
          </w:p>
          <w:p w14:paraId="05EA8AB3">
            <w:pPr>
              <w:rPr>
                <w:rFonts w:ascii="Times New Roman" w:hAnsi="Times New Roman" w:cs="Times New Roman"/>
                <w:color w:val="auto"/>
                <w:sz w:val="24"/>
                <w:highlight w:val="none"/>
                <w:u w:val="single"/>
              </w:rPr>
            </w:pPr>
          </w:p>
          <w:p w14:paraId="2BDB0C34">
            <w:pPr>
              <w:rPr>
                <w:rFonts w:ascii="Times New Roman" w:hAnsi="Times New Roman" w:cs="Times New Roman"/>
                <w:color w:val="auto"/>
                <w:sz w:val="24"/>
                <w:highlight w:val="none"/>
                <w:u w:val="single"/>
              </w:rPr>
            </w:pPr>
          </w:p>
          <w:p w14:paraId="375F929E">
            <w:pPr>
              <w:rPr>
                <w:rFonts w:ascii="Times New Roman" w:hAnsi="Times New Roman" w:cs="Times New Roman"/>
                <w:color w:val="auto"/>
                <w:sz w:val="24"/>
                <w:highlight w:val="none"/>
                <w:u w:val="single"/>
              </w:rPr>
            </w:pPr>
          </w:p>
          <w:p w14:paraId="420B715E">
            <w:pPr>
              <w:rPr>
                <w:rFonts w:ascii="Times New Roman" w:hAnsi="Times New Roman" w:cs="Times New Roman"/>
                <w:color w:val="auto"/>
                <w:sz w:val="24"/>
                <w:highlight w:val="none"/>
                <w:u w:val="single"/>
              </w:rPr>
            </w:pPr>
          </w:p>
          <w:p w14:paraId="17A974E2">
            <w:pPr>
              <w:rPr>
                <w:rFonts w:ascii="Times New Roman" w:hAnsi="Times New Roman" w:cs="Times New Roman"/>
                <w:color w:val="auto"/>
                <w:sz w:val="24"/>
                <w:highlight w:val="none"/>
                <w:u w:val="single"/>
              </w:rPr>
            </w:pPr>
          </w:p>
          <w:p w14:paraId="2EED5952">
            <w:pPr>
              <w:rPr>
                <w:rFonts w:ascii="Times New Roman" w:hAnsi="Times New Roman" w:cs="Times New Roman"/>
                <w:color w:val="auto"/>
                <w:sz w:val="24"/>
                <w:highlight w:val="none"/>
                <w:u w:val="single"/>
              </w:rPr>
            </w:pPr>
          </w:p>
          <w:p w14:paraId="19D8F0FB">
            <w:pPr>
              <w:rPr>
                <w:rFonts w:ascii="Times New Roman" w:hAnsi="Times New Roman" w:cs="Times New Roman"/>
                <w:color w:val="auto"/>
                <w:sz w:val="24"/>
                <w:highlight w:val="none"/>
                <w:u w:val="single"/>
              </w:rPr>
            </w:pPr>
          </w:p>
          <w:p w14:paraId="4D11470F">
            <w:pPr>
              <w:rPr>
                <w:rFonts w:ascii="Times New Roman" w:hAnsi="Times New Roman" w:cs="Times New Roman"/>
                <w:color w:val="auto"/>
                <w:sz w:val="24"/>
                <w:highlight w:val="none"/>
                <w:u w:val="single"/>
              </w:rPr>
            </w:pPr>
          </w:p>
          <w:p w14:paraId="41114E27">
            <w:pPr>
              <w:rPr>
                <w:rFonts w:ascii="Times New Roman" w:hAnsi="Times New Roman" w:cs="Times New Roman"/>
                <w:color w:val="auto"/>
                <w:sz w:val="24"/>
                <w:highlight w:val="none"/>
                <w:u w:val="single"/>
              </w:rPr>
            </w:pPr>
          </w:p>
          <w:p w14:paraId="0CF1E3A5">
            <w:pPr>
              <w:rPr>
                <w:rFonts w:ascii="Times New Roman" w:hAnsi="Times New Roman" w:cs="Times New Roman"/>
                <w:color w:val="auto"/>
                <w:sz w:val="24"/>
                <w:highlight w:val="none"/>
                <w:u w:val="single"/>
              </w:rPr>
            </w:pPr>
          </w:p>
          <w:p w14:paraId="0CC180EB">
            <w:pPr>
              <w:rPr>
                <w:rFonts w:ascii="Times New Roman" w:hAnsi="Times New Roman" w:cs="Times New Roman"/>
                <w:color w:val="auto"/>
                <w:sz w:val="24"/>
                <w:highlight w:val="none"/>
                <w:u w:val="single"/>
              </w:rPr>
            </w:pPr>
          </w:p>
          <w:p w14:paraId="7171302F">
            <w:pPr>
              <w:rPr>
                <w:rFonts w:ascii="Times New Roman" w:hAnsi="Times New Roman" w:cs="Times New Roman"/>
                <w:color w:val="auto"/>
                <w:sz w:val="24"/>
                <w:highlight w:val="none"/>
                <w:u w:val="single"/>
              </w:rPr>
            </w:pPr>
          </w:p>
          <w:p w14:paraId="3353CFEA">
            <w:pPr>
              <w:rPr>
                <w:rFonts w:ascii="Times New Roman" w:hAnsi="Times New Roman" w:cs="Times New Roman"/>
                <w:color w:val="auto"/>
                <w:sz w:val="24"/>
                <w:highlight w:val="none"/>
                <w:u w:val="single"/>
              </w:rPr>
            </w:pPr>
          </w:p>
          <w:p w14:paraId="636C33E8">
            <w:pPr>
              <w:rPr>
                <w:rFonts w:ascii="Times New Roman" w:hAnsi="Times New Roman" w:cs="Times New Roman"/>
                <w:color w:val="auto"/>
                <w:sz w:val="24"/>
                <w:highlight w:val="none"/>
                <w:u w:val="single"/>
              </w:rPr>
            </w:pPr>
          </w:p>
          <w:p w14:paraId="56FD25EB">
            <w:pPr>
              <w:rPr>
                <w:rFonts w:ascii="Times New Roman" w:hAnsi="Times New Roman" w:cs="Times New Roman"/>
                <w:color w:val="auto"/>
                <w:sz w:val="24"/>
                <w:highlight w:val="none"/>
                <w:u w:val="single"/>
              </w:rPr>
            </w:pPr>
          </w:p>
          <w:p w14:paraId="534A72DD">
            <w:pPr>
              <w:rPr>
                <w:rFonts w:ascii="Times New Roman" w:hAnsi="Times New Roman" w:cs="Times New Roman"/>
                <w:color w:val="auto"/>
                <w:sz w:val="24"/>
                <w:highlight w:val="none"/>
                <w:u w:val="single"/>
              </w:rPr>
            </w:pPr>
          </w:p>
          <w:p w14:paraId="5031765B">
            <w:pPr>
              <w:rPr>
                <w:rFonts w:ascii="Times New Roman" w:hAnsi="Times New Roman" w:cs="Times New Roman"/>
                <w:color w:val="auto"/>
                <w:sz w:val="24"/>
                <w:highlight w:val="none"/>
                <w:u w:val="single"/>
              </w:rPr>
            </w:pPr>
          </w:p>
          <w:p w14:paraId="27337D6D">
            <w:pPr>
              <w:rPr>
                <w:rFonts w:ascii="Times New Roman" w:hAnsi="Times New Roman" w:cs="Times New Roman"/>
                <w:color w:val="auto"/>
                <w:sz w:val="24"/>
                <w:highlight w:val="none"/>
              </w:rPr>
            </w:pPr>
          </w:p>
          <w:p w14:paraId="44879B8E">
            <w:pPr>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公  章</w:t>
            </w:r>
          </w:p>
          <w:p w14:paraId="760E8F6D">
            <w:pPr>
              <w:rPr>
                <w:rFonts w:ascii="Times New Roman" w:hAnsi="Times New Roman" w:cs="Times New Roman"/>
                <w:color w:val="auto"/>
                <w:sz w:val="24"/>
                <w:highlight w:val="none"/>
              </w:rPr>
            </w:pPr>
          </w:p>
          <w:p w14:paraId="63B4F97D">
            <w:pPr>
              <w:rPr>
                <w:rFonts w:ascii="Times New Roman" w:hAnsi="Times New Roman" w:cs="Times New Roman"/>
                <w:color w:val="auto"/>
                <w:sz w:val="24"/>
                <w:highlight w:val="none"/>
              </w:rPr>
            </w:pPr>
            <w:r>
              <w:rPr>
                <w:rFonts w:ascii="Times New Roman" w:hAnsi="Times New Roman" w:cs="Times New Roman"/>
                <w:color w:val="auto"/>
                <w:sz w:val="24"/>
                <w:highlight w:val="none"/>
              </w:rPr>
              <w:t>经办人：                            年   月   日</w:t>
            </w:r>
          </w:p>
          <w:p w14:paraId="652D2410">
            <w:pPr>
              <w:rPr>
                <w:rFonts w:ascii="Times New Roman" w:hAnsi="Times New Roman" w:cs="Times New Roman"/>
                <w:color w:val="auto"/>
                <w:sz w:val="24"/>
                <w:highlight w:val="none"/>
              </w:rPr>
            </w:pPr>
          </w:p>
        </w:tc>
      </w:tr>
    </w:tbl>
    <w:p w14:paraId="52C60E6E">
      <w:pPr>
        <w:rPr>
          <w:rFonts w:hint="eastAsia"/>
          <w:b/>
          <w:bCs/>
          <w:color w:val="auto"/>
          <w:sz w:val="28"/>
          <w:szCs w:val="28"/>
          <w:highlight w:val="none"/>
          <w:lang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F22ED">
    <w:pPr>
      <w:pStyle w:val="11"/>
      <w:rPr>
        <w:rFonts w:hint="eastAsia"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EFEEF">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7AEFEEF">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E5D5D">
    <w:pPr>
      <w:pStyle w:val="11"/>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2C337">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D72C337">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18473"/>
    <w:multiLevelType w:val="singleLevel"/>
    <w:tmpl w:val="81718473"/>
    <w:lvl w:ilvl="0" w:tentative="0">
      <w:start w:val="7"/>
      <w:numFmt w:val="decimal"/>
      <w:suff w:val="nothing"/>
      <w:lvlText w:val="%1、"/>
      <w:lvlJc w:val="left"/>
    </w:lvl>
  </w:abstractNum>
  <w:abstractNum w:abstractNumId="1">
    <w:nsid w:val="840D10CE"/>
    <w:multiLevelType w:val="singleLevel"/>
    <w:tmpl w:val="840D10CE"/>
    <w:lvl w:ilvl="0" w:tentative="0">
      <w:start w:val="1"/>
      <w:numFmt w:val="decimal"/>
      <w:suff w:val="nothing"/>
      <w:lvlText w:val="（%1）"/>
      <w:lvlJc w:val="left"/>
    </w:lvl>
  </w:abstractNum>
  <w:abstractNum w:abstractNumId="2">
    <w:nsid w:val="93E00BBD"/>
    <w:multiLevelType w:val="singleLevel"/>
    <w:tmpl w:val="93E00BBD"/>
    <w:lvl w:ilvl="0" w:tentative="0">
      <w:start w:val="1"/>
      <w:numFmt w:val="chineseCounting"/>
      <w:suff w:val="nothing"/>
      <w:lvlText w:val="%1、"/>
      <w:lvlJc w:val="left"/>
      <w:rPr>
        <w:rFonts w:hint="eastAsia"/>
      </w:rPr>
    </w:lvl>
  </w:abstractNum>
  <w:abstractNum w:abstractNumId="3">
    <w:nsid w:val="9CF282D2"/>
    <w:multiLevelType w:val="multilevel"/>
    <w:tmpl w:val="9CF282D2"/>
    <w:lvl w:ilvl="0" w:tentative="0">
      <w:start w:val="2"/>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A479CAE3"/>
    <w:multiLevelType w:val="singleLevel"/>
    <w:tmpl w:val="A479CAE3"/>
    <w:lvl w:ilvl="0" w:tentative="0">
      <w:start w:val="1"/>
      <w:numFmt w:val="decimal"/>
      <w:lvlText w:val="%1."/>
      <w:lvlJc w:val="left"/>
      <w:pPr>
        <w:tabs>
          <w:tab w:val="left" w:pos="312"/>
        </w:tabs>
      </w:pPr>
    </w:lvl>
  </w:abstractNum>
  <w:abstractNum w:abstractNumId="5">
    <w:nsid w:val="A9DE9DF4"/>
    <w:multiLevelType w:val="singleLevel"/>
    <w:tmpl w:val="A9DE9DF4"/>
    <w:lvl w:ilvl="0" w:tentative="0">
      <w:start w:val="1"/>
      <w:numFmt w:val="decimal"/>
      <w:suff w:val="nothing"/>
      <w:lvlText w:val="（%1）"/>
      <w:lvlJc w:val="left"/>
    </w:lvl>
  </w:abstractNum>
  <w:abstractNum w:abstractNumId="6">
    <w:nsid w:val="AC6B2470"/>
    <w:multiLevelType w:val="singleLevel"/>
    <w:tmpl w:val="AC6B2470"/>
    <w:lvl w:ilvl="0" w:tentative="0">
      <w:start w:val="8"/>
      <w:numFmt w:val="decimal"/>
      <w:lvlText w:val="%1."/>
      <w:lvlJc w:val="left"/>
      <w:pPr>
        <w:tabs>
          <w:tab w:val="left" w:pos="312"/>
        </w:tabs>
      </w:pPr>
    </w:lvl>
  </w:abstractNum>
  <w:abstractNum w:abstractNumId="7">
    <w:nsid w:val="B2CE34A6"/>
    <w:multiLevelType w:val="singleLevel"/>
    <w:tmpl w:val="B2CE34A6"/>
    <w:lvl w:ilvl="0" w:tentative="0">
      <w:start w:val="1"/>
      <w:numFmt w:val="decimal"/>
      <w:suff w:val="nothing"/>
      <w:lvlText w:val="（%1）"/>
      <w:lvlJc w:val="left"/>
    </w:lvl>
  </w:abstractNum>
  <w:abstractNum w:abstractNumId="8">
    <w:nsid w:val="BC52DE87"/>
    <w:multiLevelType w:val="singleLevel"/>
    <w:tmpl w:val="BC52DE87"/>
    <w:lvl w:ilvl="0" w:tentative="0">
      <w:start w:val="1"/>
      <w:numFmt w:val="decimal"/>
      <w:suff w:val="nothing"/>
      <w:lvlText w:val="（%1）"/>
      <w:lvlJc w:val="left"/>
    </w:lvl>
  </w:abstractNum>
  <w:abstractNum w:abstractNumId="9">
    <w:nsid w:val="BC6F17C8"/>
    <w:multiLevelType w:val="singleLevel"/>
    <w:tmpl w:val="BC6F17C8"/>
    <w:lvl w:ilvl="0" w:tentative="0">
      <w:start w:val="1"/>
      <w:numFmt w:val="decimal"/>
      <w:suff w:val="nothing"/>
      <w:lvlText w:val="（%1）"/>
      <w:lvlJc w:val="left"/>
    </w:lvl>
  </w:abstractNum>
  <w:abstractNum w:abstractNumId="10">
    <w:nsid w:val="C1CC228E"/>
    <w:multiLevelType w:val="singleLevel"/>
    <w:tmpl w:val="C1CC228E"/>
    <w:lvl w:ilvl="0" w:tentative="0">
      <w:start w:val="1"/>
      <w:numFmt w:val="decimal"/>
      <w:suff w:val="nothing"/>
      <w:lvlText w:val="（%1）"/>
      <w:lvlJc w:val="left"/>
    </w:lvl>
  </w:abstractNum>
  <w:abstractNum w:abstractNumId="11">
    <w:nsid w:val="C38F6C78"/>
    <w:multiLevelType w:val="singleLevel"/>
    <w:tmpl w:val="C38F6C78"/>
    <w:lvl w:ilvl="0" w:tentative="0">
      <w:start w:val="1"/>
      <w:numFmt w:val="chineseCounting"/>
      <w:suff w:val="nothing"/>
      <w:lvlText w:val="%1、"/>
      <w:lvlJc w:val="left"/>
      <w:rPr>
        <w:rFonts w:hint="eastAsia"/>
      </w:rPr>
    </w:lvl>
  </w:abstractNum>
  <w:abstractNum w:abstractNumId="12">
    <w:nsid w:val="D4A7FAA2"/>
    <w:multiLevelType w:val="singleLevel"/>
    <w:tmpl w:val="D4A7FAA2"/>
    <w:lvl w:ilvl="0" w:tentative="0">
      <w:start w:val="1"/>
      <w:numFmt w:val="decimal"/>
      <w:lvlText w:val="%1."/>
      <w:lvlJc w:val="left"/>
      <w:pPr>
        <w:tabs>
          <w:tab w:val="left" w:pos="312"/>
        </w:tabs>
      </w:pPr>
    </w:lvl>
  </w:abstractNum>
  <w:abstractNum w:abstractNumId="13">
    <w:nsid w:val="D7CEA2BA"/>
    <w:multiLevelType w:val="singleLevel"/>
    <w:tmpl w:val="D7CEA2BA"/>
    <w:lvl w:ilvl="0" w:tentative="0">
      <w:start w:val="1"/>
      <w:numFmt w:val="decimal"/>
      <w:lvlText w:val="%1."/>
      <w:lvlJc w:val="left"/>
      <w:pPr>
        <w:tabs>
          <w:tab w:val="left" w:pos="312"/>
        </w:tabs>
      </w:pPr>
    </w:lvl>
  </w:abstractNum>
  <w:abstractNum w:abstractNumId="14">
    <w:nsid w:val="DCBA2F74"/>
    <w:multiLevelType w:val="singleLevel"/>
    <w:tmpl w:val="DCBA2F74"/>
    <w:lvl w:ilvl="0" w:tentative="0">
      <w:start w:val="1"/>
      <w:numFmt w:val="decimal"/>
      <w:suff w:val="nothing"/>
      <w:lvlText w:val="（%1）"/>
      <w:lvlJc w:val="left"/>
    </w:lvl>
  </w:abstractNum>
  <w:abstractNum w:abstractNumId="15">
    <w:nsid w:val="E1773F6E"/>
    <w:multiLevelType w:val="singleLevel"/>
    <w:tmpl w:val="E1773F6E"/>
    <w:lvl w:ilvl="0" w:tentative="0">
      <w:start w:val="1"/>
      <w:numFmt w:val="decimal"/>
      <w:lvlText w:val="%1."/>
      <w:lvlJc w:val="left"/>
      <w:pPr>
        <w:tabs>
          <w:tab w:val="left" w:pos="312"/>
        </w:tabs>
      </w:pPr>
    </w:lvl>
  </w:abstractNum>
  <w:abstractNum w:abstractNumId="16">
    <w:nsid w:val="E6C1578B"/>
    <w:multiLevelType w:val="singleLevel"/>
    <w:tmpl w:val="E6C1578B"/>
    <w:lvl w:ilvl="0" w:tentative="0">
      <w:start w:val="2"/>
      <w:numFmt w:val="decimal"/>
      <w:suff w:val="nothing"/>
      <w:lvlText w:val="（%1）"/>
      <w:lvlJc w:val="left"/>
    </w:lvl>
  </w:abstractNum>
  <w:abstractNum w:abstractNumId="17">
    <w:nsid w:val="E9557D09"/>
    <w:multiLevelType w:val="singleLevel"/>
    <w:tmpl w:val="E9557D09"/>
    <w:lvl w:ilvl="0" w:tentative="0">
      <w:start w:val="1"/>
      <w:numFmt w:val="decimal"/>
      <w:lvlText w:val="%1."/>
      <w:lvlJc w:val="left"/>
      <w:pPr>
        <w:tabs>
          <w:tab w:val="left" w:pos="312"/>
        </w:tabs>
      </w:pPr>
    </w:lvl>
  </w:abstractNum>
  <w:abstractNum w:abstractNumId="18">
    <w:nsid w:val="078C63D5"/>
    <w:multiLevelType w:val="singleLevel"/>
    <w:tmpl w:val="078C63D5"/>
    <w:lvl w:ilvl="0" w:tentative="0">
      <w:start w:val="1"/>
      <w:numFmt w:val="decimal"/>
      <w:lvlText w:val="%1."/>
      <w:lvlJc w:val="left"/>
      <w:pPr>
        <w:tabs>
          <w:tab w:val="left" w:pos="312"/>
        </w:tabs>
      </w:pPr>
    </w:lvl>
  </w:abstractNum>
  <w:abstractNum w:abstractNumId="19">
    <w:nsid w:val="28E951BC"/>
    <w:multiLevelType w:val="singleLevel"/>
    <w:tmpl w:val="28E951BC"/>
    <w:lvl w:ilvl="0" w:tentative="0">
      <w:start w:val="1"/>
      <w:numFmt w:val="decimal"/>
      <w:suff w:val="nothing"/>
      <w:lvlText w:val="（%1）"/>
      <w:lvlJc w:val="left"/>
    </w:lvl>
  </w:abstractNum>
  <w:abstractNum w:abstractNumId="20">
    <w:nsid w:val="2C58655B"/>
    <w:multiLevelType w:val="singleLevel"/>
    <w:tmpl w:val="2C58655B"/>
    <w:lvl w:ilvl="0" w:tentative="0">
      <w:start w:val="1"/>
      <w:numFmt w:val="chineseCounting"/>
      <w:suff w:val="nothing"/>
      <w:lvlText w:val="%1、"/>
      <w:lvlJc w:val="left"/>
      <w:rPr>
        <w:rFonts w:hint="eastAsia"/>
      </w:rPr>
    </w:lvl>
  </w:abstractNum>
  <w:abstractNum w:abstractNumId="21">
    <w:nsid w:val="2D078677"/>
    <w:multiLevelType w:val="singleLevel"/>
    <w:tmpl w:val="2D078677"/>
    <w:lvl w:ilvl="0" w:tentative="0">
      <w:start w:val="1"/>
      <w:numFmt w:val="decimal"/>
      <w:lvlText w:val="%1."/>
      <w:lvlJc w:val="left"/>
      <w:pPr>
        <w:tabs>
          <w:tab w:val="left" w:pos="312"/>
        </w:tabs>
      </w:pPr>
    </w:lvl>
  </w:abstractNum>
  <w:abstractNum w:abstractNumId="22">
    <w:nsid w:val="2E9FCD21"/>
    <w:multiLevelType w:val="singleLevel"/>
    <w:tmpl w:val="2E9FCD21"/>
    <w:lvl w:ilvl="0" w:tentative="0">
      <w:start w:val="1"/>
      <w:numFmt w:val="chineseCounting"/>
      <w:suff w:val="nothing"/>
      <w:lvlText w:val="%1、"/>
      <w:lvlJc w:val="left"/>
      <w:rPr>
        <w:rFonts w:hint="eastAsia"/>
      </w:rPr>
    </w:lvl>
  </w:abstractNum>
  <w:abstractNum w:abstractNumId="23">
    <w:nsid w:val="339194C2"/>
    <w:multiLevelType w:val="singleLevel"/>
    <w:tmpl w:val="339194C2"/>
    <w:lvl w:ilvl="0" w:tentative="0">
      <w:start w:val="2"/>
      <w:numFmt w:val="decimal"/>
      <w:suff w:val="nothing"/>
      <w:lvlText w:val="（%1）"/>
      <w:lvlJc w:val="left"/>
    </w:lvl>
  </w:abstractNum>
  <w:abstractNum w:abstractNumId="24">
    <w:nsid w:val="3F78A7B4"/>
    <w:multiLevelType w:val="singleLevel"/>
    <w:tmpl w:val="3F78A7B4"/>
    <w:lvl w:ilvl="0" w:tentative="0">
      <w:start w:val="1"/>
      <w:numFmt w:val="decimal"/>
      <w:lvlText w:val="%1."/>
      <w:lvlJc w:val="left"/>
      <w:pPr>
        <w:tabs>
          <w:tab w:val="left" w:pos="312"/>
        </w:tabs>
      </w:pPr>
    </w:lvl>
  </w:abstractNum>
  <w:abstractNum w:abstractNumId="25">
    <w:nsid w:val="4092BC0D"/>
    <w:multiLevelType w:val="singleLevel"/>
    <w:tmpl w:val="4092BC0D"/>
    <w:lvl w:ilvl="0" w:tentative="0">
      <w:start w:val="1"/>
      <w:numFmt w:val="chineseCounting"/>
      <w:suff w:val="nothing"/>
      <w:lvlText w:val="%1、"/>
      <w:lvlJc w:val="left"/>
      <w:rPr>
        <w:rFonts w:hint="eastAsia"/>
      </w:rPr>
    </w:lvl>
  </w:abstractNum>
  <w:abstractNum w:abstractNumId="26">
    <w:nsid w:val="46F0E8BD"/>
    <w:multiLevelType w:val="singleLevel"/>
    <w:tmpl w:val="46F0E8BD"/>
    <w:lvl w:ilvl="0" w:tentative="0">
      <w:start w:val="1"/>
      <w:numFmt w:val="decimal"/>
      <w:suff w:val="nothing"/>
      <w:lvlText w:val="（%1）"/>
      <w:lvlJc w:val="left"/>
    </w:lvl>
  </w:abstractNum>
  <w:abstractNum w:abstractNumId="27">
    <w:nsid w:val="4A71229D"/>
    <w:multiLevelType w:val="singleLevel"/>
    <w:tmpl w:val="4A71229D"/>
    <w:lvl w:ilvl="0" w:tentative="0">
      <w:start w:val="2"/>
      <w:numFmt w:val="decimal"/>
      <w:suff w:val="nothing"/>
      <w:lvlText w:val="（%1）"/>
      <w:lvlJc w:val="left"/>
    </w:lvl>
  </w:abstractNum>
  <w:abstractNum w:abstractNumId="28">
    <w:nsid w:val="5223B4C8"/>
    <w:multiLevelType w:val="singleLevel"/>
    <w:tmpl w:val="5223B4C8"/>
    <w:lvl w:ilvl="0" w:tentative="0">
      <w:start w:val="1"/>
      <w:numFmt w:val="decimal"/>
      <w:lvlText w:val="%1."/>
      <w:lvlJc w:val="left"/>
      <w:pPr>
        <w:tabs>
          <w:tab w:val="left" w:pos="312"/>
        </w:tabs>
      </w:pPr>
    </w:lvl>
  </w:abstractNum>
  <w:abstractNum w:abstractNumId="29">
    <w:nsid w:val="54A2BB0F"/>
    <w:multiLevelType w:val="multilevel"/>
    <w:tmpl w:val="54A2BB0F"/>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575"/>
        </w:tabs>
        <w:ind w:left="575" w:hanging="575"/>
      </w:pPr>
      <w:rPr>
        <w:rFonts w:hint="default" w:ascii="宋体" w:hAnsi="宋体" w:eastAsia="宋体" w:cs="宋体"/>
      </w:rPr>
    </w:lvl>
    <w:lvl w:ilvl="2" w:tentative="0">
      <w:start w:val="1"/>
      <w:numFmt w:val="decimal"/>
      <w:lvlText w:val="%1.%2.%3."/>
      <w:lvlJc w:val="left"/>
      <w:pPr>
        <w:tabs>
          <w:tab w:val="left" w:pos="720"/>
        </w:tabs>
        <w:ind w:left="720" w:hanging="720"/>
      </w:pPr>
      <w:rPr>
        <w:rFonts w:hint="default"/>
      </w:rPr>
    </w:lvl>
    <w:lvl w:ilvl="3" w:tentative="0">
      <w:start w:val="1"/>
      <w:numFmt w:val="decimal"/>
      <w:pStyle w:val="4"/>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30">
    <w:nsid w:val="6D56B59C"/>
    <w:multiLevelType w:val="singleLevel"/>
    <w:tmpl w:val="6D56B59C"/>
    <w:lvl w:ilvl="0" w:tentative="0">
      <w:start w:val="1"/>
      <w:numFmt w:val="decimal"/>
      <w:suff w:val="nothing"/>
      <w:lvlText w:val="（%1）"/>
      <w:lvlJc w:val="left"/>
    </w:lvl>
  </w:abstractNum>
  <w:abstractNum w:abstractNumId="31">
    <w:nsid w:val="76382087"/>
    <w:multiLevelType w:val="singleLevel"/>
    <w:tmpl w:val="76382087"/>
    <w:lvl w:ilvl="0" w:tentative="0">
      <w:start w:val="1"/>
      <w:numFmt w:val="decimal"/>
      <w:suff w:val="nothing"/>
      <w:lvlText w:val="%1、"/>
      <w:lvlJc w:val="left"/>
    </w:lvl>
  </w:abstractNum>
  <w:abstractNum w:abstractNumId="32">
    <w:nsid w:val="77F83C19"/>
    <w:multiLevelType w:val="multilevel"/>
    <w:tmpl w:val="77F83C19"/>
    <w:lvl w:ilvl="0" w:tentative="0">
      <w:start w:val="1"/>
      <w:numFmt w:val="decimal"/>
      <w:pStyle w:val="27"/>
      <w:lvlText w:val="8-%1"/>
      <w:lvlJc w:val="center"/>
      <w:pPr>
        <w:tabs>
          <w:tab w:val="left" w:pos="420"/>
        </w:tabs>
        <w:ind w:left="420" w:hanging="132"/>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9"/>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23"/>
  </w:num>
  <w:num w:numId="6">
    <w:abstractNumId w:val="4"/>
  </w:num>
  <w:num w:numId="7">
    <w:abstractNumId w:val="16"/>
  </w:num>
  <w:num w:numId="8">
    <w:abstractNumId w:val="27"/>
  </w:num>
  <w:num w:numId="9">
    <w:abstractNumId w:val="14"/>
  </w:num>
  <w:num w:numId="10">
    <w:abstractNumId w:val="24"/>
  </w:num>
  <w:num w:numId="11">
    <w:abstractNumId w:val="5"/>
  </w:num>
  <w:num w:numId="12">
    <w:abstractNumId w:val="26"/>
  </w:num>
  <w:num w:numId="13">
    <w:abstractNumId w:val="10"/>
  </w:num>
  <w:num w:numId="14">
    <w:abstractNumId w:val="17"/>
  </w:num>
  <w:num w:numId="15">
    <w:abstractNumId w:val="19"/>
  </w:num>
  <w:num w:numId="16">
    <w:abstractNumId w:val="1"/>
  </w:num>
  <w:num w:numId="17">
    <w:abstractNumId w:val="6"/>
  </w:num>
  <w:num w:numId="18">
    <w:abstractNumId w:val="15"/>
  </w:num>
  <w:num w:numId="19">
    <w:abstractNumId w:val="30"/>
  </w:num>
  <w:num w:numId="20">
    <w:abstractNumId w:val="21"/>
  </w:num>
  <w:num w:numId="21">
    <w:abstractNumId w:val="13"/>
  </w:num>
  <w:num w:numId="22">
    <w:abstractNumId w:val="18"/>
  </w:num>
  <w:num w:numId="23">
    <w:abstractNumId w:val="11"/>
  </w:num>
  <w:num w:numId="24">
    <w:abstractNumId w:val="28"/>
  </w:num>
  <w:num w:numId="25">
    <w:abstractNumId w:val="25"/>
  </w:num>
  <w:num w:numId="26">
    <w:abstractNumId w:val="7"/>
  </w:num>
  <w:num w:numId="27">
    <w:abstractNumId w:val="9"/>
  </w:num>
  <w:num w:numId="28">
    <w:abstractNumId w:val="20"/>
  </w:num>
  <w:num w:numId="29">
    <w:abstractNumId w:val="12"/>
  </w:num>
  <w:num w:numId="30">
    <w:abstractNumId w:val="8"/>
  </w:num>
  <w:num w:numId="31">
    <w:abstractNumId w:val="0"/>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503B458B"/>
    <w:rsid w:val="00024611"/>
    <w:rsid w:val="00446713"/>
    <w:rsid w:val="00475493"/>
    <w:rsid w:val="00495A77"/>
    <w:rsid w:val="005B24DD"/>
    <w:rsid w:val="00755E9F"/>
    <w:rsid w:val="008F7F56"/>
    <w:rsid w:val="00953C95"/>
    <w:rsid w:val="00C21ABC"/>
    <w:rsid w:val="00D86C00"/>
    <w:rsid w:val="00F2618C"/>
    <w:rsid w:val="011C6213"/>
    <w:rsid w:val="012E3D64"/>
    <w:rsid w:val="013570B6"/>
    <w:rsid w:val="01626F5B"/>
    <w:rsid w:val="01D251AB"/>
    <w:rsid w:val="01E963A1"/>
    <w:rsid w:val="01FA1893"/>
    <w:rsid w:val="01FD7056"/>
    <w:rsid w:val="021934BD"/>
    <w:rsid w:val="02B14256"/>
    <w:rsid w:val="02D22FDB"/>
    <w:rsid w:val="03140105"/>
    <w:rsid w:val="03265F90"/>
    <w:rsid w:val="032B61F5"/>
    <w:rsid w:val="033D441E"/>
    <w:rsid w:val="036217CB"/>
    <w:rsid w:val="039A4A34"/>
    <w:rsid w:val="03C31393"/>
    <w:rsid w:val="03C43D4E"/>
    <w:rsid w:val="04112ADF"/>
    <w:rsid w:val="04133BD3"/>
    <w:rsid w:val="0497779A"/>
    <w:rsid w:val="04A50731"/>
    <w:rsid w:val="04AC46A9"/>
    <w:rsid w:val="050E6E77"/>
    <w:rsid w:val="05321592"/>
    <w:rsid w:val="05323C70"/>
    <w:rsid w:val="05526D9C"/>
    <w:rsid w:val="05B046B2"/>
    <w:rsid w:val="05B87036"/>
    <w:rsid w:val="05BC1395"/>
    <w:rsid w:val="05DA6024"/>
    <w:rsid w:val="06276116"/>
    <w:rsid w:val="06463489"/>
    <w:rsid w:val="06510485"/>
    <w:rsid w:val="066A2F4B"/>
    <w:rsid w:val="06756ECA"/>
    <w:rsid w:val="06770C18"/>
    <w:rsid w:val="06B42FEA"/>
    <w:rsid w:val="06BB1504"/>
    <w:rsid w:val="06CD058C"/>
    <w:rsid w:val="07253B79"/>
    <w:rsid w:val="0737645F"/>
    <w:rsid w:val="07560855"/>
    <w:rsid w:val="0756113A"/>
    <w:rsid w:val="07594E22"/>
    <w:rsid w:val="07611BCE"/>
    <w:rsid w:val="07C710B1"/>
    <w:rsid w:val="07DE03DE"/>
    <w:rsid w:val="07F14824"/>
    <w:rsid w:val="081907A5"/>
    <w:rsid w:val="083B1DCE"/>
    <w:rsid w:val="088D3059"/>
    <w:rsid w:val="08942F0C"/>
    <w:rsid w:val="08D370BA"/>
    <w:rsid w:val="08D927C0"/>
    <w:rsid w:val="09161C18"/>
    <w:rsid w:val="096D5D64"/>
    <w:rsid w:val="0978109D"/>
    <w:rsid w:val="09E442A2"/>
    <w:rsid w:val="09F30AD7"/>
    <w:rsid w:val="0A303574"/>
    <w:rsid w:val="0A72758E"/>
    <w:rsid w:val="0AA579FA"/>
    <w:rsid w:val="0AC35F23"/>
    <w:rsid w:val="0AFA48A1"/>
    <w:rsid w:val="0B156990"/>
    <w:rsid w:val="0B1C73CA"/>
    <w:rsid w:val="0B3575B0"/>
    <w:rsid w:val="0B5B6E5E"/>
    <w:rsid w:val="0B6E586C"/>
    <w:rsid w:val="0B7D0451"/>
    <w:rsid w:val="0B7E45E7"/>
    <w:rsid w:val="0B824CBA"/>
    <w:rsid w:val="0B85695D"/>
    <w:rsid w:val="0BAB4A2D"/>
    <w:rsid w:val="0BAD5996"/>
    <w:rsid w:val="0C1E2121"/>
    <w:rsid w:val="0C294E7E"/>
    <w:rsid w:val="0C390912"/>
    <w:rsid w:val="0C5968FE"/>
    <w:rsid w:val="0C602D8F"/>
    <w:rsid w:val="0CB82BD5"/>
    <w:rsid w:val="0D1B530F"/>
    <w:rsid w:val="0D210F8A"/>
    <w:rsid w:val="0D381EF9"/>
    <w:rsid w:val="0D3A4E85"/>
    <w:rsid w:val="0D61637F"/>
    <w:rsid w:val="0D61777A"/>
    <w:rsid w:val="0D6E227C"/>
    <w:rsid w:val="0DD21773"/>
    <w:rsid w:val="0DD8016F"/>
    <w:rsid w:val="0E232C01"/>
    <w:rsid w:val="0E2E18FD"/>
    <w:rsid w:val="0E6B2303"/>
    <w:rsid w:val="0E767632"/>
    <w:rsid w:val="0E9540B4"/>
    <w:rsid w:val="0EDC2633"/>
    <w:rsid w:val="0F132A61"/>
    <w:rsid w:val="0F262156"/>
    <w:rsid w:val="0F3E68A2"/>
    <w:rsid w:val="0F3F38AB"/>
    <w:rsid w:val="0F4E0062"/>
    <w:rsid w:val="0F5210F9"/>
    <w:rsid w:val="0F811326"/>
    <w:rsid w:val="0FDE2A05"/>
    <w:rsid w:val="101013A7"/>
    <w:rsid w:val="103B1281"/>
    <w:rsid w:val="104D31AE"/>
    <w:rsid w:val="105B06BE"/>
    <w:rsid w:val="106F7340"/>
    <w:rsid w:val="108849B4"/>
    <w:rsid w:val="109A26E7"/>
    <w:rsid w:val="10A40762"/>
    <w:rsid w:val="10B76B6D"/>
    <w:rsid w:val="10BE6885"/>
    <w:rsid w:val="10D37672"/>
    <w:rsid w:val="11060269"/>
    <w:rsid w:val="112D7E5C"/>
    <w:rsid w:val="11B8785D"/>
    <w:rsid w:val="11C26F44"/>
    <w:rsid w:val="11CC508F"/>
    <w:rsid w:val="12066225"/>
    <w:rsid w:val="1208399E"/>
    <w:rsid w:val="12351AB9"/>
    <w:rsid w:val="125F4892"/>
    <w:rsid w:val="12672FB2"/>
    <w:rsid w:val="12761D8B"/>
    <w:rsid w:val="132471F6"/>
    <w:rsid w:val="13600255"/>
    <w:rsid w:val="136512C7"/>
    <w:rsid w:val="13775F2E"/>
    <w:rsid w:val="139D2B52"/>
    <w:rsid w:val="13A76584"/>
    <w:rsid w:val="13E80A91"/>
    <w:rsid w:val="13F27AB3"/>
    <w:rsid w:val="13F926A4"/>
    <w:rsid w:val="143073AB"/>
    <w:rsid w:val="14642DCF"/>
    <w:rsid w:val="14720AE0"/>
    <w:rsid w:val="147E767A"/>
    <w:rsid w:val="14857BE6"/>
    <w:rsid w:val="14880ED5"/>
    <w:rsid w:val="1524246B"/>
    <w:rsid w:val="15516723"/>
    <w:rsid w:val="15825B0A"/>
    <w:rsid w:val="158E4639"/>
    <w:rsid w:val="158F55EC"/>
    <w:rsid w:val="15E367FF"/>
    <w:rsid w:val="15F458C8"/>
    <w:rsid w:val="15F83E23"/>
    <w:rsid w:val="15FE02CC"/>
    <w:rsid w:val="16000D61"/>
    <w:rsid w:val="163201DD"/>
    <w:rsid w:val="16A9550D"/>
    <w:rsid w:val="16C9386C"/>
    <w:rsid w:val="171A579A"/>
    <w:rsid w:val="174B0806"/>
    <w:rsid w:val="175A1EDC"/>
    <w:rsid w:val="1776625F"/>
    <w:rsid w:val="17A65C21"/>
    <w:rsid w:val="17BD0803"/>
    <w:rsid w:val="17C91D15"/>
    <w:rsid w:val="17DA775F"/>
    <w:rsid w:val="1823130F"/>
    <w:rsid w:val="187A4D20"/>
    <w:rsid w:val="188F14EE"/>
    <w:rsid w:val="18CC0700"/>
    <w:rsid w:val="18E357D1"/>
    <w:rsid w:val="18EB73EE"/>
    <w:rsid w:val="18EF2353"/>
    <w:rsid w:val="1901724C"/>
    <w:rsid w:val="1920463D"/>
    <w:rsid w:val="19353803"/>
    <w:rsid w:val="194C1F8A"/>
    <w:rsid w:val="19836EE2"/>
    <w:rsid w:val="199A2FC9"/>
    <w:rsid w:val="19FC66C0"/>
    <w:rsid w:val="1A3E75F5"/>
    <w:rsid w:val="1A6B5680"/>
    <w:rsid w:val="1A9076D8"/>
    <w:rsid w:val="1A920C06"/>
    <w:rsid w:val="1AA2001B"/>
    <w:rsid w:val="1AAC240C"/>
    <w:rsid w:val="1ABB4953"/>
    <w:rsid w:val="1ABD2D9F"/>
    <w:rsid w:val="1AFB4C35"/>
    <w:rsid w:val="1B725BDF"/>
    <w:rsid w:val="1B7B7585"/>
    <w:rsid w:val="1BB235D0"/>
    <w:rsid w:val="1BBA4183"/>
    <w:rsid w:val="1BC200B9"/>
    <w:rsid w:val="1BF031CB"/>
    <w:rsid w:val="1BF045FB"/>
    <w:rsid w:val="1BFD7B22"/>
    <w:rsid w:val="1C0A10AB"/>
    <w:rsid w:val="1C6F135D"/>
    <w:rsid w:val="1C83757E"/>
    <w:rsid w:val="1C882F93"/>
    <w:rsid w:val="1C907B97"/>
    <w:rsid w:val="1CD54C74"/>
    <w:rsid w:val="1D055AC2"/>
    <w:rsid w:val="1D5A5D4C"/>
    <w:rsid w:val="1D6967F1"/>
    <w:rsid w:val="1D7B79B6"/>
    <w:rsid w:val="1D88060F"/>
    <w:rsid w:val="1D9129B3"/>
    <w:rsid w:val="1D92056A"/>
    <w:rsid w:val="1DAB5896"/>
    <w:rsid w:val="1DC12DD4"/>
    <w:rsid w:val="1DD71AD5"/>
    <w:rsid w:val="1E0F0795"/>
    <w:rsid w:val="1E1176B4"/>
    <w:rsid w:val="1E7B0828"/>
    <w:rsid w:val="1E844F94"/>
    <w:rsid w:val="1ED71E1D"/>
    <w:rsid w:val="1EEE5DA4"/>
    <w:rsid w:val="1EF865E3"/>
    <w:rsid w:val="1F094F7D"/>
    <w:rsid w:val="1F136905"/>
    <w:rsid w:val="1F58195D"/>
    <w:rsid w:val="1F7052EE"/>
    <w:rsid w:val="1FDE6847"/>
    <w:rsid w:val="1FDF6881"/>
    <w:rsid w:val="1FEF3B62"/>
    <w:rsid w:val="200D334A"/>
    <w:rsid w:val="204E1849"/>
    <w:rsid w:val="20C74584"/>
    <w:rsid w:val="20D2510B"/>
    <w:rsid w:val="20D54131"/>
    <w:rsid w:val="20D6554F"/>
    <w:rsid w:val="20DF4C2B"/>
    <w:rsid w:val="210A479F"/>
    <w:rsid w:val="210D6EDA"/>
    <w:rsid w:val="21337E71"/>
    <w:rsid w:val="21572F0F"/>
    <w:rsid w:val="216F61C2"/>
    <w:rsid w:val="21A52ADB"/>
    <w:rsid w:val="21AA6A29"/>
    <w:rsid w:val="21D738AE"/>
    <w:rsid w:val="21E72FAE"/>
    <w:rsid w:val="21F7792E"/>
    <w:rsid w:val="221571AE"/>
    <w:rsid w:val="22225130"/>
    <w:rsid w:val="22820719"/>
    <w:rsid w:val="22A732CD"/>
    <w:rsid w:val="22CB2C3C"/>
    <w:rsid w:val="22CC0271"/>
    <w:rsid w:val="22DC09B4"/>
    <w:rsid w:val="22E97DD8"/>
    <w:rsid w:val="231D7E8B"/>
    <w:rsid w:val="23281387"/>
    <w:rsid w:val="232A2A10"/>
    <w:rsid w:val="23407DE9"/>
    <w:rsid w:val="237F462B"/>
    <w:rsid w:val="23D530A2"/>
    <w:rsid w:val="23DA3B28"/>
    <w:rsid w:val="23E747DC"/>
    <w:rsid w:val="24031BE3"/>
    <w:rsid w:val="241B7B4C"/>
    <w:rsid w:val="24212393"/>
    <w:rsid w:val="242B6874"/>
    <w:rsid w:val="24393AEE"/>
    <w:rsid w:val="243D43FA"/>
    <w:rsid w:val="244100E8"/>
    <w:rsid w:val="24705BED"/>
    <w:rsid w:val="2494334D"/>
    <w:rsid w:val="24AA65B7"/>
    <w:rsid w:val="24BF31CB"/>
    <w:rsid w:val="251D7517"/>
    <w:rsid w:val="251E473F"/>
    <w:rsid w:val="25302A4E"/>
    <w:rsid w:val="25311C69"/>
    <w:rsid w:val="25912C66"/>
    <w:rsid w:val="25BE3F41"/>
    <w:rsid w:val="25C50C8A"/>
    <w:rsid w:val="25CF3AF3"/>
    <w:rsid w:val="260A72C7"/>
    <w:rsid w:val="262A240A"/>
    <w:rsid w:val="263D4480"/>
    <w:rsid w:val="26573586"/>
    <w:rsid w:val="265C15DA"/>
    <w:rsid w:val="267C007E"/>
    <w:rsid w:val="26D54F01"/>
    <w:rsid w:val="270E6A2B"/>
    <w:rsid w:val="272E73D8"/>
    <w:rsid w:val="274F4801"/>
    <w:rsid w:val="275B3831"/>
    <w:rsid w:val="275F25D5"/>
    <w:rsid w:val="277033F7"/>
    <w:rsid w:val="279D77FE"/>
    <w:rsid w:val="27A23B02"/>
    <w:rsid w:val="27DA6DFA"/>
    <w:rsid w:val="28295348"/>
    <w:rsid w:val="289200DF"/>
    <w:rsid w:val="28E25A7D"/>
    <w:rsid w:val="28F06784"/>
    <w:rsid w:val="291807CC"/>
    <w:rsid w:val="294951B5"/>
    <w:rsid w:val="295D1D98"/>
    <w:rsid w:val="295F0A56"/>
    <w:rsid w:val="2973449F"/>
    <w:rsid w:val="2981207C"/>
    <w:rsid w:val="29A360C5"/>
    <w:rsid w:val="29C007A5"/>
    <w:rsid w:val="29E434EC"/>
    <w:rsid w:val="29F47DC9"/>
    <w:rsid w:val="29FC63C7"/>
    <w:rsid w:val="2A2D6E87"/>
    <w:rsid w:val="2A571118"/>
    <w:rsid w:val="2A9D6DE2"/>
    <w:rsid w:val="2AA04C28"/>
    <w:rsid w:val="2ADA1BB0"/>
    <w:rsid w:val="2ADD5DA2"/>
    <w:rsid w:val="2AE10751"/>
    <w:rsid w:val="2AFF1D05"/>
    <w:rsid w:val="2BA05892"/>
    <w:rsid w:val="2BA538DD"/>
    <w:rsid w:val="2BB7474D"/>
    <w:rsid w:val="2BE07A4D"/>
    <w:rsid w:val="2BE826D0"/>
    <w:rsid w:val="2C3B30DA"/>
    <w:rsid w:val="2C4B71B1"/>
    <w:rsid w:val="2C4D44DA"/>
    <w:rsid w:val="2C6B4659"/>
    <w:rsid w:val="2C721EFB"/>
    <w:rsid w:val="2C966849"/>
    <w:rsid w:val="2CB55B73"/>
    <w:rsid w:val="2CBC0B51"/>
    <w:rsid w:val="2D082B3A"/>
    <w:rsid w:val="2D1E3D1D"/>
    <w:rsid w:val="2D2E393C"/>
    <w:rsid w:val="2D477217"/>
    <w:rsid w:val="2D5656D3"/>
    <w:rsid w:val="2DEA2946"/>
    <w:rsid w:val="2E06331F"/>
    <w:rsid w:val="2E397E0F"/>
    <w:rsid w:val="2E3C6215"/>
    <w:rsid w:val="2E63552B"/>
    <w:rsid w:val="2E6D533B"/>
    <w:rsid w:val="2E717640"/>
    <w:rsid w:val="2E935CA8"/>
    <w:rsid w:val="2E942F2A"/>
    <w:rsid w:val="2ED969C2"/>
    <w:rsid w:val="2EEF167D"/>
    <w:rsid w:val="2F0B1C8D"/>
    <w:rsid w:val="2F527FA5"/>
    <w:rsid w:val="2F7D793C"/>
    <w:rsid w:val="2FB831B0"/>
    <w:rsid w:val="2FD021A7"/>
    <w:rsid w:val="2FDE0DF3"/>
    <w:rsid w:val="305A789C"/>
    <w:rsid w:val="30645E9B"/>
    <w:rsid w:val="308111F9"/>
    <w:rsid w:val="30BC35CC"/>
    <w:rsid w:val="30C101E3"/>
    <w:rsid w:val="30E11B1C"/>
    <w:rsid w:val="30FD384B"/>
    <w:rsid w:val="31195877"/>
    <w:rsid w:val="314B3F73"/>
    <w:rsid w:val="31FF3D82"/>
    <w:rsid w:val="3224420B"/>
    <w:rsid w:val="323C5F96"/>
    <w:rsid w:val="327D55A8"/>
    <w:rsid w:val="32BA59C4"/>
    <w:rsid w:val="32CB77FB"/>
    <w:rsid w:val="331334BD"/>
    <w:rsid w:val="335D0B57"/>
    <w:rsid w:val="336C018E"/>
    <w:rsid w:val="33727774"/>
    <w:rsid w:val="3388243B"/>
    <w:rsid w:val="33AF3AB4"/>
    <w:rsid w:val="33E65F50"/>
    <w:rsid w:val="33FD7D45"/>
    <w:rsid w:val="341A6B27"/>
    <w:rsid w:val="342E10E2"/>
    <w:rsid w:val="345A25B8"/>
    <w:rsid w:val="34D00E8D"/>
    <w:rsid w:val="34D40912"/>
    <w:rsid w:val="34D50EC5"/>
    <w:rsid w:val="34F65580"/>
    <w:rsid w:val="351D5647"/>
    <w:rsid w:val="352041D0"/>
    <w:rsid w:val="354D6C65"/>
    <w:rsid w:val="3561102B"/>
    <w:rsid w:val="359C36A9"/>
    <w:rsid w:val="35B2280A"/>
    <w:rsid w:val="35BB270E"/>
    <w:rsid w:val="35BF5D06"/>
    <w:rsid w:val="35CE30EA"/>
    <w:rsid w:val="35F243AC"/>
    <w:rsid w:val="36212007"/>
    <w:rsid w:val="36415E69"/>
    <w:rsid w:val="368369AF"/>
    <w:rsid w:val="36B0155A"/>
    <w:rsid w:val="36BC0783"/>
    <w:rsid w:val="36EE2F53"/>
    <w:rsid w:val="36FE6E4F"/>
    <w:rsid w:val="372607AA"/>
    <w:rsid w:val="375D3A24"/>
    <w:rsid w:val="379C039B"/>
    <w:rsid w:val="37CB5582"/>
    <w:rsid w:val="382E0EF7"/>
    <w:rsid w:val="38303A95"/>
    <w:rsid w:val="384E3F1F"/>
    <w:rsid w:val="38910873"/>
    <w:rsid w:val="38956F32"/>
    <w:rsid w:val="38CE7BB5"/>
    <w:rsid w:val="38D62C9D"/>
    <w:rsid w:val="390700B9"/>
    <w:rsid w:val="394734AD"/>
    <w:rsid w:val="39C6177B"/>
    <w:rsid w:val="39E0219E"/>
    <w:rsid w:val="39EA43A1"/>
    <w:rsid w:val="3A3325D3"/>
    <w:rsid w:val="3AAD7FF7"/>
    <w:rsid w:val="3AB6524A"/>
    <w:rsid w:val="3AB90044"/>
    <w:rsid w:val="3ADC6877"/>
    <w:rsid w:val="3AFE6FBC"/>
    <w:rsid w:val="3B001AFE"/>
    <w:rsid w:val="3B026FC1"/>
    <w:rsid w:val="3B09265D"/>
    <w:rsid w:val="3B2A11D9"/>
    <w:rsid w:val="3B4358D3"/>
    <w:rsid w:val="3B4631CB"/>
    <w:rsid w:val="3B696DDB"/>
    <w:rsid w:val="3B7670D2"/>
    <w:rsid w:val="3B7F6B3A"/>
    <w:rsid w:val="3B8869AF"/>
    <w:rsid w:val="3BAC0865"/>
    <w:rsid w:val="3BCC6949"/>
    <w:rsid w:val="3BDA73B8"/>
    <w:rsid w:val="3BE831E9"/>
    <w:rsid w:val="3C41605E"/>
    <w:rsid w:val="3C423619"/>
    <w:rsid w:val="3C61055D"/>
    <w:rsid w:val="3C63273B"/>
    <w:rsid w:val="3C6936D7"/>
    <w:rsid w:val="3C7939DB"/>
    <w:rsid w:val="3CAA7044"/>
    <w:rsid w:val="3CEF49CE"/>
    <w:rsid w:val="3D2B4238"/>
    <w:rsid w:val="3D5E5EDF"/>
    <w:rsid w:val="3D622AA1"/>
    <w:rsid w:val="3DA748D9"/>
    <w:rsid w:val="3DB16E99"/>
    <w:rsid w:val="3DBF6630"/>
    <w:rsid w:val="3DD22866"/>
    <w:rsid w:val="3DDF1B25"/>
    <w:rsid w:val="3E0A4479"/>
    <w:rsid w:val="3E1D6917"/>
    <w:rsid w:val="3E3669B6"/>
    <w:rsid w:val="3E4C73B3"/>
    <w:rsid w:val="3E7757A1"/>
    <w:rsid w:val="3E9C0571"/>
    <w:rsid w:val="3E9F5EAC"/>
    <w:rsid w:val="3EA04575"/>
    <w:rsid w:val="3EB55012"/>
    <w:rsid w:val="3EC05F77"/>
    <w:rsid w:val="3EDB7BD3"/>
    <w:rsid w:val="3EDC3241"/>
    <w:rsid w:val="3F2B70BB"/>
    <w:rsid w:val="3F4B604B"/>
    <w:rsid w:val="3F5650AE"/>
    <w:rsid w:val="3FAA0F8C"/>
    <w:rsid w:val="3FDC3285"/>
    <w:rsid w:val="3FE222DF"/>
    <w:rsid w:val="402B02E4"/>
    <w:rsid w:val="403F2820"/>
    <w:rsid w:val="40696692"/>
    <w:rsid w:val="406E0069"/>
    <w:rsid w:val="40D97ECE"/>
    <w:rsid w:val="41071A99"/>
    <w:rsid w:val="41095795"/>
    <w:rsid w:val="413209B1"/>
    <w:rsid w:val="413E511F"/>
    <w:rsid w:val="417221C9"/>
    <w:rsid w:val="41B92E88"/>
    <w:rsid w:val="41F349CC"/>
    <w:rsid w:val="4205524F"/>
    <w:rsid w:val="42102452"/>
    <w:rsid w:val="423179A8"/>
    <w:rsid w:val="42737E60"/>
    <w:rsid w:val="428379A1"/>
    <w:rsid w:val="42B4099A"/>
    <w:rsid w:val="42D24218"/>
    <w:rsid w:val="42E6015A"/>
    <w:rsid w:val="42E82D62"/>
    <w:rsid w:val="42FF793F"/>
    <w:rsid w:val="43241F94"/>
    <w:rsid w:val="4341223C"/>
    <w:rsid w:val="43643CCE"/>
    <w:rsid w:val="43B9162F"/>
    <w:rsid w:val="43EF00FB"/>
    <w:rsid w:val="440D384F"/>
    <w:rsid w:val="44192D5C"/>
    <w:rsid w:val="44316A08"/>
    <w:rsid w:val="44406916"/>
    <w:rsid w:val="444871FE"/>
    <w:rsid w:val="44493EED"/>
    <w:rsid w:val="44745605"/>
    <w:rsid w:val="447B26EA"/>
    <w:rsid w:val="447D7F6D"/>
    <w:rsid w:val="448624F7"/>
    <w:rsid w:val="44B1325D"/>
    <w:rsid w:val="44BC5052"/>
    <w:rsid w:val="44F47CA5"/>
    <w:rsid w:val="44FC24CA"/>
    <w:rsid w:val="453B0F12"/>
    <w:rsid w:val="45480ED6"/>
    <w:rsid w:val="45776A8F"/>
    <w:rsid w:val="457C7F0F"/>
    <w:rsid w:val="457E36DF"/>
    <w:rsid w:val="45A44D30"/>
    <w:rsid w:val="45AF0A1D"/>
    <w:rsid w:val="45C425E6"/>
    <w:rsid w:val="45F971DB"/>
    <w:rsid w:val="46483785"/>
    <w:rsid w:val="464E7ADC"/>
    <w:rsid w:val="46C113C9"/>
    <w:rsid w:val="47157712"/>
    <w:rsid w:val="479E377D"/>
    <w:rsid w:val="47C9769A"/>
    <w:rsid w:val="481146DD"/>
    <w:rsid w:val="48730B7A"/>
    <w:rsid w:val="487B4310"/>
    <w:rsid w:val="48862D79"/>
    <w:rsid w:val="48903EBD"/>
    <w:rsid w:val="48A162FF"/>
    <w:rsid w:val="48DD26A2"/>
    <w:rsid w:val="492F7C2E"/>
    <w:rsid w:val="49431A47"/>
    <w:rsid w:val="49486B0B"/>
    <w:rsid w:val="49500ED8"/>
    <w:rsid w:val="49941A55"/>
    <w:rsid w:val="49D30B2D"/>
    <w:rsid w:val="4A0C34BF"/>
    <w:rsid w:val="4A3A5AC0"/>
    <w:rsid w:val="4A816590"/>
    <w:rsid w:val="4A87112C"/>
    <w:rsid w:val="4AB4332A"/>
    <w:rsid w:val="4ACE35CD"/>
    <w:rsid w:val="4AE83473"/>
    <w:rsid w:val="4AF36753"/>
    <w:rsid w:val="4B14478C"/>
    <w:rsid w:val="4B2D5076"/>
    <w:rsid w:val="4B5E5667"/>
    <w:rsid w:val="4B6D3C42"/>
    <w:rsid w:val="4B790A30"/>
    <w:rsid w:val="4B8B6803"/>
    <w:rsid w:val="4BA8076C"/>
    <w:rsid w:val="4C43598C"/>
    <w:rsid w:val="4C551341"/>
    <w:rsid w:val="4C903E50"/>
    <w:rsid w:val="4CA858A4"/>
    <w:rsid w:val="4CDE5610"/>
    <w:rsid w:val="4D0F3F39"/>
    <w:rsid w:val="4D3B4171"/>
    <w:rsid w:val="4D4D6D22"/>
    <w:rsid w:val="4D5F5880"/>
    <w:rsid w:val="4D8B64A6"/>
    <w:rsid w:val="4DA6222E"/>
    <w:rsid w:val="4DAA4C3D"/>
    <w:rsid w:val="4DFD5BEF"/>
    <w:rsid w:val="4E1B6210"/>
    <w:rsid w:val="4E5B6F1A"/>
    <w:rsid w:val="4E953DA3"/>
    <w:rsid w:val="4EA82EBA"/>
    <w:rsid w:val="4EE52760"/>
    <w:rsid w:val="4F1A5803"/>
    <w:rsid w:val="4F3E2A24"/>
    <w:rsid w:val="4F444A0F"/>
    <w:rsid w:val="4F5E561A"/>
    <w:rsid w:val="4F8628E0"/>
    <w:rsid w:val="4F933E32"/>
    <w:rsid w:val="4FA835A8"/>
    <w:rsid w:val="4FCA5970"/>
    <w:rsid w:val="4FE37A33"/>
    <w:rsid w:val="500545AA"/>
    <w:rsid w:val="50064025"/>
    <w:rsid w:val="503B458B"/>
    <w:rsid w:val="508B7B06"/>
    <w:rsid w:val="509E5B3F"/>
    <w:rsid w:val="50B104CD"/>
    <w:rsid w:val="50BC7364"/>
    <w:rsid w:val="50BF6AA8"/>
    <w:rsid w:val="50F832FA"/>
    <w:rsid w:val="50FC2B3D"/>
    <w:rsid w:val="510579EA"/>
    <w:rsid w:val="510A4072"/>
    <w:rsid w:val="510F0250"/>
    <w:rsid w:val="5110669F"/>
    <w:rsid w:val="515B3165"/>
    <w:rsid w:val="515B7662"/>
    <w:rsid w:val="51940A9E"/>
    <w:rsid w:val="51A37855"/>
    <w:rsid w:val="51AD6561"/>
    <w:rsid w:val="51B275ED"/>
    <w:rsid w:val="51D71A1F"/>
    <w:rsid w:val="51F85B14"/>
    <w:rsid w:val="52086C2F"/>
    <w:rsid w:val="521A7176"/>
    <w:rsid w:val="52210BF3"/>
    <w:rsid w:val="52BC6AF6"/>
    <w:rsid w:val="52C84CA5"/>
    <w:rsid w:val="52EB091C"/>
    <w:rsid w:val="531339AF"/>
    <w:rsid w:val="536D679B"/>
    <w:rsid w:val="537E1FF3"/>
    <w:rsid w:val="53A23924"/>
    <w:rsid w:val="53AC06A9"/>
    <w:rsid w:val="542E5EED"/>
    <w:rsid w:val="54312D74"/>
    <w:rsid w:val="5434373A"/>
    <w:rsid w:val="54346687"/>
    <w:rsid w:val="546C122C"/>
    <w:rsid w:val="5490067C"/>
    <w:rsid w:val="54964EFF"/>
    <w:rsid w:val="549C43D5"/>
    <w:rsid w:val="549C5051"/>
    <w:rsid w:val="54BB6D7B"/>
    <w:rsid w:val="54BC7022"/>
    <w:rsid w:val="54D54E96"/>
    <w:rsid w:val="54D65998"/>
    <w:rsid w:val="55656867"/>
    <w:rsid w:val="559D1A0F"/>
    <w:rsid w:val="55AB4BB1"/>
    <w:rsid w:val="55BA4A75"/>
    <w:rsid w:val="55C33989"/>
    <w:rsid w:val="560B509E"/>
    <w:rsid w:val="56386907"/>
    <w:rsid w:val="56551BAC"/>
    <w:rsid w:val="5677082A"/>
    <w:rsid w:val="56CA7D73"/>
    <w:rsid w:val="56D05342"/>
    <w:rsid w:val="56D429C7"/>
    <w:rsid w:val="57104AB9"/>
    <w:rsid w:val="575B3438"/>
    <w:rsid w:val="577F76C8"/>
    <w:rsid w:val="57B2167F"/>
    <w:rsid w:val="57BB0926"/>
    <w:rsid w:val="57C60B32"/>
    <w:rsid w:val="580C3A52"/>
    <w:rsid w:val="583D11E1"/>
    <w:rsid w:val="58B8628D"/>
    <w:rsid w:val="58CD50BF"/>
    <w:rsid w:val="590C5D8C"/>
    <w:rsid w:val="591A68B6"/>
    <w:rsid w:val="592D6957"/>
    <w:rsid w:val="596D7A95"/>
    <w:rsid w:val="59A131A9"/>
    <w:rsid w:val="59B72874"/>
    <w:rsid w:val="59BE092B"/>
    <w:rsid w:val="59D241AC"/>
    <w:rsid w:val="59F914D4"/>
    <w:rsid w:val="5A2041F8"/>
    <w:rsid w:val="5A237A98"/>
    <w:rsid w:val="5A4A1C8C"/>
    <w:rsid w:val="5A4F27D7"/>
    <w:rsid w:val="5A7B6395"/>
    <w:rsid w:val="5A987113"/>
    <w:rsid w:val="5AB06BE0"/>
    <w:rsid w:val="5ABA0174"/>
    <w:rsid w:val="5B1E3965"/>
    <w:rsid w:val="5B300421"/>
    <w:rsid w:val="5B3D3937"/>
    <w:rsid w:val="5B59482F"/>
    <w:rsid w:val="5B5D45B7"/>
    <w:rsid w:val="5B6A2A8C"/>
    <w:rsid w:val="5B6F0C7D"/>
    <w:rsid w:val="5B974F73"/>
    <w:rsid w:val="5B9C5F4C"/>
    <w:rsid w:val="5BA64CF1"/>
    <w:rsid w:val="5BB06B3F"/>
    <w:rsid w:val="5BEE60C2"/>
    <w:rsid w:val="5BF569C4"/>
    <w:rsid w:val="5C075D6E"/>
    <w:rsid w:val="5C4B1D4F"/>
    <w:rsid w:val="5C841872"/>
    <w:rsid w:val="5CFC27D9"/>
    <w:rsid w:val="5D05091E"/>
    <w:rsid w:val="5D592E3D"/>
    <w:rsid w:val="5DA8595C"/>
    <w:rsid w:val="5DC43EE9"/>
    <w:rsid w:val="5DCD4031"/>
    <w:rsid w:val="5DCF1C2D"/>
    <w:rsid w:val="5DDA5391"/>
    <w:rsid w:val="5E042267"/>
    <w:rsid w:val="5E0A0E67"/>
    <w:rsid w:val="5E1D4CE8"/>
    <w:rsid w:val="5E2760D3"/>
    <w:rsid w:val="5EA91FA5"/>
    <w:rsid w:val="5EBE6F82"/>
    <w:rsid w:val="5EE1545D"/>
    <w:rsid w:val="5EF94C24"/>
    <w:rsid w:val="5F2D478F"/>
    <w:rsid w:val="5F8729C3"/>
    <w:rsid w:val="5FC048B4"/>
    <w:rsid w:val="5FD41360"/>
    <w:rsid w:val="60147FC5"/>
    <w:rsid w:val="60295D24"/>
    <w:rsid w:val="60396A75"/>
    <w:rsid w:val="60411576"/>
    <w:rsid w:val="60BC6DAA"/>
    <w:rsid w:val="60C2258E"/>
    <w:rsid w:val="60FA7AD7"/>
    <w:rsid w:val="61074283"/>
    <w:rsid w:val="614E7B4E"/>
    <w:rsid w:val="61592768"/>
    <w:rsid w:val="616D0102"/>
    <w:rsid w:val="619312D7"/>
    <w:rsid w:val="61A56661"/>
    <w:rsid w:val="61B90ACE"/>
    <w:rsid w:val="61C163EE"/>
    <w:rsid w:val="61EF2AFF"/>
    <w:rsid w:val="623D41A1"/>
    <w:rsid w:val="624D46CB"/>
    <w:rsid w:val="626464FE"/>
    <w:rsid w:val="627201B4"/>
    <w:rsid w:val="627F5710"/>
    <w:rsid w:val="62B72BE5"/>
    <w:rsid w:val="62FB1807"/>
    <w:rsid w:val="62FC6338"/>
    <w:rsid w:val="631F085F"/>
    <w:rsid w:val="63472C61"/>
    <w:rsid w:val="635529D2"/>
    <w:rsid w:val="637A6477"/>
    <w:rsid w:val="63883ED5"/>
    <w:rsid w:val="63921144"/>
    <w:rsid w:val="63926E41"/>
    <w:rsid w:val="63BC2D8A"/>
    <w:rsid w:val="63C627E6"/>
    <w:rsid w:val="64391FEC"/>
    <w:rsid w:val="643B39D4"/>
    <w:rsid w:val="64427C7A"/>
    <w:rsid w:val="646C0BB7"/>
    <w:rsid w:val="64754326"/>
    <w:rsid w:val="649F45A5"/>
    <w:rsid w:val="64E017C2"/>
    <w:rsid w:val="650A3621"/>
    <w:rsid w:val="653430D0"/>
    <w:rsid w:val="65574AB5"/>
    <w:rsid w:val="655B42D5"/>
    <w:rsid w:val="65A04AB7"/>
    <w:rsid w:val="65AF5930"/>
    <w:rsid w:val="65C564BC"/>
    <w:rsid w:val="65E60961"/>
    <w:rsid w:val="6629407C"/>
    <w:rsid w:val="66704857"/>
    <w:rsid w:val="66844C45"/>
    <w:rsid w:val="66DA2CF5"/>
    <w:rsid w:val="67072FBF"/>
    <w:rsid w:val="6770316E"/>
    <w:rsid w:val="67815F9E"/>
    <w:rsid w:val="678451B4"/>
    <w:rsid w:val="67965FB0"/>
    <w:rsid w:val="67C046D0"/>
    <w:rsid w:val="67E254D8"/>
    <w:rsid w:val="67E46BDC"/>
    <w:rsid w:val="68220996"/>
    <w:rsid w:val="687F3F94"/>
    <w:rsid w:val="68F80359"/>
    <w:rsid w:val="69273CE1"/>
    <w:rsid w:val="699860CA"/>
    <w:rsid w:val="69EF79C0"/>
    <w:rsid w:val="6A2016C2"/>
    <w:rsid w:val="6A2F6740"/>
    <w:rsid w:val="6A4E78A2"/>
    <w:rsid w:val="6ABF5B7F"/>
    <w:rsid w:val="6AF00709"/>
    <w:rsid w:val="6B3723CC"/>
    <w:rsid w:val="6B986709"/>
    <w:rsid w:val="6C176E42"/>
    <w:rsid w:val="6C473D0E"/>
    <w:rsid w:val="6C97114C"/>
    <w:rsid w:val="6C9C624D"/>
    <w:rsid w:val="6CF36DD7"/>
    <w:rsid w:val="6D0C7928"/>
    <w:rsid w:val="6D21428B"/>
    <w:rsid w:val="6D256473"/>
    <w:rsid w:val="6D2A1617"/>
    <w:rsid w:val="6D38702C"/>
    <w:rsid w:val="6D5E4820"/>
    <w:rsid w:val="6DD153C3"/>
    <w:rsid w:val="6E205BA7"/>
    <w:rsid w:val="6E7C30C5"/>
    <w:rsid w:val="6E80008E"/>
    <w:rsid w:val="6EAD2BAE"/>
    <w:rsid w:val="6F2715BE"/>
    <w:rsid w:val="6F3712BC"/>
    <w:rsid w:val="6F3C3FA0"/>
    <w:rsid w:val="6F45247D"/>
    <w:rsid w:val="6F8D5DD9"/>
    <w:rsid w:val="6F9100F3"/>
    <w:rsid w:val="6FA65F08"/>
    <w:rsid w:val="6FC57AB6"/>
    <w:rsid w:val="700A4B99"/>
    <w:rsid w:val="703D76E8"/>
    <w:rsid w:val="705275A8"/>
    <w:rsid w:val="708F2B8F"/>
    <w:rsid w:val="70A33516"/>
    <w:rsid w:val="711067C0"/>
    <w:rsid w:val="71160D6B"/>
    <w:rsid w:val="71886C14"/>
    <w:rsid w:val="71D00DC0"/>
    <w:rsid w:val="71EB506C"/>
    <w:rsid w:val="71EC74A4"/>
    <w:rsid w:val="722E5339"/>
    <w:rsid w:val="726C46AD"/>
    <w:rsid w:val="728107F2"/>
    <w:rsid w:val="72A127AB"/>
    <w:rsid w:val="72CC0529"/>
    <w:rsid w:val="72E42591"/>
    <w:rsid w:val="72E64183"/>
    <w:rsid w:val="73197612"/>
    <w:rsid w:val="73536E38"/>
    <w:rsid w:val="738B7E72"/>
    <w:rsid w:val="73B718CC"/>
    <w:rsid w:val="73CC608F"/>
    <w:rsid w:val="73FE1074"/>
    <w:rsid w:val="74657697"/>
    <w:rsid w:val="7475018D"/>
    <w:rsid w:val="74A07544"/>
    <w:rsid w:val="74BC2F3A"/>
    <w:rsid w:val="750C1C15"/>
    <w:rsid w:val="751623CC"/>
    <w:rsid w:val="754C7CFB"/>
    <w:rsid w:val="755351F0"/>
    <w:rsid w:val="7592671B"/>
    <w:rsid w:val="76101E59"/>
    <w:rsid w:val="76781BC1"/>
    <w:rsid w:val="76A76477"/>
    <w:rsid w:val="76C47EF5"/>
    <w:rsid w:val="76E61570"/>
    <w:rsid w:val="7723006D"/>
    <w:rsid w:val="772C008B"/>
    <w:rsid w:val="7730578A"/>
    <w:rsid w:val="774338FC"/>
    <w:rsid w:val="77477D49"/>
    <w:rsid w:val="77625D86"/>
    <w:rsid w:val="779E59E2"/>
    <w:rsid w:val="77EE6A11"/>
    <w:rsid w:val="77F96C58"/>
    <w:rsid w:val="78112B69"/>
    <w:rsid w:val="78260A11"/>
    <w:rsid w:val="784A50B4"/>
    <w:rsid w:val="7882696A"/>
    <w:rsid w:val="788E71DB"/>
    <w:rsid w:val="78E725D2"/>
    <w:rsid w:val="78FF44B8"/>
    <w:rsid w:val="791E1966"/>
    <w:rsid w:val="7964529A"/>
    <w:rsid w:val="79792791"/>
    <w:rsid w:val="797968FE"/>
    <w:rsid w:val="799401E4"/>
    <w:rsid w:val="79A17CB2"/>
    <w:rsid w:val="79C14E27"/>
    <w:rsid w:val="79C73E55"/>
    <w:rsid w:val="79DE0894"/>
    <w:rsid w:val="79F13F64"/>
    <w:rsid w:val="7A151A7F"/>
    <w:rsid w:val="7A187E71"/>
    <w:rsid w:val="7A231507"/>
    <w:rsid w:val="7A3A117E"/>
    <w:rsid w:val="7ABF33EE"/>
    <w:rsid w:val="7B014885"/>
    <w:rsid w:val="7B474644"/>
    <w:rsid w:val="7B811AB3"/>
    <w:rsid w:val="7C077A3D"/>
    <w:rsid w:val="7C18776B"/>
    <w:rsid w:val="7C1A24F8"/>
    <w:rsid w:val="7C530DB5"/>
    <w:rsid w:val="7CA069C6"/>
    <w:rsid w:val="7CE0405C"/>
    <w:rsid w:val="7D171340"/>
    <w:rsid w:val="7D1E33D2"/>
    <w:rsid w:val="7D1E5C2E"/>
    <w:rsid w:val="7D414D08"/>
    <w:rsid w:val="7D465329"/>
    <w:rsid w:val="7D7C422A"/>
    <w:rsid w:val="7D8720F8"/>
    <w:rsid w:val="7DA44E36"/>
    <w:rsid w:val="7DB44310"/>
    <w:rsid w:val="7DD97118"/>
    <w:rsid w:val="7E3327B1"/>
    <w:rsid w:val="7E59745F"/>
    <w:rsid w:val="7E5B28EA"/>
    <w:rsid w:val="7E976337"/>
    <w:rsid w:val="7E9D2B5D"/>
    <w:rsid w:val="7E9F4478"/>
    <w:rsid w:val="7EE0243C"/>
    <w:rsid w:val="7EE66812"/>
    <w:rsid w:val="7F344777"/>
    <w:rsid w:val="7F7B1FA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firstLineChars="0"/>
      <w:jc w:val="both"/>
    </w:pPr>
    <w:rPr>
      <w:rFonts w:ascii="Times New Roman" w:hAnsi="Times New Roman" w:eastAsia="宋体" w:cstheme="minorBidi"/>
      <w:kern w:val="2"/>
      <w:sz w:val="24"/>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outlineLvl w:val="0"/>
    </w:pPr>
    <w:rPr>
      <w:b/>
      <w:kern w:val="44"/>
      <w:sz w:val="28"/>
    </w:rPr>
  </w:style>
  <w:style w:type="paragraph" w:styleId="4">
    <w:name w:val="heading 4"/>
    <w:basedOn w:val="1"/>
    <w:next w:val="1"/>
    <w:qFormat/>
    <w:uiPriority w:val="0"/>
    <w:pPr>
      <w:keepNext/>
      <w:keepLines/>
      <w:numPr>
        <w:ilvl w:val="3"/>
        <w:numId w:val="1"/>
      </w:numPr>
      <w:spacing w:before="120"/>
      <w:outlineLvl w:val="3"/>
    </w:pPr>
    <w:rPr>
      <w:rFonts w:ascii="Arial" w:hAnsi="Arial" w:eastAsia="黑体"/>
      <w:bCs/>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qFormat/>
    <w:uiPriority w:val="0"/>
    <w:pPr>
      <w:ind w:firstLine="420" w:firstLineChars="200"/>
    </w:pPr>
  </w:style>
  <w:style w:type="paragraph" w:styleId="6">
    <w:name w:val="Body Text"/>
    <w:basedOn w:val="1"/>
    <w:qFormat/>
    <w:uiPriority w:val="0"/>
    <w:rPr>
      <w:sz w:val="24"/>
      <w:szCs w:val="20"/>
    </w:rPr>
  </w:style>
  <w:style w:type="paragraph" w:styleId="7">
    <w:name w:val="Body Text Indent"/>
    <w:basedOn w:val="1"/>
    <w:qFormat/>
    <w:uiPriority w:val="0"/>
    <w:pPr>
      <w:spacing w:line="500" w:lineRule="atLeast"/>
      <w:ind w:firstLine="360"/>
    </w:pPr>
    <w:rPr>
      <w:sz w:val="24"/>
    </w:rPr>
  </w:style>
  <w:style w:type="paragraph" w:styleId="8">
    <w:name w:val="Plain Text"/>
    <w:basedOn w:val="1"/>
    <w:qFormat/>
    <w:uiPriority w:val="0"/>
    <w:rPr>
      <w:rFonts w:ascii="宋体" w:hAnsi="Courier New"/>
      <w:szCs w:val="21"/>
    </w:rPr>
  </w:style>
  <w:style w:type="paragraph" w:styleId="9">
    <w:name w:val="Date"/>
    <w:basedOn w:val="1"/>
    <w:next w:val="1"/>
    <w:qFormat/>
    <w:uiPriority w:val="0"/>
    <w:rPr>
      <w:rFonts w:eastAsia="宋体"/>
      <w:kern w:val="2"/>
      <w:sz w:val="21"/>
      <w:lang w:val="en-US" w:eastAsia="zh-CN" w:bidi="ar-SA"/>
    </w:rPr>
  </w:style>
  <w:style w:type="paragraph" w:styleId="10">
    <w:name w:val="Body Text Indent 2"/>
    <w:basedOn w:val="1"/>
    <w:qFormat/>
    <w:uiPriority w:val="0"/>
    <w:pPr>
      <w:spacing w:after="120" w:line="480" w:lineRule="auto"/>
      <w:ind w:left="420" w:leftChars="200" w:firstLine="420"/>
    </w:pPr>
    <w:rPr>
      <w:sz w:val="24"/>
      <w:lang w:val="zh-CN"/>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2"/>
    <w:basedOn w:val="1"/>
    <w:next w:val="1"/>
    <w:qFormat/>
    <w:uiPriority w:val="0"/>
    <w:pPr>
      <w:ind w:left="420" w:leftChars="200"/>
    </w:pPr>
  </w:style>
  <w:style w:type="paragraph" w:styleId="14">
    <w:name w:val="Normal (Web)"/>
    <w:basedOn w:val="1"/>
    <w:qFormat/>
    <w:uiPriority w:val="0"/>
    <w:rPr>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报告正文"/>
    <w:basedOn w:val="1"/>
    <w:qFormat/>
    <w:uiPriority w:val="0"/>
    <w:pPr>
      <w:spacing w:line="360" w:lineRule="auto"/>
      <w:ind w:firstLine="536" w:firstLineChars="200"/>
    </w:pPr>
    <w:rPr>
      <w:snapToGrid w:val="0"/>
      <w:kern w:val="0"/>
      <w:sz w:val="24"/>
      <w:szCs w:val="20"/>
    </w:rPr>
  </w:style>
  <w:style w:type="paragraph" w:customStyle="1" w:styleId="19">
    <w:name w:val="（文章）正文石"/>
    <w:basedOn w:val="1"/>
    <w:next w:val="1"/>
    <w:qFormat/>
    <w:uiPriority w:val="0"/>
    <w:pPr>
      <w:snapToGrid w:val="0"/>
      <w:spacing w:line="360" w:lineRule="auto"/>
      <w:ind w:firstLine="200" w:firstLineChars="200"/>
      <w:jc w:val="left"/>
    </w:pPr>
    <w:rPr>
      <w:kern w:val="0"/>
      <w:sz w:val="24"/>
      <w:szCs w:val="20"/>
    </w:rPr>
  </w:style>
  <w:style w:type="paragraph" w:customStyle="1" w:styleId="20">
    <w:name w:val="表格内容"/>
    <w:next w:val="1"/>
    <w:qFormat/>
    <w:uiPriority w:val="1"/>
    <w:pPr>
      <w:spacing w:line="330" w:lineRule="exact"/>
      <w:jc w:val="center"/>
    </w:pPr>
    <w:rPr>
      <w:rFonts w:ascii="Times New Roman" w:hAnsi="Times New Roman" w:eastAsia="宋体" w:cs="宋体"/>
      <w:kern w:val="2"/>
      <w:sz w:val="21"/>
      <w:szCs w:val="22"/>
      <w:lang w:val="en-US" w:eastAsia="zh-CN" w:bidi="ar-SA"/>
    </w:rPr>
  </w:style>
  <w:style w:type="paragraph" w:customStyle="1" w:styleId="21">
    <w:name w:val="WPS Plain"/>
    <w:qFormat/>
    <w:uiPriority w:val="0"/>
    <w:rPr>
      <w:rFonts w:ascii="Times New Roman" w:hAnsi="Times New Roman" w:eastAsia="宋体" w:cs="Times New Roman"/>
      <w:sz w:val="21"/>
      <w:szCs w:val="22"/>
      <w:lang w:val="en-US" w:eastAsia="zh-CN" w:bidi="ar-SA"/>
    </w:rPr>
  </w:style>
  <w:style w:type="paragraph" w:customStyle="1" w:styleId="22">
    <w:name w:val="表格文字"/>
    <w:basedOn w:val="1"/>
    <w:qFormat/>
    <w:uiPriority w:val="0"/>
    <w:pPr>
      <w:tabs>
        <w:tab w:val="left" w:pos="-2848"/>
      </w:tabs>
      <w:jc w:val="center"/>
    </w:pPr>
    <w:rPr>
      <w:rFonts w:eastAsia="宋体"/>
      <w:kern w:val="2"/>
      <w:position w:val="-10"/>
      <w:sz w:val="21"/>
      <w:lang w:val="en-US" w:eastAsia="zh-CN" w:bidi="ar-SA"/>
    </w:rPr>
  </w:style>
  <w:style w:type="paragraph" w:customStyle="1" w:styleId="23">
    <w:name w:val="报告书正文"/>
    <w:basedOn w:val="1"/>
    <w:qFormat/>
    <w:uiPriority w:val="0"/>
    <w:pPr>
      <w:tabs>
        <w:tab w:val="left" w:pos="0"/>
      </w:tabs>
      <w:spacing w:line="500" w:lineRule="exact"/>
    </w:pPr>
    <w:rPr>
      <w:rFonts w:eastAsia="宋体"/>
      <w:bCs/>
      <w:color w:val="000000"/>
      <w:sz w:val="28"/>
      <w:szCs w:val="24"/>
      <w:lang w:val="en-US" w:eastAsia="zh-CN" w:bidi="ar-SA"/>
    </w:rPr>
  </w:style>
  <w:style w:type="paragraph" w:customStyle="1" w:styleId="24">
    <w:name w:val="表格2"/>
    <w:qFormat/>
    <w:uiPriority w:val="0"/>
    <w:pPr>
      <w:spacing w:line="320" w:lineRule="exact"/>
      <w:jc w:val="center"/>
    </w:pPr>
    <w:rPr>
      <w:rFonts w:ascii="Times New Roman" w:hAnsi="Times New Roman" w:eastAsia="宋体" w:cs="Times New Roman"/>
      <w:kern w:val="2"/>
      <w:sz w:val="21"/>
      <w:szCs w:val="24"/>
      <w:lang w:val="en-US" w:eastAsia="zh-CN" w:bidi="ar-SA"/>
    </w:rPr>
  </w:style>
  <w:style w:type="paragraph" w:customStyle="1" w:styleId="25">
    <w:name w:val="报告书正文 Char Char Char"/>
    <w:basedOn w:val="1"/>
    <w:qFormat/>
    <w:uiPriority w:val="0"/>
    <w:pPr>
      <w:spacing w:line="300" w:lineRule="auto"/>
      <w:ind w:firstLine="480" w:firstLineChars="200"/>
    </w:pPr>
    <w:rPr>
      <w:rFonts w:ascii="宋体" w:hAnsi="宋体" w:eastAsia="宋体"/>
      <w:kern w:val="2"/>
      <w:sz w:val="24"/>
      <w:szCs w:val="24"/>
      <w:lang w:val="en-US" w:eastAsia="zh-CN" w:bidi="ar-SA"/>
    </w:rPr>
  </w:style>
  <w:style w:type="paragraph" w:customStyle="1" w:styleId="26">
    <w:name w:val="报告表正文"/>
    <w:basedOn w:val="1"/>
    <w:qFormat/>
    <w:uiPriority w:val="0"/>
    <w:pPr>
      <w:adjustRightInd w:val="0"/>
      <w:spacing w:line="312" w:lineRule="auto"/>
      <w:ind w:left="113" w:right="113" w:firstLine="482"/>
    </w:pPr>
    <w:rPr>
      <w:kern w:val="0"/>
      <w:sz w:val="24"/>
      <w:szCs w:val="20"/>
    </w:rPr>
  </w:style>
  <w:style w:type="paragraph" w:customStyle="1" w:styleId="27">
    <w:name w:val="表8"/>
    <w:basedOn w:val="1"/>
    <w:qFormat/>
    <w:uiPriority w:val="0"/>
    <w:pPr>
      <w:numPr>
        <w:ilvl w:val="0"/>
        <w:numId w:val="2"/>
      </w:numPr>
      <w:spacing w:line="360" w:lineRule="auto"/>
      <w:jc w:val="center"/>
    </w:pPr>
    <w:rPr>
      <w:b/>
      <w:sz w:val="24"/>
      <w:szCs w:val="20"/>
    </w:rPr>
  </w:style>
  <w:style w:type="paragraph" w:customStyle="1" w:styleId="28">
    <w:name w:val="表格内容（标）"/>
    <w:next w:val="1"/>
    <w:qFormat/>
    <w:uiPriority w:val="0"/>
    <w:pPr>
      <w:widowControl w:val="0"/>
      <w:spacing w:line="360" w:lineRule="exact"/>
      <w:jc w:val="center"/>
    </w:pPr>
    <w:rPr>
      <w:rFonts w:ascii="Times New Roman" w:hAnsi="Times New Roman" w:eastAsia="宋体" w:cs="宋体"/>
      <w:kern w:val="2"/>
      <w:sz w:val="21"/>
      <w:szCs w:val="22"/>
      <w:lang w:val="en-US" w:eastAsia="zh-CN" w:bidi="ar-SA"/>
    </w:rPr>
  </w:style>
  <w:style w:type="paragraph" w:customStyle="1" w:styleId="29">
    <w:name w:val="居中（正文）"/>
    <w:qFormat/>
    <w:uiPriority w:val="0"/>
    <w:pPr>
      <w:spacing w:line="360" w:lineRule="auto"/>
      <w:jc w:val="center"/>
    </w:pPr>
    <w:rPr>
      <w:rFonts w:ascii="Times New Roman" w:hAnsi="Times New Roman" w:eastAsia="宋体" w:cs="Times New Roman"/>
      <w:kern w:val="2"/>
      <w:sz w:val="24"/>
      <w:szCs w:val="22"/>
      <w:lang w:val="en-US" w:eastAsia="zh-CN" w:bidi="ar-SA"/>
    </w:rPr>
  </w:style>
  <w:style w:type="paragraph" w:customStyle="1" w:styleId="30">
    <w:name w:val="文本正文"/>
    <w:basedOn w:val="1"/>
    <w:qFormat/>
    <w:uiPriority w:val="0"/>
    <w:pPr>
      <w:spacing w:line="360" w:lineRule="auto"/>
      <w:ind w:firstLine="466" w:firstLineChars="200"/>
      <w:jc w:val="left"/>
    </w:pPr>
    <w:rPr>
      <w:rFonts w:eastAsia="宋体"/>
      <w:kern w:val="0"/>
      <w:sz w:val="24"/>
      <w:szCs w:val="24"/>
      <w:lang w:val="zh-CN"/>
    </w:rPr>
  </w:style>
  <w:style w:type="character" w:customStyle="1" w:styleId="31">
    <w:name w:val="方案正文样式 Char"/>
    <w:link w:val="32"/>
    <w:qFormat/>
    <w:uiPriority w:val="0"/>
    <w:rPr>
      <w:snapToGrid w:val="0"/>
      <w:kern w:val="0"/>
      <w:sz w:val="24"/>
      <w:szCs w:val="20"/>
    </w:rPr>
  </w:style>
  <w:style w:type="paragraph" w:customStyle="1" w:styleId="32">
    <w:name w:val="方案正文样式"/>
    <w:basedOn w:val="1"/>
    <w:link w:val="31"/>
    <w:qFormat/>
    <w:uiPriority w:val="0"/>
    <w:pPr>
      <w:adjustRightInd w:val="0"/>
      <w:snapToGrid w:val="0"/>
      <w:spacing w:line="360" w:lineRule="auto"/>
      <w:ind w:firstLine="200" w:firstLineChars="200"/>
      <w:textAlignment w:val="baseline"/>
    </w:pPr>
    <w:rPr>
      <w:snapToGrid w:val="0"/>
      <w:kern w:val="0"/>
      <w:sz w:val="24"/>
      <w:szCs w:val="20"/>
    </w:rPr>
  </w:style>
  <w:style w:type="paragraph" w:customStyle="1" w:styleId="33">
    <w:name w:val="正文首行缩进 2 + Times New Roman"/>
    <w:basedOn w:val="1"/>
    <w:qFormat/>
    <w:uiPriority w:val="0"/>
    <w:pPr>
      <w:tabs>
        <w:tab w:val="left" w:pos="0"/>
        <w:tab w:val="left" w:pos="870"/>
        <w:tab w:val="left" w:pos="3150"/>
      </w:tabs>
      <w:autoSpaceDE w:val="0"/>
      <w:autoSpaceDN w:val="0"/>
      <w:spacing w:line="360" w:lineRule="auto"/>
      <w:ind w:firstLine="420" w:firstLineChars="200"/>
    </w:pPr>
    <w:rPr>
      <w:rFonts w:ascii="宋体" w:hAnsi="宋体"/>
      <w:color w:val="FF0000"/>
      <w:kern w:val="0"/>
      <w:szCs w:val="21"/>
      <w:lang w:val="zh-CN"/>
    </w:rPr>
  </w:style>
  <w:style w:type="paragraph" w:customStyle="1" w:styleId="34">
    <w:name w:val="Char Char Char Char Char Char5"/>
    <w:basedOn w:val="1"/>
    <w:next w:val="2"/>
    <w:qFormat/>
    <w:uiPriority w:val="99"/>
    <w:rPr>
      <w:sz w:val="28"/>
      <w:szCs w:val="28"/>
    </w:rPr>
  </w:style>
  <w:style w:type="paragraph" w:customStyle="1" w:styleId="35">
    <w:name w:val="魏秀珍   正文"/>
    <w:basedOn w:val="5"/>
    <w:qFormat/>
    <w:uiPriority w:val="0"/>
    <w:pPr>
      <w:tabs>
        <w:tab w:val="left" w:pos="574"/>
      </w:tabs>
      <w:adjustRightInd w:val="0"/>
      <w:snapToGrid w:val="0"/>
      <w:spacing w:line="360" w:lineRule="auto"/>
      <w:ind w:firstLine="480"/>
    </w:pPr>
    <w:rPr>
      <w:snapToGrid w:val="0"/>
      <w:color w:val="33CCCC"/>
      <w:kern w:val="0"/>
      <w:sz w:val="24"/>
      <w:szCs w:val="20"/>
      <w:lang w:val="en-GB" w:bidi="he-IL"/>
    </w:rPr>
  </w:style>
  <w:style w:type="paragraph" w:customStyle="1" w:styleId="36">
    <w:name w:val="Zw"/>
    <w:basedOn w:val="1"/>
    <w:next w:val="1"/>
    <w:qFormat/>
    <w:uiPriority w:val="0"/>
    <w:pPr>
      <w:spacing w:line="360" w:lineRule="auto"/>
      <w:ind w:firstLine="200" w:firstLineChars="200"/>
    </w:pPr>
    <w:rPr>
      <w:rFonts w:ascii="宋体" w:hAnsi="宋体" w:cs="宋体"/>
      <w:sz w:val="24"/>
    </w:rPr>
  </w:style>
  <w:style w:type="paragraph" w:customStyle="1" w:styleId="37">
    <w:name w:val="_Style 2"/>
    <w:basedOn w:val="1"/>
    <w:qFormat/>
    <w:uiPriority w:val="34"/>
    <w:pPr>
      <w:ind w:firstLine="420" w:firstLineChars="200"/>
    </w:pPr>
  </w:style>
  <w:style w:type="paragraph" w:customStyle="1" w:styleId="38">
    <w:name w:val="报告书"/>
    <w:basedOn w:val="1"/>
    <w:qFormat/>
    <w:uiPriority w:val="0"/>
    <w:pPr>
      <w:spacing w:line="300" w:lineRule="auto"/>
      <w:ind w:firstLine="480" w:firstLineChars="200"/>
    </w:pPr>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9.wmf"/><Relationship Id="rId7" Type="http://schemas.openxmlformats.org/officeDocument/2006/relationships/theme" Target="theme/theme1.xml"/><Relationship Id="rId69" Type="http://schemas.openxmlformats.org/officeDocument/2006/relationships/oleObject" Target="embeddings/oleObject24.bin"/><Relationship Id="rId68" Type="http://schemas.openxmlformats.org/officeDocument/2006/relationships/oleObject" Target="embeddings/oleObject23.bin"/><Relationship Id="rId67" Type="http://schemas.openxmlformats.org/officeDocument/2006/relationships/oleObject" Target="embeddings/oleObject22.bin"/><Relationship Id="rId66" Type="http://schemas.openxmlformats.org/officeDocument/2006/relationships/oleObject" Target="embeddings/oleObject21.bin"/><Relationship Id="rId65" Type="http://schemas.openxmlformats.org/officeDocument/2006/relationships/oleObject" Target="embeddings/oleObject20.bin"/><Relationship Id="rId64" Type="http://schemas.openxmlformats.org/officeDocument/2006/relationships/oleObject" Target="embeddings/oleObject19.bin"/><Relationship Id="rId63" Type="http://schemas.openxmlformats.org/officeDocument/2006/relationships/oleObject" Target="embeddings/oleObject18.bin"/><Relationship Id="rId62" Type="http://schemas.openxmlformats.org/officeDocument/2006/relationships/oleObject" Target="embeddings/oleObject17.bin"/><Relationship Id="rId61" Type="http://schemas.openxmlformats.org/officeDocument/2006/relationships/oleObject" Target="embeddings/oleObject16.bin"/><Relationship Id="rId60" Type="http://schemas.openxmlformats.org/officeDocument/2006/relationships/oleObject" Target="embeddings/oleObject15.bin"/><Relationship Id="rId6" Type="http://schemas.openxmlformats.org/officeDocument/2006/relationships/footer" Target="footer2.xml"/><Relationship Id="rId59" Type="http://schemas.openxmlformats.org/officeDocument/2006/relationships/oleObject" Target="embeddings/oleObject14.bin"/><Relationship Id="rId58" Type="http://schemas.openxmlformats.org/officeDocument/2006/relationships/oleObject" Target="embeddings/oleObject13.bin"/><Relationship Id="rId57" Type="http://schemas.openxmlformats.org/officeDocument/2006/relationships/oleObject" Target="embeddings/oleObject12.bin"/><Relationship Id="rId56" Type="http://schemas.openxmlformats.org/officeDocument/2006/relationships/oleObject" Target="embeddings/oleObject11.bin"/><Relationship Id="rId55" Type="http://schemas.openxmlformats.org/officeDocument/2006/relationships/image" Target="media/image38.wmf"/><Relationship Id="rId54" Type="http://schemas.openxmlformats.org/officeDocument/2006/relationships/oleObject" Target="embeddings/oleObject10.bin"/><Relationship Id="rId53" Type="http://schemas.openxmlformats.org/officeDocument/2006/relationships/image" Target="media/image37.jpeg"/><Relationship Id="rId52" Type="http://schemas.openxmlformats.org/officeDocument/2006/relationships/image" Target="media/image36.wmf"/><Relationship Id="rId51" Type="http://schemas.openxmlformats.org/officeDocument/2006/relationships/oleObject" Target="embeddings/oleObject9.bin"/><Relationship Id="rId50" Type="http://schemas.openxmlformats.org/officeDocument/2006/relationships/image" Target="media/image35.wmf"/><Relationship Id="rId5" Type="http://schemas.openxmlformats.org/officeDocument/2006/relationships/footer" Target="footer1.xml"/><Relationship Id="rId49" Type="http://schemas.openxmlformats.org/officeDocument/2006/relationships/oleObject" Target="embeddings/oleObject8.bin"/><Relationship Id="rId48" Type="http://schemas.openxmlformats.org/officeDocument/2006/relationships/image" Target="media/image34.wmf"/><Relationship Id="rId47" Type="http://schemas.openxmlformats.org/officeDocument/2006/relationships/oleObject" Target="embeddings/oleObject7.bin"/><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wmf"/><Relationship Id="rId41" Type="http://schemas.openxmlformats.org/officeDocument/2006/relationships/oleObject" Target="embeddings/oleObject6.bin"/><Relationship Id="rId40" Type="http://schemas.openxmlformats.org/officeDocument/2006/relationships/image" Target="media/image28.w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27.wmf"/><Relationship Id="rId37" Type="http://schemas.openxmlformats.org/officeDocument/2006/relationships/oleObject" Target="embeddings/oleObject4.bin"/><Relationship Id="rId36" Type="http://schemas.openxmlformats.org/officeDocument/2006/relationships/image" Target="media/image26.wmf"/><Relationship Id="rId35" Type="http://schemas.openxmlformats.org/officeDocument/2006/relationships/oleObject" Target="embeddings/oleObject3.bin"/><Relationship Id="rId34" Type="http://schemas.openxmlformats.org/officeDocument/2006/relationships/image" Target="media/image25.wmf"/><Relationship Id="rId33" Type="http://schemas.openxmlformats.org/officeDocument/2006/relationships/oleObject" Target="embeddings/oleObject2.bin"/><Relationship Id="rId32" Type="http://schemas.openxmlformats.org/officeDocument/2006/relationships/image" Target="media/image24.emf"/><Relationship Id="rId31" Type="http://schemas.openxmlformats.org/officeDocument/2006/relationships/oleObject" Target="embeddings/oleObject1.bin"/><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59082</Words>
  <Characters>70095</Characters>
  <Lines>0</Lines>
  <Paragraphs>0</Paragraphs>
  <TotalTime>11</TotalTime>
  <ScaleCrop>false</ScaleCrop>
  <LinksUpToDate>false</LinksUpToDate>
  <CharactersWithSpaces>71769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2020-03-18T09:16:00Z</dcterms:created>
  <dc:creator>Administrator</dc:creator>
  <cp:lastModifiedBy>刘变香</cp:lastModifiedBy>
  <dcterms:modified xsi:type="dcterms:W3CDTF">2024-11-18T03:40:31Z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C44186AFC88D49D2BE419A1DCA8F9732</vt:lpwstr>
  </property>
</Properties>
</file>